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spacing w:after="0"/>
        <w:rPr>
          <w:sz w:val="20"/>
          <w:szCs w:val="20"/>
          <w:color w:val="auto"/>
        </w:rPr>
      </w:pPr>
      <w:r>
        <w:rPr>
          <w:rFonts w:ascii="Arial" w:cs="Arial" w:eastAsia="Arial" w:hAnsi="Arial"/>
          <w:sz w:val="32"/>
          <w:szCs w:val="32"/>
          <w:b w:val="1"/>
          <w:bCs w:val="1"/>
          <w:color w:val="auto"/>
        </w:rPr>
        <w:drawing>
          <wp:anchor simplePos="0" relativeHeight="251657728" behindDoc="1" locked="0" layoutInCell="0" allowOverlap="1">
            <wp:simplePos x="0" y="0"/>
            <wp:positionH relativeFrom="page">
              <wp:posOffset>157480</wp:posOffset>
            </wp:positionH>
            <wp:positionV relativeFrom="page">
              <wp:posOffset>208915</wp:posOffset>
            </wp:positionV>
            <wp:extent cx="7246620"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page">
              <wp:posOffset>157480</wp:posOffset>
            </wp:positionH>
            <wp:positionV relativeFrom="page">
              <wp:posOffset>226060</wp:posOffset>
            </wp:positionV>
            <wp:extent cx="72466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46620" cy="8890"/>
                    </a:xfrm>
                    <a:prstGeom prst="rect">
                      <a:avLst/>
                    </a:prstGeom>
                    <a:noFill/>
                  </pic:spPr>
                </pic:pic>
              </a:graphicData>
            </a:graphic>
          </wp:anchor>
        </w:drawing>
        <w:t>UNITED STATES</w:t>
      </w:r>
    </w:p>
    <w:p>
      <w:pPr>
        <w:spacing w:after="0" w:line="31" w:lineRule="exact"/>
        <w:rPr>
          <w:sz w:val="24"/>
          <w:szCs w:val="24"/>
          <w:color w:val="auto"/>
        </w:rPr>
      </w:pPr>
    </w:p>
    <w:p>
      <w:pPr>
        <w:jc w:val="center"/>
        <w:spacing w:after="0"/>
        <w:rPr>
          <w:sz w:val="20"/>
          <w:szCs w:val="20"/>
          <w:color w:val="auto"/>
        </w:rPr>
      </w:pPr>
      <w:r>
        <w:rPr>
          <w:rFonts w:ascii="Arial" w:cs="Arial" w:eastAsia="Arial" w:hAnsi="Arial"/>
          <w:sz w:val="32"/>
          <w:szCs w:val="32"/>
          <w:b w:val="1"/>
          <w:bCs w:val="1"/>
          <w:color w:val="auto"/>
        </w:rPr>
        <w:t>SECURITIES AND EXCHANGE COMMISSION</w:t>
      </w:r>
    </w:p>
    <w:p>
      <w:pPr>
        <w:jc w:val="center"/>
        <w:spacing w:after="0"/>
        <w:rPr>
          <w:sz w:val="20"/>
          <w:szCs w:val="20"/>
          <w:color w:val="auto"/>
        </w:rPr>
      </w:pPr>
      <w:r>
        <w:rPr>
          <w:rFonts w:ascii="Arial" w:cs="Arial" w:eastAsia="Arial" w:hAnsi="Arial"/>
          <w:sz w:val="22"/>
          <w:szCs w:val="22"/>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2903855</wp:posOffset>
            </wp:positionH>
            <wp:positionV relativeFrom="paragraph">
              <wp:posOffset>81915</wp:posOffset>
            </wp:positionV>
            <wp:extent cx="1449070"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449070" cy="8890"/>
                    </a:xfrm>
                    <a:prstGeom prst="rect">
                      <a:avLst/>
                    </a:prstGeom>
                    <a:noFill/>
                  </pic:spPr>
                </pic:pic>
              </a:graphicData>
            </a:graphic>
          </wp:anchor>
        </w:drawing>
      </w:r>
    </w:p>
    <w:p>
      <w:pPr>
        <w:spacing w:after="0" w:line="189" w:lineRule="exact"/>
        <w:rPr>
          <w:sz w:val="24"/>
          <w:szCs w:val="24"/>
          <w:color w:val="auto"/>
        </w:rPr>
      </w:pPr>
    </w:p>
    <w:p>
      <w:pPr>
        <w:jc w:val="center"/>
        <w:spacing w:after="0"/>
        <w:rPr>
          <w:sz w:val="20"/>
          <w:szCs w:val="20"/>
          <w:color w:val="auto"/>
        </w:rPr>
      </w:pPr>
      <w:r>
        <w:rPr>
          <w:rFonts w:ascii="Arial" w:cs="Arial" w:eastAsia="Arial" w:hAnsi="Arial"/>
          <w:sz w:val="32"/>
          <w:szCs w:val="32"/>
          <w:b w:val="1"/>
          <w:bCs w:val="1"/>
          <w:color w:val="auto"/>
        </w:rPr>
        <w:t>FORM 10-Q</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2903855</wp:posOffset>
            </wp:positionH>
            <wp:positionV relativeFrom="paragraph">
              <wp:posOffset>118110</wp:posOffset>
            </wp:positionV>
            <wp:extent cx="1449070"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449070" cy="8890"/>
                    </a:xfrm>
                    <a:prstGeom prst="rect">
                      <a:avLst/>
                    </a:prstGeom>
                    <a:noFill/>
                  </pic:spPr>
                </pic:pic>
              </a:graphicData>
            </a:graphic>
          </wp:anchor>
        </w:drawing>
      </w:r>
    </w:p>
    <w:p>
      <w:pPr>
        <w:spacing w:after="0" w:line="270" w:lineRule="exact"/>
        <w:rPr>
          <w:sz w:val="24"/>
          <w:szCs w:val="24"/>
          <w:color w:val="auto"/>
        </w:rPr>
      </w:pPr>
    </w:p>
    <w:p>
      <w:pPr>
        <w:spacing w:after="0"/>
        <w:rPr>
          <w:sz w:val="20"/>
          <w:szCs w:val="20"/>
          <w:color w:val="auto"/>
        </w:rPr>
      </w:pPr>
      <w:r>
        <w:rPr>
          <w:rFonts w:ascii="Arial" w:cs="Arial" w:eastAsia="Arial" w:hAnsi="Arial"/>
          <w:sz w:val="18"/>
          <w:szCs w:val="18"/>
          <w:b w:val="1"/>
          <w:bCs w:val="1"/>
          <w:color w:val="auto"/>
        </w:rPr>
        <w:t>(Mark One)</w:t>
      </w:r>
    </w:p>
    <w:p>
      <w:pPr>
        <w:spacing w:after="0" w:line="24" w:lineRule="exact"/>
        <w:rPr>
          <w:sz w:val="24"/>
          <w:szCs w:val="24"/>
          <w:color w:val="auto"/>
        </w:rPr>
      </w:pPr>
    </w:p>
    <w:p>
      <w:pPr>
        <w:ind w:left="540" w:right="380" w:hanging="532"/>
        <w:spacing w:after="0" w:line="237" w:lineRule="auto"/>
        <w:tabs>
          <w:tab w:leader="none" w:pos="540" w:val="left"/>
        </w:tabs>
        <w:numPr>
          <w:ilvl w:val="0"/>
          <w:numId w:val="1"/>
        </w:numPr>
        <w:rPr>
          <w:rFonts w:ascii="MS PGothic" w:cs="MS PGothic" w:eastAsia="MS PGothic" w:hAnsi="MS PGothic"/>
          <w:sz w:val="22"/>
          <w:szCs w:val="22"/>
          <w:color w:val="auto"/>
        </w:rPr>
      </w:pPr>
      <w:r>
        <w:rPr>
          <w:rFonts w:ascii="Arial" w:cs="Arial" w:eastAsia="Arial" w:hAnsi="Arial"/>
          <w:sz w:val="22"/>
          <w:szCs w:val="22"/>
          <w:b w:val="1"/>
          <w:bCs w:val="1"/>
          <w:color w:val="auto"/>
        </w:rPr>
        <w:t>QUARTERLY REPORT PURSUANT TO SECTION 13 OR 15(d) OF THE SECURITIES EXCHANGE ACT OF 1934</w:t>
      </w:r>
    </w:p>
    <w:p>
      <w:pPr>
        <w:spacing w:after="0" w:line="80"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For the quarterly period ended March 31, 2015</w:t>
      </w:r>
    </w:p>
    <w:p>
      <w:pPr>
        <w:spacing w:after="0" w:line="117"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or</w:t>
      </w:r>
    </w:p>
    <w:p>
      <w:pPr>
        <w:spacing w:after="0" w:line="108" w:lineRule="exact"/>
        <w:rPr>
          <w:sz w:val="24"/>
          <w:szCs w:val="24"/>
          <w:color w:val="auto"/>
        </w:rPr>
      </w:pPr>
    </w:p>
    <w:p>
      <w:pPr>
        <w:ind w:left="540" w:right="380" w:hanging="532"/>
        <w:spacing w:after="0" w:line="256" w:lineRule="auto"/>
        <w:tabs>
          <w:tab w:leader="none" w:pos="540" w:val="left"/>
        </w:tabs>
        <w:numPr>
          <w:ilvl w:val="0"/>
          <w:numId w:val="2"/>
        </w:numPr>
        <w:rPr>
          <w:rFonts w:ascii="Arial" w:cs="Arial" w:eastAsia="Arial" w:hAnsi="Arial"/>
          <w:sz w:val="22"/>
          <w:szCs w:val="22"/>
          <w:color w:val="auto"/>
        </w:rPr>
      </w:pPr>
      <w:r>
        <w:rPr>
          <w:rFonts w:ascii="Arial" w:cs="Arial" w:eastAsia="Arial" w:hAnsi="Arial"/>
          <w:sz w:val="22"/>
          <w:szCs w:val="22"/>
          <w:b w:val="1"/>
          <w:bCs w:val="1"/>
          <w:color w:val="auto"/>
        </w:rPr>
        <w:t>TRANSITION REPORT PURSUANT TO SECTION 13 OR 15(d) OF THE SECURITIES EXCHANGE ACT OF 1934</w:t>
      </w:r>
    </w:p>
    <w:p>
      <w:pPr>
        <w:spacing w:after="0" w:line="64" w:lineRule="exact"/>
        <w:rPr>
          <w:sz w:val="24"/>
          <w:szCs w:val="24"/>
          <w:color w:val="auto"/>
        </w:rPr>
      </w:pPr>
    </w:p>
    <w:p>
      <w:pPr>
        <w:ind w:left="3860"/>
        <w:spacing w:after="0"/>
        <w:tabs>
          <w:tab w:leader="none" w:pos="6800" w:val="left"/>
        </w:tabs>
        <w:rPr>
          <w:sz w:val="20"/>
          <w:szCs w:val="20"/>
          <w:color w:val="auto"/>
        </w:rPr>
      </w:pPr>
      <w:r>
        <w:rPr>
          <w:rFonts w:ascii="Arial" w:cs="Arial" w:eastAsia="Arial" w:hAnsi="Arial"/>
          <w:sz w:val="18"/>
          <w:szCs w:val="18"/>
          <w:b w:val="1"/>
          <w:bCs w:val="1"/>
          <w:color w:val="auto"/>
        </w:rPr>
        <w:t>For the transition period from</w:t>
      </w:r>
      <w:r>
        <w:rPr>
          <w:sz w:val="20"/>
          <w:szCs w:val="20"/>
          <w:color w:val="auto"/>
        </w:rPr>
        <w:tab/>
      </w:r>
      <w:r>
        <w:rPr>
          <w:rFonts w:ascii="Arial" w:cs="Arial" w:eastAsia="Arial" w:hAnsi="Arial"/>
          <w:sz w:val="16"/>
          <w:szCs w:val="16"/>
          <w:b w:val="1"/>
          <w:bCs w:val="1"/>
          <w:color w:val="auto"/>
        </w:rPr>
        <w:t>to</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3962400</wp:posOffset>
            </wp:positionH>
            <wp:positionV relativeFrom="paragraph">
              <wp:posOffset>-7620</wp:posOffset>
            </wp:positionV>
            <wp:extent cx="838200"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838200" cy="8890"/>
                    </a:xfrm>
                    <a:prstGeom prst="rect">
                      <a:avLst/>
                    </a:prstGeom>
                    <a:noFill/>
                  </pic:spPr>
                </pic:pic>
              </a:graphicData>
            </a:graphic>
          </wp:anchor>
        </w:drawing>
      </w:r>
    </w:p>
    <w:p>
      <w:pPr>
        <w:spacing w:after="0" w:line="97"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Commission File Number 1-35796</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2903855</wp:posOffset>
            </wp:positionH>
            <wp:positionV relativeFrom="paragraph">
              <wp:posOffset>102870</wp:posOffset>
            </wp:positionV>
            <wp:extent cx="1449070"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1449070" cy="889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36" w:lineRule="exact"/>
        <w:rPr>
          <w:sz w:val="24"/>
          <w:szCs w:val="24"/>
          <w:color w:val="auto"/>
        </w:rPr>
      </w:pPr>
    </w:p>
    <w:p>
      <w:pPr>
        <w:jc w:val="center"/>
        <w:spacing w:after="0"/>
        <w:rPr>
          <w:sz w:val="20"/>
          <w:szCs w:val="20"/>
          <w:color w:val="auto"/>
        </w:rPr>
      </w:pPr>
      <w:r>
        <w:rPr>
          <w:rFonts w:ascii="Arial" w:cs="Arial" w:eastAsia="Arial" w:hAnsi="Arial"/>
          <w:sz w:val="43"/>
          <w:szCs w:val="43"/>
          <w:b w:val="1"/>
          <w:bCs w:val="1"/>
          <w:color w:val="auto"/>
        </w:rPr>
        <w:t>TRI Pointe Homes, Inc.</w:t>
      </w:r>
    </w:p>
    <w:p>
      <w:pPr>
        <w:spacing w:after="0" w:line="50"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(Exact Name of Registrant as Specified in Its Charter)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2903855</wp:posOffset>
            </wp:positionH>
            <wp:positionV relativeFrom="paragraph">
              <wp:posOffset>90170</wp:posOffset>
            </wp:positionV>
            <wp:extent cx="1449070"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1449070" cy="8890"/>
                    </a:xfrm>
                    <a:prstGeom prst="rect">
                      <a:avLst/>
                    </a:prstGeom>
                    <a:noFill/>
                  </pic:spPr>
                </pic:pic>
              </a:graphicData>
            </a:graphic>
          </wp:anchor>
        </w:drawing>
      </w:r>
    </w:p>
    <w:p>
      <w:pPr>
        <w:sectPr>
          <w:pgSz w:w="11900" w:h="16838" w:orient="portrait"/>
          <w:cols w:equalWidth="0" w:num="1">
            <w:col w:w="11420"/>
          </w:cols>
          <w:pgMar w:left="240" w:top="395" w:right="239" w:bottom="1440" w:gutter="0" w:footer="0" w:header="0"/>
        </w:sectPr>
      </w:pPr>
    </w:p>
    <w:p>
      <w:pPr>
        <w:spacing w:after="0" w:line="259" w:lineRule="exact"/>
        <w:rPr>
          <w:sz w:val="24"/>
          <w:szCs w:val="24"/>
          <w:color w:val="auto"/>
        </w:rPr>
      </w:pPr>
    </w:p>
    <w:p>
      <w:pPr>
        <w:ind w:left="2440"/>
        <w:spacing w:after="0"/>
        <w:rPr>
          <w:sz w:val="20"/>
          <w:szCs w:val="20"/>
          <w:color w:val="auto"/>
        </w:rPr>
      </w:pPr>
      <w:r>
        <w:rPr>
          <w:rFonts w:ascii="Arial" w:cs="Arial" w:eastAsia="Arial" w:hAnsi="Arial"/>
          <w:sz w:val="16"/>
          <w:szCs w:val="16"/>
          <w:b w:val="1"/>
          <w:bCs w:val="1"/>
          <w:color w:val="auto"/>
        </w:rPr>
        <w:t>Delaware</w:t>
      </w:r>
    </w:p>
    <w:p>
      <w:pPr>
        <w:spacing w:after="0" w:line="20" w:lineRule="exact"/>
        <w:rPr>
          <w:sz w:val="24"/>
          <w:szCs w:val="24"/>
          <w:color w:val="auto"/>
        </w:rPr>
      </w:pPr>
      <w:r>
        <w:rPr>
          <w:sz w:val="24"/>
          <w:szCs w:val="24"/>
          <w:color w:val="auto"/>
        </w:rPr>
        <w:br w:type="column"/>
      </w:r>
    </w:p>
    <w:p>
      <w:pPr>
        <w:spacing w:after="0" w:line="239" w:lineRule="exact"/>
        <w:rPr>
          <w:sz w:val="24"/>
          <w:szCs w:val="24"/>
          <w:color w:val="auto"/>
        </w:rPr>
      </w:pPr>
    </w:p>
    <w:p>
      <w:pPr>
        <w:spacing w:after="0"/>
        <w:rPr>
          <w:sz w:val="20"/>
          <w:szCs w:val="20"/>
          <w:color w:val="auto"/>
        </w:rPr>
      </w:pPr>
      <w:r>
        <w:rPr>
          <w:rFonts w:ascii="Arial" w:cs="Arial" w:eastAsia="Arial" w:hAnsi="Arial"/>
          <w:sz w:val="15"/>
          <w:szCs w:val="15"/>
          <w:b w:val="1"/>
          <w:bCs w:val="1"/>
          <w:color w:val="auto"/>
        </w:rPr>
        <w:t>27-3201111</w:t>
      </w:r>
    </w:p>
    <w:p>
      <w:pPr>
        <w:spacing w:after="0" w:line="42" w:lineRule="exact"/>
        <w:rPr>
          <w:sz w:val="24"/>
          <w:szCs w:val="24"/>
          <w:color w:val="auto"/>
        </w:rPr>
      </w:pPr>
    </w:p>
    <w:p>
      <w:pPr>
        <w:sectPr>
          <w:pgSz w:w="11900" w:h="16838" w:orient="portrait"/>
          <w:cols w:equalWidth="0" w:num="2">
            <w:col w:w="7480" w:space="720"/>
            <w:col w:w="3220"/>
          </w:cols>
          <w:pgMar w:left="240" w:top="395" w:right="239" w:bottom="1440" w:gutter="0" w:footer="0" w:header="0"/>
          <w:type w:val="continuous"/>
        </w:sectPr>
      </w:pPr>
    </w:p>
    <w:p>
      <w:pPr>
        <w:spacing w:after="0" w:line="12" w:lineRule="exact"/>
        <w:rPr>
          <w:sz w:val="24"/>
          <w:szCs w:val="24"/>
          <w:color w:val="auto"/>
        </w:rPr>
      </w:pPr>
    </w:p>
    <w:p>
      <w:pPr>
        <w:jc w:val="center"/>
        <w:ind w:right="1720"/>
        <w:spacing w:after="0"/>
        <w:rPr>
          <w:sz w:val="20"/>
          <w:szCs w:val="20"/>
          <w:color w:val="auto"/>
        </w:rPr>
      </w:pPr>
      <w:r>
        <w:rPr>
          <w:rFonts w:ascii="Arial" w:cs="Arial" w:eastAsia="Arial" w:hAnsi="Arial"/>
          <w:sz w:val="13"/>
          <w:szCs w:val="13"/>
          <w:b w:val="1"/>
          <w:bCs w:val="1"/>
          <w:color w:val="auto"/>
        </w:rPr>
        <w:t>(State or other Jurisdiction of</w:t>
      </w:r>
    </w:p>
    <w:p>
      <w:pPr>
        <w:jc w:val="center"/>
        <w:ind w:right="1720"/>
        <w:spacing w:after="0"/>
        <w:rPr>
          <w:sz w:val="20"/>
          <w:szCs w:val="20"/>
          <w:color w:val="auto"/>
        </w:rPr>
      </w:pPr>
      <w:r>
        <w:rPr>
          <w:rFonts w:ascii="Arial" w:cs="Arial" w:eastAsia="Arial" w:hAnsi="Arial"/>
          <w:sz w:val="13"/>
          <w:szCs w:val="13"/>
          <w:b w:val="1"/>
          <w:bCs w:val="1"/>
          <w:color w:val="auto"/>
        </w:rPr>
        <w:t>Incorporation or Organization)</w:t>
      </w:r>
    </w:p>
    <w:p>
      <w:pPr>
        <w:spacing w:after="0" w:line="20" w:lineRule="exact"/>
        <w:rPr>
          <w:sz w:val="24"/>
          <w:szCs w:val="24"/>
          <w:color w:val="auto"/>
        </w:rPr>
      </w:pPr>
      <w:r>
        <w:rPr>
          <w:sz w:val="24"/>
          <w:szCs w:val="24"/>
          <w:color w:val="auto"/>
        </w:rPr>
        <w:br w:type="column"/>
      </w:r>
    </w:p>
    <w:p>
      <w:pPr>
        <w:ind w:left="40"/>
        <w:spacing w:after="0"/>
        <w:rPr>
          <w:sz w:val="20"/>
          <w:szCs w:val="20"/>
          <w:color w:val="auto"/>
        </w:rPr>
      </w:pPr>
      <w:r>
        <w:rPr>
          <w:rFonts w:ascii="Arial" w:cs="Arial" w:eastAsia="Arial" w:hAnsi="Arial"/>
          <w:sz w:val="14"/>
          <w:szCs w:val="14"/>
          <w:b w:val="1"/>
          <w:bCs w:val="1"/>
          <w:color w:val="auto"/>
        </w:rPr>
        <w:t>(I.R.S. Employer</w:t>
      </w:r>
    </w:p>
    <w:p>
      <w:pPr>
        <w:spacing w:after="0"/>
        <w:rPr>
          <w:sz w:val="20"/>
          <w:szCs w:val="20"/>
          <w:color w:val="auto"/>
        </w:rPr>
      </w:pPr>
      <w:r>
        <w:rPr>
          <w:rFonts w:ascii="Arial" w:cs="Arial" w:eastAsia="Arial" w:hAnsi="Arial"/>
          <w:sz w:val="13"/>
          <w:szCs w:val="13"/>
          <w:b w:val="1"/>
          <w:bCs w:val="1"/>
          <w:color w:val="auto"/>
        </w:rPr>
        <w:t>Identification No.)</w:t>
      </w:r>
    </w:p>
    <w:p>
      <w:pPr>
        <w:spacing w:after="0" w:line="95" w:lineRule="exact"/>
        <w:rPr>
          <w:sz w:val="24"/>
          <w:szCs w:val="24"/>
          <w:color w:val="auto"/>
        </w:rPr>
      </w:pPr>
    </w:p>
    <w:p>
      <w:pPr>
        <w:sectPr>
          <w:pgSz w:w="11900" w:h="16838" w:orient="portrait"/>
          <w:cols w:equalWidth="0" w:num="2">
            <w:col w:w="7340" w:space="720"/>
            <w:col w:w="3360"/>
          </w:cols>
          <w:pgMar w:left="240" w:top="395" w:right="239" w:bottom="1440" w:gutter="0" w:footer="0" w:header="0"/>
          <w:type w:val="continuous"/>
        </w:sectPr>
      </w:pPr>
    </w:p>
    <w:p>
      <w:pPr>
        <w:jc w:val="center"/>
        <w:ind w:right="-19"/>
        <w:spacing w:after="0"/>
        <w:rPr>
          <w:sz w:val="20"/>
          <w:szCs w:val="20"/>
          <w:color w:val="auto"/>
        </w:rPr>
      </w:pPr>
      <w:r>
        <w:rPr>
          <w:rFonts w:ascii="Arial" w:cs="Arial" w:eastAsia="Arial" w:hAnsi="Arial"/>
          <w:sz w:val="18"/>
          <w:szCs w:val="18"/>
          <w:b w:val="1"/>
          <w:bCs w:val="1"/>
          <w:color w:val="auto"/>
        </w:rPr>
        <w:t>19540 Jamboree Road, Suite 300</w:t>
      </w:r>
    </w:p>
    <w:p>
      <w:pPr>
        <w:spacing w:after="0" w:line="27"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Irvine, California 92612</w:t>
      </w:r>
    </w:p>
    <w:p>
      <w:pPr>
        <w:spacing w:after="0" w:line="2" w:lineRule="exact"/>
        <w:rPr>
          <w:sz w:val="24"/>
          <w:szCs w:val="24"/>
          <w:color w:val="auto"/>
        </w:rPr>
      </w:pPr>
    </w:p>
    <w:p>
      <w:pPr>
        <w:jc w:val="center"/>
        <w:ind w:right="-19"/>
        <w:spacing w:after="0"/>
        <w:rPr>
          <w:sz w:val="20"/>
          <w:szCs w:val="20"/>
          <w:color w:val="auto"/>
        </w:rPr>
      </w:pPr>
      <w:r>
        <w:rPr>
          <w:rFonts w:ascii="Arial" w:cs="Arial" w:eastAsia="Arial" w:hAnsi="Arial"/>
          <w:sz w:val="12"/>
          <w:szCs w:val="12"/>
          <w:b w:val="1"/>
          <w:bCs w:val="1"/>
          <w:color w:val="auto"/>
        </w:rPr>
        <w:t>(Address of principal executive offices) (Zip Code)</w:t>
      </w:r>
    </w:p>
    <w:p>
      <w:pPr>
        <w:sectPr>
          <w:pgSz w:w="11900" w:h="16838" w:orient="portrait"/>
          <w:cols w:equalWidth="0" w:num="1">
            <w:col w:w="11420"/>
          </w:cols>
          <w:pgMar w:left="240" w:top="395" w:right="239" w:bottom="1440" w:gutter="0" w:footer="0" w:header="0"/>
          <w:type w:val="continuous"/>
        </w:sectPr>
      </w:pPr>
    </w:p>
    <w:p>
      <w:pPr>
        <w:spacing w:after="0" w:line="107"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Registrant’s telephone number, including area code (949) 438-1400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2903855</wp:posOffset>
            </wp:positionH>
            <wp:positionV relativeFrom="paragraph">
              <wp:posOffset>111760</wp:posOffset>
            </wp:positionV>
            <wp:extent cx="1449070"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1449070" cy="8890"/>
                    </a:xfrm>
                    <a:prstGeom prst="rect">
                      <a:avLst/>
                    </a:prstGeom>
                    <a:noFill/>
                  </pic:spPr>
                </pic:pic>
              </a:graphicData>
            </a:graphic>
          </wp:anchor>
        </w:drawing>
      </w:r>
    </w:p>
    <w:p>
      <w:pPr>
        <w:spacing w:after="0" w:line="263" w:lineRule="exact"/>
        <w:rPr>
          <w:sz w:val="24"/>
          <w:szCs w:val="24"/>
          <w:color w:val="auto"/>
        </w:rPr>
      </w:pPr>
    </w:p>
    <w:p>
      <w:pPr>
        <w:jc w:val="both"/>
        <w:ind w:right="240" w:firstLine="518"/>
        <w:spacing w:after="0" w:line="227" w:lineRule="exact"/>
        <w:rPr>
          <w:sz w:val="20"/>
          <w:szCs w:val="20"/>
          <w:color w:val="auto"/>
        </w:rPr>
      </w:pPr>
      <w:r>
        <w:rPr>
          <w:rFonts w:ascii="Arial" w:cs="Arial" w:eastAsia="Arial" w:hAnsi="Arial"/>
          <w:sz w:val="18"/>
          <w:szCs w:val="18"/>
          <w:color w:val="auto"/>
        </w:rPr>
        <w:t xml:space="preserve">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 Yes </w:t>
      </w:r>
      <w:r>
        <w:rPr>
          <w:rFonts w:ascii="MS PGothic" w:cs="MS PGothic" w:eastAsia="MS PGothic" w:hAnsi="MS PGothic"/>
          <w:sz w:val="18"/>
          <w:szCs w:val="18"/>
          <w:color w:val="auto"/>
        </w:rPr>
        <w:t>☒</w:t>
      </w:r>
      <w:r>
        <w:rPr>
          <w:rFonts w:ascii="Arial" w:cs="Arial" w:eastAsia="Arial" w:hAnsi="Arial"/>
          <w:sz w:val="18"/>
          <w:szCs w:val="18"/>
          <w:color w:val="auto"/>
        </w:rPr>
        <w:t xml:space="preserve"> No </w:t>
      </w:r>
      <w:r>
        <w:rPr>
          <w:rFonts w:ascii="MS PGothic" w:cs="MS PGothic" w:eastAsia="MS PGothic" w:hAnsi="MS PGothic"/>
          <w:sz w:val="18"/>
          <w:szCs w:val="18"/>
          <w:color w:val="auto"/>
        </w:rPr>
        <w:t>☐</w:t>
      </w:r>
    </w:p>
    <w:p>
      <w:pPr>
        <w:spacing w:after="0" w:line="76" w:lineRule="exact"/>
        <w:rPr>
          <w:sz w:val="24"/>
          <w:szCs w:val="24"/>
          <w:color w:val="auto"/>
        </w:rPr>
      </w:pPr>
    </w:p>
    <w:p>
      <w:pPr>
        <w:ind w:right="220" w:firstLine="518"/>
        <w:spacing w:after="0" w:line="227" w:lineRule="exact"/>
        <w:rPr>
          <w:sz w:val="20"/>
          <w:szCs w:val="20"/>
          <w:color w:val="auto"/>
        </w:rPr>
      </w:pPr>
      <w:r>
        <w:rPr>
          <w:rFonts w:ascii="Arial" w:cs="Arial" w:eastAsia="Arial" w:hAnsi="Arial"/>
          <w:sz w:val="18"/>
          <w:szCs w:val="18"/>
          <w:color w:val="auto"/>
        </w:rPr>
        <w:t xml:space="preserve">Indicate by check mark whether the registrant has submitted electronically and posted on its corporate Web site, if any, every Interactive Data File required to be submitted and posted pursuant to Rule 405 of Regulation S-T (§ 232.405 of this chapter) during the preceding 12 months (or for such shorter period that the registrant was required to submit and post such files). Yes </w:t>
      </w:r>
      <w:r>
        <w:rPr>
          <w:rFonts w:ascii="MS PGothic" w:cs="MS PGothic" w:eastAsia="MS PGothic" w:hAnsi="MS PGothic"/>
          <w:sz w:val="18"/>
          <w:szCs w:val="18"/>
          <w:color w:val="auto"/>
        </w:rPr>
        <w:t>☒</w:t>
      </w:r>
      <w:r>
        <w:rPr>
          <w:rFonts w:ascii="Arial" w:cs="Arial" w:eastAsia="Arial" w:hAnsi="Arial"/>
          <w:sz w:val="18"/>
          <w:szCs w:val="18"/>
          <w:color w:val="auto"/>
        </w:rPr>
        <w:t xml:space="preserve"> No </w:t>
      </w:r>
      <w:r>
        <w:rPr>
          <w:rFonts w:ascii="MS PGothic" w:cs="MS PGothic" w:eastAsia="MS PGothic" w:hAnsi="MS PGothic"/>
          <w:sz w:val="18"/>
          <w:szCs w:val="18"/>
          <w:color w:val="auto"/>
        </w:rPr>
        <w:t>☐</w:t>
      </w:r>
    </w:p>
    <w:p>
      <w:pPr>
        <w:spacing w:after="0" w:line="76" w:lineRule="exact"/>
        <w:rPr>
          <w:sz w:val="24"/>
          <w:szCs w:val="24"/>
          <w:color w:val="auto"/>
        </w:rPr>
      </w:pPr>
    </w:p>
    <w:p>
      <w:pPr>
        <w:ind w:left="520"/>
        <w:spacing w:after="0"/>
        <w:rPr>
          <w:sz w:val="20"/>
          <w:szCs w:val="20"/>
          <w:color w:val="auto"/>
        </w:rPr>
      </w:pPr>
      <w:r>
        <w:rPr>
          <w:rFonts w:ascii="Arial" w:cs="Arial" w:eastAsia="Arial" w:hAnsi="Arial"/>
          <w:sz w:val="16"/>
          <w:szCs w:val="16"/>
          <w:color w:val="auto"/>
        </w:rPr>
        <w:t>Indicate by check mark whether the registrant is a large accelerated filer, an accelerated filer, a non-accelerated filer, or a smaller reporting company.</w:t>
      </w:r>
    </w:p>
    <w:p>
      <w:pPr>
        <w:spacing w:after="0" w:line="46" w:lineRule="exact"/>
        <w:rPr>
          <w:sz w:val="24"/>
          <w:szCs w:val="24"/>
          <w:color w:val="auto"/>
        </w:rPr>
      </w:pPr>
    </w:p>
    <w:p>
      <w:pPr>
        <w:spacing w:after="0"/>
        <w:rPr>
          <w:sz w:val="20"/>
          <w:szCs w:val="20"/>
          <w:color w:val="auto"/>
        </w:rPr>
      </w:pPr>
      <w:r>
        <w:rPr>
          <w:rFonts w:ascii="Arial" w:cs="Arial" w:eastAsia="Arial" w:hAnsi="Arial"/>
          <w:sz w:val="18"/>
          <w:szCs w:val="18"/>
          <w:color w:val="auto"/>
        </w:rPr>
        <w:t>See the definitions of “large accelerated filer,” “accelerated filer” and “smaller reporting company” in Rule 12b-2 of the Exchange Act.</w:t>
      </w:r>
    </w:p>
    <w:p>
      <w:pPr>
        <w:spacing w:after="0" w:line="84" w:lineRule="exact"/>
        <w:rPr>
          <w:sz w:val="24"/>
          <w:szCs w:val="24"/>
          <w:color w:val="auto"/>
        </w:rPr>
      </w:pPr>
    </w:p>
    <w:tbl>
      <w:tblPr>
        <w:tblLayout w:type="fixed"/>
        <w:tblInd w:w="0" w:type="dxa"/>
        <w:tblCellMar>
          <w:top w:w="0" w:type="dxa"/>
          <w:left w:w="0" w:type="dxa"/>
          <w:bottom w:w="0" w:type="dxa"/>
          <w:right w:w="0" w:type="dxa"/>
        </w:tblCellMar>
      </w:tblPr>
      <w:tr>
        <w:trPr>
          <w:trHeight w:val="283"/>
        </w:trPr>
        <w:tc>
          <w:tcPr>
            <w:tcW w:w="1900" w:type="dxa"/>
            <w:vAlign w:val="bottom"/>
          </w:tcPr>
          <w:p>
            <w:pPr>
              <w:spacing w:after="0"/>
              <w:rPr>
                <w:sz w:val="20"/>
                <w:szCs w:val="20"/>
                <w:color w:val="auto"/>
              </w:rPr>
            </w:pPr>
            <w:r>
              <w:rPr>
                <w:rFonts w:ascii="Arial" w:cs="Arial" w:eastAsia="Arial" w:hAnsi="Arial"/>
                <w:sz w:val="18"/>
                <w:szCs w:val="18"/>
                <w:color w:val="auto"/>
              </w:rPr>
              <w:t>Large accelerated filer</w:t>
            </w:r>
          </w:p>
        </w:tc>
        <w:tc>
          <w:tcPr>
            <w:tcW w:w="5480" w:type="dxa"/>
            <w:vAlign w:val="bottom"/>
          </w:tcPr>
          <w:p>
            <w:pPr>
              <w:ind w:left="260"/>
              <w:spacing w:after="0" w:line="181" w:lineRule="exact"/>
              <w:rPr>
                <w:sz w:val="20"/>
                <w:szCs w:val="20"/>
                <w:color w:val="auto"/>
              </w:rPr>
            </w:pPr>
            <w:r>
              <w:rPr>
                <w:rFonts w:ascii="MS PGothic" w:cs="MS PGothic" w:eastAsia="MS PGothic" w:hAnsi="MS PGothic"/>
                <w:sz w:val="18"/>
                <w:szCs w:val="18"/>
                <w:color w:val="auto"/>
              </w:rPr>
              <w:t>☐</w:t>
            </w:r>
          </w:p>
        </w:tc>
        <w:tc>
          <w:tcPr>
            <w:tcW w:w="2460" w:type="dxa"/>
            <w:vAlign w:val="bottom"/>
          </w:tcPr>
          <w:p>
            <w:pPr>
              <w:ind w:left="1200"/>
              <w:spacing w:after="0"/>
              <w:rPr>
                <w:sz w:val="20"/>
                <w:szCs w:val="20"/>
                <w:color w:val="auto"/>
              </w:rPr>
            </w:pPr>
            <w:r>
              <w:rPr>
                <w:rFonts w:ascii="Arial" w:cs="Arial" w:eastAsia="Arial" w:hAnsi="Arial"/>
                <w:sz w:val="18"/>
                <w:szCs w:val="18"/>
                <w:color w:val="auto"/>
                <w:w w:val="96"/>
              </w:rPr>
              <w:t>Accelerated filer</w:t>
            </w:r>
          </w:p>
        </w:tc>
        <w:tc>
          <w:tcPr>
            <w:tcW w:w="1040" w:type="dxa"/>
            <w:vAlign w:val="bottom"/>
          </w:tcPr>
          <w:p>
            <w:pPr>
              <w:spacing w:after="0"/>
              <w:rPr>
                <w:sz w:val="24"/>
                <w:szCs w:val="24"/>
                <w:color w:val="auto"/>
              </w:rPr>
            </w:pPr>
          </w:p>
        </w:tc>
        <w:tc>
          <w:tcPr>
            <w:tcW w:w="540" w:type="dxa"/>
            <w:vAlign w:val="bottom"/>
          </w:tcPr>
          <w:p>
            <w:pPr>
              <w:ind w:left="320"/>
              <w:spacing w:after="0" w:line="181" w:lineRule="exact"/>
              <w:rPr>
                <w:sz w:val="20"/>
                <w:szCs w:val="20"/>
                <w:color w:val="auto"/>
              </w:rPr>
            </w:pPr>
            <w:r>
              <w:rPr>
                <w:rFonts w:ascii="MS PGothic" w:cs="MS PGothic" w:eastAsia="MS PGothic" w:hAnsi="MS PGothic"/>
                <w:sz w:val="18"/>
                <w:szCs w:val="18"/>
                <w:color w:val="auto"/>
              </w:rPr>
              <w:t>☒</w:t>
            </w:r>
          </w:p>
        </w:tc>
      </w:tr>
      <w:tr>
        <w:trPr>
          <w:trHeight w:val="338"/>
        </w:trPr>
        <w:tc>
          <w:tcPr>
            <w:tcW w:w="1900" w:type="dxa"/>
            <w:vAlign w:val="bottom"/>
          </w:tcPr>
          <w:p>
            <w:pPr>
              <w:spacing w:after="0"/>
              <w:rPr>
                <w:sz w:val="20"/>
                <w:szCs w:val="20"/>
                <w:color w:val="auto"/>
              </w:rPr>
            </w:pPr>
            <w:r>
              <w:rPr>
                <w:rFonts w:ascii="Arial" w:cs="Arial" w:eastAsia="Arial" w:hAnsi="Arial"/>
                <w:sz w:val="18"/>
                <w:szCs w:val="18"/>
                <w:color w:val="auto"/>
              </w:rPr>
              <w:t>Non-accelerated filer</w:t>
            </w:r>
          </w:p>
        </w:tc>
        <w:tc>
          <w:tcPr>
            <w:tcW w:w="5480" w:type="dxa"/>
            <w:vAlign w:val="bottom"/>
          </w:tcPr>
          <w:p>
            <w:pPr>
              <w:ind w:left="260"/>
              <w:spacing w:after="0" w:line="207" w:lineRule="exact"/>
              <w:rPr>
                <w:sz w:val="20"/>
                <w:szCs w:val="20"/>
                <w:color w:val="auto"/>
              </w:rPr>
            </w:pPr>
            <w:r>
              <w:rPr>
                <w:rFonts w:ascii="MS PGothic" w:cs="MS PGothic" w:eastAsia="MS PGothic" w:hAnsi="MS PGothic"/>
                <w:sz w:val="18"/>
                <w:szCs w:val="18"/>
                <w:color w:val="auto"/>
              </w:rPr>
              <w:t>☐</w:t>
            </w:r>
            <w:r>
              <w:rPr>
                <w:rFonts w:ascii="Arial" w:cs="Arial" w:eastAsia="Arial" w:hAnsi="Arial"/>
                <w:sz w:val="18"/>
                <w:szCs w:val="18"/>
                <w:b w:val="1"/>
                <w:bCs w:val="1"/>
                <w:color w:val="auto"/>
              </w:rPr>
              <w:t xml:space="preserve"> (Do not check if a smaller reporting company)</w:t>
            </w:r>
          </w:p>
        </w:tc>
        <w:tc>
          <w:tcPr>
            <w:tcW w:w="3500" w:type="dxa"/>
            <w:vAlign w:val="bottom"/>
            <w:gridSpan w:val="2"/>
          </w:tcPr>
          <w:p>
            <w:pPr>
              <w:ind w:left="1200"/>
              <w:spacing w:after="0"/>
              <w:rPr>
                <w:sz w:val="20"/>
                <w:szCs w:val="20"/>
                <w:color w:val="auto"/>
              </w:rPr>
            </w:pPr>
            <w:r>
              <w:rPr>
                <w:rFonts w:ascii="Arial" w:cs="Arial" w:eastAsia="Arial" w:hAnsi="Arial"/>
                <w:sz w:val="18"/>
                <w:szCs w:val="18"/>
                <w:color w:val="auto"/>
              </w:rPr>
              <w:t>Smaller reporting company</w:t>
            </w:r>
          </w:p>
        </w:tc>
        <w:tc>
          <w:tcPr>
            <w:tcW w:w="540" w:type="dxa"/>
            <w:vAlign w:val="bottom"/>
          </w:tcPr>
          <w:p>
            <w:pPr>
              <w:ind w:left="320"/>
              <w:spacing w:after="0" w:line="181" w:lineRule="exact"/>
              <w:rPr>
                <w:sz w:val="20"/>
                <w:szCs w:val="20"/>
                <w:color w:val="auto"/>
              </w:rPr>
            </w:pPr>
            <w:r>
              <w:rPr>
                <w:rFonts w:ascii="MS PGothic" w:cs="MS PGothic" w:eastAsia="MS PGothic" w:hAnsi="MS PGothic"/>
                <w:sz w:val="18"/>
                <w:szCs w:val="18"/>
                <w:color w:val="auto"/>
              </w:rPr>
              <w:t>☐</w:t>
            </w:r>
          </w:p>
        </w:tc>
      </w:tr>
      <w:tr>
        <w:trPr>
          <w:trHeight w:val="324"/>
        </w:trPr>
        <w:tc>
          <w:tcPr>
            <w:tcW w:w="9840" w:type="dxa"/>
            <w:vAlign w:val="bottom"/>
            <w:gridSpan w:val="3"/>
          </w:tcPr>
          <w:p>
            <w:pPr>
              <w:ind w:left="520"/>
              <w:spacing w:after="0" w:line="207" w:lineRule="exact"/>
              <w:rPr>
                <w:sz w:val="20"/>
                <w:szCs w:val="20"/>
                <w:color w:val="auto"/>
              </w:rPr>
            </w:pPr>
            <w:r>
              <w:rPr>
                <w:rFonts w:ascii="Arial" w:cs="Arial" w:eastAsia="Arial" w:hAnsi="Arial"/>
                <w:sz w:val="18"/>
                <w:szCs w:val="18"/>
                <w:color w:val="auto"/>
                <w:w w:val="93"/>
              </w:rPr>
              <w:t xml:space="preserve">Indicate by check mark whether the registrant is a shell company (as defined in Rule 12b-2 of the Exchange Act).  Yes </w:t>
            </w:r>
            <w:r>
              <w:rPr>
                <w:rFonts w:ascii="MS PGothic" w:cs="MS PGothic" w:eastAsia="MS PGothic" w:hAnsi="MS PGothic"/>
                <w:sz w:val="18"/>
                <w:szCs w:val="18"/>
                <w:color w:val="auto"/>
                <w:w w:val="93"/>
              </w:rPr>
              <w:t>☐</w:t>
            </w:r>
            <w:r>
              <w:rPr>
                <w:rFonts w:ascii="Arial" w:cs="Arial" w:eastAsia="Arial" w:hAnsi="Arial"/>
                <w:sz w:val="18"/>
                <w:szCs w:val="18"/>
                <w:color w:val="auto"/>
                <w:w w:val="93"/>
              </w:rPr>
              <w:t xml:space="preserve"> No</w:t>
            </w:r>
          </w:p>
        </w:tc>
        <w:tc>
          <w:tcPr>
            <w:tcW w:w="1040" w:type="dxa"/>
            <w:vAlign w:val="bottom"/>
          </w:tcPr>
          <w:p>
            <w:pPr>
              <w:ind w:left="40"/>
              <w:spacing w:after="0" w:line="181" w:lineRule="exact"/>
              <w:rPr>
                <w:sz w:val="20"/>
                <w:szCs w:val="20"/>
                <w:color w:val="auto"/>
              </w:rPr>
            </w:pPr>
            <w:r>
              <w:rPr>
                <w:rFonts w:ascii="MS PGothic" w:cs="MS PGothic" w:eastAsia="MS PGothic" w:hAnsi="MS PGothic"/>
                <w:sz w:val="18"/>
                <w:szCs w:val="18"/>
                <w:color w:val="auto"/>
              </w:rPr>
              <w:t>☒</w:t>
            </w:r>
          </w:p>
        </w:tc>
        <w:tc>
          <w:tcPr>
            <w:tcW w:w="540" w:type="dxa"/>
            <w:vAlign w:val="bottom"/>
          </w:tcPr>
          <w:p>
            <w:pPr>
              <w:spacing w:after="0"/>
              <w:rPr>
                <w:sz w:val="24"/>
                <w:szCs w:val="24"/>
                <w:color w:val="auto"/>
              </w:rPr>
            </w:pPr>
          </w:p>
        </w:tc>
      </w:tr>
      <w:tr>
        <w:trPr>
          <w:trHeight w:val="304"/>
        </w:trPr>
        <w:tc>
          <w:tcPr>
            <w:tcW w:w="7380" w:type="dxa"/>
            <w:vAlign w:val="bottom"/>
            <w:gridSpan w:val="2"/>
          </w:tcPr>
          <w:p>
            <w:pPr>
              <w:ind w:left="520"/>
              <w:spacing w:after="0"/>
              <w:rPr>
                <w:sz w:val="20"/>
                <w:szCs w:val="20"/>
                <w:color w:val="auto"/>
              </w:rPr>
            </w:pPr>
            <w:r>
              <w:rPr>
                <w:rFonts w:ascii="Arial" w:cs="Arial" w:eastAsia="Arial" w:hAnsi="Arial"/>
                <w:sz w:val="18"/>
                <w:szCs w:val="18"/>
                <w:color w:val="auto"/>
              </w:rPr>
              <w:t>Registrant’s shares of common stock outstanding at May 1, 2015: 161,644,412</w:t>
            </w:r>
          </w:p>
        </w:tc>
        <w:tc>
          <w:tcPr>
            <w:tcW w:w="246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540" w:type="dxa"/>
            <w:vAlign w:val="bottom"/>
          </w:tcPr>
          <w:p>
            <w:pPr>
              <w:spacing w:after="0"/>
              <w:rPr>
                <w:sz w:val="24"/>
                <w:szCs w:val="24"/>
                <w:color w:val="auto"/>
              </w:rPr>
            </w:pPr>
          </w:p>
        </w:tc>
      </w:tr>
      <w:tr>
        <w:trPr>
          <w:trHeight w:val="162"/>
        </w:trPr>
        <w:tc>
          <w:tcPr>
            <w:tcW w:w="1900" w:type="dxa"/>
            <w:vAlign w:val="bottom"/>
            <w:tcBorders>
              <w:bottom w:val="single" w:sz="8" w:color="auto"/>
            </w:tcBorders>
          </w:tcPr>
          <w:p>
            <w:pPr>
              <w:spacing w:after="0"/>
              <w:rPr>
                <w:sz w:val="14"/>
                <w:szCs w:val="14"/>
                <w:color w:val="auto"/>
              </w:rPr>
            </w:pPr>
          </w:p>
        </w:tc>
        <w:tc>
          <w:tcPr>
            <w:tcW w:w="5480" w:type="dxa"/>
            <w:vAlign w:val="bottom"/>
            <w:tcBorders>
              <w:bottom w:val="single" w:sz="8" w:color="auto"/>
            </w:tcBorders>
          </w:tcPr>
          <w:p>
            <w:pPr>
              <w:spacing w:after="0"/>
              <w:rPr>
                <w:sz w:val="14"/>
                <w:szCs w:val="14"/>
                <w:color w:val="auto"/>
              </w:rPr>
            </w:pPr>
          </w:p>
        </w:tc>
        <w:tc>
          <w:tcPr>
            <w:tcW w:w="2460" w:type="dxa"/>
            <w:vAlign w:val="bottom"/>
            <w:tcBorders>
              <w:bottom w:val="single" w:sz="8" w:color="auto"/>
            </w:tcBorders>
          </w:tcPr>
          <w:p>
            <w:pPr>
              <w:spacing w:after="0"/>
              <w:rPr>
                <w:sz w:val="14"/>
                <w:szCs w:val="14"/>
                <w:color w:val="auto"/>
              </w:rPr>
            </w:pPr>
          </w:p>
        </w:tc>
        <w:tc>
          <w:tcPr>
            <w:tcW w:w="1040" w:type="dxa"/>
            <w:vAlign w:val="bottom"/>
            <w:tcBorders>
              <w:bottom w:val="single" w:sz="8" w:color="auto"/>
            </w:tcBorders>
          </w:tcPr>
          <w:p>
            <w:pPr>
              <w:spacing w:after="0"/>
              <w:rPr>
                <w:sz w:val="14"/>
                <w:szCs w:val="14"/>
                <w:color w:val="auto"/>
              </w:rPr>
            </w:pPr>
          </w:p>
        </w:tc>
        <w:tc>
          <w:tcPr>
            <w:tcW w:w="540" w:type="dxa"/>
            <w:vAlign w:val="bottom"/>
            <w:tcBorders>
              <w:bottom w:val="single" w:sz="8" w:color="auto"/>
            </w:tcBorders>
          </w:tcPr>
          <w:p>
            <w:pPr>
              <w:spacing w:after="0"/>
              <w:rPr>
                <w:sz w:val="14"/>
                <w:szCs w:val="14"/>
                <w:color w:val="auto"/>
              </w:rPr>
            </w:pPr>
          </w:p>
        </w:tc>
      </w:tr>
      <w:tr>
        <w:trPr>
          <w:trHeight w:val="20"/>
        </w:trPr>
        <w:tc>
          <w:tcPr>
            <w:tcW w:w="1900" w:type="dxa"/>
            <w:vAlign w:val="bottom"/>
            <w:tcBorders>
              <w:bottom w:val="single" w:sz="8" w:color="auto"/>
            </w:tcBorders>
          </w:tcPr>
          <w:p>
            <w:pPr>
              <w:spacing w:after="0" w:line="20" w:lineRule="exact"/>
              <w:rPr>
                <w:sz w:val="1"/>
                <w:szCs w:val="1"/>
                <w:color w:val="auto"/>
              </w:rPr>
            </w:pPr>
          </w:p>
        </w:tc>
        <w:tc>
          <w:tcPr>
            <w:tcW w:w="5480" w:type="dxa"/>
            <w:vAlign w:val="bottom"/>
            <w:tcBorders>
              <w:bottom w:val="single" w:sz="8" w:color="auto"/>
            </w:tcBorders>
          </w:tcPr>
          <w:p>
            <w:pPr>
              <w:spacing w:after="0" w:line="20" w:lineRule="exact"/>
              <w:rPr>
                <w:sz w:val="1"/>
                <w:szCs w:val="1"/>
                <w:color w:val="auto"/>
              </w:rPr>
            </w:pPr>
          </w:p>
        </w:tc>
        <w:tc>
          <w:tcPr>
            <w:tcW w:w="246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r>
    </w:tbl>
    <w:p>
      <w:pPr>
        <w:sectPr>
          <w:pgSz w:w="11900" w:h="16838" w:orient="portrait"/>
          <w:cols w:equalWidth="0" w:num="1">
            <w:col w:w="11420"/>
          </w:cols>
          <w:pgMar w:left="240" w:top="395" w:right="239" w:bottom="1440" w:gutter="0" w:footer="0" w:header="0"/>
          <w:type w:val="continuous"/>
        </w:sectPr>
      </w:pPr>
    </w:p>
    <w:bookmarkStart w:id="1" w:name="page2"/>
    <w:bookmarkEnd w:id="1"/>
    <w:p>
      <w:pPr>
        <w:jc w:val="center"/>
        <w:spacing w:after="0"/>
        <w:rPr>
          <w:sz w:val="20"/>
          <w:szCs w:val="20"/>
          <w:color w:val="auto"/>
        </w:rPr>
      </w:pPr>
      <w:r>
        <w:rPr>
          <w:rFonts w:ascii="Arial" w:cs="Arial" w:eastAsia="Arial" w:hAnsi="Arial"/>
          <w:sz w:val="18"/>
          <w:szCs w:val="18"/>
          <w:b w:val="1"/>
          <w:bCs w:val="1"/>
          <w:color w:val="auto"/>
        </w:rPr>
        <w:t>TRI POINTE HOMES,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FORM 10-Q</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INDEX</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March 31, 2015</w:t>
      </w:r>
    </w:p>
    <w:p>
      <w:pPr>
        <w:spacing w:after="0" w:line="217"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11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48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14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04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96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720" w:type="dxa"/>
            <w:vAlign w:val="bottom"/>
            <w:gridSpan w:val="2"/>
          </w:tcPr>
          <w:p>
            <w:pPr>
              <w:jc w:val="right"/>
              <w:ind w:right="320"/>
              <w:spacing w:after="0"/>
              <w:rPr>
                <w:sz w:val="20"/>
                <w:szCs w:val="20"/>
                <w:color w:val="auto"/>
              </w:rPr>
            </w:pPr>
            <w:r>
              <w:rPr>
                <w:rFonts w:ascii="Arial" w:cs="Arial" w:eastAsia="Arial" w:hAnsi="Arial"/>
                <w:sz w:val="14"/>
                <w:szCs w:val="14"/>
                <w:b w:val="1"/>
                <w:bCs w:val="1"/>
                <w:color w:val="auto"/>
              </w:rPr>
              <w:t>Page</w:t>
            </w:r>
          </w:p>
        </w:tc>
        <w:tc>
          <w:tcPr>
            <w:tcW w:w="0" w:type="dxa"/>
            <w:vAlign w:val="bottom"/>
          </w:tcPr>
          <w:p>
            <w:pPr>
              <w:spacing w:after="0"/>
              <w:rPr>
                <w:sz w:val="1"/>
                <w:szCs w:val="1"/>
                <w:color w:val="auto"/>
              </w:rPr>
            </w:pPr>
          </w:p>
        </w:tc>
      </w:tr>
      <w:tr>
        <w:trPr>
          <w:trHeight w:val="158"/>
        </w:trPr>
        <w:tc>
          <w:tcPr>
            <w:tcW w:w="3120" w:type="dxa"/>
            <w:vAlign w:val="bottom"/>
            <w:gridSpan w:val="11"/>
            <w:vMerge w:val="restart"/>
          </w:tcPr>
          <w:p>
            <w:pPr>
              <w:spacing w:after="0"/>
              <w:rPr>
                <w:rFonts w:ascii="Arial" w:cs="Arial" w:eastAsia="Arial" w:hAnsi="Arial"/>
                <w:sz w:val="18"/>
                <w:szCs w:val="18"/>
                <w:b w:val="1"/>
                <w:bCs w:val="1"/>
                <w:color w:val="0000EE"/>
              </w:rPr>
            </w:pPr>
            <w:hyperlink w:anchor="page3">
              <w:r>
                <w:rPr>
                  <w:rFonts w:ascii="Arial" w:cs="Arial" w:eastAsia="Arial" w:hAnsi="Arial"/>
                  <w:sz w:val="18"/>
                  <w:szCs w:val="18"/>
                  <w:b w:val="1"/>
                  <w:bCs w:val="1"/>
                  <w:color w:val="0000EE"/>
                </w:rPr>
                <w:t>PART I. FINANCIAL INFORMATION</w:t>
              </w:r>
            </w:hyperlink>
          </w:p>
        </w:tc>
        <w:tc>
          <w:tcPr>
            <w:tcW w:w="7580" w:type="dxa"/>
            <w:vAlign w:val="bottom"/>
            <w:gridSpan w:val="8"/>
            <w:vMerge w:val="restart"/>
          </w:tcPr>
          <w:p>
            <w:pPr>
              <w:spacing w:after="0"/>
              <w:rPr>
                <w:sz w:val="13"/>
                <w:szCs w:val="13"/>
                <w:color w:val="auto"/>
              </w:rPr>
            </w:pPr>
          </w:p>
        </w:tc>
        <w:tc>
          <w:tcPr>
            <w:tcW w:w="720" w:type="dxa"/>
            <w:vAlign w:val="bottom"/>
            <w:gridSpan w:val="2"/>
          </w:tcPr>
          <w:p>
            <w:pPr>
              <w:jc w:val="right"/>
              <w:ind w:right="220"/>
              <w:spacing w:after="0" w:line="158" w:lineRule="exact"/>
              <w:rPr>
                <w:sz w:val="20"/>
                <w:szCs w:val="20"/>
                <w:color w:val="auto"/>
              </w:rPr>
            </w:pPr>
            <w:r>
              <w:rPr>
                <w:rFonts w:ascii="Arial" w:cs="Arial" w:eastAsia="Arial" w:hAnsi="Arial"/>
                <w:sz w:val="14"/>
                <w:szCs w:val="14"/>
                <w:b w:val="1"/>
                <w:bCs w:val="1"/>
                <w:color w:val="auto"/>
                <w:w w:val="90"/>
              </w:rPr>
              <w:t>Number</w:t>
            </w:r>
          </w:p>
        </w:tc>
        <w:tc>
          <w:tcPr>
            <w:tcW w:w="0" w:type="dxa"/>
            <w:vAlign w:val="bottom"/>
          </w:tcPr>
          <w:p>
            <w:pPr>
              <w:spacing w:after="0"/>
              <w:rPr>
                <w:sz w:val="1"/>
                <w:szCs w:val="1"/>
                <w:color w:val="auto"/>
              </w:rPr>
            </w:pPr>
          </w:p>
        </w:tc>
      </w:tr>
      <w:tr>
        <w:trPr>
          <w:trHeight w:val="174"/>
        </w:trPr>
        <w:tc>
          <w:tcPr>
            <w:tcW w:w="3120" w:type="dxa"/>
            <w:vAlign w:val="bottom"/>
            <w:tcBorders>
              <w:bottom w:val="single" w:sz="8" w:color="0000EE"/>
            </w:tcBorders>
            <w:gridSpan w:val="11"/>
            <w:vMerge w:val="continue"/>
          </w:tcPr>
          <w:p>
            <w:pPr>
              <w:spacing w:after="0"/>
              <w:rPr>
                <w:sz w:val="14"/>
                <w:szCs w:val="14"/>
                <w:color w:val="auto"/>
              </w:rPr>
            </w:pPr>
          </w:p>
        </w:tc>
        <w:tc>
          <w:tcPr>
            <w:tcW w:w="7580" w:type="dxa"/>
            <w:vAlign w:val="bottom"/>
            <w:gridSpan w:val="8"/>
            <w:vMerge w:val="continue"/>
          </w:tcPr>
          <w:p>
            <w:pPr>
              <w:spacing w:after="0"/>
              <w:rPr>
                <w:sz w:val="14"/>
                <w:szCs w:val="14"/>
                <w:color w:val="auto"/>
              </w:rPr>
            </w:pPr>
          </w:p>
        </w:tc>
        <w:tc>
          <w:tcPr>
            <w:tcW w:w="500" w:type="dxa"/>
            <w:vAlign w:val="bottom"/>
            <w:tcBorders>
              <w:top w:val="single" w:sz="8" w:color="auto"/>
            </w:tcBorders>
          </w:tcPr>
          <w:p>
            <w:pPr>
              <w:spacing w:after="0"/>
              <w:rPr>
                <w:sz w:val="14"/>
                <w:szCs w:val="14"/>
                <w:color w:val="auto"/>
              </w:rPr>
            </w:pPr>
          </w:p>
        </w:tc>
        <w:tc>
          <w:tcPr>
            <w:tcW w:w="2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412"/>
        </w:trPr>
        <w:tc>
          <w:tcPr>
            <w:tcW w:w="1260" w:type="dxa"/>
            <w:vAlign w:val="bottom"/>
            <w:gridSpan w:val="2"/>
          </w:tcPr>
          <w:p>
            <w:pPr>
              <w:ind w:left="260"/>
              <w:spacing w:after="0"/>
              <w:rPr>
                <w:sz w:val="20"/>
                <w:szCs w:val="20"/>
                <w:color w:val="auto"/>
              </w:rPr>
            </w:pPr>
            <w:r>
              <w:rPr>
                <w:rFonts w:ascii="Arial" w:cs="Arial" w:eastAsia="Arial" w:hAnsi="Arial"/>
                <w:sz w:val="18"/>
                <w:szCs w:val="18"/>
                <w:color w:val="auto"/>
              </w:rPr>
              <w:t>Item 1.</w:t>
            </w:r>
          </w:p>
        </w:tc>
        <w:tc>
          <w:tcPr>
            <w:tcW w:w="1500" w:type="dxa"/>
            <w:vAlign w:val="bottom"/>
            <w:tcBorders>
              <w:bottom w:val="single" w:sz="8" w:color="0000EE"/>
            </w:tcBorders>
            <w:gridSpan w:val="7"/>
          </w:tcPr>
          <w:p>
            <w:pPr>
              <w:spacing w:after="0"/>
              <w:rPr>
                <w:rFonts w:ascii="Arial" w:cs="Arial" w:eastAsia="Arial" w:hAnsi="Arial"/>
                <w:sz w:val="18"/>
                <w:szCs w:val="18"/>
                <w:color w:val="0000EE"/>
                <w:w w:val="88"/>
              </w:rPr>
            </w:pPr>
            <w:hyperlink w:anchor="page3">
              <w:r>
                <w:rPr>
                  <w:rFonts w:ascii="Arial" w:cs="Arial" w:eastAsia="Arial" w:hAnsi="Arial"/>
                  <w:sz w:val="18"/>
                  <w:szCs w:val="18"/>
                  <w:color w:val="0000EE"/>
                  <w:w w:val="88"/>
                </w:rPr>
                <w:t>Financial Statements</w:t>
              </w:r>
            </w:hyperlink>
          </w:p>
        </w:tc>
        <w:tc>
          <w:tcPr>
            <w:tcW w:w="7940" w:type="dxa"/>
            <w:vAlign w:val="bottom"/>
            <w:gridSpan w:val="10"/>
          </w:tcPr>
          <w:p>
            <w:pPr>
              <w:spacing w:after="0"/>
              <w:rPr>
                <w:sz w:val="24"/>
                <w:szCs w:val="24"/>
                <w:color w:val="auto"/>
              </w:rPr>
            </w:pPr>
          </w:p>
        </w:tc>
        <w:tc>
          <w:tcPr>
            <w:tcW w:w="720" w:type="dxa"/>
            <w:vAlign w:val="bottom"/>
            <w:gridSpan w:val="2"/>
          </w:tcPr>
          <w:p>
            <w:pPr>
              <w:jc w:val="right"/>
              <w:spacing w:after="0"/>
              <w:rPr>
                <w:sz w:val="20"/>
                <w:szCs w:val="20"/>
                <w:color w:val="auto"/>
              </w:rPr>
            </w:pPr>
            <w:r>
              <w:rPr>
                <w:rFonts w:ascii="Arial" w:cs="Arial" w:eastAsia="Arial" w:hAnsi="Arial"/>
                <w:sz w:val="18"/>
                <w:szCs w:val="18"/>
                <w:color w:val="auto"/>
              </w:rPr>
              <w:t>3</w:t>
            </w:r>
          </w:p>
        </w:tc>
        <w:tc>
          <w:tcPr>
            <w:tcW w:w="0" w:type="dxa"/>
            <w:vAlign w:val="bottom"/>
          </w:tcPr>
          <w:p>
            <w:pPr>
              <w:spacing w:after="0"/>
              <w:rPr>
                <w:sz w:val="1"/>
                <w:szCs w:val="1"/>
                <w:color w:val="auto"/>
              </w:rPr>
            </w:pPr>
          </w:p>
        </w:tc>
      </w:tr>
      <w:tr>
        <w:trPr>
          <w:trHeight w:val="412"/>
        </w:trPr>
        <w:tc>
          <w:tcPr>
            <w:tcW w:w="1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300" w:type="dxa"/>
            <w:vAlign w:val="bottom"/>
            <w:tcBorders>
              <w:bottom w:val="single" w:sz="8" w:color="0000EE"/>
            </w:tcBorders>
            <w:gridSpan w:val="12"/>
          </w:tcPr>
          <w:p>
            <w:pPr>
              <w:spacing w:after="0"/>
              <w:rPr>
                <w:rFonts w:ascii="Arial" w:cs="Arial" w:eastAsia="Arial" w:hAnsi="Arial"/>
                <w:sz w:val="18"/>
                <w:szCs w:val="18"/>
                <w:color w:val="0000EE"/>
                <w:w w:val="89"/>
              </w:rPr>
            </w:pPr>
            <w:hyperlink w:anchor="page3">
              <w:r>
                <w:rPr>
                  <w:rFonts w:ascii="Arial" w:cs="Arial" w:eastAsia="Arial" w:hAnsi="Arial"/>
                  <w:sz w:val="18"/>
                  <w:szCs w:val="18"/>
                  <w:color w:val="0000EE"/>
                  <w:w w:val="89"/>
                </w:rPr>
                <w:t>Consolidated Balance Sheets as of March 31, 2015 (unaudited) and December 31, 2014</w:t>
              </w:r>
            </w:hyperlink>
          </w:p>
        </w:tc>
        <w:tc>
          <w:tcPr>
            <w:tcW w:w="3140" w:type="dxa"/>
            <w:vAlign w:val="bottom"/>
            <w:gridSpan w:val="5"/>
          </w:tcPr>
          <w:p>
            <w:pPr>
              <w:spacing w:after="0"/>
              <w:rPr>
                <w:sz w:val="24"/>
                <w:szCs w:val="24"/>
                <w:color w:val="auto"/>
              </w:rPr>
            </w:pPr>
          </w:p>
        </w:tc>
        <w:tc>
          <w:tcPr>
            <w:tcW w:w="720" w:type="dxa"/>
            <w:vAlign w:val="bottom"/>
            <w:gridSpan w:val="2"/>
          </w:tcPr>
          <w:p>
            <w:pPr>
              <w:jc w:val="right"/>
              <w:spacing w:after="0"/>
              <w:rPr>
                <w:sz w:val="20"/>
                <w:szCs w:val="20"/>
                <w:color w:val="auto"/>
              </w:rPr>
            </w:pPr>
            <w:r>
              <w:rPr>
                <w:rFonts w:ascii="Arial" w:cs="Arial" w:eastAsia="Arial" w:hAnsi="Arial"/>
                <w:sz w:val="18"/>
                <w:szCs w:val="18"/>
                <w:color w:val="auto"/>
              </w:rPr>
              <w:t>3</w:t>
            </w:r>
          </w:p>
        </w:tc>
        <w:tc>
          <w:tcPr>
            <w:tcW w:w="0" w:type="dxa"/>
            <w:vAlign w:val="bottom"/>
          </w:tcPr>
          <w:p>
            <w:pPr>
              <w:spacing w:after="0"/>
              <w:rPr>
                <w:sz w:val="1"/>
                <w:szCs w:val="1"/>
                <w:color w:val="auto"/>
              </w:rPr>
            </w:pPr>
          </w:p>
        </w:tc>
      </w:tr>
      <w:tr>
        <w:trPr>
          <w:trHeight w:val="412"/>
        </w:trPr>
        <w:tc>
          <w:tcPr>
            <w:tcW w:w="1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9440" w:type="dxa"/>
            <w:vAlign w:val="bottom"/>
            <w:gridSpan w:val="17"/>
          </w:tcPr>
          <w:p>
            <w:pPr>
              <w:spacing w:after="0"/>
              <w:rPr>
                <w:rFonts w:ascii="Arial" w:cs="Arial" w:eastAsia="Arial" w:hAnsi="Arial"/>
                <w:sz w:val="18"/>
                <w:szCs w:val="18"/>
                <w:color w:val="0000EE"/>
              </w:rPr>
            </w:pPr>
            <w:hyperlink w:anchor="page4">
              <w:r>
                <w:rPr>
                  <w:rFonts w:ascii="Arial" w:cs="Arial" w:eastAsia="Arial" w:hAnsi="Arial"/>
                  <w:sz w:val="18"/>
                  <w:szCs w:val="18"/>
                  <w:color w:val="0000EE"/>
                </w:rPr>
                <w:t>Consolidated Statements of Operations for the Three Months Ended March 31, 2015 and 2014 (unaudited)</w:t>
              </w:r>
            </w:hyperlink>
          </w:p>
        </w:tc>
        <w:tc>
          <w:tcPr>
            <w:tcW w:w="720" w:type="dxa"/>
            <w:vAlign w:val="bottom"/>
            <w:gridSpan w:val="2"/>
          </w:tcPr>
          <w:p>
            <w:pPr>
              <w:jc w:val="right"/>
              <w:spacing w:after="0"/>
              <w:rPr>
                <w:sz w:val="20"/>
                <w:szCs w:val="20"/>
                <w:color w:val="auto"/>
              </w:rPr>
            </w:pPr>
            <w:r>
              <w:rPr>
                <w:rFonts w:ascii="Arial" w:cs="Arial" w:eastAsia="Arial" w:hAnsi="Arial"/>
                <w:sz w:val="18"/>
                <w:szCs w:val="18"/>
                <w:color w:val="auto"/>
              </w:rPr>
              <w:t>4</w:t>
            </w:r>
          </w:p>
        </w:tc>
        <w:tc>
          <w:tcPr>
            <w:tcW w:w="0" w:type="dxa"/>
            <w:vAlign w:val="bottom"/>
          </w:tcPr>
          <w:p>
            <w:pPr>
              <w:spacing w:after="0"/>
              <w:rPr>
                <w:sz w:val="1"/>
                <w:szCs w:val="1"/>
                <w:color w:val="auto"/>
              </w:rPr>
            </w:pPr>
          </w:p>
        </w:tc>
      </w:tr>
      <w:tr>
        <w:trPr>
          <w:trHeight w:val="20"/>
        </w:trPr>
        <w:tc>
          <w:tcPr>
            <w:tcW w:w="11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40" w:type="dxa"/>
            <w:vAlign w:val="bottom"/>
            <w:shd w:val="clear" w:color="auto" w:fill="0000EE"/>
          </w:tcPr>
          <w:p>
            <w:pPr>
              <w:spacing w:after="0" w:line="20" w:lineRule="exact"/>
              <w:rPr>
                <w:sz w:val="1"/>
                <w:szCs w:val="1"/>
                <w:color w:val="auto"/>
              </w:rPr>
            </w:pPr>
          </w:p>
        </w:tc>
        <w:tc>
          <w:tcPr>
            <w:tcW w:w="360" w:type="dxa"/>
            <w:vAlign w:val="bottom"/>
            <w:shd w:val="clear" w:color="auto" w:fill="0000EE"/>
          </w:tcPr>
          <w:p>
            <w:pPr>
              <w:spacing w:after="0" w:line="20" w:lineRule="exact"/>
              <w:rPr>
                <w:sz w:val="1"/>
                <w:szCs w:val="1"/>
                <w:color w:val="auto"/>
              </w:rPr>
            </w:pPr>
          </w:p>
        </w:tc>
        <w:tc>
          <w:tcPr>
            <w:tcW w:w="300" w:type="dxa"/>
            <w:vAlign w:val="bottom"/>
            <w:shd w:val="clear" w:color="auto" w:fill="0000EE"/>
          </w:tcPr>
          <w:p>
            <w:pPr>
              <w:spacing w:after="0" w:line="20" w:lineRule="exact"/>
              <w:rPr>
                <w:sz w:val="1"/>
                <w:szCs w:val="1"/>
                <w:color w:val="auto"/>
              </w:rPr>
            </w:pPr>
          </w:p>
        </w:tc>
        <w:tc>
          <w:tcPr>
            <w:tcW w:w="160" w:type="dxa"/>
            <w:vAlign w:val="bottom"/>
            <w:shd w:val="clear" w:color="auto" w:fill="0000EE"/>
          </w:tcPr>
          <w:p>
            <w:pPr>
              <w:spacing w:after="0" w:line="20" w:lineRule="exact"/>
              <w:rPr>
                <w:sz w:val="1"/>
                <w:szCs w:val="1"/>
                <w:color w:val="auto"/>
              </w:rPr>
            </w:pPr>
          </w:p>
        </w:tc>
        <w:tc>
          <w:tcPr>
            <w:tcW w:w="260" w:type="dxa"/>
            <w:vAlign w:val="bottom"/>
            <w:shd w:val="clear" w:color="auto" w:fill="0000EE"/>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340" w:type="dxa"/>
            <w:vAlign w:val="bottom"/>
            <w:gridSpan w:val="2"/>
            <w:shd w:val="clear" w:color="auto" w:fill="0000EE"/>
          </w:tcPr>
          <w:p>
            <w:pPr>
              <w:spacing w:after="0" w:line="20" w:lineRule="exact"/>
              <w:rPr>
                <w:sz w:val="1"/>
                <w:szCs w:val="1"/>
                <w:color w:val="auto"/>
              </w:rPr>
            </w:pPr>
          </w:p>
        </w:tc>
        <w:tc>
          <w:tcPr>
            <w:tcW w:w="2580" w:type="dxa"/>
            <w:vAlign w:val="bottom"/>
            <w:gridSpan w:val="2"/>
            <w:shd w:val="clear" w:color="auto" w:fill="0000EE"/>
          </w:tcPr>
          <w:p>
            <w:pPr>
              <w:spacing w:after="0" w:line="20" w:lineRule="exact"/>
              <w:rPr>
                <w:sz w:val="1"/>
                <w:szCs w:val="1"/>
                <w:color w:val="auto"/>
              </w:rPr>
            </w:pPr>
          </w:p>
        </w:tc>
        <w:tc>
          <w:tcPr>
            <w:tcW w:w="520" w:type="dxa"/>
            <w:vAlign w:val="bottom"/>
            <w:shd w:val="clear" w:color="auto" w:fill="0000EE"/>
          </w:tcPr>
          <w:p>
            <w:pPr>
              <w:spacing w:after="0" w:line="20" w:lineRule="exact"/>
              <w:rPr>
                <w:sz w:val="1"/>
                <w:szCs w:val="1"/>
                <w:color w:val="auto"/>
              </w:rPr>
            </w:pPr>
          </w:p>
        </w:tc>
        <w:tc>
          <w:tcPr>
            <w:tcW w:w="1580" w:type="dxa"/>
            <w:vAlign w:val="bottom"/>
            <w:gridSpan w:val="2"/>
            <w:shd w:val="clear" w:color="auto" w:fill="0000EE"/>
          </w:tcPr>
          <w:p>
            <w:pPr>
              <w:spacing w:after="0" w:line="20" w:lineRule="exact"/>
              <w:rPr>
                <w:sz w:val="1"/>
                <w:szCs w:val="1"/>
                <w:color w:val="auto"/>
              </w:rPr>
            </w:pPr>
          </w:p>
        </w:tc>
        <w:tc>
          <w:tcPr>
            <w:tcW w:w="1040" w:type="dxa"/>
            <w:vAlign w:val="bottom"/>
            <w:shd w:val="clear" w:color="auto" w:fill="0000EE"/>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96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12"/>
        </w:trPr>
        <w:tc>
          <w:tcPr>
            <w:tcW w:w="1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9440" w:type="dxa"/>
            <w:vAlign w:val="bottom"/>
            <w:gridSpan w:val="17"/>
          </w:tcPr>
          <w:p>
            <w:pPr>
              <w:spacing w:after="0"/>
              <w:rPr>
                <w:rFonts w:ascii="Arial" w:cs="Arial" w:eastAsia="Arial" w:hAnsi="Arial"/>
                <w:sz w:val="18"/>
                <w:szCs w:val="18"/>
                <w:color w:val="0000EE"/>
                <w:w w:val="97"/>
              </w:rPr>
            </w:pPr>
            <w:hyperlink w:anchor="page5">
              <w:r>
                <w:rPr>
                  <w:rFonts w:ascii="Arial" w:cs="Arial" w:eastAsia="Arial" w:hAnsi="Arial"/>
                  <w:sz w:val="18"/>
                  <w:szCs w:val="18"/>
                  <w:color w:val="0000EE"/>
                  <w:w w:val="97"/>
                </w:rPr>
                <w:t>Consolidated Statements of Equity for the Year Ended December 31, 2014 and the Three Months Ended March 31, 2015</w:t>
              </w:r>
            </w:hyperlink>
          </w:p>
        </w:tc>
        <w:tc>
          <w:tcPr>
            <w:tcW w:w="5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96"/>
        </w:trPr>
        <w:tc>
          <w:tcPr>
            <w:tcW w:w="11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40" w:type="dxa"/>
            <w:vAlign w:val="bottom"/>
            <w:tcBorders>
              <w:top w:val="single" w:sz="8" w:color="0000EE"/>
            </w:tcBorders>
          </w:tcPr>
          <w:p>
            <w:pPr>
              <w:spacing w:after="0"/>
              <w:rPr>
                <w:sz w:val="17"/>
                <w:szCs w:val="17"/>
                <w:color w:val="auto"/>
              </w:rPr>
            </w:pPr>
          </w:p>
        </w:tc>
        <w:tc>
          <w:tcPr>
            <w:tcW w:w="8440" w:type="dxa"/>
            <w:vAlign w:val="bottom"/>
            <w:tcBorders>
              <w:top w:val="single" w:sz="8" w:color="0000EE"/>
            </w:tcBorders>
            <w:gridSpan w:val="15"/>
          </w:tcPr>
          <w:p>
            <w:pPr>
              <w:spacing w:after="0" w:line="196" w:lineRule="exact"/>
              <w:rPr>
                <w:rFonts w:ascii="Arial" w:cs="Arial" w:eastAsia="Arial" w:hAnsi="Arial"/>
                <w:sz w:val="18"/>
                <w:szCs w:val="18"/>
                <w:color w:val="0000EE"/>
              </w:rPr>
            </w:pPr>
            <w:hyperlink w:anchor="page5">
              <w:r>
                <w:rPr>
                  <w:rFonts w:ascii="Arial" w:cs="Arial" w:eastAsia="Arial" w:hAnsi="Arial"/>
                  <w:sz w:val="18"/>
                  <w:szCs w:val="18"/>
                  <w:color w:val="0000EE"/>
                </w:rPr>
                <w:t>(unaudited)</w:t>
              </w:r>
            </w:hyperlink>
          </w:p>
        </w:tc>
        <w:tc>
          <w:tcPr>
            <w:tcW w:w="760" w:type="dxa"/>
            <w:vAlign w:val="bottom"/>
          </w:tcPr>
          <w:p>
            <w:pPr>
              <w:spacing w:after="0"/>
              <w:rPr>
                <w:sz w:val="17"/>
                <w:szCs w:val="17"/>
                <w:color w:val="auto"/>
              </w:rPr>
            </w:pPr>
          </w:p>
        </w:tc>
        <w:tc>
          <w:tcPr>
            <w:tcW w:w="720" w:type="dxa"/>
            <w:vAlign w:val="bottom"/>
            <w:gridSpan w:val="2"/>
          </w:tcPr>
          <w:p>
            <w:pPr>
              <w:jc w:val="right"/>
              <w:spacing w:after="0" w:line="196" w:lineRule="exact"/>
              <w:rPr>
                <w:sz w:val="20"/>
                <w:szCs w:val="20"/>
                <w:color w:val="auto"/>
              </w:rPr>
            </w:pPr>
            <w:r>
              <w:rPr>
                <w:rFonts w:ascii="Arial" w:cs="Arial" w:eastAsia="Arial" w:hAnsi="Arial"/>
                <w:sz w:val="18"/>
                <w:szCs w:val="18"/>
                <w:color w:val="auto"/>
              </w:rPr>
              <w:t>5</w:t>
            </w:r>
          </w:p>
        </w:tc>
        <w:tc>
          <w:tcPr>
            <w:tcW w:w="0" w:type="dxa"/>
            <w:vAlign w:val="bottom"/>
          </w:tcPr>
          <w:p>
            <w:pPr>
              <w:spacing w:after="0"/>
              <w:rPr>
                <w:sz w:val="1"/>
                <w:szCs w:val="1"/>
                <w:color w:val="auto"/>
              </w:rPr>
            </w:pPr>
          </w:p>
        </w:tc>
      </w:tr>
      <w:tr>
        <w:trPr>
          <w:trHeight w:val="20"/>
        </w:trPr>
        <w:tc>
          <w:tcPr>
            <w:tcW w:w="11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360" w:type="dxa"/>
            <w:vAlign w:val="bottom"/>
            <w:shd w:val="clear" w:color="auto" w:fill="0000EE"/>
          </w:tcPr>
          <w:p>
            <w:pPr>
              <w:spacing w:after="0" w:line="20" w:lineRule="exact"/>
              <w:rPr>
                <w:sz w:val="1"/>
                <w:szCs w:val="1"/>
                <w:color w:val="auto"/>
              </w:rPr>
            </w:pPr>
          </w:p>
        </w:tc>
        <w:tc>
          <w:tcPr>
            <w:tcW w:w="300" w:type="dxa"/>
            <w:vAlign w:val="bottom"/>
            <w:shd w:val="clear" w:color="auto" w:fill="0000EE"/>
          </w:tcPr>
          <w:p>
            <w:pPr>
              <w:spacing w:after="0" w:line="20" w:lineRule="exact"/>
              <w:rPr>
                <w:sz w:val="1"/>
                <w:szCs w:val="1"/>
                <w:color w:val="auto"/>
              </w:rPr>
            </w:pPr>
          </w:p>
        </w:tc>
        <w:tc>
          <w:tcPr>
            <w:tcW w:w="160" w:type="dxa"/>
            <w:vAlign w:val="bottom"/>
            <w:shd w:val="clear" w:color="auto" w:fill="0000EE"/>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40" w:type="dxa"/>
            <w:vAlign w:val="bottom"/>
            <w:gridSpan w:val="2"/>
          </w:tcPr>
          <w:p>
            <w:pPr>
              <w:spacing w:after="0" w:line="20" w:lineRule="exact"/>
              <w:rPr>
                <w:sz w:val="1"/>
                <w:szCs w:val="1"/>
                <w:color w:val="auto"/>
              </w:rPr>
            </w:pPr>
          </w:p>
        </w:tc>
        <w:tc>
          <w:tcPr>
            <w:tcW w:w="2580" w:type="dxa"/>
            <w:vAlign w:val="bottom"/>
            <w:gridSpan w:val="2"/>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1580" w:type="dxa"/>
            <w:vAlign w:val="bottom"/>
            <w:gridSpan w:val="2"/>
          </w:tcPr>
          <w:p>
            <w:pPr>
              <w:spacing w:after="0" w:line="20" w:lineRule="exact"/>
              <w:rPr>
                <w:sz w:val="1"/>
                <w:szCs w:val="1"/>
                <w:color w:val="auto"/>
              </w:rPr>
            </w:pPr>
          </w:p>
        </w:tc>
        <w:tc>
          <w:tcPr>
            <w:tcW w:w="1280" w:type="dxa"/>
            <w:vAlign w:val="bottom"/>
            <w:gridSpan w:val="2"/>
          </w:tcPr>
          <w:p>
            <w:pPr>
              <w:spacing w:after="0" w:line="20" w:lineRule="exact"/>
              <w:rPr>
                <w:sz w:val="1"/>
                <w:szCs w:val="1"/>
                <w:color w:val="auto"/>
              </w:rPr>
            </w:pPr>
          </w:p>
        </w:tc>
        <w:tc>
          <w:tcPr>
            <w:tcW w:w="1720" w:type="dxa"/>
            <w:vAlign w:val="bottom"/>
            <w:gridSpan w:val="2"/>
          </w:tcPr>
          <w:p>
            <w:pPr>
              <w:spacing w:after="0" w:line="20" w:lineRule="exact"/>
              <w:rPr>
                <w:sz w:val="1"/>
                <w:szCs w:val="1"/>
                <w:color w:val="auto"/>
              </w:rPr>
            </w:pPr>
          </w:p>
        </w:tc>
        <w:tc>
          <w:tcPr>
            <w:tcW w:w="720" w:type="dxa"/>
            <w:vAlign w:val="bottom"/>
            <w:gridSpan w:val="2"/>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12"/>
        </w:trPr>
        <w:tc>
          <w:tcPr>
            <w:tcW w:w="1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7720" w:type="dxa"/>
            <w:vAlign w:val="bottom"/>
            <w:tcBorders>
              <w:bottom w:val="single" w:sz="8" w:color="0000EE"/>
            </w:tcBorders>
            <w:gridSpan w:val="15"/>
          </w:tcPr>
          <w:p>
            <w:pPr>
              <w:spacing w:after="0"/>
              <w:rPr>
                <w:rFonts w:ascii="Arial" w:cs="Arial" w:eastAsia="Arial" w:hAnsi="Arial"/>
                <w:sz w:val="18"/>
                <w:szCs w:val="18"/>
                <w:color w:val="0000EE"/>
                <w:w w:val="90"/>
              </w:rPr>
            </w:pPr>
            <w:hyperlink w:anchor="page6">
              <w:r>
                <w:rPr>
                  <w:rFonts w:ascii="Arial" w:cs="Arial" w:eastAsia="Arial" w:hAnsi="Arial"/>
                  <w:sz w:val="18"/>
                  <w:szCs w:val="18"/>
                  <w:color w:val="0000EE"/>
                  <w:w w:val="90"/>
                </w:rPr>
                <w:t>Consolidated Statements of Cash Flows for the Three Months Ended March 31, 2015 and 2014 (unaudited)</w:t>
              </w:r>
            </w:hyperlink>
          </w:p>
        </w:tc>
        <w:tc>
          <w:tcPr>
            <w:tcW w:w="1720" w:type="dxa"/>
            <w:vAlign w:val="bottom"/>
            <w:gridSpan w:val="2"/>
          </w:tcPr>
          <w:p>
            <w:pPr>
              <w:spacing w:after="0"/>
              <w:rPr>
                <w:sz w:val="24"/>
                <w:szCs w:val="24"/>
                <w:color w:val="auto"/>
              </w:rPr>
            </w:pPr>
          </w:p>
        </w:tc>
        <w:tc>
          <w:tcPr>
            <w:tcW w:w="720" w:type="dxa"/>
            <w:vAlign w:val="bottom"/>
            <w:gridSpan w:val="2"/>
          </w:tcPr>
          <w:p>
            <w:pPr>
              <w:jc w:val="right"/>
              <w:spacing w:after="0"/>
              <w:rPr>
                <w:sz w:val="20"/>
                <w:szCs w:val="20"/>
                <w:color w:val="auto"/>
              </w:rPr>
            </w:pPr>
            <w:r>
              <w:rPr>
                <w:rFonts w:ascii="Arial" w:cs="Arial" w:eastAsia="Arial" w:hAnsi="Arial"/>
                <w:sz w:val="18"/>
                <w:szCs w:val="18"/>
                <w:color w:val="auto"/>
              </w:rPr>
              <w:t>6</w:t>
            </w:r>
          </w:p>
        </w:tc>
        <w:tc>
          <w:tcPr>
            <w:tcW w:w="0" w:type="dxa"/>
            <w:vAlign w:val="bottom"/>
          </w:tcPr>
          <w:p>
            <w:pPr>
              <w:spacing w:after="0"/>
              <w:rPr>
                <w:sz w:val="1"/>
                <w:szCs w:val="1"/>
                <w:color w:val="auto"/>
              </w:rPr>
            </w:pPr>
          </w:p>
        </w:tc>
      </w:tr>
      <w:tr>
        <w:trPr>
          <w:trHeight w:val="412"/>
        </w:trPr>
        <w:tc>
          <w:tcPr>
            <w:tcW w:w="1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860" w:type="dxa"/>
            <w:vAlign w:val="bottom"/>
            <w:tcBorders>
              <w:bottom w:val="single" w:sz="8" w:color="0000EE"/>
            </w:tcBorders>
            <w:gridSpan w:val="11"/>
          </w:tcPr>
          <w:p>
            <w:pPr>
              <w:spacing w:after="0"/>
              <w:rPr>
                <w:rFonts w:ascii="Arial" w:cs="Arial" w:eastAsia="Arial" w:hAnsi="Arial"/>
                <w:sz w:val="18"/>
                <w:szCs w:val="18"/>
                <w:color w:val="0000EE"/>
                <w:w w:val="89"/>
              </w:rPr>
            </w:pPr>
            <w:hyperlink w:anchor="page7">
              <w:r>
                <w:rPr>
                  <w:rFonts w:ascii="Arial" w:cs="Arial" w:eastAsia="Arial" w:hAnsi="Arial"/>
                  <w:sz w:val="18"/>
                  <w:szCs w:val="18"/>
                  <w:color w:val="0000EE"/>
                  <w:w w:val="89"/>
                </w:rPr>
                <w:t>Condensed Notes to Consolidated Financial Statements (unaudited)</w:t>
              </w:r>
            </w:hyperlink>
          </w:p>
        </w:tc>
        <w:tc>
          <w:tcPr>
            <w:tcW w:w="4580" w:type="dxa"/>
            <w:vAlign w:val="bottom"/>
            <w:gridSpan w:val="6"/>
          </w:tcPr>
          <w:p>
            <w:pPr>
              <w:spacing w:after="0"/>
              <w:rPr>
                <w:sz w:val="24"/>
                <w:szCs w:val="24"/>
                <w:color w:val="auto"/>
              </w:rPr>
            </w:pPr>
          </w:p>
        </w:tc>
        <w:tc>
          <w:tcPr>
            <w:tcW w:w="720" w:type="dxa"/>
            <w:vAlign w:val="bottom"/>
            <w:gridSpan w:val="2"/>
          </w:tcPr>
          <w:p>
            <w:pPr>
              <w:jc w:val="right"/>
              <w:spacing w:after="0"/>
              <w:rPr>
                <w:sz w:val="20"/>
                <w:szCs w:val="20"/>
                <w:color w:val="auto"/>
              </w:rPr>
            </w:pPr>
            <w:r>
              <w:rPr>
                <w:rFonts w:ascii="Arial" w:cs="Arial" w:eastAsia="Arial" w:hAnsi="Arial"/>
                <w:sz w:val="18"/>
                <w:szCs w:val="18"/>
                <w:color w:val="auto"/>
              </w:rPr>
              <w:t>7</w:t>
            </w:r>
          </w:p>
        </w:tc>
        <w:tc>
          <w:tcPr>
            <w:tcW w:w="0" w:type="dxa"/>
            <w:vAlign w:val="bottom"/>
          </w:tcPr>
          <w:p>
            <w:pPr>
              <w:spacing w:after="0"/>
              <w:rPr>
                <w:sz w:val="1"/>
                <w:szCs w:val="1"/>
                <w:color w:val="auto"/>
              </w:rPr>
            </w:pPr>
          </w:p>
        </w:tc>
      </w:tr>
      <w:tr>
        <w:trPr>
          <w:trHeight w:val="412"/>
        </w:trPr>
        <w:tc>
          <w:tcPr>
            <w:tcW w:w="1260" w:type="dxa"/>
            <w:vAlign w:val="bottom"/>
            <w:gridSpan w:val="2"/>
          </w:tcPr>
          <w:p>
            <w:pPr>
              <w:ind w:left="260"/>
              <w:spacing w:after="0"/>
              <w:rPr>
                <w:sz w:val="20"/>
                <w:szCs w:val="20"/>
                <w:color w:val="auto"/>
              </w:rPr>
            </w:pPr>
            <w:r>
              <w:rPr>
                <w:rFonts w:ascii="Arial" w:cs="Arial" w:eastAsia="Arial" w:hAnsi="Arial"/>
                <w:sz w:val="18"/>
                <w:szCs w:val="18"/>
                <w:color w:val="auto"/>
              </w:rPr>
              <w:t>Item 2.</w:t>
            </w:r>
          </w:p>
        </w:tc>
        <w:tc>
          <w:tcPr>
            <w:tcW w:w="9440" w:type="dxa"/>
            <w:vAlign w:val="bottom"/>
            <w:gridSpan w:val="17"/>
          </w:tcPr>
          <w:p>
            <w:pPr>
              <w:spacing w:after="0"/>
              <w:rPr>
                <w:rFonts w:ascii="Arial" w:cs="Arial" w:eastAsia="Arial" w:hAnsi="Arial"/>
                <w:sz w:val="18"/>
                <w:szCs w:val="18"/>
                <w:color w:val="0000EE"/>
              </w:rPr>
            </w:pPr>
            <w:hyperlink w:anchor="page28">
              <w:r>
                <w:rPr>
                  <w:rFonts w:ascii="Arial" w:cs="Arial" w:eastAsia="Arial" w:hAnsi="Arial"/>
                  <w:sz w:val="18"/>
                  <w:szCs w:val="18"/>
                  <w:color w:val="0000EE"/>
                </w:rPr>
                <w:t>Management’s Discussion and Analysis of Financial Condition and Results of Operations</w:t>
              </w:r>
            </w:hyperlink>
          </w:p>
        </w:tc>
        <w:tc>
          <w:tcPr>
            <w:tcW w:w="720" w:type="dxa"/>
            <w:vAlign w:val="bottom"/>
            <w:gridSpan w:val="2"/>
          </w:tcPr>
          <w:p>
            <w:pPr>
              <w:jc w:val="right"/>
              <w:spacing w:after="0"/>
              <w:rPr>
                <w:sz w:val="20"/>
                <w:szCs w:val="20"/>
                <w:color w:val="auto"/>
              </w:rPr>
            </w:pPr>
            <w:r>
              <w:rPr>
                <w:rFonts w:ascii="Arial" w:cs="Arial" w:eastAsia="Arial" w:hAnsi="Arial"/>
                <w:sz w:val="18"/>
                <w:szCs w:val="18"/>
                <w:color w:val="auto"/>
              </w:rPr>
              <w:t>28</w:t>
            </w:r>
          </w:p>
        </w:tc>
        <w:tc>
          <w:tcPr>
            <w:tcW w:w="0" w:type="dxa"/>
            <w:vAlign w:val="bottom"/>
          </w:tcPr>
          <w:p>
            <w:pPr>
              <w:spacing w:after="0"/>
              <w:rPr>
                <w:sz w:val="1"/>
                <w:szCs w:val="1"/>
                <w:color w:val="auto"/>
              </w:rPr>
            </w:pPr>
          </w:p>
        </w:tc>
      </w:tr>
      <w:tr>
        <w:trPr>
          <w:trHeight w:val="412"/>
        </w:trPr>
        <w:tc>
          <w:tcPr>
            <w:tcW w:w="1260" w:type="dxa"/>
            <w:vAlign w:val="bottom"/>
            <w:gridSpan w:val="2"/>
          </w:tcPr>
          <w:p>
            <w:pPr>
              <w:ind w:left="260"/>
              <w:spacing w:after="0"/>
              <w:rPr>
                <w:sz w:val="20"/>
                <w:szCs w:val="20"/>
                <w:color w:val="auto"/>
              </w:rPr>
            </w:pPr>
            <w:r>
              <w:rPr>
                <w:rFonts w:ascii="Arial" w:cs="Arial" w:eastAsia="Arial" w:hAnsi="Arial"/>
                <w:sz w:val="18"/>
                <w:szCs w:val="18"/>
                <w:color w:val="auto"/>
              </w:rPr>
              <w:t>Item 3.</w:t>
            </w:r>
          </w:p>
        </w:tc>
        <w:tc>
          <w:tcPr>
            <w:tcW w:w="6440" w:type="dxa"/>
            <w:vAlign w:val="bottom"/>
            <w:tcBorders>
              <w:top w:val="single" w:sz="8" w:color="0000EE"/>
            </w:tcBorders>
            <w:gridSpan w:val="13"/>
          </w:tcPr>
          <w:p>
            <w:pPr>
              <w:spacing w:after="0"/>
              <w:rPr>
                <w:rFonts w:ascii="Arial" w:cs="Arial" w:eastAsia="Arial" w:hAnsi="Arial"/>
                <w:sz w:val="18"/>
                <w:szCs w:val="18"/>
                <w:color w:val="0000EE"/>
              </w:rPr>
            </w:pPr>
            <w:hyperlink w:anchor="page45">
              <w:r>
                <w:rPr>
                  <w:rFonts w:ascii="Arial" w:cs="Arial" w:eastAsia="Arial" w:hAnsi="Arial"/>
                  <w:sz w:val="18"/>
                  <w:szCs w:val="18"/>
                  <w:color w:val="0000EE"/>
                </w:rPr>
                <w:t>Quantitative and Qualitative Disclosures About Market Risk</w:t>
              </w:r>
            </w:hyperlink>
          </w:p>
        </w:tc>
        <w:tc>
          <w:tcPr>
            <w:tcW w:w="3000" w:type="dxa"/>
            <w:vAlign w:val="bottom"/>
            <w:gridSpan w:val="4"/>
          </w:tcPr>
          <w:p>
            <w:pPr>
              <w:spacing w:after="0"/>
              <w:rPr>
                <w:sz w:val="24"/>
                <w:szCs w:val="24"/>
                <w:color w:val="auto"/>
              </w:rPr>
            </w:pPr>
          </w:p>
        </w:tc>
        <w:tc>
          <w:tcPr>
            <w:tcW w:w="720" w:type="dxa"/>
            <w:vAlign w:val="bottom"/>
            <w:gridSpan w:val="2"/>
          </w:tcPr>
          <w:p>
            <w:pPr>
              <w:jc w:val="right"/>
              <w:spacing w:after="0"/>
              <w:rPr>
                <w:sz w:val="20"/>
                <w:szCs w:val="20"/>
                <w:color w:val="auto"/>
              </w:rPr>
            </w:pPr>
            <w:r>
              <w:rPr>
                <w:rFonts w:ascii="Arial" w:cs="Arial" w:eastAsia="Arial" w:hAnsi="Arial"/>
                <w:sz w:val="18"/>
                <w:szCs w:val="18"/>
                <w:color w:val="auto"/>
              </w:rPr>
              <w:t>45</w:t>
            </w:r>
          </w:p>
        </w:tc>
        <w:tc>
          <w:tcPr>
            <w:tcW w:w="0" w:type="dxa"/>
            <w:vAlign w:val="bottom"/>
          </w:tcPr>
          <w:p>
            <w:pPr>
              <w:spacing w:after="0"/>
              <w:rPr>
                <w:sz w:val="1"/>
                <w:szCs w:val="1"/>
                <w:color w:val="auto"/>
              </w:rPr>
            </w:pPr>
          </w:p>
        </w:tc>
      </w:tr>
      <w:tr>
        <w:trPr>
          <w:trHeight w:val="412"/>
        </w:trPr>
        <w:tc>
          <w:tcPr>
            <w:tcW w:w="1260" w:type="dxa"/>
            <w:vAlign w:val="bottom"/>
            <w:gridSpan w:val="2"/>
          </w:tcPr>
          <w:p>
            <w:pPr>
              <w:ind w:left="260"/>
              <w:spacing w:after="0"/>
              <w:rPr>
                <w:sz w:val="20"/>
                <w:szCs w:val="20"/>
                <w:color w:val="auto"/>
              </w:rPr>
            </w:pPr>
            <w:r>
              <w:rPr>
                <w:rFonts w:ascii="Arial" w:cs="Arial" w:eastAsia="Arial" w:hAnsi="Arial"/>
                <w:sz w:val="18"/>
                <w:szCs w:val="18"/>
                <w:color w:val="auto"/>
              </w:rPr>
              <w:t>Item 4.</w:t>
            </w:r>
          </w:p>
        </w:tc>
        <w:tc>
          <w:tcPr>
            <w:tcW w:w="4340" w:type="dxa"/>
            <w:vAlign w:val="bottom"/>
            <w:tcBorders>
              <w:top w:val="single" w:sz="8" w:color="0000EE"/>
            </w:tcBorders>
            <w:gridSpan w:val="10"/>
          </w:tcPr>
          <w:p>
            <w:pPr>
              <w:spacing w:after="0"/>
              <w:rPr>
                <w:rFonts w:ascii="Arial" w:cs="Arial" w:eastAsia="Arial" w:hAnsi="Arial"/>
                <w:sz w:val="18"/>
                <w:szCs w:val="18"/>
                <w:color w:val="0000EE"/>
              </w:rPr>
            </w:pPr>
            <w:hyperlink w:anchor="page45">
              <w:r>
                <w:rPr>
                  <w:rFonts w:ascii="Arial" w:cs="Arial" w:eastAsia="Arial" w:hAnsi="Arial"/>
                  <w:sz w:val="18"/>
                  <w:szCs w:val="18"/>
                  <w:color w:val="0000EE"/>
                </w:rPr>
                <w:t>Controls and Procedures</w:t>
              </w:r>
            </w:hyperlink>
          </w:p>
        </w:tc>
        <w:tc>
          <w:tcPr>
            <w:tcW w:w="5100" w:type="dxa"/>
            <w:vAlign w:val="bottom"/>
            <w:gridSpan w:val="7"/>
          </w:tcPr>
          <w:p>
            <w:pPr>
              <w:spacing w:after="0"/>
              <w:rPr>
                <w:sz w:val="24"/>
                <w:szCs w:val="24"/>
                <w:color w:val="auto"/>
              </w:rPr>
            </w:pPr>
          </w:p>
        </w:tc>
        <w:tc>
          <w:tcPr>
            <w:tcW w:w="720" w:type="dxa"/>
            <w:vAlign w:val="bottom"/>
            <w:gridSpan w:val="2"/>
          </w:tcPr>
          <w:p>
            <w:pPr>
              <w:jc w:val="right"/>
              <w:spacing w:after="0"/>
              <w:rPr>
                <w:sz w:val="20"/>
                <w:szCs w:val="20"/>
                <w:color w:val="auto"/>
              </w:rPr>
            </w:pPr>
            <w:r>
              <w:rPr>
                <w:rFonts w:ascii="Arial" w:cs="Arial" w:eastAsia="Arial" w:hAnsi="Arial"/>
                <w:sz w:val="18"/>
                <w:szCs w:val="18"/>
                <w:color w:val="auto"/>
              </w:rPr>
              <w:t>45</w:t>
            </w:r>
          </w:p>
        </w:tc>
        <w:tc>
          <w:tcPr>
            <w:tcW w:w="0" w:type="dxa"/>
            <w:vAlign w:val="bottom"/>
          </w:tcPr>
          <w:p>
            <w:pPr>
              <w:spacing w:after="0"/>
              <w:rPr>
                <w:sz w:val="1"/>
                <w:szCs w:val="1"/>
                <w:color w:val="auto"/>
              </w:rPr>
            </w:pPr>
          </w:p>
        </w:tc>
      </w:tr>
      <w:tr>
        <w:trPr>
          <w:trHeight w:val="20"/>
        </w:trPr>
        <w:tc>
          <w:tcPr>
            <w:tcW w:w="11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0" w:type="dxa"/>
            <w:vAlign w:val="bottom"/>
            <w:gridSpan w:val="2"/>
            <w:shd w:val="clear" w:color="auto" w:fill="0000EE"/>
          </w:tcPr>
          <w:p>
            <w:pPr>
              <w:spacing w:after="0" w:line="20" w:lineRule="exact"/>
              <w:rPr>
                <w:sz w:val="1"/>
                <w:szCs w:val="1"/>
                <w:color w:val="auto"/>
              </w:rPr>
            </w:pPr>
          </w:p>
        </w:tc>
        <w:tc>
          <w:tcPr>
            <w:tcW w:w="300" w:type="dxa"/>
            <w:vAlign w:val="bottom"/>
            <w:shd w:val="clear" w:color="auto" w:fill="0000EE"/>
          </w:tcPr>
          <w:p>
            <w:pPr>
              <w:spacing w:after="0" w:line="20" w:lineRule="exact"/>
              <w:rPr>
                <w:sz w:val="1"/>
                <w:szCs w:val="1"/>
                <w:color w:val="auto"/>
              </w:rPr>
            </w:pPr>
          </w:p>
        </w:tc>
        <w:tc>
          <w:tcPr>
            <w:tcW w:w="420" w:type="dxa"/>
            <w:vAlign w:val="bottom"/>
            <w:gridSpan w:val="2"/>
            <w:shd w:val="clear" w:color="auto" w:fill="0000EE"/>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340" w:type="dxa"/>
            <w:vAlign w:val="bottom"/>
            <w:gridSpan w:val="2"/>
            <w:shd w:val="clear" w:color="auto" w:fill="0000EE"/>
          </w:tcPr>
          <w:p>
            <w:pPr>
              <w:spacing w:after="0" w:line="20" w:lineRule="exact"/>
              <w:rPr>
                <w:sz w:val="1"/>
                <w:szCs w:val="1"/>
                <w:color w:val="auto"/>
              </w:rPr>
            </w:pPr>
          </w:p>
        </w:tc>
        <w:tc>
          <w:tcPr>
            <w:tcW w:w="7680" w:type="dxa"/>
            <w:vAlign w:val="bottom"/>
            <w:gridSpan w:val="9"/>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12"/>
        </w:trPr>
        <w:tc>
          <w:tcPr>
            <w:tcW w:w="10700" w:type="dxa"/>
            <w:vAlign w:val="bottom"/>
            <w:gridSpan w:val="19"/>
          </w:tcPr>
          <w:p>
            <w:pPr>
              <w:spacing w:after="0"/>
              <w:rPr>
                <w:rFonts w:ascii="Arial" w:cs="Arial" w:eastAsia="Arial" w:hAnsi="Arial"/>
                <w:sz w:val="18"/>
                <w:szCs w:val="18"/>
                <w:b w:val="1"/>
                <w:bCs w:val="1"/>
                <w:color w:val="0000EE"/>
              </w:rPr>
            </w:pPr>
            <w:hyperlink w:anchor="page46">
              <w:r>
                <w:rPr>
                  <w:rFonts w:ascii="Arial" w:cs="Arial" w:eastAsia="Arial" w:hAnsi="Arial"/>
                  <w:sz w:val="18"/>
                  <w:szCs w:val="18"/>
                  <w:b w:val="1"/>
                  <w:bCs w:val="1"/>
                  <w:color w:val="0000EE"/>
                </w:rPr>
                <w:t>Part II. OTHER INFORMATION</w:t>
              </w:r>
            </w:hyperlink>
          </w:p>
        </w:tc>
        <w:tc>
          <w:tcPr>
            <w:tcW w:w="5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12"/>
        </w:trPr>
        <w:tc>
          <w:tcPr>
            <w:tcW w:w="1260" w:type="dxa"/>
            <w:vAlign w:val="bottom"/>
            <w:tcBorders>
              <w:top w:val="single" w:sz="8" w:color="0000EE"/>
            </w:tcBorders>
            <w:gridSpan w:val="2"/>
          </w:tcPr>
          <w:p>
            <w:pPr>
              <w:ind w:left="260"/>
              <w:spacing w:after="0"/>
              <w:rPr>
                <w:sz w:val="20"/>
                <w:szCs w:val="20"/>
                <w:color w:val="auto"/>
              </w:rPr>
            </w:pPr>
            <w:r>
              <w:rPr>
                <w:rFonts w:ascii="Arial" w:cs="Arial" w:eastAsia="Arial" w:hAnsi="Arial"/>
                <w:sz w:val="18"/>
                <w:szCs w:val="18"/>
                <w:color w:val="auto"/>
              </w:rPr>
              <w:t>Item 1.</w:t>
            </w:r>
          </w:p>
        </w:tc>
        <w:tc>
          <w:tcPr>
            <w:tcW w:w="1420" w:type="dxa"/>
            <w:vAlign w:val="bottom"/>
            <w:tcBorders>
              <w:top w:val="single" w:sz="8" w:color="0000EE"/>
            </w:tcBorders>
            <w:gridSpan w:val="6"/>
          </w:tcPr>
          <w:p>
            <w:pPr>
              <w:spacing w:after="0"/>
              <w:rPr>
                <w:rFonts w:ascii="Arial" w:cs="Arial" w:eastAsia="Arial" w:hAnsi="Arial"/>
                <w:sz w:val="18"/>
                <w:szCs w:val="18"/>
                <w:color w:val="0000EE"/>
                <w:w w:val="93"/>
              </w:rPr>
            </w:pPr>
            <w:hyperlink w:anchor="page46">
              <w:r>
                <w:rPr>
                  <w:rFonts w:ascii="Arial" w:cs="Arial" w:eastAsia="Arial" w:hAnsi="Arial"/>
                  <w:sz w:val="18"/>
                  <w:szCs w:val="18"/>
                  <w:color w:val="0000EE"/>
                  <w:w w:val="93"/>
                </w:rPr>
                <w:t>Legal Proceedings</w:t>
              </w:r>
            </w:hyperlink>
          </w:p>
        </w:tc>
        <w:tc>
          <w:tcPr>
            <w:tcW w:w="8020" w:type="dxa"/>
            <w:vAlign w:val="bottom"/>
            <w:gridSpan w:val="11"/>
          </w:tcPr>
          <w:p>
            <w:pPr>
              <w:spacing w:after="0"/>
              <w:rPr>
                <w:sz w:val="24"/>
                <w:szCs w:val="24"/>
                <w:color w:val="auto"/>
              </w:rPr>
            </w:pPr>
          </w:p>
        </w:tc>
        <w:tc>
          <w:tcPr>
            <w:tcW w:w="720" w:type="dxa"/>
            <w:vAlign w:val="bottom"/>
            <w:gridSpan w:val="2"/>
          </w:tcPr>
          <w:p>
            <w:pPr>
              <w:jc w:val="right"/>
              <w:spacing w:after="0"/>
              <w:rPr>
                <w:sz w:val="20"/>
                <w:szCs w:val="20"/>
                <w:color w:val="auto"/>
              </w:rPr>
            </w:pPr>
            <w:r>
              <w:rPr>
                <w:rFonts w:ascii="Arial" w:cs="Arial" w:eastAsia="Arial" w:hAnsi="Arial"/>
                <w:sz w:val="18"/>
                <w:szCs w:val="18"/>
                <w:color w:val="auto"/>
              </w:rPr>
              <w:t>46</w:t>
            </w:r>
          </w:p>
        </w:tc>
        <w:tc>
          <w:tcPr>
            <w:tcW w:w="0" w:type="dxa"/>
            <w:vAlign w:val="bottom"/>
          </w:tcPr>
          <w:p>
            <w:pPr>
              <w:spacing w:after="0"/>
              <w:rPr>
                <w:sz w:val="1"/>
                <w:szCs w:val="1"/>
                <w:color w:val="auto"/>
              </w:rPr>
            </w:pPr>
          </w:p>
        </w:tc>
      </w:tr>
      <w:tr>
        <w:trPr>
          <w:trHeight w:val="412"/>
        </w:trPr>
        <w:tc>
          <w:tcPr>
            <w:tcW w:w="1260" w:type="dxa"/>
            <w:vAlign w:val="bottom"/>
            <w:gridSpan w:val="2"/>
          </w:tcPr>
          <w:p>
            <w:pPr>
              <w:ind w:left="260"/>
              <w:spacing w:after="0"/>
              <w:rPr>
                <w:sz w:val="20"/>
                <w:szCs w:val="20"/>
                <w:color w:val="auto"/>
              </w:rPr>
            </w:pPr>
            <w:r>
              <w:rPr>
                <w:rFonts w:ascii="Arial" w:cs="Arial" w:eastAsia="Arial" w:hAnsi="Arial"/>
                <w:sz w:val="18"/>
                <w:szCs w:val="18"/>
                <w:color w:val="auto"/>
              </w:rPr>
              <w:t>Item 1A.</w:t>
            </w:r>
          </w:p>
        </w:tc>
        <w:tc>
          <w:tcPr>
            <w:tcW w:w="900" w:type="dxa"/>
            <w:vAlign w:val="bottom"/>
            <w:tcBorders>
              <w:top w:val="single" w:sz="8" w:color="0000EE"/>
              <w:bottom w:val="single" w:sz="8" w:color="0000EE"/>
            </w:tcBorders>
            <w:gridSpan w:val="3"/>
          </w:tcPr>
          <w:p>
            <w:pPr>
              <w:spacing w:after="0"/>
              <w:rPr>
                <w:rFonts w:ascii="Arial" w:cs="Arial" w:eastAsia="Arial" w:hAnsi="Arial"/>
                <w:sz w:val="18"/>
                <w:szCs w:val="18"/>
                <w:color w:val="0000EE"/>
                <w:w w:val="87"/>
              </w:rPr>
            </w:pPr>
            <w:hyperlink w:anchor="page46">
              <w:r>
                <w:rPr>
                  <w:rFonts w:ascii="Arial" w:cs="Arial" w:eastAsia="Arial" w:hAnsi="Arial"/>
                  <w:sz w:val="18"/>
                  <w:szCs w:val="18"/>
                  <w:color w:val="0000EE"/>
                  <w:w w:val="87"/>
                </w:rPr>
                <w:t>Risk Factors</w:t>
              </w:r>
            </w:hyperlink>
          </w:p>
        </w:tc>
        <w:tc>
          <w:tcPr>
            <w:tcW w:w="420" w:type="dxa"/>
            <w:vAlign w:val="bottom"/>
            <w:tcBorders>
              <w:top w:val="single" w:sz="8" w:color="0000EE"/>
            </w:tcBorders>
            <w:gridSpan w:val="2"/>
          </w:tcPr>
          <w:p>
            <w:pPr>
              <w:spacing w:after="0"/>
              <w:rPr>
                <w:sz w:val="24"/>
                <w:szCs w:val="24"/>
                <w:color w:val="auto"/>
              </w:rPr>
            </w:pPr>
          </w:p>
        </w:tc>
        <w:tc>
          <w:tcPr>
            <w:tcW w:w="8120" w:type="dxa"/>
            <w:vAlign w:val="bottom"/>
            <w:gridSpan w:val="12"/>
          </w:tcPr>
          <w:p>
            <w:pPr>
              <w:spacing w:after="0"/>
              <w:rPr>
                <w:sz w:val="24"/>
                <w:szCs w:val="24"/>
                <w:color w:val="auto"/>
              </w:rPr>
            </w:pPr>
          </w:p>
        </w:tc>
        <w:tc>
          <w:tcPr>
            <w:tcW w:w="720" w:type="dxa"/>
            <w:vAlign w:val="bottom"/>
            <w:gridSpan w:val="2"/>
          </w:tcPr>
          <w:p>
            <w:pPr>
              <w:jc w:val="right"/>
              <w:spacing w:after="0"/>
              <w:rPr>
                <w:sz w:val="20"/>
                <w:szCs w:val="20"/>
                <w:color w:val="auto"/>
              </w:rPr>
            </w:pPr>
            <w:r>
              <w:rPr>
                <w:rFonts w:ascii="Arial" w:cs="Arial" w:eastAsia="Arial" w:hAnsi="Arial"/>
                <w:sz w:val="18"/>
                <w:szCs w:val="18"/>
                <w:color w:val="auto"/>
              </w:rPr>
              <w:t>46</w:t>
            </w:r>
          </w:p>
        </w:tc>
        <w:tc>
          <w:tcPr>
            <w:tcW w:w="0" w:type="dxa"/>
            <w:vAlign w:val="bottom"/>
          </w:tcPr>
          <w:p>
            <w:pPr>
              <w:spacing w:after="0"/>
              <w:rPr>
                <w:sz w:val="1"/>
                <w:szCs w:val="1"/>
                <w:color w:val="auto"/>
              </w:rPr>
            </w:pPr>
          </w:p>
        </w:tc>
      </w:tr>
      <w:tr>
        <w:trPr>
          <w:trHeight w:val="412"/>
        </w:trPr>
        <w:tc>
          <w:tcPr>
            <w:tcW w:w="1260" w:type="dxa"/>
            <w:vAlign w:val="bottom"/>
            <w:gridSpan w:val="2"/>
          </w:tcPr>
          <w:p>
            <w:pPr>
              <w:ind w:left="260"/>
              <w:spacing w:after="0"/>
              <w:rPr>
                <w:sz w:val="20"/>
                <w:szCs w:val="20"/>
                <w:color w:val="auto"/>
              </w:rPr>
            </w:pPr>
            <w:r>
              <w:rPr>
                <w:rFonts w:ascii="Arial" w:cs="Arial" w:eastAsia="Arial" w:hAnsi="Arial"/>
                <w:sz w:val="18"/>
                <w:szCs w:val="18"/>
                <w:color w:val="auto"/>
              </w:rPr>
              <w:t>Item 6.</w:t>
            </w:r>
          </w:p>
        </w:tc>
        <w:tc>
          <w:tcPr>
            <w:tcW w:w="9440" w:type="dxa"/>
            <w:vAlign w:val="bottom"/>
            <w:gridSpan w:val="17"/>
          </w:tcPr>
          <w:p>
            <w:pPr>
              <w:spacing w:after="0"/>
              <w:rPr>
                <w:rFonts w:ascii="Arial" w:cs="Arial" w:eastAsia="Arial" w:hAnsi="Arial"/>
                <w:sz w:val="18"/>
                <w:szCs w:val="18"/>
                <w:color w:val="0000EE"/>
              </w:rPr>
            </w:pPr>
            <w:hyperlink w:anchor="page48">
              <w:r>
                <w:rPr>
                  <w:rFonts w:ascii="Arial" w:cs="Arial" w:eastAsia="Arial" w:hAnsi="Arial"/>
                  <w:sz w:val="18"/>
                  <w:szCs w:val="18"/>
                  <w:color w:val="0000EE"/>
                </w:rPr>
                <w:t>Exhibits</w:t>
              </w:r>
            </w:hyperlink>
          </w:p>
        </w:tc>
        <w:tc>
          <w:tcPr>
            <w:tcW w:w="720" w:type="dxa"/>
            <w:vAlign w:val="bottom"/>
            <w:gridSpan w:val="2"/>
          </w:tcPr>
          <w:p>
            <w:pPr>
              <w:jc w:val="right"/>
              <w:spacing w:after="0"/>
              <w:rPr>
                <w:sz w:val="20"/>
                <w:szCs w:val="20"/>
                <w:color w:val="auto"/>
              </w:rPr>
            </w:pPr>
            <w:r>
              <w:rPr>
                <w:rFonts w:ascii="Arial" w:cs="Arial" w:eastAsia="Arial" w:hAnsi="Arial"/>
                <w:sz w:val="18"/>
                <w:szCs w:val="18"/>
                <w:color w:val="auto"/>
              </w:rPr>
              <w:t>48</w:t>
            </w:r>
          </w:p>
        </w:tc>
        <w:tc>
          <w:tcPr>
            <w:tcW w:w="0" w:type="dxa"/>
            <w:vAlign w:val="bottom"/>
          </w:tcPr>
          <w:p>
            <w:pPr>
              <w:spacing w:after="0"/>
              <w:rPr>
                <w:sz w:val="1"/>
                <w:szCs w:val="1"/>
                <w:color w:val="auto"/>
              </w:rPr>
            </w:pPr>
          </w:p>
        </w:tc>
      </w:tr>
      <w:tr>
        <w:trPr>
          <w:trHeight w:val="412"/>
        </w:trPr>
        <w:tc>
          <w:tcPr>
            <w:tcW w:w="1260" w:type="dxa"/>
            <w:vAlign w:val="bottom"/>
            <w:gridSpan w:val="2"/>
          </w:tcPr>
          <w:p>
            <w:pPr>
              <w:spacing w:after="0"/>
              <w:rPr>
                <w:rFonts w:ascii="Arial" w:cs="Arial" w:eastAsia="Arial" w:hAnsi="Arial"/>
                <w:sz w:val="18"/>
                <w:szCs w:val="18"/>
                <w:b w:val="1"/>
                <w:bCs w:val="1"/>
                <w:color w:val="0000EE"/>
              </w:rPr>
            </w:pPr>
            <w:hyperlink w:anchor="page50">
              <w:r>
                <w:rPr>
                  <w:rFonts w:ascii="Arial" w:cs="Arial" w:eastAsia="Arial" w:hAnsi="Arial"/>
                  <w:sz w:val="18"/>
                  <w:szCs w:val="18"/>
                  <w:b w:val="1"/>
                  <w:bCs w:val="1"/>
                  <w:color w:val="0000EE"/>
                </w:rPr>
                <w:t>SIGNATURES</w:t>
              </w:r>
            </w:hyperlink>
          </w:p>
        </w:tc>
        <w:tc>
          <w:tcPr>
            <w:tcW w:w="240" w:type="dxa"/>
            <w:vAlign w:val="bottom"/>
            <w:tcBorders>
              <w:top w:val="single" w:sz="8" w:color="0000EE"/>
            </w:tcBorders>
          </w:tcPr>
          <w:p>
            <w:pPr>
              <w:spacing w:after="0"/>
              <w:rPr>
                <w:sz w:val="24"/>
                <w:szCs w:val="24"/>
                <w:color w:val="auto"/>
              </w:rPr>
            </w:pPr>
          </w:p>
        </w:tc>
        <w:tc>
          <w:tcPr>
            <w:tcW w:w="360" w:type="dxa"/>
            <w:vAlign w:val="bottom"/>
            <w:tcBorders>
              <w:top w:val="single" w:sz="8" w:color="0000EE"/>
            </w:tcBorders>
          </w:tcPr>
          <w:p>
            <w:pPr>
              <w:spacing w:after="0"/>
              <w:rPr>
                <w:sz w:val="24"/>
                <w:szCs w:val="24"/>
                <w:color w:val="auto"/>
              </w:rPr>
            </w:pPr>
          </w:p>
        </w:tc>
        <w:tc>
          <w:tcPr>
            <w:tcW w:w="3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48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14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720" w:type="dxa"/>
            <w:vAlign w:val="bottom"/>
            <w:gridSpan w:val="2"/>
          </w:tcPr>
          <w:p>
            <w:pPr>
              <w:jc w:val="right"/>
              <w:spacing w:after="0"/>
              <w:rPr>
                <w:sz w:val="20"/>
                <w:szCs w:val="20"/>
                <w:color w:val="auto"/>
              </w:rPr>
            </w:pPr>
            <w:r>
              <w:rPr>
                <w:rFonts w:ascii="Arial" w:cs="Arial" w:eastAsia="Arial" w:hAnsi="Arial"/>
                <w:sz w:val="18"/>
                <w:szCs w:val="18"/>
                <w:color w:val="auto"/>
              </w:rPr>
              <w:t>50</w:t>
            </w:r>
          </w:p>
        </w:tc>
        <w:tc>
          <w:tcPr>
            <w:tcW w:w="0" w:type="dxa"/>
            <w:vAlign w:val="bottom"/>
          </w:tcPr>
          <w:p>
            <w:pPr>
              <w:spacing w:after="0"/>
              <w:rPr>
                <w:sz w:val="1"/>
                <w:szCs w:val="1"/>
                <w:color w:val="auto"/>
              </w:rPr>
            </w:pPr>
          </w:p>
        </w:tc>
      </w:tr>
      <w:tr>
        <w:trPr>
          <w:trHeight w:val="20"/>
        </w:trPr>
        <w:tc>
          <w:tcPr>
            <w:tcW w:w="1160" w:type="dxa"/>
            <w:vAlign w:val="bottom"/>
            <w:shd w:val="clear" w:color="auto" w:fill="0000EE"/>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480" w:type="dxa"/>
            <w:vAlign w:val="bottom"/>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144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4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96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- 2 -</w:t>
      </w:r>
    </w:p>
    <w:p>
      <w:pPr>
        <w:sectPr>
          <w:pgSz w:w="11900" w:h="16838" w:orient="portrait"/>
          <w:cols w:equalWidth="0" w:num="1">
            <w:col w:w="11420"/>
          </w:cols>
          <w:pgMar w:left="240" w:top="135" w:right="239" w:bottom="1440" w:gutter="0" w:footer="0" w:header="0"/>
        </w:sectPr>
      </w:pPr>
    </w:p>
    <w:bookmarkStart w:id="2" w:name="page3"/>
    <w:bookmarkEnd w:id="2"/>
    <w:p>
      <w:pPr>
        <w:spacing w:after="0"/>
        <w:rPr>
          <w:sz w:val="20"/>
          <w:szCs w:val="20"/>
          <w:color w:val="auto"/>
        </w:rPr>
      </w:pPr>
      <w:r>
        <w:rPr>
          <w:rFonts w:ascii="Arial" w:cs="Arial" w:eastAsia="Arial" w:hAnsi="Arial"/>
          <w:sz w:val="18"/>
          <w:szCs w:val="18"/>
          <w:b w:val="1"/>
          <w:bCs w:val="1"/>
          <w:color w:val="auto"/>
        </w:rPr>
        <w:t>PART I. FINANCIAL INFORMATION</w:t>
      </w:r>
    </w:p>
    <w:p>
      <w:pPr>
        <w:spacing w:after="0" w:line="117" w:lineRule="exact"/>
        <w:rPr>
          <w:sz w:val="20"/>
          <w:szCs w:val="20"/>
          <w:color w:val="auto"/>
        </w:rPr>
      </w:pPr>
    </w:p>
    <w:p>
      <w:pPr>
        <w:ind w:left="100"/>
        <w:spacing w:after="0"/>
        <w:rPr>
          <w:sz w:val="20"/>
          <w:szCs w:val="20"/>
          <w:color w:val="auto"/>
        </w:rPr>
      </w:pPr>
      <w:r>
        <w:rPr>
          <w:rFonts w:ascii="Arial" w:cs="Arial" w:eastAsia="Arial" w:hAnsi="Arial"/>
          <w:sz w:val="18"/>
          <w:szCs w:val="18"/>
          <w:b w:val="1"/>
          <w:bCs w:val="1"/>
          <w:color w:val="auto"/>
        </w:rPr>
        <w:t>Item 1. Financial Statements</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TRI POINTE HOMES,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CONSOLIDATED BALANCE SHEETS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(in thousands, except share amounts)</w:t>
      </w:r>
    </w:p>
    <w:p>
      <w:pPr>
        <w:spacing w:after="0" w:line="216" w:lineRule="exact"/>
        <w:rPr>
          <w:sz w:val="20"/>
          <w:szCs w:val="20"/>
          <w:color w:val="auto"/>
        </w:rPr>
      </w:pPr>
    </w:p>
    <w:tbl>
      <w:tblPr>
        <w:tblLayout w:type="fixed"/>
        <w:tblInd w:w="0" w:type="dxa"/>
        <w:tblCellMar>
          <w:top w:w="0" w:type="dxa"/>
          <w:left w:w="0" w:type="dxa"/>
          <w:bottom w:w="0" w:type="dxa"/>
          <w:right w:w="0" w:type="dxa"/>
        </w:tblCellMar>
      </w:tblPr>
      <w:tr>
        <w:trPr>
          <w:trHeight w:val="162"/>
        </w:trPr>
        <w:tc>
          <w:tcPr>
            <w:tcW w:w="20" w:type="dxa"/>
            <w:vAlign w:val="bottom"/>
          </w:tcPr>
          <w:p>
            <w:pPr>
              <w:spacing w:after="0"/>
              <w:rPr>
                <w:sz w:val="14"/>
                <w:szCs w:val="14"/>
                <w:color w:val="auto"/>
              </w:rPr>
            </w:pPr>
          </w:p>
        </w:tc>
        <w:tc>
          <w:tcPr>
            <w:tcW w:w="720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480" w:type="dxa"/>
            <w:vAlign w:val="bottom"/>
            <w:gridSpan w:val="2"/>
          </w:tcPr>
          <w:p>
            <w:pPr>
              <w:jc w:val="center"/>
              <w:ind w:right="500"/>
              <w:spacing w:after="0"/>
              <w:rPr>
                <w:sz w:val="20"/>
                <w:szCs w:val="20"/>
                <w:color w:val="auto"/>
              </w:rPr>
            </w:pPr>
            <w:r>
              <w:rPr>
                <w:rFonts w:ascii="Arial" w:cs="Arial" w:eastAsia="Arial" w:hAnsi="Arial"/>
                <w:sz w:val="14"/>
                <w:szCs w:val="14"/>
                <w:b w:val="1"/>
                <w:bCs w:val="1"/>
                <w:color w:val="auto"/>
                <w:w w:val="95"/>
              </w:rPr>
              <w:t>March 31,</w:t>
            </w:r>
          </w:p>
        </w:tc>
        <w:tc>
          <w:tcPr>
            <w:tcW w:w="200" w:type="dxa"/>
            <w:vAlign w:val="bottom"/>
          </w:tcPr>
          <w:p>
            <w:pPr>
              <w:spacing w:after="0"/>
              <w:rPr>
                <w:sz w:val="14"/>
                <w:szCs w:val="14"/>
                <w:color w:val="auto"/>
              </w:rPr>
            </w:pPr>
          </w:p>
        </w:tc>
        <w:tc>
          <w:tcPr>
            <w:tcW w:w="1440" w:type="dxa"/>
            <w:vAlign w:val="bottom"/>
            <w:gridSpan w:val="2"/>
          </w:tcPr>
          <w:p>
            <w:pPr>
              <w:ind w:left="120"/>
              <w:spacing w:after="0"/>
              <w:rPr>
                <w:sz w:val="20"/>
                <w:szCs w:val="20"/>
                <w:color w:val="auto"/>
              </w:rPr>
            </w:pPr>
            <w:r>
              <w:rPr>
                <w:rFonts w:ascii="Arial" w:cs="Arial" w:eastAsia="Arial" w:hAnsi="Arial"/>
                <w:sz w:val="14"/>
                <w:szCs w:val="14"/>
                <w:b w:val="1"/>
                <w:bCs w:val="1"/>
                <w:color w:val="auto"/>
              </w:rPr>
              <w:t>December 31,</w:t>
            </w: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720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260" w:type="dxa"/>
            <w:vAlign w:val="bottom"/>
            <w:tcBorders>
              <w:bottom w:val="single" w:sz="8" w:color="auto"/>
            </w:tcBorders>
          </w:tcPr>
          <w:p>
            <w:pPr>
              <w:spacing w:after="0"/>
              <w:rPr>
                <w:sz w:val="14"/>
                <w:szCs w:val="14"/>
                <w:color w:val="auto"/>
              </w:rPr>
            </w:pPr>
          </w:p>
        </w:tc>
        <w:tc>
          <w:tcPr>
            <w:tcW w:w="1260" w:type="dxa"/>
            <w:vAlign w:val="bottom"/>
            <w:tcBorders>
              <w:bottom w:val="single" w:sz="8" w:color="auto"/>
            </w:tcBorders>
          </w:tcPr>
          <w:p>
            <w:pPr>
              <w:jc w:val="center"/>
              <w:ind w:right="192"/>
              <w:spacing w:after="0"/>
              <w:rPr>
                <w:sz w:val="20"/>
                <w:szCs w:val="20"/>
                <w:color w:val="auto"/>
              </w:rPr>
            </w:pPr>
            <w:r>
              <w:rPr>
                <w:rFonts w:ascii="Arial" w:cs="Arial" w:eastAsia="Arial" w:hAnsi="Arial"/>
                <w:sz w:val="14"/>
                <w:szCs w:val="14"/>
                <w:b w:val="1"/>
                <w:bCs w:val="1"/>
                <w:color w:val="auto"/>
                <w:w w:val="96"/>
              </w:rPr>
              <w:t>2015</w:t>
            </w:r>
          </w:p>
        </w:tc>
        <w:tc>
          <w:tcPr>
            <w:tcW w:w="220" w:type="dxa"/>
            <w:vAlign w:val="bottom"/>
          </w:tcPr>
          <w:p>
            <w:pPr>
              <w:spacing w:after="0"/>
              <w:rPr>
                <w:sz w:val="14"/>
                <w:szCs w:val="14"/>
                <w:color w:val="auto"/>
              </w:rPr>
            </w:pPr>
          </w:p>
        </w:tc>
        <w:tc>
          <w:tcPr>
            <w:tcW w:w="200" w:type="dxa"/>
            <w:vAlign w:val="bottom"/>
            <w:tcBorders>
              <w:bottom w:val="single" w:sz="8" w:color="auto"/>
            </w:tcBorders>
          </w:tcPr>
          <w:p>
            <w:pPr>
              <w:spacing w:after="0"/>
              <w:rPr>
                <w:sz w:val="14"/>
                <w:szCs w:val="14"/>
                <w:color w:val="auto"/>
              </w:rPr>
            </w:pPr>
          </w:p>
        </w:tc>
        <w:tc>
          <w:tcPr>
            <w:tcW w:w="1320" w:type="dxa"/>
            <w:vAlign w:val="bottom"/>
            <w:tcBorders>
              <w:bottom w:val="single" w:sz="8" w:color="auto"/>
            </w:tcBorders>
          </w:tcPr>
          <w:p>
            <w:pPr>
              <w:jc w:val="right"/>
              <w:ind w:right="531"/>
              <w:spacing w:after="0"/>
              <w:rPr>
                <w:sz w:val="20"/>
                <w:szCs w:val="20"/>
                <w:color w:val="auto"/>
              </w:rPr>
            </w:pPr>
            <w:r>
              <w:rPr>
                <w:rFonts w:ascii="Arial" w:cs="Arial" w:eastAsia="Arial" w:hAnsi="Arial"/>
                <w:sz w:val="14"/>
                <w:szCs w:val="14"/>
                <w:b w:val="1"/>
                <w:bCs w:val="1"/>
                <w:color w:val="auto"/>
              </w:rPr>
              <w:t>2014</w:t>
            </w:r>
          </w:p>
        </w:tc>
        <w:tc>
          <w:tcPr>
            <w:tcW w:w="1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720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1260" w:type="dxa"/>
            <w:vAlign w:val="bottom"/>
          </w:tcPr>
          <w:p>
            <w:pPr>
              <w:jc w:val="center"/>
              <w:ind w:right="192"/>
              <w:spacing w:after="0" w:line="155" w:lineRule="exact"/>
              <w:rPr>
                <w:sz w:val="20"/>
                <w:szCs w:val="20"/>
                <w:color w:val="auto"/>
              </w:rPr>
            </w:pPr>
            <w:r>
              <w:rPr>
                <w:rFonts w:ascii="Arial" w:cs="Arial" w:eastAsia="Arial" w:hAnsi="Arial"/>
                <w:sz w:val="14"/>
                <w:szCs w:val="14"/>
                <w:color w:val="auto"/>
                <w:w w:val="93"/>
              </w:rPr>
              <w:t>(unaudited)</w:t>
            </w:r>
          </w:p>
        </w:tc>
        <w:tc>
          <w:tcPr>
            <w:tcW w:w="22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13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7200" w:type="dxa"/>
            <w:vAlign w:val="bottom"/>
            <w:shd w:val="clear" w:color="auto" w:fill="CFF0FC"/>
          </w:tcPr>
          <w:p>
            <w:pPr>
              <w:spacing w:after="0"/>
              <w:rPr>
                <w:sz w:val="20"/>
                <w:szCs w:val="20"/>
                <w:color w:val="auto"/>
              </w:rPr>
            </w:pPr>
            <w:r>
              <w:rPr>
                <w:rFonts w:ascii="Arial" w:cs="Arial" w:eastAsia="Arial" w:hAnsi="Arial"/>
                <w:sz w:val="18"/>
                <w:szCs w:val="18"/>
                <w:b w:val="1"/>
                <w:bCs w:val="1"/>
                <w:color w:val="auto"/>
              </w:rPr>
              <w:t>Assets</w:t>
            </w:r>
          </w:p>
        </w:tc>
        <w:tc>
          <w:tcPr>
            <w:tcW w:w="820" w:type="dxa"/>
            <w:vAlign w:val="bottom"/>
            <w:shd w:val="clear" w:color="auto" w:fill="CFF0FC"/>
          </w:tcPr>
          <w:p>
            <w:pPr>
              <w:spacing w:after="0"/>
              <w:rPr>
                <w:sz w:val="19"/>
                <w:szCs w:val="19"/>
                <w:color w:val="auto"/>
              </w:rPr>
            </w:pPr>
          </w:p>
        </w:tc>
        <w:tc>
          <w:tcPr>
            <w:tcW w:w="260" w:type="dxa"/>
            <w:vAlign w:val="bottom"/>
            <w:shd w:val="clear" w:color="auto" w:fill="CFF0FC"/>
          </w:tcPr>
          <w:p>
            <w:pPr>
              <w:spacing w:after="0"/>
              <w:rPr>
                <w:sz w:val="19"/>
                <w:szCs w:val="19"/>
                <w:color w:val="auto"/>
              </w:rPr>
            </w:pPr>
          </w:p>
        </w:tc>
        <w:tc>
          <w:tcPr>
            <w:tcW w:w="1260" w:type="dxa"/>
            <w:vAlign w:val="bottom"/>
            <w:shd w:val="clear" w:color="auto" w:fill="CFF0FC"/>
          </w:tcPr>
          <w:p>
            <w:pPr>
              <w:spacing w:after="0"/>
              <w:rPr>
                <w:sz w:val="19"/>
                <w:szCs w:val="19"/>
                <w:color w:val="auto"/>
              </w:rPr>
            </w:pPr>
          </w:p>
        </w:tc>
        <w:tc>
          <w:tcPr>
            <w:tcW w:w="22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132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7200" w:type="dxa"/>
            <w:vAlign w:val="bottom"/>
          </w:tcPr>
          <w:p>
            <w:pPr>
              <w:ind w:left="240"/>
              <w:spacing w:after="0"/>
              <w:rPr>
                <w:sz w:val="20"/>
                <w:szCs w:val="20"/>
                <w:color w:val="auto"/>
              </w:rPr>
            </w:pPr>
            <w:r>
              <w:rPr>
                <w:rFonts w:ascii="Arial" w:cs="Arial" w:eastAsia="Arial" w:hAnsi="Arial"/>
                <w:sz w:val="18"/>
                <w:szCs w:val="18"/>
                <w:color w:val="auto"/>
              </w:rPr>
              <w:t>Cash and cash equivalents</w:t>
            </w:r>
          </w:p>
        </w:tc>
        <w:tc>
          <w:tcPr>
            <w:tcW w:w="1080" w:type="dxa"/>
            <w:vAlign w:val="bottom"/>
            <w:gridSpan w:val="2"/>
          </w:tcPr>
          <w:p>
            <w:pPr>
              <w:jc w:val="right"/>
              <w:ind w:right="70"/>
              <w:spacing w:after="0"/>
              <w:rPr>
                <w:sz w:val="20"/>
                <w:szCs w:val="20"/>
                <w:color w:val="auto"/>
              </w:rPr>
            </w:pPr>
            <w:r>
              <w:rPr>
                <w:rFonts w:ascii="Arial" w:cs="Arial" w:eastAsia="Arial" w:hAnsi="Arial"/>
                <w:sz w:val="18"/>
                <w:szCs w:val="18"/>
                <w:color w:val="auto"/>
              </w:rPr>
              <w:t>$</w:t>
            </w:r>
          </w:p>
        </w:tc>
        <w:tc>
          <w:tcPr>
            <w:tcW w:w="1260" w:type="dxa"/>
            <w:vAlign w:val="bottom"/>
          </w:tcPr>
          <w:p>
            <w:pPr>
              <w:jc w:val="right"/>
              <w:spacing w:after="0"/>
              <w:rPr>
                <w:sz w:val="20"/>
                <w:szCs w:val="20"/>
                <w:color w:val="auto"/>
              </w:rPr>
            </w:pPr>
            <w:r>
              <w:rPr>
                <w:rFonts w:ascii="Arial" w:cs="Arial" w:eastAsia="Arial" w:hAnsi="Arial"/>
                <w:sz w:val="18"/>
                <w:szCs w:val="18"/>
                <w:color w:val="auto"/>
              </w:rPr>
              <w:t>106,573</w:t>
            </w:r>
          </w:p>
        </w:tc>
        <w:tc>
          <w:tcPr>
            <w:tcW w:w="220" w:type="dxa"/>
            <w:vAlign w:val="bottom"/>
          </w:tcPr>
          <w:p>
            <w:pPr>
              <w:spacing w:after="0"/>
              <w:rPr>
                <w:sz w:val="19"/>
                <w:szCs w:val="19"/>
                <w:color w:val="auto"/>
              </w:rPr>
            </w:pPr>
          </w:p>
        </w:tc>
        <w:tc>
          <w:tcPr>
            <w:tcW w:w="200" w:type="dxa"/>
            <w:vAlign w:val="bottom"/>
          </w:tcPr>
          <w:p>
            <w:pPr>
              <w:jc w:val="right"/>
              <w:ind w:right="45"/>
              <w:spacing w:after="0"/>
              <w:rPr>
                <w:sz w:val="20"/>
                <w:szCs w:val="20"/>
                <w:color w:val="auto"/>
              </w:rPr>
            </w:pPr>
            <w:r>
              <w:rPr>
                <w:rFonts w:ascii="Arial" w:cs="Arial" w:eastAsia="Arial" w:hAnsi="Arial"/>
                <w:sz w:val="15"/>
                <w:szCs w:val="15"/>
                <w:color w:val="auto"/>
                <w:w w:val="71"/>
              </w:rPr>
              <w:t>$</w:t>
            </w:r>
          </w:p>
        </w:tc>
        <w:tc>
          <w:tcPr>
            <w:tcW w:w="1320" w:type="dxa"/>
            <w:vAlign w:val="bottom"/>
          </w:tcPr>
          <w:p>
            <w:pPr>
              <w:jc w:val="right"/>
              <w:spacing w:after="0"/>
              <w:rPr>
                <w:sz w:val="20"/>
                <w:szCs w:val="20"/>
                <w:color w:val="auto"/>
              </w:rPr>
            </w:pPr>
            <w:r>
              <w:rPr>
                <w:rFonts w:ascii="Arial" w:cs="Arial" w:eastAsia="Arial" w:hAnsi="Arial"/>
                <w:sz w:val="18"/>
                <w:szCs w:val="18"/>
                <w:color w:val="auto"/>
              </w:rPr>
              <w:t>170,629</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7200" w:type="dxa"/>
            <w:vAlign w:val="bottom"/>
            <w:shd w:val="clear" w:color="auto" w:fill="CFF0FC"/>
          </w:tcPr>
          <w:p>
            <w:pPr>
              <w:ind w:left="240"/>
              <w:spacing w:after="0"/>
              <w:rPr>
                <w:sz w:val="20"/>
                <w:szCs w:val="20"/>
                <w:color w:val="auto"/>
              </w:rPr>
            </w:pPr>
            <w:r>
              <w:rPr>
                <w:rFonts w:ascii="Arial" w:cs="Arial" w:eastAsia="Arial" w:hAnsi="Arial"/>
                <w:sz w:val="18"/>
                <w:szCs w:val="18"/>
                <w:color w:val="auto"/>
              </w:rPr>
              <w:t>Receivables</w:t>
            </w:r>
          </w:p>
        </w:tc>
        <w:tc>
          <w:tcPr>
            <w:tcW w:w="820" w:type="dxa"/>
            <w:vAlign w:val="bottom"/>
            <w:shd w:val="clear" w:color="auto" w:fill="CFF0FC"/>
          </w:tcPr>
          <w:p>
            <w:pPr>
              <w:spacing w:after="0"/>
              <w:rPr>
                <w:sz w:val="19"/>
                <w:szCs w:val="19"/>
                <w:color w:val="auto"/>
              </w:rPr>
            </w:pPr>
          </w:p>
        </w:tc>
        <w:tc>
          <w:tcPr>
            <w:tcW w:w="260" w:type="dxa"/>
            <w:vAlign w:val="bottom"/>
            <w:shd w:val="clear" w:color="auto" w:fill="CFF0FC"/>
          </w:tcPr>
          <w:p>
            <w:pPr>
              <w:spacing w:after="0"/>
              <w:rPr>
                <w:sz w:val="19"/>
                <w:szCs w:val="19"/>
                <w:color w:val="auto"/>
              </w:rPr>
            </w:pPr>
          </w:p>
        </w:tc>
        <w:tc>
          <w:tcPr>
            <w:tcW w:w="12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23,012</w:t>
            </w:r>
          </w:p>
        </w:tc>
        <w:tc>
          <w:tcPr>
            <w:tcW w:w="22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13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20,118</w:t>
            </w:r>
          </w:p>
        </w:tc>
        <w:tc>
          <w:tcPr>
            <w:tcW w:w="1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7200" w:type="dxa"/>
            <w:vAlign w:val="bottom"/>
          </w:tcPr>
          <w:p>
            <w:pPr>
              <w:ind w:left="240"/>
              <w:spacing w:after="0"/>
              <w:rPr>
                <w:sz w:val="20"/>
                <w:szCs w:val="20"/>
                <w:color w:val="auto"/>
              </w:rPr>
            </w:pPr>
            <w:r>
              <w:rPr>
                <w:rFonts w:ascii="Arial" w:cs="Arial" w:eastAsia="Arial" w:hAnsi="Arial"/>
                <w:sz w:val="18"/>
                <w:szCs w:val="18"/>
                <w:color w:val="auto"/>
              </w:rPr>
              <w:t>Real estate inventories</w:t>
            </w:r>
          </w:p>
        </w:tc>
        <w:tc>
          <w:tcPr>
            <w:tcW w:w="82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260" w:type="dxa"/>
            <w:vAlign w:val="bottom"/>
          </w:tcPr>
          <w:p>
            <w:pPr>
              <w:jc w:val="right"/>
              <w:spacing w:after="0"/>
              <w:rPr>
                <w:sz w:val="20"/>
                <w:szCs w:val="20"/>
                <w:color w:val="auto"/>
              </w:rPr>
            </w:pPr>
            <w:r>
              <w:rPr>
                <w:rFonts w:ascii="Arial" w:cs="Arial" w:eastAsia="Arial" w:hAnsi="Arial"/>
                <w:sz w:val="18"/>
                <w:szCs w:val="18"/>
                <w:color w:val="auto"/>
              </w:rPr>
              <w:t>2,409,306</w:t>
            </w:r>
          </w:p>
        </w:tc>
        <w:tc>
          <w:tcPr>
            <w:tcW w:w="2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320" w:type="dxa"/>
            <w:vAlign w:val="bottom"/>
          </w:tcPr>
          <w:p>
            <w:pPr>
              <w:jc w:val="right"/>
              <w:spacing w:after="0"/>
              <w:rPr>
                <w:sz w:val="20"/>
                <w:szCs w:val="20"/>
                <w:color w:val="auto"/>
              </w:rPr>
            </w:pPr>
            <w:r>
              <w:rPr>
                <w:rFonts w:ascii="Arial" w:cs="Arial" w:eastAsia="Arial" w:hAnsi="Arial"/>
                <w:sz w:val="18"/>
                <w:szCs w:val="18"/>
                <w:color w:val="auto"/>
              </w:rPr>
              <w:t>2,280,183</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7200" w:type="dxa"/>
            <w:vAlign w:val="bottom"/>
            <w:shd w:val="clear" w:color="auto" w:fill="CFF0FC"/>
          </w:tcPr>
          <w:p>
            <w:pPr>
              <w:ind w:left="240"/>
              <w:spacing w:after="0"/>
              <w:rPr>
                <w:sz w:val="20"/>
                <w:szCs w:val="20"/>
                <w:color w:val="auto"/>
              </w:rPr>
            </w:pPr>
            <w:r>
              <w:rPr>
                <w:rFonts w:ascii="Arial" w:cs="Arial" w:eastAsia="Arial" w:hAnsi="Arial"/>
                <w:sz w:val="18"/>
                <w:szCs w:val="18"/>
                <w:color w:val="auto"/>
              </w:rPr>
              <w:t>Investments in unconsolidated entities</w:t>
            </w:r>
          </w:p>
        </w:tc>
        <w:tc>
          <w:tcPr>
            <w:tcW w:w="820" w:type="dxa"/>
            <w:vAlign w:val="bottom"/>
            <w:shd w:val="clear" w:color="auto" w:fill="CFF0FC"/>
          </w:tcPr>
          <w:p>
            <w:pPr>
              <w:spacing w:after="0"/>
              <w:rPr>
                <w:sz w:val="19"/>
                <w:szCs w:val="19"/>
                <w:color w:val="auto"/>
              </w:rPr>
            </w:pPr>
          </w:p>
        </w:tc>
        <w:tc>
          <w:tcPr>
            <w:tcW w:w="260" w:type="dxa"/>
            <w:vAlign w:val="bottom"/>
            <w:shd w:val="clear" w:color="auto" w:fill="CFF0FC"/>
          </w:tcPr>
          <w:p>
            <w:pPr>
              <w:spacing w:after="0"/>
              <w:rPr>
                <w:sz w:val="19"/>
                <w:szCs w:val="19"/>
                <w:color w:val="auto"/>
              </w:rPr>
            </w:pPr>
          </w:p>
        </w:tc>
        <w:tc>
          <w:tcPr>
            <w:tcW w:w="12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17,730</w:t>
            </w:r>
          </w:p>
        </w:tc>
        <w:tc>
          <w:tcPr>
            <w:tcW w:w="22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13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16,805</w:t>
            </w:r>
          </w:p>
        </w:tc>
        <w:tc>
          <w:tcPr>
            <w:tcW w:w="1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7200" w:type="dxa"/>
            <w:vAlign w:val="bottom"/>
          </w:tcPr>
          <w:p>
            <w:pPr>
              <w:ind w:left="240"/>
              <w:spacing w:after="0"/>
              <w:rPr>
                <w:sz w:val="20"/>
                <w:szCs w:val="20"/>
                <w:color w:val="auto"/>
              </w:rPr>
            </w:pPr>
            <w:r>
              <w:rPr>
                <w:rFonts w:ascii="Arial" w:cs="Arial" w:eastAsia="Arial" w:hAnsi="Arial"/>
                <w:sz w:val="18"/>
                <w:szCs w:val="18"/>
                <w:color w:val="auto"/>
              </w:rPr>
              <w:t>Goodwill and other intangible assets, net</w:t>
            </w:r>
          </w:p>
        </w:tc>
        <w:tc>
          <w:tcPr>
            <w:tcW w:w="82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260" w:type="dxa"/>
            <w:vAlign w:val="bottom"/>
          </w:tcPr>
          <w:p>
            <w:pPr>
              <w:jc w:val="right"/>
              <w:spacing w:after="0"/>
              <w:rPr>
                <w:sz w:val="20"/>
                <w:szCs w:val="20"/>
                <w:color w:val="auto"/>
              </w:rPr>
            </w:pPr>
            <w:r>
              <w:rPr>
                <w:rFonts w:ascii="Arial" w:cs="Arial" w:eastAsia="Arial" w:hAnsi="Arial"/>
                <w:sz w:val="18"/>
                <w:szCs w:val="18"/>
                <w:color w:val="auto"/>
              </w:rPr>
              <w:t>162,429</w:t>
            </w:r>
          </w:p>
        </w:tc>
        <w:tc>
          <w:tcPr>
            <w:tcW w:w="2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320" w:type="dxa"/>
            <w:vAlign w:val="bottom"/>
          </w:tcPr>
          <w:p>
            <w:pPr>
              <w:jc w:val="right"/>
              <w:spacing w:after="0"/>
              <w:rPr>
                <w:sz w:val="20"/>
                <w:szCs w:val="20"/>
                <w:color w:val="auto"/>
              </w:rPr>
            </w:pPr>
            <w:r>
              <w:rPr>
                <w:rFonts w:ascii="Arial" w:cs="Arial" w:eastAsia="Arial" w:hAnsi="Arial"/>
                <w:sz w:val="18"/>
                <w:szCs w:val="18"/>
                <w:color w:val="auto"/>
              </w:rPr>
              <w:t>162,563</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7200" w:type="dxa"/>
            <w:vAlign w:val="bottom"/>
            <w:shd w:val="clear" w:color="auto" w:fill="CFF0FC"/>
          </w:tcPr>
          <w:p>
            <w:pPr>
              <w:ind w:left="240"/>
              <w:spacing w:after="0"/>
              <w:rPr>
                <w:sz w:val="20"/>
                <w:szCs w:val="20"/>
                <w:color w:val="auto"/>
              </w:rPr>
            </w:pPr>
            <w:r>
              <w:rPr>
                <w:rFonts w:ascii="Arial" w:cs="Arial" w:eastAsia="Arial" w:hAnsi="Arial"/>
                <w:sz w:val="18"/>
                <w:szCs w:val="18"/>
                <w:color w:val="auto"/>
              </w:rPr>
              <w:t>Deferred tax assets</w:t>
            </w:r>
          </w:p>
        </w:tc>
        <w:tc>
          <w:tcPr>
            <w:tcW w:w="820" w:type="dxa"/>
            <w:vAlign w:val="bottom"/>
            <w:shd w:val="clear" w:color="auto" w:fill="CFF0FC"/>
          </w:tcPr>
          <w:p>
            <w:pPr>
              <w:spacing w:after="0"/>
              <w:rPr>
                <w:sz w:val="19"/>
                <w:szCs w:val="19"/>
                <w:color w:val="auto"/>
              </w:rPr>
            </w:pPr>
          </w:p>
        </w:tc>
        <w:tc>
          <w:tcPr>
            <w:tcW w:w="260" w:type="dxa"/>
            <w:vAlign w:val="bottom"/>
            <w:shd w:val="clear" w:color="auto" w:fill="CFF0FC"/>
          </w:tcPr>
          <w:p>
            <w:pPr>
              <w:spacing w:after="0"/>
              <w:rPr>
                <w:sz w:val="19"/>
                <w:szCs w:val="19"/>
                <w:color w:val="auto"/>
              </w:rPr>
            </w:pPr>
          </w:p>
        </w:tc>
        <w:tc>
          <w:tcPr>
            <w:tcW w:w="12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155,803</w:t>
            </w:r>
          </w:p>
        </w:tc>
        <w:tc>
          <w:tcPr>
            <w:tcW w:w="22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13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157,821</w:t>
            </w:r>
          </w:p>
        </w:tc>
        <w:tc>
          <w:tcPr>
            <w:tcW w:w="1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7200" w:type="dxa"/>
            <w:vAlign w:val="bottom"/>
            <w:tcBorders>
              <w:bottom w:val="single" w:sz="8" w:color="CFF0FC"/>
            </w:tcBorders>
          </w:tcPr>
          <w:p>
            <w:pPr>
              <w:ind w:left="240"/>
              <w:spacing w:after="0"/>
              <w:rPr>
                <w:sz w:val="20"/>
                <w:szCs w:val="20"/>
                <w:color w:val="auto"/>
              </w:rPr>
            </w:pPr>
            <w:r>
              <w:rPr>
                <w:rFonts w:ascii="Arial" w:cs="Arial" w:eastAsia="Arial" w:hAnsi="Arial"/>
                <w:sz w:val="18"/>
                <w:szCs w:val="18"/>
                <w:color w:val="auto"/>
              </w:rPr>
              <w:t>Other assets</w:t>
            </w:r>
          </w:p>
        </w:tc>
        <w:tc>
          <w:tcPr>
            <w:tcW w:w="820" w:type="dxa"/>
            <w:vAlign w:val="bottom"/>
            <w:tcBorders>
              <w:bottom w:val="single" w:sz="8" w:color="CFF0FC"/>
            </w:tcBorders>
          </w:tcPr>
          <w:p>
            <w:pPr>
              <w:spacing w:after="0"/>
              <w:rPr>
                <w:sz w:val="19"/>
                <w:szCs w:val="19"/>
                <w:color w:val="auto"/>
              </w:rPr>
            </w:pPr>
          </w:p>
        </w:tc>
        <w:tc>
          <w:tcPr>
            <w:tcW w:w="260" w:type="dxa"/>
            <w:vAlign w:val="bottom"/>
            <w:tcBorders>
              <w:bottom w:val="single" w:sz="8" w:color="auto"/>
            </w:tcBorders>
          </w:tcPr>
          <w:p>
            <w:pPr>
              <w:spacing w:after="0"/>
              <w:rPr>
                <w:sz w:val="19"/>
                <w:szCs w:val="19"/>
                <w:color w:val="auto"/>
              </w:rPr>
            </w:pPr>
          </w:p>
        </w:tc>
        <w:tc>
          <w:tcPr>
            <w:tcW w:w="12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97,394</w:t>
            </w:r>
          </w:p>
        </w:tc>
        <w:tc>
          <w:tcPr>
            <w:tcW w:w="220" w:type="dxa"/>
            <w:vAlign w:val="bottom"/>
            <w:tcBorders>
              <w:bottom w:val="single" w:sz="8" w:color="CFF0FC"/>
            </w:tcBorders>
          </w:tcPr>
          <w:p>
            <w:pPr>
              <w:spacing w:after="0"/>
              <w:rPr>
                <w:sz w:val="19"/>
                <w:szCs w:val="19"/>
                <w:color w:val="auto"/>
              </w:rPr>
            </w:pPr>
          </w:p>
        </w:tc>
        <w:tc>
          <w:tcPr>
            <w:tcW w:w="200" w:type="dxa"/>
            <w:vAlign w:val="bottom"/>
            <w:tcBorders>
              <w:bottom w:val="single" w:sz="8" w:color="auto"/>
            </w:tcBorders>
          </w:tcPr>
          <w:p>
            <w:pPr>
              <w:spacing w:after="0"/>
              <w:rPr>
                <w:sz w:val="19"/>
                <w:szCs w:val="19"/>
                <w:color w:val="auto"/>
              </w:rPr>
            </w:pPr>
          </w:p>
        </w:tc>
        <w:tc>
          <w:tcPr>
            <w:tcW w:w="13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105,405</w:t>
            </w:r>
          </w:p>
        </w:tc>
        <w:tc>
          <w:tcPr>
            <w:tcW w:w="120" w:type="dxa"/>
            <w:vAlign w:val="bottom"/>
            <w:tcBorders>
              <w:bottom w:val="single" w:sz="8" w:color="CFF0FC"/>
            </w:tcBorders>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7200" w:type="dxa"/>
            <w:vAlign w:val="bottom"/>
            <w:tcBorders>
              <w:bottom w:val="single" w:sz="8" w:color="CFF0FC"/>
            </w:tcBorders>
            <w:shd w:val="clear" w:color="auto" w:fill="CFF0FC"/>
          </w:tcPr>
          <w:p>
            <w:pPr>
              <w:ind w:left="480"/>
              <w:spacing w:after="0"/>
              <w:rPr>
                <w:sz w:val="20"/>
                <w:szCs w:val="20"/>
                <w:color w:val="auto"/>
              </w:rPr>
            </w:pPr>
            <w:r>
              <w:rPr>
                <w:rFonts w:ascii="Arial" w:cs="Arial" w:eastAsia="Arial" w:hAnsi="Arial"/>
                <w:sz w:val="18"/>
                <w:szCs w:val="18"/>
                <w:color w:val="auto"/>
              </w:rPr>
              <w:t>Total assets</w:t>
            </w:r>
          </w:p>
        </w:tc>
        <w:tc>
          <w:tcPr>
            <w:tcW w:w="820" w:type="dxa"/>
            <w:vAlign w:val="bottom"/>
            <w:tcBorders>
              <w:bottom w:val="single" w:sz="8" w:color="CFF0FC"/>
            </w:tcBorders>
            <w:shd w:val="clear" w:color="auto" w:fill="CFF0FC"/>
          </w:tcPr>
          <w:p>
            <w:pPr>
              <w:spacing w:after="0"/>
              <w:rPr>
                <w:sz w:val="19"/>
                <w:szCs w:val="19"/>
                <w:color w:val="auto"/>
              </w:rPr>
            </w:pPr>
          </w:p>
        </w:tc>
        <w:tc>
          <w:tcPr>
            <w:tcW w:w="260" w:type="dxa"/>
            <w:vAlign w:val="bottom"/>
            <w:tcBorders>
              <w:bottom w:val="single" w:sz="8" w:color="auto"/>
            </w:tcBorders>
            <w:shd w:val="clear" w:color="auto" w:fill="CFF0FC"/>
          </w:tcPr>
          <w:p>
            <w:pPr>
              <w:jc w:val="right"/>
              <w:ind w:right="70"/>
              <w:spacing w:after="0"/>
              <w:rPr>
                <w:sz w:val="20"/>
                <w:szCs w:val="20"/>
                <w:color w:val="auto"/>
              </w:rPr>
            </w:pPr>
            <w:r>
              <w:rPr>
                <w:rFonts w:ascii="Arial" w:cs="Arial" w:eastAsia="Arial" w:hAnsi="Arial"/>
                <w:sz w:val="18"/>
                <w:szCs w:val="18"/>
                <w:color w:val="auto"/>
                <w:w w:val="79"/>
              </w:rPr>
              <w:t>$</w:t>
            </w:r>
          </w:p>
        </w:tc>
        <w:tc>
          <w:tcPr>
            <w:tcW w:w="126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2,972,247</w:t>
            </w:r>
          </w:p>
        </w:tc>
        <w:tc>
          <w:tcPr>
            <w:tcW w:w="220" w:type="dxa"/>
            <w:vAlign w:val="bottom"/>
            <w:tcBorders>
              <w:bottom w:val="single" w:sz="8" w:color="CFF0FC"/>
            </w:tcBorders>
            <w:shd w:val="clear" w:color="auto" w:fill="CFF0FC"/>
          </w:tcPr>
          <w:p>
            <w:pPr>
              <w:spacing w:after="0"/>
              <w:rPr>
                <w:sz w:val="19"/>
                <w:szCs w:val="19"/>
                <w:color w:val="auto"/>
              </w:rPr>
            </w:pPr>
          </w:p>
        </w:tc>
        <w:tc>
          <w:tcPr>
            <w:tcW w:w="200" w:type="dxa"/>
            <w:vAlign w:val="bottom"/>
            <w:tcBorders>
              <w:bottom w:val="single" w:sz="8" w:color="auto"/>
            </w:tcBorders>
            <w:shd w:val="clear" w:color="auto" w:fill="CFF0FC"/>
          </w:tcPr>
          <w:p>
            <w:pPr>
              <w:jc w:val="right"/>
              <w:ind w:right="45"/>
              <w:spacing w:after="0"/>
              <w:rPr>
                <w:sz w:val="20"/>
                <w:szCs w:val="20"/>
                <w:color w:val="auto"/>
              </w:rPr>
            </w:pPr>
            <w:r>
              <w:rPr>
                <w:rFonts w:ascii="Arial" w:cs="Arial" w:eastAsia="Arial" w:hAnsi="Arial"/>
                <w:sz w:val="15"/>
                <w:szCs w:val="15"/>
                <w:color w:val="auto"/>
                <w:w w:val="71"/>
              </w:rPr>
              <w:t>$</w:t>
            </w:r>
          </w:p>
        </w:tc>
        <w:tc>
          <w:tcPr>
            <w:tcW w:w="13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2,913,524</w:t>
            </w:r>
          </w:p>
        </w:tc>
        <w:tc>
          <w:tcPr>
            <w:tcW w:w="120" w:type="dxa"/>
            <w:vAlign w:val="bottom"/>
            <w:tcBorders>
              <w:bottom w:val="single" w:sz="8" w:color="CFF0FC"/>
            </w:tcBorders>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7220" w:type="dxa"/>
            <w:vAlign w:val="bottom"/>
            <w:gridSpan w:val="2"/>
            <w:vMerge w:val="restart"/>
          </w:tcPr>
          <w:p>
            <w:pPr>
              <w:spacing w:after="0"/>
              <w:rPr>
                <w:sz w:val="20"/>
                <w:szCs w:val="20"/>
                <w:color w:val="auto"/>
              </w:rPr>
            </w:pPr>
            <w:r>
              <w:rPr>
                <w:rFonts w:ascii="Arial" w:cs="Arial" w:eastAsia="Arial" w:hAnsi="Arial"/>
                <w:sz w:val="18"/>
                <w:szCs w:val="18"/>
                <w:b w:val="1"/>
                <w:bCs w:val="1"/>
                <w:color w:val="auto"/>
              </w:rPr>
              <w:t>Liabilities</w:t>
            </w:r>
          </w:p>
        </w:tc>
        <w:tc>
          <w:tcPr>
            <w:tcW w:w="82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26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3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7220" w:type="dxa"/>
            <w:vAlign w:val="bottom"/>
            <w:gridSpan w:val="2"/>
            <w:vMerge w:val="continue"/>
          </w:tcPr>
          <w:p>
            <w:pPr>
              <w:spacing w:after="0"/>
              <w:rPr>
                <w:sz w:val="18"/>
                <w:szCs w:val="18"/>
                <w:color w:val="auto"/>
              </w:rPr>
            </w:pPr>
          </w:p>
        </w:tc>
        <w:tc>
          <w:tcPr>
            <w:tcW w:w="8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2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3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7200" w:type="dxa"/>
            <w:vAlign w:val="bottom"/>
            <w:shd w:val="clear" w:color="auto" w:fill="CFF0FC"/>
          </w:tcPr>
          <w:p>
            <w:pPr>
              <w:ind w:left="240"/>
              <w:spacing w:after="0"/>
              <w:rPr>
                <w:sz w:val="20"/>
                <w:szCs w:val="20"/>
                <w:color w:val="auto"/>
              </w:rPr>
            </w:pPr>
            <w:r>
              <w:rPr>
                <w:rFonts w:ascii="Arial" w:cs="Arial" w:eastAsia="Arial" w:hAnsi="Arial"/>
                <w:sz w:val="18"/>
                <w:szCs w:val="18"/>
                <w:color w:val="auto"/>
              </w:rPr>
              <w:t>Accounts payable</w:t>
            </w:r>
          </w:p>
        </w:tc>
        <w:tc>
          <w:tcPr>
            <w:tcW w:w="1080" w:type="dxa"/>
            <w:vAlign w:val="bottom"/>
            <w:gridSpan w:val="2"/>
            <w:shd w:val="clear" w:color="auto" w:fill="CFF0FC"/>
          </w:tcPr>
          <w:p>
            <w:pPr>
              <w:jc w:val="right"/>
              <w:ind w:right="70"/>
              <w:spacing w:after="0"/>
              <w:rPr>
                <w:sz w:val="20"/>
                <w:szCs w:val="20"/>
                <w:color w:val="auto"/>
              </w:rPr>
            </w:pPr>
            <w:r>
              <w:rPr>
                <w:rFonts w:ascii="Arial" w:cs="Arial" w:eastAsia="Arial" w:hAnsi="Arial"/>
                <w:sz w:val="18"/>
                <w:szCs w:val="18"/>
                <w:color w:val="auto"/>
              </w:rPr>
              <w:t>$</w:t>
            </w:r>
          </w:p>
        </w:tc>
        <w:tc>
          <w:tcPr>
            <w:tcW w:w="12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60,995</w:t>
            </w:r>
          </w:p>
        </w:tc>
        <w:tc>
          <w:tcPr>
            <w:tcW w:w="220" w:type="dxa"/>
            <w:vAlign w:val="bottom"/>
            <w:shd w:val="clear" w:color="auto" w:fill="CFF0FC"/>
          </w:tcPr>
          <w:p>
            <w:pPr>
              <w:spacing w:after="0"/>
              <w:rPr>
                <w:sz w:val="19"/>
                <w:szCs w:val="19"/>
                <w:color w:val="auto"/>
              </w:rPr>
            </w:pPr>
          </w:p>
        </w:tc>
        <w:tc>
          <w:tcPr>
            <w:tcW w:w="200" w:type="dxa"/>
            <w:vAlign w:val="bottom"/>
            <w:shd w:val="clear" w:color="auto" w:fill="CFF0FC"/>
          </w:tcPr>
          <w:p>
            <w:pPr>
              <w:jc w:val="right"/>
              <w:ind w:right="45"/>
              <w:spacing w:after="0"/>
              <w:rPr>
                <w:sz w:val="20"/>
                <w:szCs w:val="20"/>
                <w:color w:val="auto"/>
              </w:rPr>
            </w:pPr>
            <w:r>
              <w:rPr>
                <w:rFonts w:ascii="Arial" w:cs="Arial" w:eastAsia="Arial" w:hAnsi="Arial"/>
                <w:sz w:val="15"/>
                <w:szCs w:val="15"/>
                <w:color w:val="auto"/>
                <w:w w:val="71"/>
              </w:rPr>
              <w:t>$</w:t>
            </w:r>
          </w:p>
        </w:tc>
        <w:tc>
          <w:tcPr>
            <w:tcW w:w="13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68,860</w:t>
            </w:r>
          </w:p>
        </w:tc>
        <w:tc>
          <w:tcPr>
            <w:tcW w:w="1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7200" w:type="dxa"/>
            <w:vAlign w:val="bottom"/>
          </w:tcPr>
          <w:p>
            <w:pPr>
              <w:ind w:left="240"/>
              <w:spacing w:after="0"/>
              <w:rPr>
                <w:sz w:val="20"/>
                <w:szCs w:val="20"/>
                <w:color w:val="auto"/>
              </w:rPr>
            </w:pPr>
            <w:r>
              <w:rPr>
                <w:rFonts w:ascii="Arial" w:cs="Arial" w:eastAsia="Arial" w:hAnsi="Arial"/>
                <w:sz w:val="18"/>
                <w:szCs w:val="18"/>
                <w:color w:val="auto"/>
              </w:rPr>
              <w:t>Accrued expenses and other liabilities</w:t>
            </w:r>
          </w:p>
        </w:tc>
        <w:tc>
          <w:tcPr>
            <w:tcW w:w="82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260" w:type="dxa"/>
            <w:vAlign w:val="bottom"/>
          </w:tcPr>
          <w:p>
            <w:pPr>
              <w:jc w:val="right"/>
              <w:spacing w:after="0"/>
              <w:rPr>
                <w:sz w:val="20"/>
                <w:szCs w:val="20"/>
                <w:color w:val="auto"/>
              </w:rPr>
            </w:pPr>
            <w:r>
              <w:rPr>
                <w:rFonts w:ascii="Arial" w:cs="Arial" w:eastAsia="Arial" w:hAnsi="Arial"/>
                <w:sz w:val="18"/>
                <w:szCs w:val="18"/>
                <w:color w:val="auto"/>
              </w:rPr>
              <w:t>210,601</w:t>
            </w:r>
          </w:p>
        </w:tc>
        <w:tc>
          <w:tcPr>
            <w:tcW w:w="2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320" w:type="dxa"/>
            <w:vAlign w:val="bottom"/>
          </w:tcPr>
          <w:p>
            <w:pPr>
              <w:jc w:val="right"/>
              <w:spacing w:after="0"/>
              <w:rPr>
                <w:sz w:val="20"/>
                <w:szCs w:val="20"/>
                <w:color w:val="auto"/>
              </w:rPr>
            </w:pPr>
            <w:r>
              <w:rPr>
                <w:rFonts w:ascii="Arial" w:cs="Arial" w:eastAsia="Arial" w:hAnsi="Arial"/>
                <w:sz w:val="18"/>
                <w:szCs w:val="18"/>
                <w:color w:val="auto"/>
              </w:rPr>
              <w:t>210,009</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7200" w:type="dxa"/>
            <w:vAlign w:val="bottom"/>
            <w:shd w:val="clear" w:color="auto" w:fill="CFF0FC"/>
          </w:tcPr>
          <w:p>
            <w:pPr>
              <w:ind w:left="240"/>
              <w:spacing w:after="0"/>
              <w:rPr>
                <w:sz w:val="20"/>
                <w:szCs w:val="20"/>
                <w:color w:val="auto"/>
              </w:rPr>
            </w:pPr>
            <w:r>
              <w:rPr>
                <w:rFonts w:ascii="Arial" w:cs="Arial" w:eastAsia="Arial" w:hAnsi="Arial"/>
                <w:sz w:val="18"/>
                <w:szCs w:val="18"/>
                <w:color w:val="auto"/>
              </w:rPr>
              <w:t>Notes payable and other borrowings</w:t>
            </w:r>
          </w:p>
        </w:tc>
        <w:tc>
          <w:tcPr>
            <w:tcW w:w="820" w:type="dxa"/>
            <w:vAlign w:val="bottom"/>
            <w:shd w:val="clear" w:color="auto" w:fill="CFF0FC"/>
          </w:tcPr>
          <w:p>
            <w:pPr>
              <w:spacing w:after="0"/>
              <w:rPr>
                <w:sz w:val="19"/>
                <w:szCs w:val="19"/>
                <w:color w:val="auto"/>
              </w:rPr>
            </w:pPr>
          </w:p>
        </w:tc>
        <w:tc>
          <w:tcPr>
            <w:tcW w:w="260" w:type="dxa"/>
            <w:vAlign w:val="bottom"/>
            <w:shd w:val="clear" w:color="auto" w:fill="CFF0FC"/>
          </w:tcPr>
          <w:p>
            <w:pPr>
              <w:spacing w:after="0"/>
              <w:rPr>
                <w:sz w:val="19"/>
                <w:szCs w:val="19"/>
                <w:color w:val="auto"/>
              </w:rPr>
            </w:pPr>
          </w:p>
        </w:tc>
        <w:tc>
          <w:tcPr>
            <w:tcW w:w="12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322,142</w:t>
            </w:r>
          </w:p>
        </w:tc>
        <w:tc>
          <w:tcPr>
            <w:tcW w:w="22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13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274,677</w:t>
            </w:r>
          </w:p>
        </w:tc>
        <w:tc>
          <w:tcPr>
            <w:tcW w:w="1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7200" w:type="dxa"/>
            <w:vAlign w:val="bottom"/>
            <w:tcBorders>
              <w:bottom w:val="single" w:sz="8" w:color="CFF0FC"/>
            </w:tcBorders>
          </w:tcPr>
          <w:p>
            <w:pPr>
              <w:ind w:left="240"/>
              <w:spacing w:after="0"/>
              <w:rPr>
                <w:sz w:val="20"/>
                <w:szCs w:val="20"/>
                <w:color w:val="auto"/>
              </w:rPr>
            </w:pPr>
            <w:r>
              <w:rPr>
                <w:rFonts w:ascii="Arial" w:cs="Arial" w:eastAsia="Arial" w:hAnsi="Arial"/>
                <w:sz w:val="18"/>
                <w:szCs w:val="18"/>
                <w:color w:val="auto"/>
              </w:rPr>
              <w:t>Senior notes</w:t>
            </w:r>
          </w:p>
        </w:tc>
        <w:tc>
          <w:tcPr>
            <w:tcW w:w="820" w:type="dxa"/>
            <w:vAlign w:val="bottom"/>
            <w:tcBorders>
              <w:bottom w:val="single" w:sz="8" w:color="CFF0FC"/>
            </w:tcBorders>
          </w:tcPr>
          <w:p>
            <w:pPr>
              <w:spacing w:after="0"/>
              <w:rPr>
                <w:sz w:val="19"/>
                <w:szCs w:val="19"/>
                <w:color w:val="auto"/>
              </w:rPr>
            </w:pPr>
          </w:p>
        </w:tc>
        <w:tc>
          <w:tcPr>
            <w:tcW w:w="260" w:type="dxa"/>
            <w:vAlign w:val="bottom"/>
            <w:tcBorders>
              <w:bottom w:val="single" w:sz="8" w:color="auto"/>
            </w:tcBorders>
          </w:tcPr>
          <w:p>
            <w:pPr>
              <w:spacing w:after="0"/>
              <w:rPr>
                <w:sz w:val="19"/>
                <w:szCs w:val="19"/>
                <w:color w:val="auto"/>
              </w:rPr>
            </w:pPr>
          </w:p>
        </w:tc>
        <w:tc>
          <w:tcPr>
            <w:tcW w:w="12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887,882</w:t>
            </w:r>
          </w:p>
        </w:tc>
        <w:tc>
          <w:tcPr>
            <w:tcW w:w="220" w:type="dxa"/>
            <w:vAlign w:val="bottom"/>
            <w:tcBorders>
              <w:bottom w:val="single" w:sz="8" w:color="CFF0FC"/>
            </w:tcBorders>
          </w:tcPr>
          <w:p>
            <w:pPr>
              <w:spacing w:after="0"/>
              <w:rPr>
                <w:sz w:val="19"/>
                <w:szCs w:val="19"/>
                <w:color w:val="auto"/>
              </w:rPr>
            </w:pPr>
          </w:p>
        </w:tc>
        <w:tc>
          <w:tcPr>
            <w:tcW w:w="200" w:type="dxa"/>
            <w:vAlign w:val="bottom"/>
            <w:tcBorders>
              <w:bottom w:val="single" w:sz="8" w:color="auto"/>
            </w:tcBorders>
          </w:tcPr>
          <w:p>
            <w:pPr>
              <w:spacing w:after="0"/>
              <w:rPr>
                <w:sz w:val="19"/>
                <w:szCs w:val="19"/>
                <w:color w:val="auto"/>
              </w:rPr>
            </w:pPr>
          </w:p>
        </w:tc>
        <w:tc>
          <w:tcPr>
            <w:tcW w:w="13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887,502</w:t>
            </w:r>
          </w:p>
        </w:tc>
        <w:tc>
          <w:tcPr>
            <w:tcW w:w="120" w:type="dxa"/>
            <w:vAlign w:val="bottom"/>
            <w:tcBorders>
              <w:bottom w:val="single" w:sz="8" w:color="CFF0FC"/>
            </w:tcBorders>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7200" w:type="dxa"/>
            <w:vAlign w:val="bottom"/>
            <w:shd w:val="clear" w:color="auto" w:fill="CFF0FC"/>
          </w:tcPr>
          <w:p>
            <w:pPr>
              <w:ind w:left="480"/>
              <w:spacing w:after="0"/>
              <w:rPr>
                <w:sz w:val="20"/>
                <w:szCs w:val="20"/>
                <w:color w:val="auto"/>
              </w:rPr>
            </w:pPr>
            <w:r>
              <w:rPr>
                <w:rFonts w:ascii="Arial" w:cs="Arial" w:eastAsia="Arial" w:hAnsi="Arial"/>
                <w:sz w:val="18"/>
                <w:szCs w:val="18"/>
                <w:color w:val="auto"/>
              </w:rPr>
              <w:t>Total liabilities</w:t>
            </w:r>
          </w:p>
        </w:tc>
        <w:tc>
          <w:tcPr>
            <w:tcW w:w="820" w:type="dxa"/>
            <w:vAlign w:val="bottom"/>
            <w:shd w:val="clear" w:color="auto" w:fill="CFF0FC"/>
          </w:tcPr>
          <w:p>
            <w:pPr>
              <w:spacing w:after="0"/>
              <w:rPr>
                <w:sz w:val="19"/>
                <w:szCs w:val="19"/>
                <w:color w:val="auto"/>
              </w:rPr>
            </w:pPr>
          </w:p>
        </w:tc>
        <w:tc>
          <w:tcPr>
            <w:tcW w:w="260" w:type="dxa"/>
            <w:vAlign w:val="bottom"/>
            <w:tcBorders>
              <w:bottom w:val="single" w:sz="8" w:color="auto"/>
            </w:tcBorders>
            <w:shd w:val="clear" w:color="auto" w:fill="CFF0FC"/>
          </w:tcPr>
          <w:p>
            <w:pPr>
              <w:spacing w:after="0"/>
              <w:rPr>
                <w:sz w:val="19"/>
                <w:szCs w:val="19"/>
                <w:color w:val="auto"/>
              </w:rPr>
            </w:pPr>
          </w:p>
        </w:tc>
        <w:tc>
          <w:tcPr>
            <w:tcW w:w="126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1,481,620</w:t>
            </w:r>
          </w:p>
        </w:tc>
        <w:tc>
          <w:tcPr>
            <w:tcW w:w="220" w:type="dxa"/>
            <w:vAlign w:val="bottom"/>
            <w:shd w:val="clear" w:color="auto" w:fill="CFF0FC"/>
          </w:tcPr>
          <w:p>
            <w:pPr>
              <w:spacing w:after="0"/>
              <w:rPr>
                <w:sz w:val="19"/>
                <w:szCs w:val="19"/>
                <w:color w:val="auto"/>
              </w:rPr>
            </w:pPr>
          </w:p>
        </w:tc>
        <w:tc>
          <w:tcPr>
            <w:tcW w:w="200" w:type="dxa"/>
            <w:vAlign w:val="bottom"/>
            <w:tcBorders>
              <w:bottom w:val="single" w:sz="8" w:color="auto"/>
            </w:tcBorders>
            <w:shd w:val="clear" w:color="auto" w:fill="CFF0FC"/>
          </w:tcPr>
          <w:p>
            <w:pPr>
              <w:spacing w:after="0"/>
              <w:rPr>
                <w:sz w:val="19"/>
                <w:szCs w:val="19"/>
                <w:color w:val="auto"/>
              </w:rPr>
            </w:pPr>
          </w:p>
        </w:tc>
        <w:tc>
          <w:tcPr>
            <w:tcW w:w="13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1,441,048</w:t>
            </w:r>
          </w:p>
        </w:tc>
        <w:tc>
          <w:tcPr>
            <w:tcW w:w="1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439"/>
        </w:trPr>
        <w:tc>
          <w:tcPr>
            <w:tcW w:w="20" w:type="dxa"/>
            <w:vAlign w:val="bottom"/>
          </w:tcPr>
          <w:p>
            <w:pPr>
              <w:spacing w:after="0"/>
              <w:rPr>
                <w:sz w:val="24"/>
                <w:szCs w:val="24"/>
                <w:color w:val="auto"/>
              </w:rPr>
            </w:pPr>
          </w:p>
        </w:tc>
        <w:tc>
          <w:tcPr>
            <w:tcW w:w="7200" w:type="dxa"/>
            <w:vAlign w:val="bottom"/>
          </w:tcPr>
          <w:p>
            <w:pPr>
              <w:ind w:left="240"/>
              <w:spacing w:after="0"/>
              <w:rPr>
                <w:sz w:val="20"/>
                <w:szCs w:val="20"/>
                <w:color w:val="auto"/>
              </w:rPr>
            </w:pPr>
            <w:r>
              <w:rPr>
                <w:rFonts w:ascii="Arial" w:cs="Arial" w:eastAsia="Arial" w:hAnsi="Arial"/>
                <w:sz w:val="18"/>
                <w:szCs w:val="18"/>
                <w:color w:val="auto"/>
              </w:rPr>
              <w:t>Commitments and contingencies</w:t>
            </w:r>
          </w:p>
        </w:tc>
        <w:tc>
          <w:tcPr>
            <w:tcW w:w="8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480" w:type="dxa"/>
            <w:vAlign w:val="bottom"/>
            <w:gridSpan w:val="2"/>
          </w:tcPr>
          <w:p>
            <w:pPr>
              <w:jc w:val="right"/>
              <w:ind w:right="24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24"/>
                <w:szCs w:val="24"/>
                <w:color w:val="auto"/>
              </w:rPr>
            </w:pPr>
          </w:p>
        </w:tc>
        <w:tc>
          <w:tcPr>
            <w:tcW w:w="144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30"/>
        </w:trPr>
        <w:tc>
          <w:tcPr>
            <w:tcW w:w="20" w:type="dxa"/>
            <w:vAlign w:val="bottom"/>
            <w:vMerge w:val="restart"/>
          </w:tcPr>
          <w:p>
            <w:pPr>
              <w:spacing w:after="0"/>
              <w:rPr>
                <w:sz w:val="19"/>
                <w:szCs w:val="19"/>
                <w:color w:val="auto"/>
              </w:rPr>
            </w:pPr>
          </w:p>
        </w:tc>
        <w:tc>
          <w:tcPr>
            <w:tcW w:w="7200" w:type="dxa"/>
            <w:vAlign w:val="bottom"/>
          </w:tcPr>
          <w:p>
            <w:pPr>
              <w:spacing w:after="0"/>
              <w:rPr>
                <w:sz w:val="19"/>
                <w:szCs w:val="19"/>
                <w:color w:val="auto"/>
              </w:rPr>
            </w:pPr>
          </w:p>
        </w:tc>
        <w:tc>
          <w:tcPr>
            <w:tcW w:w="82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26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3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vMerge w:val="continue"/>
          </w:tcPr>
          <w:p>
            <w:pPr>
              <w:spacing w:after="0"/>
              <w:rPr>
                <w:sz w:val="19"/>
                <w:szCs w:val="19"/>
                <w:color w:val="auto"/>
              </w:rPr>
            </w:pPr>
          </w:p>
        </w:tc>
        <w:tc>
          <w:tcPr>
            <w:tcW w:w="7200" w:type="dxa"/>
            <w:vAlign w:val="bottom"/>
            <w:shd w:val="clear" w:color="auto" w:fill="CFF0FC"/>
          </w:tcPr>
          <w:p>
            <w:pPr>
              <w:spacing w:after="0"/>
              <w:rPr>
                <w:sz w:val="20"/>
                <w:szCs w:val="20"/>
                <w:color w:val="auto"/>
              </w:rPr>
            </w:pPr>
            <w:r>
              <w:rPr>
                <w:rFonts w:ascii="Arial" w:cs="Arial" w:eastAsia="Arial" w:hAnsi="Arial"/>
                <w:sz w:val="18"/>
                <w:szCs w:val="18"/>
                <w:b w:val="1"/>
                <w:bCs w:val="1"/>
                <w:color w:val="auto"/>
              </w:rPr>
              <w:t>Equity</w:t>
            </w:r>
          </w:p>
        </w:tc>
        <w:tc>
          <w:tcPr>
            <w:tcW w:w="820" w:type="dxa"/>
            <w:vAlign w:val="bottom"/>
            <w:shd w:val="clear" w:color="auto" w:fill="CFF0FC"/>
          </w:tcPr>
          <w:p>
            <w:pPr>
              <w:spacing w:after="0"/>
              <w:rPr>
                <w:sz w:val="19"/>
                <w:szCs w:val="19"/>
                <w:color w:val="auto"/>
              </w:rPr>
            </w:pPr>
          </w:p>
        </w:tc>
        <w:tc>
          <w:tcPr>
            <w:tcW w:w="260" w:type="dxa"/>
            <w:vAlign w:val="bottom"/>
            <w:shd w:val="clear" w:color="auto" w:fill="CFF0FC"/>
          </w:tcPr>
          <w:p>
            <w:pPr>
              <w:spacing w:after="0"/>
              <w:rPr>
                <w:sz w:val="19"/>
                <w:szCs w:val="19"/>
                <w:color w:val="auto"/>
              </w:rPr>
            </w:pPr>
          </w:p>
        </w:tc>
        <w:tc>
          <w:tcPr>
            <w:tcW w:w="1260" w:type="dxa"/>
            <w:vAlign w:val="bottom"/>
            <w:shd w:val="clear" w:color="auto" w:fill="CFF0FC"/>
          </w:tcPr>
          <w:p>
            <w:pPr>
              <w:spacing w:after="0"/>
              <w:rPr>
                <w:sz w:val="19"/>
                <w:szCs w:val="19"/>
                <w:color w:val="auto"/>
              </w:rPr>
            </w:pPr>
          </w:p>
        </w:tc>
        <w:tc>
          <w:tcPr>
            <w:tcW w:w="22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132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7200" w:type="dxa"/>
            <w:vAlign w:val="bottom"/>
          </w:tcPr>
          <w:p>
            <w:pPr>
              <w:ind w:left="240"/>
              <w:spacing w:after="0"/>
              <w:rPr>
                <w:sz w:val="20"/>
                <w:szCs w:val="20"/>
                <w:color w:val="auto"/>
              </w:rPr>
            </w:pPr>
            <w:r>
              <w:rPr>
                <w:rFonts w:ascii="Arial" w:cs="Arial" w:eastAsia="Arial" w:hAnsi="Arial"/>
                <w:sz w:val="18"/>
                <w:szCs w:val="18"/>
                <w:color w:val="auto"/>
              </w:rPr>
              <w:t>Stockholders' Equity:</w:t>
            </w:r>
          </w:p>
        </w:tc>
        <w:tc>
          <w:tcPr>
            <w:tcW w:w="82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26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3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5"/>
        </w:trPr>
        <w:tc>
          <w:tcPr>
            <w:tcW w:w="20" w:type="dxa"/>
            <w:vAlign w:val="bottom"/>
          </w:tcPr>
          <w:p>
            <w:pPr>
              <w:spacing w:after="0"/>
              <w:rPr>
                <w:sz w:val="18"/>
                <w:szCs w:val="18"/>
                <w:color w:val="auto"/>
              </w:rPr>
            </w:pPr>
          </w:p>
        </w:tc>
        <w:tc>
          <w:tcPr>
            <w:tcW w:w="7200" w:type="dxa"/>
            <w:vAlign w:val="bottom"/>
            <w:shd w:val="clear" w:color="auto" w:fill="CFF0FC"/>
          </w:tcPr>
          <w:p>
            <w:pPr>
              <w:ind w:left="480"/>
              <w:spacing w:after="0"/>
              <w:rPr>
                <w:sz w:val="20"/>
                <w:szCs w:val="20"/>
                <w:color w:val="auto"/>
              </w:rPr>
            </w:pPr>
            <w:r>
              <w:rPr>
                <w:rFonts w:ascii="Arial" w:cs="Arial" w:eastAsia="Arial" w:hAnsi="Arial"/>
                <w:sz w:val="18"/>
                <w:szCs w:val="18"/>
                <w:color w:val="auto"/>
              </w:rPr>
              <w:t>Preferred stock, $0.01 par value, 50,000,000 shares authorized;</w:t>
            </w:r>
          </w:p>
        </w:tc>
        <w:tc>
          <w:tcPr>
            <w:tcW w:w="820" w:type="dxa"/>
            <w:vAlign w:val="bottom"/>
            <w:shd w:val="clear" w:color="auto" w:fill="CFF0FC"/>
          </w:tcPr>
          <w:p>
            <w:pPr>
              <w:spacing w:after="0"/>
              <w:rPr>
                <w:sz w:val="18"/>
                <w:szCs w:val="18"/>
                <w:color w:val="auto"/>
              </w:rPr>
            </w:pPr>
          </w:p>
        </w:tc>
        <w:tc>
          <w:tcPr>
            <w:tcW w:w="260" w:type="dxa"/>
            <w:vAlign w:val="bottom"/>
            <w:shd w:val="clear" w:color="auto" w:fill="CFF0FC"/>
          </w:tcPr>
          <w:p>
            <w:pPr>
              <w:spacing w:after="0"/>
              <w:rPr>
                <w:sz w:val="18"/>
                <w:szCs w:val="18"/>
                <w:color w:val="auto"/>
              </w:rPr>
            </w:pPr>
          </w:p>
        </w:tc>
        <w:tc>
          <w:tcPr>
            <w:tcW w:w="1260" w:type="dxa"/>
            <w:vAlign w:val="bottom"/>
            <w:shd w:val="clear" w:color="auto" w:fill="CFF0FC"/>
          </w:tcPr>
          <w:p>
            <w:pPr>
              <w:spacing w:after="0"/>
              <w:rPr>
                <w:sz w:val="18"/>
                <w:szCs w:val="18"/>
                <w:color w:val="auto"/>
              </w:rPr>
            </w:pPr>
          </w:p>
        </w:tc>
        <w:tc>
          <w:tcPr>
            <w:tcW w:w="220" w:type="dxa"/>
            <w:vAlign w:val="bottom"/>
            <w:shd w:val="clear" w:color="auto" w:fill="CFF0FC"/>
          </w:tcPr>
          <w:p>
            <w:pPr>
              <w:spacing w:after="0"/>
              <w:rPr>
                <w:sz w:val="18"/>
                <w:szCs w:val="18"/>
                <w:color w:val="auto"/>
              </w:rPr>
            </w:pPr>
          </w:p>
        </w:tc>
        <w:tc>
          <w:tcPr>
            <w:tcW w:w="200" w:type="dxa"/>
            <w:vAlign w:val="bottom"/>
            <w:shd w:val="clear" w:color="auto" w:fill="CFF0FC"/>
          </w:tcPr>
          <w:p>
            <w:pPr>
              <w:spacing w:after="0"/>
              <w:rPr>
                <w:sz w:val="18"/>
                <w:szCs w:val="18"/>
                <w:color w:val="auto"/>
              </w:rPr>
            </w:pPr>
          </w:p>
        </w:tc>
        <w:tc>
          <w:tcPr>
            <w:tcW w:w="1320" w:type="dxa"/>
            <w:vAlign w:val="bottom"/>
            <w:shd w:val="clear" w:color="auto" w:fill="CFF0FC"/>
          </w:tcPr>
          <w:p>
            <w:pPr>
              <w:spacing w:after="0"/>
              <w:rPr>
                <w:sz w:val="18"/>
                <w:szCs w:val="18"/>
                <w:color w:val="auto"/>
              </w:rPr>
            </w:pPr>
          </w:p>
        </w:tc>
        <w:tc>
          <w:tcPr>
            <w:tcW w:w="120" w:type="dxa"/>
            <w:vAlign w:val="bottom"/>
            <w:shd w:val="clear" w:color="auto" w:fill="CFF0FC"/>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200" w:type="dxa"/>
            <w:vAlign w:val="bottom"/>
            <w:shd w:val="clear" w:color="auto" w:fill="CFF0FC"/>
          </w:tcPr>
          <w:p>
            <w:pPr>
              <w:ind w:left="620"/>
              <w:spacing w:after="0"/>
              <w:rPr>
                <w:sz w:val="20"/>
                <w:szCs w:val="20"/>
                <w:color w:val="auto"/>
              </w:rPr>
            </w:pPr>
            <w:r>
              <w:rPr>
                <w:rFonts w:ascii="Arial" w:cs="Arial" w:eastAsia="Arial" w:hAnsi="Arial"/>
                <w:sz w:val="18"/>
                <w:szCs w:val="18"/>
                <w:color w:val="auto"/>
              </w:rPr>
              <w:t>no shares issued and outstanding as of March 31, 2015 and December 31, 2014,</w:t>
            </w:r>
          </w:p>
        </w:tc>
        <w:tc>
          <w:tcPr>
            <w:tcW w:w="820" w:type="dxa"/>
            <w:vAlign w:val="bottom"/>
            <w:shd w:val="clear" w:color="auto" w:fill="CFF0FC"/>
          </w:tcPr>
          <w:p>
            <w:pPr>
              <w:spacing w:after="0"/>
              <w:rPr>
                <w:sz w:val="18"/>
                <w:szCs w:val="18"/>
                <w:color w:val="auto"/>
              </w:rPr>
            </w:pPr>
          </w:p>
        </w:tc>
        <w:tc>
          <w:tcPr>
            <w:tcW w:w="260" w:type="dxa"/>
            <w:vAlign w:val="bottom"/>
            <w:shd w:val="clear" w:color="auto" w:fill="CFF0FC"/>
          </w:tcPr>
          <w:p>
            <w:pPr>
              <w:spacing w:after="0"/>
              <w:rPr>
                <w:sz w:val="18"/>
                <w:szCs w:val="18"/>
                <w:color w:val="auto"/>
              </w:rPr>
            </w:pPr>
          </w:p>
        </w:tc>
        <w:tc>
          <w:tcPr>
            <w:tcW w:w="1260" w:type="dxa"/>
            <w:vAlign w:val="bottom"/>
            <w:shd w:val="clear" w:color="auto" w:fill="CFF0FC"/>
          </w:tcPr>
          <w:p>
            <w:pPr>
              <w:spacing w:after="0"/>
              <w:rPr>
                <w:sz w:val="18"/>
                <w:szCs w:val="18"/>
                <w:color w:val="auto"/>
              </w:rPr>
            </w:pPr>
          </w:p>
        </w:tc>
        <w:tc>
          <w:tcPr>
            <w:tcW w:w="220" w:type="dxa"/>
            <w:vAlign w:val="bottom"/>
            <w:shd w:val="clear" w:color="auto" w:fill="CFF0FC"/>
          </w:tcPr>
          <w:p>
            <w:pPr>
              <w:spacing w:after="0"/>
              <w:rPr>
                <w:sz w:val="18"/>
                <w:szCs w:val="18"/>
                <w:color w:val="auto"/>
              </w:rPr>
            </w:pPr>
          </w:p>
        </w:tc>
        <w:tc>
          <w:tcPr>
            <w:tcW w:w="200" w:type="dxa"/>
            <w:vAlign w:val="bottom"/>
            <w:shd w:val="clear" w:color="auto" w:fill="CFF0FC"/>
          </w:tcPr>
          <w:p>
            <w:pPr>
              <w:spacing w:after="0"/>
              <w:rPr>
                <w:sz w:val="18"/>
                <w:szCs w:val="18"/>
                <w:color w:val="auto"/>
              </w:rPr>
            </w:pPr>
          </w:p>
        </w:tc>
        <w:tc>
          <w:tcPr>
            <w:tcW w:w="1320" w:type="dxa"/>
            <w:vAlign w:val="bottom"/>
            <w:shd w:val="clear" w:color="auto" w:fill="CFF0FC"/>
          </w:tcPr>
          <w:p>
            <w:pPr>
              <w:spacing w:after="0"/>
              <w:rPr>
                <w:sz w:val="18"/>
                <w:szCs w:val="18"/>
                <w:color w:val="auto"/>
              </w:rPr>
            </w:pPr>
          </w:p>
        </w:tc>
        <w:tc>
          <w:tcPr>
            <w:tcW w:w="120" w:type="dxa"/>
            <w:vAlign w:val="bottom"/>
            <w:shd w:val="clear" w:color="auto" w:fill="CFF0FC"/>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7200" w:type="dxa"/>
            <w:vAlign w:val="bottom"/>
            <w:shd w:val="clear" w:color="auto" w:fill="CFF0FC"/>
          </w:tcPr>
          <w:p>
            <w:pPr>
              <w:ind w:left="620"/>
              <w:spacing w:after="0"/>
              <w:rPr>
                <w:sz w:val="20"/>
                <w:szCs w:val="20"/>
                <w:color w:val="auto"/>
              </w:rPr>
            </w:pPr>
            <w:r>
              <w:rPr>
                <w:rFonts w:ascii="Arial" w:cs="Arial" w:eastAsia="Arial" w:hAnsi="Arial"/>
                <w:sz w:val="18"/>
                <w:szCs w:val="18"/>
                <w:color w:val="auto"/>
              </w:rPr>
              <w:t>respectively</w:t>
            </w:r>
          </w:p>
        </w:tc>
        <w:tc>
          <w:tcPr>
            <w:tcW w:w="820" w:type="dxa"/>
            <w:vAlign w:val="bottom"/>
            <w:shd w:val="clear" w:color="auto" w:fill="CFF0FC"/>
          </w:tcPr>
          <w:p>
            <w:pPr>
              <w:spacing w:after="0"/>
              <w:rPr>
                <w:sz w:val="20"/>
                <w:szCs w:val="20"/>
                <w:color w:val="auto"/>
              </w:rPr>
            </w:pPr>
          </w:p>
        </w:tc>
        <w:tc>
          <w:tcPr>
            <w:tcW w:w="260" w:type="dxa"/>
            <w:vAlign w:val="bottom"/>
            <w:shd w:val="clear" w:color="auto" w:fill="CFF0FC"/>
          </w:tcPr>
          <w:p>
            <w:pPr>
              <w:spacing w:after="0"/>
              <w:rPr>
                <w:sz w:val="20"/>
                <w:szCs w:val="20"/>
                <w:color w:val="auto"/>
              </w:rPr>
            </w:pPr>
          </w:p>
        </w:tc>
        <w:tc>
          <w:tcPr>
            <w:tcW w:w="1480" w:type="dxa"/>
            <w:vAlign w:val="bottom"/>
            <w:gridSpan w:val="2"/>
            <w:shd w:val="clear" w:color="auto" w:fill="CFF0FC"/>
          </w:tcPr>
          <w:p>
            <w:pPr>
              <w:jc w:val="right"/>
              <w:ind w:right="240"/>
              <w:spacing w:after="0"/>
              <w:rPr>
                <w:sz w:val="20"/>
                <w:szCs w:val="20"/>
                <w:color w:val="auto"/>
              </w:rPr>
            </w:pPr>
            <w:r>
              <w:rPr>
                <w:rFonts w:ascii="Arial" w:cs="Arial" w:eastAsia="Arial" w:hAnsi="Arial"/>
                <w:sz w:val="18"/>
                <w:szCs w:val="18"/>
                <w:color w:val="auto"/>
              </w:rPr>
              <w:t>—</w:t>
            </w:r>
          </w:p>
        </w:tc>
        <w:tc>
          <w:tcPr>
            <w:tcW w:w="200" w:type="dxa"/>
            <w:vAlign w:val="bottom"/>
            <w:shd w:val="clear" w:color="auto" w:fill="CFF0FC"/>
          </w:tcPr>
          <w:p>
            <w:pPr>
              <w:spacing w:after="0"/>
              <w:rPr>
                <w:sz w:val="20"/>
                <w:szCs w:val="20"/>
                <w:color w:val="auto"/>
              </w:rPr>
            </w:pPr>
          </w:p>
        </w:tc>
        <w:tc>
          <w:tcPr>
            <w:tcW w:w="1440" w:type="dxa"/>
            <w:vAlign w:val="bottom"/>
            <w:gridSpan w:val="2"/>
            <w:shd w:val="clear" w:color="auto" w:fill="CFF0FC"/>
          </w:tcPr>
          <w:p>
            <w:pPr>
              <w:jc w:val="right"/>
              <w:ind w:right="14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5"/>
        </w:trPr>
        <w:tc>
          <w:tcPr>
            <w:tcW w:w="20" w:type="dxa"/>
            <w:vAlign w:val="bottom"/>
          </w:tcPr>
          <w:p>
            <w:pPr>
              <w:spacing w:after="0"/>
              <w:rPr>
                <w:sz w:val="18"/>
                <w:szCs w:val="18"/>
                <w:color w:val="auto"/>
              </w:rPr>
            </w:pPr>
          </w:p>
        </w:tc>
        <w:tc>
          <w:tcPr>
            <w:tcW w:w="7200" w:type="dxa"/>
            <w:vAlign w:val="bottom"/>
          </w:tcPr>
          <w:p>
            <w:pPr>
              <w:ind w:left="480"/>
              <w:spacing w:after="0"/>
              <w:rPr>
                <w:sz w:val="20"/>
                <w:szCs w:val="20"/>
                <w:color w:val="auto"/>
              </w:rPr>
            </w:pPr>
            <w:r>
              <w:rPr>
                <w:rFonts w:ascii="Arial" w:cs="Arial" w:eastAsia="Arial" w:hAnsi="Arial"/>
                <w:sz w:val="18"/>
                <w:szCs w:val="18"/>
                <w:color w:val="auto"/>
              </w:rPr>
              <w:t>Common stock, $0.01 par value, 500,000,000 shares authorized; 161,602,883 and</w:t>
            </w:r>
          </w:p>
        </w:tc>
        <w:tc>
          <w:tcPr>
            <w:tcW w:w="8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2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3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200" w:type="dxa"/>
            <w:vAlign w:val="bottom"/>
          </w:tcPr>
          <w:p>
            <w:pPr>
              <w:ind w:left="620"/>
              <w:spacing w:after="0"/>
              <w:rPr>
                <w:sz w:val="20"/>
                <w:szCs w:val="20"/>
                <w:color w:val="auto"/>
              </w:rPr>
            </w:pPr>
            <w:r>
              <w:rPr>
                <w:rFonts w:ascii="Arial" w:cs="Arial" w:eastAsia="Arial" w:hAnsi="Arial"/>
                <w:sz w:val="18"/>
                <w:szCs w:val="18"/>
                <w:color w:val="auto"/>
              </w:rPr>
              <w:t>161,355,490 shares issued and outstanding at March 31, 2015 and</w:t>
            </w:r>
          </w:p>
        </w:tc>
        <w:tc>
          <w:tcPr>
            <w:tcW w:w="8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2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3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7200" w:type="dxa"/>
            <w:vAlign w:val="bottom"/>
          </w:tcPr>
          <w:p>
            <w:pPr>
              <w:ind w:left="620"/>
              <w:spacing w:after="0"/>
              <w:rPr>
                <w:sz w:val="20"/>
                <w:szCs w:val="20"/>
                <w:color w:val="auto"/>
              </w:rPr>
            </w:pPr>
            <w:r>
              <w:rPr>
                <w:rFonts w:ascii="Arial" w:cs="Arial" w:eastAsia="Arial" w:hAnsi="Arial"/>
                <w:sz w:val="18"/>
                <w:szCs w:val="18"/>
                <w:color w:val="auto"/>
              </w:rPr>
              <w:t>December 31, 2014, respectively</w:t>
            </w:r>
          </w:p>
        </w:tc>
        <w:tc>
          <w:tcPr>
            <w:tcW w:w="8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260" w:type="dxa"/>
            <w:vAlign w:val="bottom"/>
          </w:tcPr>
          <w:p>
            <w:pPr>
              <w:jc w:val="right"/>
              <w:spacing w:after="0"/>
              <w:rPr>
                <w:sz w:val="20"/>
                <w:szCs w:val="20"/>
                <w:color w:val="auto"/>
              </w:rPr>
            </w:pPr>
            <w:r>
              <w:rPr>
                <w:rFonts w:ascii="Arial" w:cs="Arial" w:eastAsia="Arial" w:hAnsi="Arial"/>
                <w:sz w:val="18"/>
                <w:szCs w:val="18"/>
                <w:color w:val="auto"/>
              </w:rPr>
              <w:t>1,616</w:t>
            </w:r>
          </w:p>
        </w:tc>
        <w:tc>
          <w:tcPr>
            <w:tcW w:w="2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320" w:type="dxa"/>
            <w:vAlign w:val="bottom"/>
          </w:tcPr>
          <w:p>
            <w:pPr>
              <w:jc w:val="right"/>
              <w:spacing w:after="0"/>
              <w:rPr>
                <w:sz w:val="20"/>
                <w:szCs w:val="20"/>
                <w:color w:val="auto"/>
              </w:rPr>
            </w:pPr>
            <w:r>
              <w:rPr>
                <w:rFonts w:ascii="Arial" w:cs="Arial" w:eastAsia="Arial" w:hAnsi="Arial"/>
                <w:sz w:val="18"/>
                <w:szCs w:val="18"/>
                <w:color w:val="auto"/>
              </w:rPr>
              <w:t>1,614</w:t>
            </w:r>
          </w:p>
        </w:tc>
        <w:tc>
          <w:tcPr>
            <w:tcW w:w="1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7200" w:type="dxa"/>
            <w:vAlign w:val="bottom"/>
            <w:shd w:val="clear" w:color="auto" w:fill="CFF0FC"/>
          </w:tcPr>
          <w:p>
            <w:pPr>
              <w:ind w:left="480"/>
              <w:spacing w:after="0"/>
              <w:rPr>
                <w:sz w:val="20"/>
                <w:szCs w:val="20"/>
                <w:color w:val="auto"/>
              </w:rPr>
            </w:pPr>
            <w:r>
              <w:rPr>
                <w:rFonts w:ascii="Arial" w:cs="Arial" w:eastAsia="Arial" w:hAnsi="Arial"/>
                <w:sz w:val="18"/>
                <w:szCs w:val="18"/>
                <w:color w:val="auto"/>
              </w:rPr>
              <w:t>Additional paid-in capital</w:t>
            </w:r>
          </w:p>
        </w:tc>
        <w:tc>
          <w:tcPr>
            <w:tcW w:w="820" w:type="dxa"/>
            <w:vAlign w:val="bottom"/>
            <w:shd w:val="clear" w:color="auto" w:fill="CFF0FC"/>
          </w:tcPr>
          <w:p>
            <w:pPr>
              <w:spacing w:after="0"/>
              <w:rPr>
                <w:sz w:val="19"/>
                <w:szCs w:val="19"/>
                <w:color w:val="auto"/>
              </w:rPr>
            </w:pPr>
          </w:p>
        </w:tc>
        <w:tc>
          <w:tcPr>
            <w:tcW w:w="260" w:type="dxa"/>
            <w:vAlign w:val="bottom"/>
            <w:shd w:val="clear" w:color="auto" w:fill="CFF0FC"/>
          </w:tcPr>
          <w:p>
            <w:pPr>
              <w:spacing w:after="0"/>
              <w:rPr>
                <w:sz w:val="19"/>
                <w:szCs w:val="19"/>
                <w:color w:val="auto"/>
              </w:rPr>
            </w:pPr>
          </w:p>
        </w:tc>
        <w:tc>
          <w:tcPr>
            <w:tcW w:w="12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907,282</w:t>
            </w:r>
          </w:p>
        </w:tc>
        <w:tc>
          <w:tcPr>
            <w:tcW w:w="22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13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906,159</w:t>
            </w:r>
          </w:p>
        </w:tc>
        <w:tc>
          <w:tcPr>
            <w:tcW w:w="1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7200" w:type="dxa"/>
            <w:vAlign w:val="bottom"/>
            <w:tcBorders>
              <w:bottom w:val="single" w:sz="8" w:color="CFF0FC"/>
            </w:tcBorders>
          </w:tcPr>
          <w:p>
            <w:pPr>
              <w:ind w:left="480"/>
              <w:spacing w:after="0"/>
              <w:rPr>
                <w:sz w:val="20"/>
                <w:szCs w:val="20"/>
                <w:color w:val="auto"/>
              </w:rPr>
            </w:pPr>
            <w:r>
              <w:rPr>
                <w:rFonts w:ascii="Arial" w:cs="Arial" w:eastAsia="Arial" w:hAnsi="Arial"/>
                <w:sz w:val="18"/>
                <w:szCs w:val="18"/>
                <w:color w:val="auto"/>
              </w:rPr>
              <w:t>Retained earnings</w:t>
            </w:r>
          </w:p>
        </w:tc>
        <w:tc>
          <w:tcPr>
            <w:tcW w:w="820" w:type="dxa"/>
            <w:vAlign w:val="bottom"/>
            <w:tcBorders>
              <w:bottom w:val="single" w:sz="8" w:color="CFF0FC"/>
            </w:tcBorders>
          </w:tcPr>
          <w:p>
            <w:pPr>
              <w:spacing w:after="0"/>
              <w:rPr>
                <w:sz w:val="19"/>
                <w:szCs w:val="19"/>
                <w:color w:val="auto"/>
              </w:rPr>
            </w:pPr>
          </w:p>
        </w:tc>
        <w:tc>
          <w:tcPr>
            <w:tcW w:w="260" w:type="dxa"/>
            <w:vAlign w:val="bottom"/>
            <w:tcBorders>
              <w:bottom w:val="single" w:sz="8" w:color="auto"/>
            </w:tcBorders>
          </w:tcPr>
          <w:p>
            <w:pPr>
              <w:spacing w:after="0"/>
              <w:rPr>
                <w:sz w:val="19"/>
                <w:szCs w:val="19"/>
                <w:color w:val="auto"/>
              </w:rPr>
            </w:pPr>
          </w:p>
        </w:tc>
        <w:tc>
          <w:tcPr>
            <w:tcW w:w="12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561,704</w:t>
            </w:r>
          </w:p>
        </w:tc>
        <w:tc>
          <w:tcPr>
            <w:tcW w:w="220" w:type="dxa"/>
            <w:vAlign w:val="bottom"/>
            <w:tcBorders>
              <w:bottom w:val="single" w:sz="8" w:color="CFF0FC"/>
            </w:tcBorders>
          </w:tcPr>
          <w:p>
            <w:pPr>
              <w:spacing w:after="0"/>
              <w:rPr>
                <w:sz w:val="19"/>
                <w:szCs w:val="19"/>
                <w:color w:val="auto"/>
              </w:rPr>
            </w:pPr>
          </w:p>
        </w:tc>
        <w:tc>
          <w:tcPr>
            <w:tcW w:w="200" w:type="dxa"/>
            <w:vAlign w:val="bottom"/>
            <w:tcBorders>
              <w:bottom w:val="single" w:sz="8" w:color="auto"/>
            </w:tcBorders>
          </w:tcPr>
          <w:p>
            <w:pPr>
              <w:spacing w:after="0"/>
              <w:rPr>
                <w:sz w:val="19"/>
                <w:szCs w:val="19"/>
                <w:color w:val="auto"/>
              </w:rPr>
            </w:pPr>
          </w:p>
        </w:tc>
        <w:tc>
          <w:tcPr>
            <w:tcW w:w="13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546,407</w:t>
            </w:r>
          </w:p>
        </w:tc>
        <w:tc>
          <w:tcPr>
            <w:tcW w:w="120" w:type="dxa"/>
            <w:vAlign w:val="bottom"/>
            <w:tcBorders>
              <w:bottom w:val="single" w:sz="8" w:color="CFF0FC"/>
            </w:tcBorders>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7200" w:type="dxa"/>
            <w:vAlign w:val="bottom"/>
            <w:shd w:val="clear" w:color="auto" w:fill="CFF0FC"/>
          </w:tcPr>
          <w:p>
            <w:pPr>
              <w:ind w:left="480"/>
              <w:spacing w:after="0"/>
              <w:rPr>
                <w:sz w:val="20"/>
                <w:szCs w:val="20"/>
                <w:color w:val="auto"/>
              </w:rPr>
            </w:pPr>
            <w:r>
              <w:rPr>
                <w:rFonts w:ascii="Arial" w:cs="Arial" w:eastAsia="Arial" w:hAnsi="Arial"/>
                <w:sz w:val="18"/>
                <w:szCs w:val="18"/>
                <w:color w:val="auto"/>
              </w:rPr>
              <w:t>Total stockholders' equity</w:t>
            </w:r>
          </w:p>
        </w:tc>
        <w:tc>
          <w:tcPr>
            <w:tcW w:w="820" w:type="dxa"/>
            <w:vAlign w:val="bottom"/>
            <w:shd w:val="clear" w:color="auto" w:fill="CFF0FC"/>
          </w:tcPr>
          <w:p>
            <w:pPr>
              <w:spacing w:after="0"/>
              <w:rPr>
                <w:sz w:val="19"/>
                <w:szCs w:val="19"/>
                <w:color w:val="auto"/>
              </w:rPr>
            </w:pPr>
          </w:p>
        </w:tc>
        <w:tc>
          <w:tcPr>
            <w:tcW w:w="260" w:type="dxa"/>
            <w:vAlign w:val="bottom"/>
            <w:shd w:val="clear" w:color="auto" w:fill="CFF0FC"/>
          </w:tcPr>
          <w:p>
            <w:pPr>
              <w:spacing w:after="0"/>
              <w:rPr>
                <w:sz w:val="19"/>
                <w:szCs w:val="19"/>
                <w:color w:val="auto"/>
              </w:rPr>
            </w:pPr>
          </w:p>
        </w:tc>
        <w:tc>
          <w:tcPr>
            <w:tcW w:w="12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1,470,602</w:t>
            </w:r>
          </w:p>
        </w:tc>
        <w:tc>
          <w:tcPr>
            <w:tcW w:w="22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13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1,454,180</w:t>
            </w:r>
          </w:p>
        </w:tc>
        <w:tc>
          <w:tcPr>
            <w:tcW w:w="1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7200" w:type="dxa"/>
            <w:vAlign w:val="bottom"/>
            <w:tcBorders>
              <w:bottom w:val="single" w:sz="8" w:color="CFF0FC"/>
            </w:tcBorders>
          </w:tcPr>
          <w:p>
            <w:pPr>
              <w:ind w:left="480"/>
              <w:spacing w:after="0"/>
              <w:rPr>
                <w:sz w:val="20"/>
                <w:szCs w:val="20"/>
                <w:color w:val="auto"/>
              </w:rPr>
            </w:pPr>
            <w:r>
              <w:rPr>
                <w:rFonts w:ascii="Arial" w:cs="Arial" w:eastAsia="Arial" w:hAnsi="Arial"/>
                <w:sz w:val="18"/>
                <w:szCs w:val="18"/>
                <w:color w:val="auto"/>
              </w:rPr>
              <w:t>Noncontrolling interests</w:t>
            </w:r>
          </w:p>
        </w:tc>
        <w:tc>
          <w:tcPr>
            <w:tcW w:w="820" w:type="dxa"/>
            <w:vAlign w:val="bottom"/>
            <w:tcBorders>
              <w:bottom w:val="single" w:sz="8" w:color="CFF0FC"/>
            </w:tcBorders>
          </w:tcPr>
          <w:p>
            <w:pPr>
              <w:spacing w:after="0"/>
              <w:rPr>
                <w:sz w:val="19"/>
                <w:szCs w:val="19"/>
                <w:color w:val="auto"/>
              </w:rPr>
            </w:pPr>
          </w:p>
        </w:tc>
        <w:tc>
          <w:tcPr>
            <w:tcW w:w="260" w:type="dxa"/>
            <w:vAlign w:val="bottom"/>
            <w:tcBorders>
              <w:bottom w:val="single" w:sz="8" w:color="auto"/>
            </w:tcBorders>
          </w:tcPr>
          <w:p>
            <w:pPr>
              <w:spacing w:after="0"/>
              <w:rPr>
                <w:sz w:val="19"/>
                <w:szCs w:val="19"/>
                <w:color w:val="auto"/>
              </w:rPr>
            </w:pPr>
          </w:p>
        </w:tc>
        <w:tc>
          <w:tcPr>
            <w:tcW w:w="12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20,025</w:t>
            </w:r>
          </w:p>
        </w:tc>
        <w:tc>
          <w:tcPr>
            <w:tcW w:w="220" w:type="dxa"/>
            <w:vAlign w:val="bottom"/>
            <w:tcBorders>
              <w:bottom w:val="single" w:sz="8" w:color="CFF0FC"/>
            </w:tcBorders>
          </w:tcPr>
          <w:p>
            <w:pPr>
              <w:spacing w:after="0"/>
              <w:rPr>
                <w:sz w:val="19"/>
                <w:szCs w:val="19"/>
                <w:color w:val="auto"/>
              </w:rPr>
            </w:pPr>
          </w:p>
        </w:tc>
        <w:tc>
          <w:tcPr>
            <w:tcW w:w="200" w:type="dxa"/>
            <w:vAlign w:val="bottom"/>
            <w:tcBorders>
              <w:bottom w:val="single" w:sz="8" w:color="auto"/>
            </w:tcBorders>
          </w:tcPr>
          <w:p>
            <w:pPr>
              <w:spacing w:after="0"/>
              <w:rPr>
                <w:sz w:val="19"/>
                <w:szCs w:val="19"/>
                <w:color w:val="auto"/>
              </w:rPr>
            </w:pPr>
          </w:p>
        </w:tc>
        <w:tc>
          <w:tcPr>
            <w:tcW w:w="13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18,296</w:t>
            </w:r>
          </w:p>
        </w:tc>
        <w:tc>
          <w:tcPr>
            <w:tcW w:w="120" w:type="dxa"/>
            <w:vAlign w:val="bottom"/>
            <w:tcBorders>
              <w:bottom w:val="single" w:sz="8" w:color="CFF0FC"/>
            </w:tcBorders>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7200" w:type="dxa"/>
            <w:vAlign w:val="bottom"/>
            <w:shd w:val="clear" w:color="auto" w:fill="CFF0FC"/>
          </w:tcPr>
          <w:p>
            <w:pPr>
              <w:ind w:left="980"/>
              <w:spacing w:after="0"/>
              <w:rPr>
                <w:sz w:val="20"/>
                <w:szCs w:val="20"/>
                <w:color w:val="auto"/>
              </w:rPr>
            </w:pPr>
            <w:r>
              <w:rPr>
                <w:rFonts w:ascii="Arial" w:cs="Arial" w:eastAsia="Arial" w:hAnsi="Arial"/>
                <w:sz w:val="18"/>
                <w:szCs w:val="18"/>
                <w:color w:val="auto"/>
              </w:rPr>
              <w:t>Total equity</w:t>
            </w:r>
          </w:p>
        </w:tc>
        <w:tc>
          <w:tcPr>
            <w:tcW w:w="820" w:type="dxa"/>
            <w:vAlign w:val="bottom"/>
            <w:shd w:val="clear" w:color="auto" w:fill="CFF0FC"/>
          </w:tcPr>
          <w:p>
            <w:pPr>
              <w:spacing w:after="0"/>
              <w:rPr>
                <w:sz w:val="19"/>
                <w:szCs w:val="19"/>
                <w:color w:val="auto"/>
              </w:rPr>
            </w:pPr>
          </w:p>
        </w:tc>
        <w:tc>
          <w:tcPr>
            <w:tcW w:w="260" w:type="dxa"/>
            <w:vAlign w:val="bottom"/>
            <w:tcBorders>
              <w:bottom w:val="single" w:sz="8" w:color="auto"/>
            </w:tcBorders>
            <w:shd w:val="clear" w:color="auto" w:fill="CFF0FC"/>
          </w:tcPr>
          <w:p>
            <w:pPr>
              <w:spacing w:after="0"/>
              <w:rPr>
                <w:sz w:val="19"/>
                <w:szCs w:val="19"/>
                <w:color w:val="auto"/>
              </w:rPr>
            </w:pPr>
          </w:p>
        </w:tc>
        <w:tc>
          <w:tcPr>
            <w:tcW w:w="126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1,490,627</w:t>
            </w:r>
          </w:p>
        </w:tc>
        <w:tc>
          <w:tcPr>
            <w:tcW w:w="220" w:type="dxa"/>
            <w:vAlign w:val="bottom"/>
            <w:shd w:val="clear" w:color="auto" w:fill="CFF0FC"/>
          </w:tcPr>
          <w:p>
            <w:pPr>
              <w:spacing w:after="0"/>
              <w:rPr>
                <w:sz w:val="19"/>
                <w:szCs w:val="19"/>
                <w:color w:val="auto"/>
              </w:rPr>
            </w:pPr>
          </w:p>
        </w:tc>
        <w:tc>
          <w:tcPr>
            <w:tcW w:w="200" w:type="dxa"/>
            <w:vAlign w:val="bottom"/>
            <w:tcBorders>
              <w:bottom w:val="single" w:sz="8" w:color="auto"/>
            </w:tcBorders>
            <w:shd w:val="clear" w:color="auto" w:fill="CFF0FC"/>
          </w:tcPr>
          <w:p>
            <w:pPr>
              <w:spacing w:after="0"/>
              <w:rPr>
                <w:sz w:val="19"/>
                <w:szCs w:val="19"/>
                <w:color w:val="auto"/>
              </w:rPr>
            </w:pPr>
          </w:p>
        </w:tc>
        <w:tc>
          <w:tcPr>
            <w:tcW w:w="13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1,472,476</w:t>
            </w:r>
          </w:p>
        </w:tc>
        <w:tc>
          <w:tcPr>
            <w:tcW w:w="1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7200" w:type="dxa"/>
            <w:vAlign w:val="bottom"/>
          </w:tcPr>
          <w:p>
            <w:pPr>
              <w:ind w:left="480"/>
              <w:spacing w:after="0"/>
              <w:rPr>
                <w:sz w:val="20"/>
                <w:szCs w:val="20"/>
                <w:color w:val="auto"/>
              </w:rPr>
            </w:pPr>
            <w:r>
              <w:rPr>
                <w:rFonts w:ascii="Arial" w:cs="Arial" w:eastAsia="Arial" w:hAnsi="Arial"/>
                <w:sz w:val="18"/>
                <w:szCs w:val="18"/>
                <w:color w:val="auto"/>
              </w:rPr>
              <w:t>Total liabilities and equity</w:t>
            </w:r>
          </w:p>
        </w:tc>
        <w:tc>
          <w:tcPr>
            <w:tcW w:w="820" w:type="dxa"/>
            <w:vAlign w:val="bottom"/>
          </w:tcPr>
          <w:p>
            <w:pPr>
              <w:spacing w:after="0"/>
              <w:rPr>
                <w:sz w:val="19"/>
                <w:szCs w:val="19"/>
                <w:color w:val="auto"/>
              </w:rPr>
            </w:pPr>
          </w:p>
        </w:tc>
        <w:tc>
          <w:tcPr>
            <w:tcW w:w="260" w:type="dxa"/>
            <w:vAlign w:val="bottom"/>
            <w:tcBorders>
              <w:bottom w:val="single" w:sz="8" w:color="auto"/>
            </w:tcBorders>
          </w:tcPr>
          <w:p>
            <w:pPr>
              <w:jc w:val="right"/>
              <w:ind w:right="70"/>
              <w:spacing w:after="0"/>
              <w:rPr>
                <w:sz w:val="20"/>
                <w:szCs w:val="20"/>
                <w:color w:val="auto"/>
              </w:rPr>
            </w:pPr>
            <w:r>
              <w:rPr>
                <w:rFonts w:ascii="Arial" w:cs="Arial" w:eastAsia="Arial" w:hAnsi="Arial"/>
                <w:sz w:val="18"/>
                <w:szCs w:val="18"/>
                <w:color w:val="auto"/>
                <w:w w:val="79"/>
              </w:rPr>
              <w:t>$</w:t>
            </w:r>
          </w:p>
        </w:tc>
        <w:tc>
          <w:tcPr>
            <w:tcW w:w="12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2,972,247</w:t>
            </w:r>
          </w:p>
        </w:tc>
        <w:tc>
          <w:tcPr>
            <w:tcW w:w="220" w:type="dxa"/>
            <w:vAlign w:val="bottom"/>
          </w:tcPr>
          <w:p>
            <w:pPr>
              <w:spacing w:after="0"/>
              <w:rPr>
                <w:sz w:val="19"/>
                <w:szCs w:val="19"/>
                <w:color w:val="auto"/>
              </w:rPr>
            </w:pPr>
          </w:p>
        </w:tc>
        <w:tc>
          <w:tcPr>
            <w:tcW w:w="200" w:type="dxa"/>
            <w:vAlign w:val="bottom"/>
            <w:tcBorders>
              <w:bottom w:val="single" w:sz="8" w:color="auto"/>
            </w:tcBorders>
          </w:tcPr>
          <w:p>
            <w:pPr>
              <w:jc w:val="right"/>
              <w:ind w:right="45"/>
              <w:spacing w:after="0"/>
              <w:rPr>
                <w:sz w:val="20"/>
                <w:szCs w:val="20"/>
                <w:color w:val="auto"/>
              </w:rPr>
            </w:pPr>
            <w:r>
              <w:rPr>
                <w:rFonts w:ascii="Arial" w:cs="Arial" w:eastAsia="Arial" w:hAnsi="Arial"/>
                <w:sz w:val="15"/>
                <w:szCs w:val="15"/>
                <w:color w:val="auto"/>
                <w:w w:val="71"/>
              </w:rPr>
              <w:t>$</w:t>
            </w:r>
          </w:p>
        </w:tc>
        <w:tc>
          <w:tcPr>
            <w:tcW w:w="13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2,913,524</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7200" w:type="dxa"/>
            <w:vAlign w:val="bottom"/>
          </w:tcPr>
          <w:p>
            <w:pPr>
              <w:spacing w:after="0" w:line="20" w:lineRule="exact"/>
              <w:rPr>
                <w:sz w:val="1"/>
                <w:szCs w:val="1"/>
                <w:color w:val="auto"/>
              </w:rPr>
            </w:pPr>
          </w:p>
        </w:tc>
        <w:tc>
          <w:tcPr>
            <w:tcW w:w="82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26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3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2"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See accompanying condensed notes to the unaudited consolidated financial statements.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- 3 -</w:t>
      </w:r>
    </w:p>
    <w:p>
      <w:pPr>
        <w:sectPr>
          <w:pgSz w:w="11900" w:h="16838" w:orient="portrait"/>
          <w:cols w:equalWidth="0" w:num="1">
            <w:col w:w="11420"/>
          </w:cols>
          <w:pgMar w:left="240" w:top="135" w:right="239" w:bottom="1440" w:gutter="0" w:footer="0" w:header="0"/>
        </w:sectPr>
      </w:pPr>
    </w:p>
    <w:bookmarkStart w:id="3" w:name="page4"/>
    <w:bookmarkEnd w:id="3"/>
    <w:p>
      <w:pPr>
        <w:jc w:val="center"/>
        <w:spacing w:after="0"/>
        <w:rPr>
          <w:sz w:val="20"/>
          <w:szCs w:val="20"/>
          <w:color w:val="auto"/>
        </w:rPr>
      </w:pPr>
      <w:r>
        <w:rPr>
          <w:rFonts w:ascii="Arial" w:cs="Arial" w:eastAsia="Arial" w:hAnsi="Arial"/>
          <w:sz w:val="18"/>
          <w:szCs w:val="18"/>
          <w:b w:val="1"/>
          <w:bCs w:val="1"/>
          <w:color w:val="auto"/>
        </w:rPr>
        <w:t>TRI POINTE HOMES,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CONSOLIDATED STATEMENTS OF OPERATIONS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(in thousands, except share and per share amounts)</w:t>
      </w:r>
    </w:p>
    <w:p>
      <w:pPr>
        <w:spacing w:after="0" w:line="284"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5780" w:type="dxa"/>
            <w:vAlign w:val="bottom"/>
          </w:tcPr>
          <w:p>
            <w:pPr>
              <w:spacing w:after="0"/>
              <w:rPr>
                <w:sz w:val="14"/>
                <w:szCs w:val="14"/>
                <w:color w:val="auto"/>
              </w:rPr>
            </w:pPr>
          </w:p>
        </w:tc>
        <w:tc>
          <w:tcPr>
            <w:tcW w:w="220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3080" w:type="dxa"/>
            <w:vAlign w:val="bottom"/>
            <w:gridSpan w:val="5"/>
          </w:tcPr>
          <w:p>
            <w:pPr>
              <w:jc w:val="right"/>
              <w:ind w:right="800"/>
              <w:spacing w:after="0"/>
              <w:rPr>
                <w:sz w:val="20"/>
                <w:szCs w:val="20"/>
                <w:color w:val="auto"/>
              </w:rPr>
            </w:pPr>
            <w:r>
              <w:rPr>
                <w:rFonts w:ascii="Arial" w:cs="Arial" w:eastAsia="Arial" w:hAnsi="Arial"/>
                <w:sz w:val="14"/>
                <w:szCs w:val="14"/>
                <w:b w:val="1"/>
                <w:bCs w:val="1"/>
                <w:color w:val="auto"/>
              </w:rPr>
              <w:t>Three Months Ended March 31,</w:t>
            </w:r>
          </w:p>
        </w:tc>
        <w:tc>
          <w:tcPr>
            <w:tcW w:w="0" w:type="dxa"/>
            <w:vAlign w:val="bottom"/>
          </w:tcPr>
          <w:p>
            <w:pPr>
              <w:spacing w:after="0"/>
              <w:rPr>
                <w:sz w:val="1"/>
                <w:szCs w:val="1"/>
                <w:color w:val="auto"/>
              </w:rPr>
            </w:pPr>
          </w:p>
        </w:tc>
      </w:tr>
      <w:tr>
        <w:trPr>
          <w:trHeight w:val="156"/>
        </w:trPr>
        <w:tc>
          <w:tcPr>
            <w:tcW w:w="5780" w:type="dxa"/>
            <w:vAlign w:val="bottom"/>
            <w:tcBorders>
              <w:bottom w:val="single" w:sz="8" w:color="CFF0FC"/>
            </w:tcBorders>
          </w:tcPr>
          <w:p>
            <w:pPr>
              <w:spacing w:after="0"/>
              <w:rPr>
                <w:sz w:val="13"/>
                <w:szCs w:val="13"/>
                <w:color w:val="auto"/>
              </w:rPr>
            </w:pPr>
          </w:p>
        </w:tc>
        <w:tc>
          <w:tcPr>
            <w:tcW w:w="2200" w:type="dxa"/>
            <w:vAlign w:val="bottom"/>
            <w:tcBorders>
              <w:bottom w:val="single" w:sz="8" w:color="CFF0FC"/>
            </w:tcBorders>
          </w:tcPr>
          <w:p>
            <w:pPr>
              <w:spacing w:after="0"/>
              <w:rPr>
                <w:sz w:val="13"/>
                <w:szCs w:val="13"/>
                <w:color w:val="auto"/>
              </w:rPr>
            </w:pPr>
          </w:p>
        </w:tc>
        <w:tc>
          <w:tcPr>
            <w:tcW w:w="360" w:type="dxa"/>
            <w:vAlign w:val="bottom"/>
            <w:tcBorders>
              <w:top w:val="single" w:sz="8" w:color="auto"/>
              <w:bottom w:val="single" w:sz="8" w:color="auto"/>
            </w:tcBorders>
          </w:tcPr>
          <w:p>
            <w:pPr>
              <w:spacing w:after="0"/>
              <w:rPr>
                <w:sz w:val="13"/>
                <w:szCs w:val="13"/>
                <w:color w:val="auto"/>
              </w:rPr>
            </w:pPr>
          </w:p>
        </w:tc>
        <w:tc>
          <w:tcPr>
            <w:tcW w:w="1180" w:type="dxa"/>
            <w:vAlign w:val="bottom"/>
            <w:tcBorders>
              <w:top w:val="single" w:sz="8" w:color="auto"/>
              <w:bottom w:val="single" w:sz="8" w:color="auto"/>
            </w:tcBorders>
          </w:tcPr>
          <w:p>
            <w:pPr>
              <w:jc w:val="right"/>
              <w:ind w:right="532"/>
              <w:spacing w:after="0" w:line="155" w:lineRule="exact"/>
              <w:rPr>
                <w:sz w:val="20"/>
                <w:szCs w:val="20"/>
                <w:color w:val="auto"/>
              </w:rPr>
            </w:pPr>
            <w:r>
              <w:rPr>
                <w:rFonts w:ascii="Arial" w:cs="Arial" w:eastAsia="Arial" w:hAnsi="Arial"/>
                <w:sz w:val="14"/>
                <w:szCs w:val="14"/>
                <w:b w:val="1"/>
                <w:bCs w:val="1"/>
                <w:color w:val="auto"/>
              </w:rPr>
              <w:t>2015</w:t>
            </w:r>
          </w:p>
        </w:tc>
        <w:tc>
          <w:tcPr>
            <w:tcW w:w="220" w:type="dxa"/>
            <w:vAlign w:val="bottom"/>
            <w:tcBorders>
              <w:top w:val="single" w:sz="8" w:color="auto"/>
              <w:bottom w:val="single" w:sz="8" w:color="CFF0FC"/>
            </w:tcBorders>
          </w:tcPr>
          <w:p>
            <w:pPr>
              <w:spacing w:after="0"/>
              <w:rPr>
                <w:sz w:val="13"/>
                <w:szCs w:val="13"/>
                <w:color w:val="auto"/>
              </w:rPr>
            </w:pPr>
          </w:p>
        </w:tc>
        <w:tc>
          <w:tcPr>
            <w:tcW w:w="360" w:type="dxa"/>
            <w:vAlign w:val="bottom"/>
            <w:tcBorders>
              <w:top w:val="single" w:sz="8" w:color="auto"/>
              <w:bottom w:val="single" w:sz="8" w:color="auto"/>
            </w:tcBorders>
          </w:tcPr>
          <w:p>
            <w:pPr>
              <w:spacing w:after="0"/>
              <w:rPr>
                <w:sz w:val="13"/>
                <w:szCs w:val="13"/>
                <w:color w:val="auto"/>
              </w:rPr>
            </w:pPr>
          </w:p>
        </w:tc>
        <w:tc>
          <w:tcPr>
            <w:tcW w:w="1200" w:type="dxa"/>
            <w:vAlign w:val="bottom"/>
            <w:tcBorders>
              <w:top w:val="single" w:sz="8" w:color="auto"/>
              <w:bottom w:val="single" w:sz="8" w:color="auto"/>
            </w:tcBorders>
          </w:tcPr>
          <w:p>
            <w:pPr>
              <w:jc w:val="right"/>
              <w:ind w:right="551"/>
              <w:spacing w:after="0" w:line="155" w:lineRule="exact"/>
              <w:rPr>
                <w:sz w:val="20"/>
                <w:szCs w:val="20"/>
                <w:color w:val="auto"/>
              </w:rPr>
            </w:pPr>
            <w:r>
              <w:rPr>
                <w:rFonts w:ascii="Arial" w:cs="Arial" w:eastAsia="Arial" w:hAnsi="Arial"/>
                <w:sz w:val="14"/>
                <w:szCs w:val="14"/>
                <w:b w:val="1"/>
                <w:bCs w:val="1"/>
                <w:color w:val="auto"/>
              </w:rPr>
              <w:t>2014</w:t>
            </w:r>
          </w:p>
        </w:tc>
        <w:tc>
          <w:tcPr>
            <w:tcW w:w="120" w:type="dxa"/>
            <w:vAlign w:val="bottom"/>
            <w:tcBorders>
              <w:bottom w:val="single" w:sz="8" w:color="CFF0FC"/>
            </w:tcBorders>
          </w:tcPr>
          <w:p>
            <w:pPr>
              <w:spacing w:after="0"/>
              <w:rPr>
                <w:sz w:val="13"/>
                <w:szCs w:val="13"/>
                <w:color w:val="auto"/>
              </w:rPr>
            </w:pPr>
          </w:p>
        </w:tc>
        <w:tc>
          <w:tcPr>
            <w:tcW w:w="0" w:type="dxa"/>
            <w:vAlign w:val="bottom"/>
          </w:tcPr>
          <w:p>
            <w:pPr>
              <w:spacing w:after="0"/>
              <w:rPr>
                <w:sz w:val="1"/>
                <w:szCs w:val="1"/>
                <w:color w:val="auto"/>
              </w:rPr>
            </w:pPr>
          </w:p>
        </w:tc>
      </w:tr>
      <w:tr>
        <w:trPr>
          <w:trHeight w:val="223"/>
        </w:trPr>
        <w:tc>
          <w:tcPr>
            <w:tcW w:w="5780" w:type="dxa"/>
            <w:vAlign w:val="bottom"/>
            <w:shd w:val="clear" w:color="auto" w:fill="CFF0FC"/>
          </w:tcPr>
          <w:p>
            <w:pPr>
              <w:spacing w:after="0"/>
              <w:rPr>
                <w:sz w:val="20"/>
                <w:szCs w:val="20"/>
                <w:color w:val="auto"/>
              </w:rPr>
            </w:pPr>
            <w:r>
              <w:rPr>
                <w:rFonts w:ascii="Arial" w:cs="Arial" w:eastAsia="Arial" w:hAnsi="Arial"/>
                <w:sz w:val="18"/>
                <w:szCs w:val="18"/>
                <w:b w:val="1"/>
                <w:bCs w:val="1"/>
                <w:color w:val="auto"/>
              </w:rPr>
              <w:t>Revenues:</w:t>
            </w:r>
          </w:p>
        </w:tc>
        <w:tc>
          <w:tcPr>
            <w:tcW w:w="2200" w:type="dxa"/>
            <w:vAlign w:val="bottom"/>
            <w:shd w:val="clear" w:color="auto" w:fill="CFF0FC"/>
          </w:tcPr>
          <w:p>
            <w:pPr>
              <w:spacing w:after="0"/>
              <w:rPr>
                <w:sz w:val="19"/>
                <w:szCs w:val="19"/>
                <w:color w:val="auto"/>
              </w:rPr>
            </w:pPr>
          </w:p>
        </w:tc>
        <w:tc>
          <w:tcPr>
            <w:tcW w:w="360" w:type="dxa"/>
            <w:vAlign w:val="bottom"/>
            <w:shd w:val="clear" w:color="auto" w:fill="CFF0FC"/>
          </w:tcPr>
          <w:p>
            <w:pPr>
              <w:spacing w:after="0"/>
              <w:rPr>
                <w:sz w:val="19"/>
                <w:szCs w:val="19"/>
                <w:color w:val="auto"/>
              </w:rPr>
            </w:pPr>
          </w:p>
        </w:tc>
        <w:tc>
          <w:tcPr>
            <w:tcW w:w="1180" w:type="dxa"/>
            <w:vAlign w:val="bottom"/>
            <w:shd w:val="clear" w:color="auto" w:fill="CFF0FC"/>
          </w:tcPr>
          <w:p>
            <w:pPr>
              <w:spacing w:after="0"/>
              <w:rPr>
                <w:sz w:val="19"/>
                <w:szCs w:val="19"/>
                <w:color w:val="auto"/>
              </w:rPr>
            </w:pPr>
          </w:p>
        </w:tc>
        <w:tc>
          <w:tcPr>
            <w:tcW w:w="220" w:type="dxa"/>
            <w:vAlign w:val="bottom"/>
            <w:shd w:val="clear" w:color="auto" w:fill="CFF0FC"/>
          </w:tcPr>
          <w:p>
            <w:pPr>
              <w:spacing w:after="0"/>
              <w:rPr>
                <w:sz w:val="19"/>
                <w:szCs w:val="19"/>
                <w:color w:val="auto"/>
              </w:rPr>
            </w:pPr>
          </w:p>
        </w:tc>
        <w:tc>
          <w:tcPr>
            <w:tcW w:w="360" w:type="dxa"/>
            <w:vAlign w:val="bottom"/>
            <w:shd w:val="clear" w:color="auto" w:fill="CFF0FC"/>
          </w:tcPr>
          <w:p>
            <w:pPr>
              <w:spacing w:after="0"/>
              <w:rPr>
                <w:sz w:val="19"/>
                <w:szCs w:val="19"/>
                <w:color w:val="auto"/>
              </w:rPr>
            </w:pPr>
          </w:p>
        </w:tc>
        <w:tc>
          <w:tcPr>
            <w:tcW w:w="120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5780" w:type="dxa"/>
            <w:vAlign w:val="bottom"/>
          </w:tcPr>
          <w:p>
            <w:pPr>
              <w:ind w:left="260"/>
              <w:spacing w:after="0"/>
              <w:rPr>
                <w:sz w:val="20"/>
                <w:szCs w:val="20"/>
                <w:color w:val="auto"/>
              </w:rPr>
            </w:pPr>
            <w:r>
              <w:rPr>
                <w:rFonts w:ascii="Arial" w:cs="Arial" w:eastAsia="Arial" w:hAnsi="Arial"/>
                <w:sz w:val="18"/>
                <w:szCs w:val="18"/>
                <w:color w:val="auto"/>
              </w:rPr>
              <w:t>Home sales</w:t>
            </w:r>
          </w:p>
        </w:tc>
        <w:tc>
          <w:tcPr>
            <w:tcW w:w="2560" w:type="dxa"/>
            <w:vAlign w:val="bottom"/>
            <w:gridSpan w:val="2"/>
          </w:tcPr>
          <w:p>
            <w:pPr>
              <w:jc w:val="right"/>
              <w:ind w:right="170"/>
              <w:spacing w:after="0"/>
              <w:rPr>
                <w:sz w:val="20"/>
                <w:szCs w:val="20"/>
                <w:color w:val="auto"/>
              </w:rPr>
            </w:pPr>
            <w:r>
              <w:rPr>
                <w:rFonts w:ascii="Arial" w:cs="Arial" w:eastAsia="Arial" w:hAnsi="Arial"/>
                <w:sz w:val="18"/>
                <w:szCs w:val="18"/>
                <w:color w:val="auto"/>
              </w:rPr>
              <w:t>$</w:t>
            </w:r>
          </w:p>
        </w:tc>
        <w:tc>
          <w:tcPr>
            <w:tcW w:w="1180" w:type="dxa"/>
            <w:vAlign w:val="bottom"/>
          </w:tcPr>
          <w:p>
            <w:pPr>
              <w:jc w:val="right"/>
              <w:spacing w:after="0"/>
              <w:rPr>
                <w:sz w:val="20"/>
                <w:szCs w:val="20"/>
                <w:color w:val="auto"/>
              </w:rPr>
            </w:pPr>
            <w:r>
              <w:rPr>
                <w:rFonts w:ascii="Arial" w:cs="Arial" w:eastAsia="Arial" w:hAnsi="Arial"/>
                <w:sz w:val="18"/>
                <w:szCs w:val="18"/>
                <w:color w:val="auto"/>
              </w:rPr>
              <w:t>374,265</w:t>
            </w:r>
          </w:p>
        </w:tc>
        <w:tc>
          <w:tcPr>
            <w:tcW w:w="220" w:type="dxa"/>
            <w:vAlign w:val="bottom"/>
          </w:tcPr>
          <w:p>
            <w:pPr>
              <w:spacing w:after="0"/>
              <w:rPr>
                <w:sz w:val="19"/>
                <w:szCs w:val="19"/>
                <w:color w:val="auto"/>
              </w:rPr>
            </w:pPr>
          </w:p>
        </w:tc>
        <w:tc>
          <w:tcPr>
            <w:tcW w:w="360" w:type="dxa"/>
            <w:vAlign w:val="bottom"/>
          </w:tcPr>
          <w:p>
            <w:pPr>
              <w:jc w:val="right"/>
              <w:ind w:right="170"/>
              <w:spacing w:after="0"/>
              <w:rPr>
                <w:sz w:val="20"/>
                <w:szCs w:val="20"/>
                <w:color w:val="auto"/>
              </w:rPr>
            </w:pPr>
            <w:r>
              <w:rPr>
                <w:rFonts w:ascii="Arial" w:cs="Arial" w:eastAsia="Arial" w:hAnsi="Arial"/>
                <w:sz w:val="18"/>
                <w:szCs w:val="18"/>
                <w:color w:val="auto"/>
                <w:w w:val="79"/>
              </w:rPr>
              <w:t>$</w:t>
            </w:r>
          </w:p>
        </w:tc>
        <w:tc>
          <w:tcPr>
            <w:tcW w:w="1200" w:type="dxa"/>
            <w:vAlign w:val="bottom"/>
          </w:tcPr>
          <w:p>
            <w:pPr>
              <w:jc w:val="right"/>
              <w:spacing w:after="0"/>
              <w:rPr>
                <w:sz w:val="20"/>
                <w:szCs w:val="20"/>
                <w:color w:val="auto"/>
              </w:rPr>
            </w:pPr>
            <w:r>
              <w:rPr>
                <w:rFonts w:ascii="Arial" w:cs="Arial" w:eastAsia="Arial" w:hAnsi="Arial"/>
                <w:sz w:val="18"/>
                <w:szCs w:val="18"/>
                <w:color w:val="auto"/>
              </w:rPr>
              <w:t>241,902</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5780" w:type="dxa"/>
            <w:vAlign w:val="bottom"/>
            <w:shd w:val="clear" w:color="auto" w:fill="CFF0FC"/>
          </w:tcPr>
          <w:p>
            <w:pPr>
              <w:ind w:left="260"/>
              <w:spacing w:after="0"/>
              <w:rPr>
                <w:sz w:val="20"/>
                <w:szCs w:val="20"/>
                <w:color w:val="auto"/>
              </w:rPr>
            </w:pPr>
            <w:r>
              <w:rPr>
                <w:rFonts w:ascii="Arial" w:cs="Arial" w:eastAsia="Arial" w:hAnsi="Arial"/>
                <w:sz w:val="18"/>
                <w:szCs w:val="18"/>
                <w:color w:val="auto"/>
              </w:rPr>
              <w:t>Land and lot sales</w:t>
            </w:r>
          </w:p>
        </w:tc>
        <w:tc>
          <w:tcPr>
            <w:tcW w:w="2200" w:type="dxa"/>
            <w:vAlign w:val="bottom"/>
            <w:shd w:val="clear" w:color="auto" w:fill="CFF0FC"/>
          </w:tcPr>
          <w:p>
            <w:pPr>
              <w:spacing w:after="0"/>
              <w:rPr>
                <w:sz w:val="19"/>
                <w:szCs w:val="19"/>
                <w:color w:val="auto"/>
              </w:rPr>
            </w:pPr>
          </w:p>
        </w:tc>
        <w:tc>
          <w:tcPr>
            <w:tcW w:w="360" w:type="dxa"/>
            <w:vAlign w:val="bottom"/>
            <w:shd w:val="clear" w:color="auto" w:fill="CFF0FC"/>
          </w:tcPr>
          <w:p>
            <w:pPr>
              <w:spacing w:after="0"/>
              <w:rPr>
                <w:sz w:val="19"/>
                <w:szCs w:val="19"/>
                <w:color w:val="auto"/>
              </w:rPr>
            </w:pPr>
          </w:p>
        </w:tc>
        <w:tc>
          <w:tcPr>
            <w:tcW w:w="11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2,000</w:t>
            </w:r>
          </w:p>
        </w:tc>
        <w:tc>
          <w:tcPr>
            <w:tcW w:w="220" w:type="dxa"/>
            <w:vAlign w:val="bottom"/>
            <w:shd w:val="clear" w:color="auto" w:fill="CFF0FC"/>
          </w:tcPr>
          <w:p>
            <w:pPr>
              <w:spacing w:after="0"/>
              <w:rPr>
                <w:sz w:val="19"/>
                <w:szCs w:val="19"/>
                <w:color w:val="auto"/>
              </w:rPr>
            </w:pPr>
          </w:p>
        </w:tc>
        <w:tc>
          <w:tcPr>
            <w:tcW w:w="360" w:type="dxa"/>
            <w:vAlign w:val="bottom"/>
            <w:shd w:val="clear" w:color="auto" w:fill="CFF0FC"/>
          </w:tcPr>
          <w:p>
            <w:pPr>
              <w:spacing w:after="0"/>
              <w:rPr>
                <w:sz w:val="19"/>
                <w:szCs w:val="19"/>
                <w:color w:val="auto"/>
              </w:rPr>
            </w:pPr>
          </w:p>
        </w:tc>
        <w:tc>
          <w:tcPr>
            <w:tcW w:w="12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3,387</w:t>
            </w:r>
          </w:p>
        </w:tc>
        <w:tc>
          <w:tcPr>
            <w:tcW w:w="1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5780" w:type="dxa"/>
            <w:vAlign w:val="bottom"/>
            <w:tcBorders>
              <w:bottom w:val="single" w:sz="8" w:color="CFF0FC"/>
            </w:tcBorders>
          </w:tcPr>
          <w:p>
            <w:pPr>
              <w:ind w:left="260"/>
              <w:spacing w:after="0"/>
              <w:rPr>
                <w:sz w:val="20"/>
                <w:szCs w:val="20"/>
                <w:color w:val="auto"/>
              </w:rPr>
            </w:pPr>
            <w:r>
              <w:rPr>
                <w:rFonts w:ascii="Arial" w:cs="Arial" w:eastAsia="Arial" w:hAnsi="Arial"/>
                <w:sz w:val="18"/>
                <w:szCs w:val="18"/>
                <w:color w:val="auto"/>
              </w:rPr>
              <w:t>Other operations</w:t>
            </w:r>
          </w:p>
        </w:tc>
        <w:tc>
          <w:tcPr>
            <w:tcW w:w="2200" w:type="dxa"/>
            <w:vAlign w:val="bottom"/>
            <w:tcBorders>
              <w:bottom w:val="single" w:sz="8" w:color="CFF0FC"/>
            </w:tcBorders>
          </w:tcPr>
          <w:p>
            <w:pPr>
              <w:spacing w:after="0"/>
              <w:rPr>
                <w:sz w:val="19"/>
                <w:szCs w:val="19"/>
                <w:color w:val="auto"/>
              </w:rPr>
            </w:pPr>
          </w:p>
        </w:tc>
        <w:tc>
          <w:tcPr>
            <w:tcW w:w="360" w:type="dxa"/>
            <w:vAlign w:val="bottom"/>
            <w:tcBorders>
              <w:bottom w:val="single" w:sz="8" w:color="auto"/>
            </w:tcBorders>
          </w:tcPr>
          <w:p>
            <w:pPr>
              <w:spacing w:after="0"/>
              <w:rPr>
                <w:sz w:val="19"/>
                <w:szCs w:val="19"/>
                <w:color w:val="auto"/>
              </w:rPr>
            </w:pPr>
          </w:p>
        </w:tc>
        <w:tc>
          <w:tcPr>
            <w:tcW w:w="11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993</w:t>
            </w:r>
          </w:p>
        </w:tc>
        <w:tc>
          <w:tcPr>
            <w:tcW w:w="220" w:type="dxa"/>
            <w:vAlign w:val="bottom"/>
            <w:tcBorders>
              <w:bottom w:val="single" w:sz="8" w:color="CFF0FC"/>
            </w:tcBorders>
          </w:tcPr>
          <w:p>
            <w:pPr>
              <w:spacing w:after="0"/>
              <w:rPr>
                <w:sz w:val="19"/>
                <w:szCs w:val="19"/>
                <w:color w:val="auto"/>
              </w:rPr>
            </w:pPr>
          </w:p>
        </w:tc>
        <w:tc>
          <w:tcPr>
            <w:tcW w:w="360" w:type="dxa"/>
            <w:vAlign w:val="bottom"/>
            <w:tcBorders>
              <w:bottom w:val="single" w:sz="8" w:color="auto"/>
            </w:tcBorders>
          </w:tcPr>
          <w:p>
            <w:pPr>
              <w:spacing w:after="0"/>
              <w:rPr>
                <w:sz w:val="19"/>
                <w:szCs w:val="19"/>
                <w:color w:val="auto"/>
              </w:rPr>
            </w:pPr>
          </w:p>
        </w:tc>
        <w:tc>
          <w:tcPr>
            <w:tcW w:w="12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2,843</w:t>
            </w:r>
          </w:p>
        </w:tc>
        <w:tc>
          <w:tcPr>
            <w:tcW w:w="120" w:type="dxa"/>
            <w:vAlign w:val="bottom"/>
            <w:tcBorders>
              <w:bottom w:val="single" w:sz="8" w:color="CFF0FC"/>
            </w:tcBorders>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5780" w:type="dxa"/>
            <w:vAlign w:val="bottom"/>
            <w:shd w:val="clear" w:color="auto" w:fill="CFF0FC"/>
          </w:tcPr>
          <w:p>
            <w:pPr>
              <w:ind w:left="620"/>
              <w:spacing w:after="0"/>
              <w:rPr>
                <w:sz w:val="20"/>
                <w:szCs w:val="20"/>
                <w:color w:val="auto"/>
              </w:rPr>
            </w:pPr>
            <w:r>
              <w:rPr>
                <w:rFonts w:ascii="Arial" w:cs="Arial" w:eastAsia="Arial" w:hAnsi="Arial"/>
                <w:sz w:val="18"/>
                <w:szCs w:val="18"/>
                <w:color w:val="auto"/>
              </w:rPr>
              <w:t>Total revenues</w:t>
            </w:r>
          </w:p>
        </w:tc>
        <w:tc>
          <w:tcPr>
            <w:tcW w:w="2200" w:type="dxa"/>
            <w:vAlign w:val="bottom"/>
            <w:shd w:val="clear" w:color="auto" w:fill="CFF0FC"/>
          </w:tcPr>
          <w:p>
            <w:pPr>
              <w:spacing w:after="0"/>
              <w:rPr>
                <w:sz w:val="19"/>
                <w:szCs w:val="19"/>
                <w:color w:val="auto"/>
              </w:rPr>
            </w:pPr>
          </w:p>
        </w:tc>
        <w:tc>
          <w:tcPr>
            <w:tcW w:w="360" w:type="dxa"/>
            <w:vAlign w:val="bottom"/>
            <w:tcBorders>
              <w:bottom w:val="single" w:sz="8" w:color="auto"/>
            </w:tcBorders>
            <w:shd w:val="clear" w:color="auto" w:fill="CFF0FC"/>
          </w:tcPr>
          <w:p>
            <w:pPr>
              <w:spacing w:after="0"/>
              <w:rPr>
                <w:sz w:val="19"/>
                <w:szCs w:val="19"/>
                <w:color w:val="auto"/>
              </w:rPr>
            </w:pPr>
          </w:p>
        </w:tc>
        <w:tc>
          <w:tcPr>
            <w:tcW w:w="118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377,258</w:t>
            </w:r>
          </w:p>
        </w:tc>
        <w:tc>
          <w:tcPr>
            <w:tcW w:w="220" w:type="dxa"/>
            <w:vAlign w:val="bottom"/>
            <w:shd w:val="clear" w:color="auto" w:fill="CFF0FC"/>
          </w:tcPr>
          <w:p>
            <w:pPr>
              <w:spacing w:after="0"/>
              <w:rPr>
                <w:sz w:val="19"/>
                <w:szCs w:val="19"/>
                <w:color w:val="auto"/>
              </w:rPr>
            </w:pPr>
          </w:p>
        </w:tc>
        <w:tc>
          <w:tcPr>
            <w:tcW w:w="360" w:type="dxa"/>
            <w:vAlign w:val="bottom"/>
            <w:tcBorders>
              <w:bottom w:val="single" w:sz="8" w:color="auto"/>
            </w:tcBorders>
            <w:shd w:val="clear" w:color="auto" w:fill="CFF0FC"/>
          </w:tcPr>
          <w:p>
            <w:pPr>
              <w:spacing w:after="0"/>
              <w:rPr>
                <w:sz w:val="19"/>
                <w:szCs w:val="19"/>
                <w:color w:val="auto"/>
              </w:rPr>
            </w:pPr>
          </w:p>
        </w:tc>
        <w:tc>
          <w:tcPr>
            <w:tcW w:w="120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248,132</w:t>
            </w:r>
          </w:p>
        </w:tc>
        <w:tc>
          <w:tcPr>
            <w:tcW w:w="1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5780" w:type="dxa"/>
            <w:vAlign w:val="bottom"/>
          </w:tcPr>
          <w:p>
            <w:pPr>
              <w:spacing w:after="0"/>
              <w:rPr>
                <w:sz w:val="20"/>
                <w:szCs w:val="20"/>
                <w:color w:val="auto"/>
              </w:rPr>
            </w:pPr>
            <w:r>
              <w:rPr>
                <w:rFonts w:ascii="Arial" w:cs="Arial" w:eastAsia="Arial" w:hAnsi="Arial"/>
                <w:sz w:val="18"/>
                <w:szCs w:val="18"/>
                <w:b w:val="1"/>
                <w:bCs w:val="1"/>
                <w:color w:val="auto"/>
              </w:rPr>
              <w:t>Expenses:</w:t>
            </w:r>
          </w:p>
        </w:tc>
        <w:tc>
          <w:tcPr>
            <w:tcW w:w="220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118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12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5780" w:type="dxa"/>
            <w:vAlign w:val="bottom"/>
            <w:shd w:val="clear" w:color="auto" w:fill="CFF0FC"/>
          </w:tcPr>
          <w:p>
            <w:pPr>
              <w:ind w:left="260"/>
              <w:spacing w:after="0"/>
              <w:rPr>
                <w:sz w:val="20"/>
                <w:szCs w:val="20"/>
                <w:color w:val="auto"/>
              </w:rPr>
            </w:pPr>
            <w:r>
              <w:rPr>
                <w:rFonts w:ascii="Arial" w:cs="Arial" w:eastAsia="Arial" w:hAnsi="Arial"/>
                <w:sz w:val="18"/>
                <w:szCs w:val="18"/>
                <w:color w:val="auto"/>
              </w:rPr>
              <w:t>Cost of home sales</w:t>
            </w:r>
          </w:p>
        </w:tc>
        <w:tc>
          <w:tcPr>
            <w:tcW w:w="2200" w:type="dxa"/>
            <w:vAlign w:val="bottom"/>
            <w:shd w:val="clear" w:color="auto" w:fill="CFF0FC"/>
          </w:tcPr>
          <w:p>
            <w:pPr>
              <w:spacing w:after="0"/>
              <w:rPr>
                <w:sz w:val="19"/>
                <w:szCs w:val="19"/>
                <w:color w:val="auto"/>
              </w:rPr>
            </w:pPr>
          </w:p>
        </w:tc>
        <w:tc>
          <w:tcPr>
            <w:tcW w:w="360" w:type="dxa"/>
            <w:vAlign w:val="bottom"/>
            <w:shd w:val="clear" w:color="auto" w:fill="CFF0FC"/>
          </w:tcPr>
          <w:p>
            <w:pPr>
              <w:spacing w:after="0"/>
              <w:rPr>
                <w:sz w:val="19"/>
                <w:szCs w:val="19"/>
                <w:color w:val="auto"/>
              </w:rPr>
            </w:pPr>
          </w:p>
        </w:tc>
        <w:tc>
          <w:tcPr>
            <w:tcW w:w="11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299,907</w:t>
            </w:r>
          </w:p>
        </w:tc>
        <w:tc>
          <w:tcPr>
            <w:tcW w:w="220" w:type="dxa"/>
            <w:vAlign w:val="bottom"/>
            <w:shd w:val="clear" w:color="auto" w:fill="CFF0FC"/>
          </w:tcPr>
          <w:p>
            <w:pPr>
              <w:spacing w:after="0"/>
              <w:rPr>
                <w:sz w:val="19"/>
                <w:szCs w:val="19"/>
                <w:color w:val="auto"/>
              </w:rPr>
            </w:pPr>
          </w:p>
        </w:tc>
        <w:tc>
          <w:tcPr>
            <w:tcW w:w="360" w:type="dxa"/>
            <w:vAlign w:val="bottom"/>
            <w:shd w:val="clear" w:color="auto" w:fill="CFF0FC"/>
          </w:tcPr>
          <w:p>
            <w:pPr>
              <w:spacing w:after="0"/>
              <w:rPr>
                <w:sz w:val="19"/>
                <w:szCs w:val="19"/>
                <w:color w:val="auto"/>
              </w:rPr>
            </w:pPr>
          </w:p>
        </w:tc>
        <w:tc>
          <w:tcPr>
            <w:tcW w:w="12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191,268</w:t>
            </w:r>
          </w:p>
        </w:tc>
        <w:tc>
          <w:tcPr>
            <w:tcW w:w="1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5780" w:type="dxa"/>
            <w:vAlign w:val="bottom"/>
          </w:tcPr>
          <w:p>
            <w:pPr>
              <w:ind w:left="260"/>
              <w:spacing w:after="0"/>
              <w:rPr>
                <w:sz w:val="20"/>
                <w:szCs w:val="20"/>
                <w:color w:val="auto"/>
              </w:rPr>
            </w:pPr>
            <w:r>
              <w:rPr>
                <w:rFonts w:ascii="Arial" w:cs="Arial" w:eastAsia="Arial" w:hAnsi="Arial"/>
                <w:sz w:val="18"/>
                <w:szCs w:val="18"/>
                <w:color w:val="auto"/>
              </w:rPr>
              <w:t>Cost of land and lot sales</w:t>
            </w:r>
          </w:p>
        </w:tc>
        <w:tc>
          <w:tcPr>
            <w:tcW w:w="220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1180" w:type="dxa"/>
            <w:vAlign w:val="bottom"/>
          </w:tcPr>
          <w:p>
            <w:pPr>
              <w:jc w:val="right"/>
              <w:spacing w:after="0"/>
              <w:rPr>
                <w:sz w:val="20"/>
                <w:szCs w:val="20"/>
                <w:color w:val="auto"/>
              </w:rPr>
            </w:pPr>
            <w:r>
              <w:rPr>
                <w:rFonts w:ascii="Arial" w:cs="Arial" w:eastAsia="Arial" w:hAnsi="Arial"/>
                <w:sz w:val="18"/>
                <w:szCs w:val="18"/>
                <w:color w:val="auto"/>
              </w:rPr>
              <w:t>2,308</w:t>
            </w:r>
          </w:p>
        </w:tc>
        <w:tc>
          <w:tcPr>
            <w:tcW w:w="22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1200" w:type="dxa"/>
            <w:vAlign w:val="bottom"/>
          </w:tcPr>
          <w:p>
            <w:pPr>
              <w:jc w:val="right"/>
              <w:spacing w:after="0"/>
              <w:rPr>
                <w:sz w:val="20"/>
                <w:szCs w:val="20"/>
                <w:color w:val="auto"/>
              </w:rPr>
            </w:pPr>
            <w:r>
              <w:rPr>
                <w:rFonts w:ascii="Arial" w:cs="Arial" w:eastAsia="Arial" w:hAnsi="Arial"/>
                <w:sz w:val="18"/>
                <w:szCs w:val="18"/>
                <w:color w:val="auto"/>
              </w:rPr>
              <w:t>3,163</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5780" w:type="dxa"/>
            <w:vAlign w:val="bottom"/>
            <w:shd w:val="clear" w:color="auto" w:fill="CFF0FC"/>
          </w:tcPr>
          <w:p>
            <w:pPr>
              <w:ind w:left="260"/>
              <w:spacing w:after="0"/>
              <w:rPr>
                <w:sz w:val="20"/>
                <w:szCs w:val="20"/>
                <w:color w:val="auto"/>
              </w:rPr>
            </w:pPr>
            <w:r>
              <w:rPr>
                <w:rFonts w:ascii="Arial" w:cs="Arial" w:eastAsia="Arial" w:hAnsi="Arial"/>
                <w:sz w:val="18"/>
                <w:szCs w:val="18"/>
                <w:color w:val="auto"/>
              </w:rPr>
              <w:t>Other operations</w:t>
            </w:r>
          </w:p>
        </w:tc>
        <w:tc>
          <w:tcPr>
            <w:tcW w:w="2200" w:type="dxa"/>
            <w:vAlign w:val="bottom"/>
            <w:shd w:val="clear" w:color="auto" w:fill="CFF0FC"/>
          </w:tcPr>
          <w:p>
            <w:pPr>
              <w:spacing w:after="0"/>
              <w:rPr>
                <w:sz w:val="19"/>
                <w:szCs w:val="19"/>
                <w:color w:val="auto"/>
              </w:rPr>
            </w:pPr>
          </w:p>
        </w:tc>
        <w:tc>
          <w:tcPr>
            <w:tcW w:w="360" w:type="dxa"/>
            <w:vAlign w:val="bottom"/>
            <w:shd w:val="clear" w:color="auto" w:fill="CFF0FC"/>
          </w:tcPr>
          <w:p>
            <w:pPr>
              <w:spacing w:after="0"/>
              <w:rPr>
                <w:sz w:val="19"/>
                <w:szCs w:val="19"/>
                <w:color w:val="auto"/>
              </w:rPr>
            </w:pPr>
          </w:p>
        </w:tc>
        <w:tc>
          <w:tcPr>
            <w:tcW w:w="11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562</w:t>
            </w:r>
          </w:p>
        </w:tc>
        <w:tc>
          <w:tcPr>
            <w:tcW w:w="220" w:type="dxa"/>
            <w:vAlign w:val="bottom"/>
            <w:shd w:val="clear" w:color="auto" w:fill="CFF0FC"/>
          </w:tcPr>
          <w:p>
            <w:pPr>
              <w:spacing w:after="0"/>
              <w:rPr>
                <w:sz w:val="19"/>
                <w:szCs w:val="19"/>
                <w:color w:val="auto"/>
              </w:rPr>
            </w:pPr>
          </w:p>
        </w:tc>
        <w:tc>
          <w:tcPr>
            <w:tcW w:w="360" w:type="dxa"/>
            <w:vAlign w:val="bottom"/>
            <w:shd w:val="clear" w:color="auto" w:fill="CFF0FC"/>
          </w:tcPr>
          <w:p>
            <w:pPr>
              <w:spacing w:after="0"/>
              <w:rPr>
                <w:sz w:val="19"/>
                <w:szCs w:val="19"/>
                <w:color w:val="auto"/>
              </w:rPr>
            </w:pPr>
          </w:p>
        </w:tc>
        <w:tc>
          <w:tcPr>
            <w:tcW w:w="12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1,632</w:t>
            </w:r>
          </w:p>
        </w:tc>
        <w:tc>
          <w:tcPr>
            <w:tcW w:w="1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5780" w:type="dxa"/>
            <w:vAlign w:val="bottom"/>
          </w:tcPr>
          <w:p>
            <w:pPr>
              <w:ind w:left="260"/>
              <w:spacing w:after="0"/>
              <w:rPr>
                <w:sz w:val="20"/>
                <w:szCs w:val="20"/>
                <w:color w:val="auto"/>
              </w:rPr>
            </w:pPr>
            <w:r>
              <w:rPr>
                <w:rFonts w:ascii="Arial" w:cs="Arial" w:eastAsia="Arial" w:hAnsi="Arial"/>
                <w:sz w:val="18"/>
                <w:szCs w:val="18"/>
                <w:color w:val="auto"/>
              </w:rPr>
              <w:t>Sales and marketing</w:t>
            </w:r>
          </w:p>
        </w:tc>
        <w:tc>
          <w:tcPr>
            <w:tcW w:w="220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1180" w:type="dxa"/>
            <w:vAlign w:val="bottom"/>
          </w:tcPr>
          <w:p>
            <w:pPr>
              <w:jc w:val="right"/>
              <w:spacing w:after="0"/>
              <w:rPr>
                <w:sz w:val="20"/>
                <w:szCs w:val="20"/>
                <w:color w:val="auto"/>
              </w:rPr>
            </w:pPr>
            <w:r>
              <w:rPr>
                <w:rFonts w:ascii="Arial" w:cs="Arial" w:eastAsia="Arial" w:hAnsi="Arial"/>
                <w:sz w:val="18"/>
                <w:szCs w:val="18"/>
                <w:color w:val="auto"/>
              </w:rPr>
              <w:t>23,286</w:t>
            </w:r>
          </w:p>
        </w:tc>
        <w:tc>
          <w:tcPr>
            <w:tcW w:w="22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1200" w:type="dxa"/>
            <w:vAlign w:val="bottom"/>
          </w:tcPr>
          <w:p>
            <w:pPr>
              <w:jc w:val="right"/>
              <w:spacing w:after="0"/>
              <w:rPr>
                <w:sz w:val="20"/>
                <w:szCs w:val="20"/>
                <w:color w:val="auto"/>
              </w:rPr>
            </w:pPr>
            <w:r>
              <w:rPr>
                <w:rFonts w:ascii="Arial" w:cs="Arial" w:eastAsia="Arial" w:hAnsi="Arial"/>
                <w:sz w:val="18"/>
                <w:szCs w:val="18"/>
                <w:color w:val="auto"/>
              </w:rPr>
              <w:t>20,905</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5780" w:type="dxa"/>
            <w:vAlign w:val="bottom"/>
            <w:shd w:val="clear" w:color="auto" w:fill="CFF0FC"/>
          </w:tcPr>
          <w:p>
            <w:pPr>
              <w:ind w:left="260"/>
              <w:spacing w:after="0"/>
              <w:rPr>
                <w:sz w:val="20"/>
                <w:szCs w:val="20"/>
                <w:color w:val="auto"/>
              </w:rPr>
            </w:pPr>
            <w:r>
              <w:rPr>
                <w:rFonts w:ascii="Arial" w:cs="Arial" w:eastAsia="Arial" w:hAnsi="Arial"/>
                <w:sz w:val="18"/>
                <w:szCs w:val="18"/>
                <w:color w:val="auto"/>
              </w:rPr>
              <w:t>General and administrative</w:t>
            </w:r>
          </w:p>
        </w:tc>
        <w:tc>
          <w:tcPr>
            <w:tcW w:w="2200" w:type="dxa"/>
            <w:vAlign w:val="bottom"/>
            <w:shd w:val="clear" w:color="auto" w:fill="CFF0FC"/>
          </w:tcPr>
          <w:p>
            <w:pPr>
              <w:spacing w:after="0"/>
              <w:rPr>
                <w:sz w:val="19"/>
                <w:szCs w:val="19"/>
                <w:color w:val="auto"/>
              </w:rPr>
            </w:pPr>
          </w:p>
        </w:tc>
        <w:tc>
          <w:tcPr>
            <w:tcW w:w="360" w:type="dxa"/>
            <w:vAlign w:val="bottom"/>
            <w:shd w:val="clear" w:color="auto" w:fill="CFF0FC"/>
          </w:tcPr>
          <w:p>
            <w:pPr>
              <w:spacing w:after="0"/>
              <w:rPr>
                <w:sz w:val="19"/>
                <w:szCs w:val="19"/>
                <w:color w:val="auto"/>
              </w:rPr>
            </w:pPr>
          </w:p>
        </w:tc>
        <w:tc>
          <w:tcPr>
            <w:tcW w:w="11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28,179</w:t>
            </w:r>
          </w:p>
        </w:tc>
        <w:tc>
          <w:tcPr>
            <w:tcW w:w="220" w:type="dxa"/>
            <w:vAlign w:val="bottom"/>
            <w:shd w:val="clear" w:color="auto" w:fill="CFF0FC"/>
          </w:tcPr>
          <w:p>
            <w:pPr>
              <w:spacing w:after="0"/>
              <w:rPr>
                <w:sz w:val="19"/>
                <w:szCs w:val="19"/>
                <w:color w:val="auto"/>
              </w:rPr>
            </w:pPr>
          </w:p>
        </w:tc>
        <w:tc>
          <w:tcPr>
            <w:tcW w:w="360" w:type="dxa"/>
            <w:vAlign w:val="bottom"/>
            <w:shd w:val="clear" w:color="auto" w:fill="CFF0FC"/>
          </w:tcPr>
          <w:p>
            <w:pPr>
              <w:spacing w:after="0"/>
              <w:rPr>
                <w:sz w:val="19"/>
                <w:szCs w:val="19"/>
                <w:color w:val="auto"/>
              </w:rPr>
            </w:pPr>
          </w:p>
        </w:tc>
        <w:tc>
          <w:tcPr>
            <w:tcW w:w="12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18,005</w:t>
            </w:r>
          </w:p>
        </w:tc>
        <w:tc>
          <w:tcPr>
            <w:tcW w:w="1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5780" w:type="dxa"/>
            <w:vAlign w:val="bottom"/>
            <w:tcBorders>
              <w:bottom w:val="single" w:sz="8" w:color="CFF0FC"/>
            </w:tcBorders>
          </w:tcPr>
          <w:p>
            <w:pPr>
              <w:ind w:left="260"/>
              <w:spacing w:after="0"/>
              <w:rPr>
                <w:sz w:val="20"/>
                <w:szCs w:val="20"/>
                <w:color w:val="auto"/>
              </w:rPr>
            </w:pPr>
            <w:r>
              <w:rPr>
                <w:rFonts w:ascii="Arial" w:cs="Arial" w:eastAsia="Arial" w:hAnsi="Arial"/>
                <w:sz w:val="18"/>
                <w:szCs w:val="18"/>
                <w:color w:val="auto"/>
              </w:rPr>
              <w:t>Restructuring charges</w:t>
            </w:r>
          </w:p>
        </w:tc>
        <w:tc>
          <w:tcPr>
            <w:tcW w:w="2200" w:type="dxa"/>
            <w:vAlign w:val="bottom"/>
            <w:tcBorders>
              <w:bottom w:val="single" w:sz="8" w:color="CFF0FC"/>
            </w:tcBorders>
          </w:tcPr>
          <w:p>
            <w:pPr>
              <w:spacing w:after="0"/>
              <w:rPr>
                <w:sz w:val="19"/>
                <w:szCs w:val="19"/>
                <w:color w:val="auto"/>
              </w:rPr>
            </w:pPr>
          </w:p>
        </w:tc>
        <w:tc>
          <w:tcPr>
            <w:tcW w:w="360" w:type="dxa"/>
            <w:vAlign w:val="bottom"/>
            <w:tcBorders>
              <w:bottom w:val="single" w:sz="8" w:color="auto"/>
            </w:tcBorders>
          </w:tcPr>
          <w:p>
            <w:pPr>
              <w:spacing w:after="0"/>
              <w:rPr>
                <w:sz w:val="19"/>
                <w:szCs w:val="19"/>
                <w:color w:val="auto"/>
              </w:rPr>
            </w:pPr>
          </w:p>
        </w:tc>
        <w:tc>
          <w:tcPr>
            <w:tcW w:w="11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222</w:t>
            </w:r>
          </w:p>
        </w:tc>
        <w:tc>
          <w:tcPr>
            <w:tcW w:w="220" w:type="dxa"/>
            <w:vAlign w:val="bottom"/>
            <w:tcBorders>
              <w:bottom w:val="single" w:sz="8" w:color="CFF0FC"/>
            </w:tcBorders>
          </w:tcPr>
          <w:p>
            <w:pPr>
              <w:spacing w:after="0"/>
              <w:rPr>
                <w:sz w:val="19"/>
                <w:szCs w:val="19"/>
                <w:color w:val="auto"/>
              </w:rPr>
            </w:pPr>
          </w:p>
        </w:tc>
        <w:tc>
          <w:tcPr>
            <w:tcW w:w="360" w:type="dxa"/>
            <w:vAlign w:val="bottom"/>
            <w:tcBorders>
              <w:bottom w:val="single" w:sz="8" w:color="auto"/>
            </w:tcBorders>
          </w:tcPr>
          <w:p>
            <w:pPr>
              <w:spacing w:after="0"/>
              <w:rPr>
                <w:sz w:val="19"/>
                <w:szCs w:val="19"/>
                <w:color w:val="auto"/>
              </w:rPr>
            </w:pPr>
          </w:p>
        </w:tc>
        <w:tc>
          <w:tcPr>
            <w:tcW w:w="12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1,716</w:t>
            </w:r>
          </w:p>
        </w:tc>
        <w:tc>
          <w:tcPr>
            <w:tcW w:w="120" w:type="dxa"/>
            <w:vAlign w:val="bottom"/>
            <w:tcBorders>
              <w:bottom w:val="single" w:sz="8" w:color="CFF0FC"/>
            </w:tcBorders>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5780" w:type="dxa"/>
            <w:vAlign w:val="bottom"/>
            <w:shd w:val="clear" w:color="auto" w:fill="CFF0FC"/>
          </w:tcPr>
          <w:p>
            <w:pPr>
              <w:ind w:left="500"/>
              <w:spacing w:after="0"/>
              <w:rPr>
                <w:sz w:val="20"/>
                <w:szCs w:val="20"/>
                <w:color w:val="auto"/>
              </w:rPr>
            </w:pPr>
            <w:r>
              <w:rPr>
                <w:rFonts w:ascii="Arial" w:cs="Arial" w:eastAsia="Arial" w:hAnsi="Arial"/>
                <w:sz w:val="18"/>
                <w:szCs w:val="18"/>
                <w:color w:val="auto"/>
              </w:rPr>
              <w:t>Total expenses</w:t>
            </w:r>
          </w:p>
        </w:tc>
        <w:tc>
          <w:tcPr>
            <w:tcW w:w="2200" w:type="dxa"/>
            <w:vAlign w:val="bottom"/>
            <w:shd w:val="clear" w:color="auto" w:fill="CFF0FC"/>
          </w:tcPr>
          <w:p>
            <w:pPr>
              <w:spacing w:after="0"/>
              <w:rPr>
                <w:sz w:val="19"/>
                <w:szCs w:val="19"/>
                <w:color w:val="auto"/>
              </w:rPr>
            </w:pPr>
          </w:p>
        </w:tc>
        <w:tc>
          <w:tcPr>
            <w:tcW w:w="360" w:type="dxa"/>
            <w:vAlign w:val="bottom"/>
            <w:tcBorders>
              <w:bottom w:val="single" w:sz="8" w:color="auto"/>
            </w:tcBorders>
            <w:shd w:val="clear" w:color="auto" w:fill="CFF0FC"/>
          </w:tcPr>
          <w:p>
            <w:pPr>
              <w:spacing w:after="0"/>
              <w:rPr>
                <w:sz w:val="19"/>
                <w:szCs w:val="19"/>
                <w:color w:val="auto"/>
              </w:rPr>
            </w:pPr>
          </w:p>
        </w:tc>
        <w:tc>
          <w:tcPr>
            <w:tcW w:w="118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354,464</w:t>
            </w:r>
          </w:p>
        </w:tc>
        <w:tc>
          <w:tcPr>
            <w:tcW w:w="220" w:type="dxa"/>
            <w:vAlign w:val="bottom"/>
            <w:shd w:val="clear" w:color="auto" w:fill="CFF0FC"/>
          </w:tcPr>
          <w:p>
            <w:pPr>
              <w:spacing w:after="0"/>
              <w:rPr>
                <w:sz w:val="19"/>
                <w:szCs w:val="19"/>
                <w:color w:val="auto"/>
              </w:rPr>
            </w:pPr>
          </w:p>
        </w:tc>
        <w:tc>
          <w:tcPr>
            <w:tcW w:w="360" w:type="dxa"/>
            <w:vAlign w:val="bottom"/>
            <w:tcBorders>
              <w:bottom w:val="single" w:sz="8" w:color="auto"/>
            </w:tcBorders>
            <w:shd w:val="clear" w:color="auto" w:fill="CFF0FC"/>
          </w:tcPr>
          <w:p>
            <w:pPr>
              <w:spacing w:after="0"/>
              <w:rPr>
                <w:sz w:val="19"/>
                <w:szCs w:val="19"/>
                <w:color w:val="auto"/>
              </w:rPr>
            </w:pPr>
          </w:p>
        </w:tc>
        <w:tc>
          <w:tcPr>
            <w:tcW w:w="120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236,689</w:t>
            </w:r>
          </w:p>
        </w:tc>
        <w:tc>
          <w:tcPr>
            <w:tcW w:w="1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5780" w:type="dxa"/>
            <w:vAlign w:val="bottom"/>
          </w:tcPr>
          <w:p>
            <w:pPr>
              <w:spacing w:after="0"/>
              <w:rPr>
                <w:sz w:val="20"/>
                <w:szCs w:val="20"/>
                <w:color w:val="auto"/>
              </w:rPr>
            </w:pPr>
            <w:r>
              <w:rPr>
                <w:rFonts w:ascii="Arial" w:cs="Arial" w:eastAsia="Arial" w:hAnsi="Arial"/>
                <w:sz w:val="18"/>
                <w:szCs w:val="18"/>
                <w:color w:val="auto"/>
              </w:rPr>
              <w:t>Income from operations</w:t>
            </w:r>
          </w:p>
        </w:tc>
        <w:tc>
          <w:tcPr>
            <w:tcW w:w="220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1180" w:type="dxa"/>
            <w:vAlign w:val="bottom"/>
          </w:tcPr>
          <w:p>
            <w:pPr>
              <w:jc w:val="right"/>
              <w:spacing w:after="0"/>
              <w:rPr>
                <w:sz w:val="20"/>
                <w:szCs w:val="20"/>
                <w:color w:val="auto"/>
              </w:rPr>
            </w:pPr>
            <w:r>
              <w:rPr>
                <w:rFonts w:ascii="Arial" w:cs="Arial" w:eastAsia="Arial" w:hAnsi="Arial"/>
                <w:sz w:val="18"/>
                <w:szCs w:val="18"/>
                <w:color w:val="auto"/>
              </w:rPr>
              <w:t>22,794</w:t>
            </w:r>
          </w:p>
        </w:tc>
        <w:tc>
          <w:tcPr>
            <w:tcW w:w="22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1200" w:type="dxa"/>
            <w:vAlign w:val="bottom"/>
          </w:tcPr>
          <w:p>
            <w:pPr>
              <w:jc w:val="right"/>
              <w:spacing w:after="0"/>
              <w:rPr>
                <w:sz w:val="20"/>
                <w:szCs w:val="20"/>
                <w:color w:val="auto"/>
              </w:rPr>
            </w:pPr>
            <w:r>
              <w:rPr>
                <w:rFonts w:ascii="Arial" w:cs="Arial" w:eastAsia="Arial" w:hAnsi="Arial"/>
                <w:sz w:val="18"/>
                <w:szCs w:val="18"/>
                <w:color w:val="auto"/>
              </w:rPr>
              <w:t>11,443</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5780" w:type="dxa"/>
            <w:vAlign w:val="bottom"/>
            <w:shd w:val="clear" w:color="auto" w:fill="CFF0FC"/>
          </w:tcPr>
          <w:p>
            <w:pPr>
              <w:spacing w:after="0"/>
              <w:rPr>
                <w:sz w:val="20"/>
                <w:szCs w:val="20"/>
                <w:color w:val="auto"/>
              </w:rPr>
            </w:pPr>
            <w:r>
              <w:rPr>
                <w:rFonts w:ascii="Arial" w:cs="Arial" w:eastAsia="Arial" w:hAnsi="Arial"/>
                <w:sz w:val="18"/>
                <w:szCs w:val="18"/>
                <w:color w:val="auto"/>
              </w:rPr>
              <w:t>Equity in income (loss) of unconsolidated entities</w:t>
            </w:r>
          </w:p>
        </w:tc>
        <w:tc>
          <w:tcPr>
            <w:tcW w:w="2200" w:type="dxa"/>
            <w:vAlign w:val="bottom"/>
            <w:shd w:val="clear" w:color="auto" w:fill="CFF0FC"/>
          </w:tcPr>
          <w:p>
            <w:pPr>
              <w:spacing w:after="0"/>
              <w:rPr>
                <w:sz w:val="19"/>
                <w:szCs w:val="19"/>
                <w:color w:val="auto"/>
              </w:rPr>
            </w:pPr>
          </w:p>
        </w:tc>
        <w:tc>
          <w:tcPr>
            <w:tcW w:w="360" w:type="dxa"/>
            <w:vAlign w:val="bottom"/>
            <w:shd w:val="clear" w:color="auto" w:fill="CFF0FC"/>
          </w:tcPr>
          <w:p>
            <w:pPr>
              <w:spacing w:after="0"/>
              <w:rPr>
                <w:sz w:val="19"/>
                <w:szCs w:val="19"/>
                <w:color w:val="auto"/>
              </w:rPr>
            </w:pPr>
          </w:p>
        </w:tc>
        <w:tc>
          <w:tcPr>
            <w:tcW w:w="11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74</w:t>
            </w:r>
          </w:p>
        </w:tc>
        <w:tc>
          <w:tcPr>
            <w:tcW w:w="220" w:type="dxa"/>
            <w:vAlign w:val="bottom"/>
            <w:shd w:val="clear" w:color="auto" w:fill="CFF0FC"/>
          </w:tcPr>
          <w:p>
            <w:pPr>
              <w:spacing w:after="0"/>
              <w:rPr>
                <w:sz w:val="19"/>
                <w:szCs w:val="19"/>
                <w:color w:val="auto"/>
              </w:rPr>
            </w:pPr>
          </w:p>
        </w:tc>
        <w:tc>
          <w:tcPr>
            <w:tcW w:w="360" w:type="dxa"/>
            <w:vAlign w:val="bottom"/>
            <w:shd w:val="clear" w:color="auto" w:fill="CFF0FC"/>
          </w:tcPr>
          <w:p>
            <w:pPr>
              <w:spacing w:after="0"/>
              <w:rPr>
                <w:sz w:val="19"/>
                <w:szCs w:val="19"/>
                <w:color w:val="auto"/>
              </w:rPr>
            </w:pPr>
          </w:p>
        </w:tc>
        <w:tc>
          <w:tcPr>
            <w:tcW w:w="1320" w:type="dxa"/>
            <w:vAlign w:val="bottom"/>
            <w:gridSpan w:val="2"/>
            <w:shd w:val="clear" w:color="auto" w:fill="CFF0FC"/>
          </w:tcPr>
          <w:p>
            <w:pPr>
              <w:jc w:val="right"/>
              <w:ind w:right="60"/>
              <w:spacing w:after="0"/>
              <w:rPr>
                <w:sz w:val="20"/>
                <w:szCs w:val="20"/>
                <w:color w:val="auto"/>
              </w:rPr>
            </w:pPr>
            <w:r>
              <w:rPr>
                <w:rFonts w:ascii="Arial" w:cs="Arial" w:eastAsia="Arial" w:hAnsi="Arial"/>
                <w:sz w:val="18"/>
                <w:szCs w:val="18"/>
                <w:color w:val="auto"/>
              </w:rPr>
              <w:t>(68)</w:t>
            </w:r>
          </w:p>
        </w:tc>
        <w:tc>
          <w:tcPr>
            <w:tcW w:w="0" w:type="dxa"/>
            <w:vAlign w:val="bottom"/>
          </w:tcPr>
          <w:p>
            <w:pPr>
              <w:spacing w:after="0"/>
              <w:rPr>
                <w:sz w:val="1"/>
                <w:szCs w:val="1"/>
                <w:color w:val="auto"/>
              </w:rPr>
            </w:pPr>
          </w:p>
        </w:tc>
      </w:tr>
      <w:tr>
        <w:trPr>
          <w:trHeight w:val="230"/>
        </w:trPr>
        <w:tc>
          <w:tcPr>
            <w:tcW w:w="5780" w:type="dxa"/>
            <w:vAlign w:val="bottom"/>
            <w:tcBorders>
              <w:bottom w:val="single" w:sz="8" w:color="CFF0FC"/>
            </w:tcBorders>
          </w:tcPr>
          <w:p>
            <w:pPr>
              <w:spacing w:after="0"/>
              <w:rPr>
                <w:sz w:val="20"/>
                <w:szCs w:val="20"/>
                <w:color w:val="auto"/>
              </w:rPr>
            </w:pPr>
            <w:r>
              <w:rPr>
                <w:rFonts w:ascii="Arial" w:cs="Arial" w:eastAsia="Arial" w:hAnsi="Arial"/>
                <w:sz w:val="18"/>
                <w:szCs w:val="18"/>
                <w:color w:val="auto"/>
              </w:rPr>
              <w:t>Other income, net</w:t>
            </w:r>
          </w:p>
        </w:tc>
        <w:tc>
          <w:tcPr>
            <w:tcW w:w="2200" w:type="dxa"/>
            <w:vAlign w:val="bottom"/>
            <w:tcBorders>
              <w:bottom w:val="single" w:sz="8" w:color="CFF0FC"/>
            </w:tcBorders>
          </w:tcPr>
          <w:p>
            <w:pPr>
              <w:spacing w:after="0"/>
              <w:rPr>
                <w:sz w:val="19"/>
                <w:szCs w:val="19"/>
                <w:color w:val="auto"/>
              </w:rPr>
            </w:pPr>
          </w:p>
        </w:tc>
        <w:tc>
          <w:tcPr>
            <w:tcW w:w="360" w:type="dxa"/>
            <w:vAlign w:val="bottom"/>
            <w:tcBorders>
              <w:bottom w:val="single" w:sz="8" w:color="auto"/>
            </w:tcBorders>
          </w:tcPr>
          <w:p>
            <w:pPr>
              <w:spacing w:after="0"/>
              <w:rPr>
                <w:sz w:val="19"/>
                <w:szCs w:val="19"/>
                <w:color w:val="auto"/>
              </w:rPr>
            </w:pPr>
          </w:p>
        </w:tc>
        <w:tc>
          <w:tcPr>
            <w:tcW w:w="11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256</w:t>
            </w:r>
          </w:p>
        </w:tc>
        <w:tc>
          <w:tcPr>
            <w:tcW w:w="220" w:type="dxa"/>
            <w:vAlign w:val="bottom"/>
            <w:tcBorders>
              <w:bottom w:val="single" w:sz="8" w:color="CFF0FC"/>
            </w:tcBorders>
          </w:tcPr>
          <w:p>
            <w:pPr>
              <w:spacing w:after="0"/>
              <w:rPr>
                <w:sz w:val="19"/>
                <w:szCs w:val="19"/>
                <w:color w:val="auto"/>
              </w:rPr>
            </w:pPr>
          </w:p>
        </w:tc>
        <w:tc>
          <w:tcPr>
            <w:tcW w:w="360" w:type="dxa"/>
            <w:vAlign w:val="bottom"/>
            <w:tcBorders>
              <w:bottom w:val="single" w:sz="8" w:color="auto"/>
            </w:tcBorders>
          </w:tcPr>
          <w:p>
            <w:pPr>
              <w:spacing w:after="0"/>
              <w:rPr>
                <w:sz w:val="19"/>
                <w:szCs w:val="19"/>
                <w:color w:val="auto"/>
              </w:rPr>
            </w:pPr>
          </w:p>
        </w:tc>
        <w:tc>
          <w:tcPr>
            <w:tcW w:w="12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735</w:t>
            </w:r>
          </w:p>
        </w:tc>
        <w:tc>
          <w:tcPr>
            <w:tcW w:w="120" w:type="dxa"/>
            <w:vAlign w:val="bottom"/>
            <w:tcBorders>
              <w:bottom w:val="single" w:sz="8" w:color="CFF0FC"/>
            </w:tcBorders>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5780" w:type="dxa"/>
            <w:vAlign w:val="bottom"/>
            <w:shd w:val="clear" w:color="auto" w:fill="CFF0FC"/>
          </w:tcPr>
          <w:p>
            <w:pPr>
              <w:spacing w:after="0"/>
              <w:rPr>
                <w:sz w:val="20"/>
                <w:szCs w:val="20"/>
                <w:color w:val="auto"/>
              </w:rPr>
            </w:pPr>
            <w:r>
              <w:rPr>
                <w:rFonts w:ascii="Arial" w:cs="Arial" w:eastAsia="Arial" w:hAnsi="Arial"/>
                <w:sz w:val="18"/>
                <w:szCs w:val="18"/>
                <w:color w:val="auto"/>
              </w:rPr>
              <w:t>Income before taxes</w:t>
            </w:r>
          </w:p>
        </w:tc>
        <w:tc>
          <w:tcPr>
            <w:tcW w:w="2200" w:type="dxa"/>
            <w:vAlign w:val="bottom"/>
            <w:shd w:val="clear" w:color="auto" w:fill="CFF0FC"/>
          </w:tcPr>
          <w:p>
            <w:pPr>
              <w:spacing w:after="0"/>
              <w:rPr>
                <w:sz w:val="19"/>
                <w:szCs w:val="19"/>
                <w:color w:val="auto"/>
              </w:rPr>
            </w:pPr>
          </w:p>
        </w:tc>
        <w:tc>
          <w:tcPr>
            <w:tcW w:w="360" w:type="dxa"/>
            <w:vAlign w:val="bottom"/>
            <w:shd w:val="clear" w:color="auto" w:fill="CFF0FC"/>
          </w:tcPr>
          <w:p>
            <w:pPr>
              <w:spacing w:after="0"/>
              <w:rPr>
                <w:sz w:val="19"/>
                <w:szCs w:val="19"/>
                <w:color w:val="auto"/>
              </w:rPr>
            </w:pPr>
          </w:p>
        </w:tc>
        <w:tc>
          <w:tcPr>
            <w:tcW w:w="11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23,124</w:t>
            </w:r>
          </w:p>
        </w:tc>
        <w:tc>
          <w:tcPr>
            <w:tcW w:w="220" w:type="dxa"/>
            <w:vAlign w:val="bottom"/>
            <w:shd w:val="clear" w:color="auto" w:fill="CFF0FC"/>
          </w:tcPr>
          <w:p>
            <w:pPr>
              <w:spacing w:after="0"/>
              <w:rPr>
                <w:sz w:val="19"/>
                <w:szCs w:val="19"/>
                <w:color w:val="auto"/>
              </w:rPr>
            </w:pPr>
          </w:p>
        </w:tc>
        <w:tc>
          <w:tcPr>
            <w:tcW w:w="360" w:type="dxa"/>
            <w:vAlign w:val="bottom"/>
            <w:shd w:val="clear" w:color="auto" w:fill="CFF0FC"/>
          </w:tcPr>
          <w:p>
            <w:pPr>
              <w:spacing w:after="0"/>
              <w:rPr>
                <w:sz w:val="19"/>
                <w:szCs w:val="19"/>
                <w:color w:val="auto"/>
              </w:rPr>
            </w:pPr>
          </w:p>
        </w:tc>
        <w:tc>
          <w:tcPr>
            <w:tcW w:w="12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12,110</w:t>
            </w:r>
          </w:p>
        </w:tc>
        <w:tc>
          <w:tcPr>
            <w:tcW w:w="1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5780" w:type="dxa"/>
            <w:vAlign w:val="bottom"/>
          </w:tcPr>
          <w:p>
            <w:pPr>
              <w:spacing w:after="0"/>
              <w:rPr>
                <w:sz w:val="20"/>
                <w:szCs w:val="20"/>
                <w:color w:val="auto"/>
              </w:rPr>
            </w:pPr>
            <w:r>
              <w:rPr>
                <w:rFonts w:ascii="Arial" w:cs="Arial" w:eastAsia="Arial" w:hAnsi="Arial"/>
                <w:sz w:val="18"/>
                <w:szCs w:val="18"/>
                <w:color w:val="auto"/>
              </w:rPr>
              <w:t>Provision for income taxes</w:t>
            </w:r>
          </w:p>
        </w:tc>
        <w:tc>
          <w:tcPr>
            <w:tcW w:w="220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1400" w:type="dxa"/>
            <w:vAlign w:val="bottom"/>
            <w:gridSpan w:val="2"/>
          </w:tcPr>
          <w:p>
            <w:pPr>
              <w:jc w:val="right"/>
              <w:ind w:right="160"/>
              <w:spacing w:after="0"/>
              <w:rPr>
                <w:sz w:val="20"/>
                <w:szCs w:val="20"/>
                <w:color w:val="auto"/>
              </w:rPr>
            </w:pPr>
            <w:r>
              <w:rPr>
                <w:rFonts w:ascii="Arial" w:cs="Arial" w:eastAsia="Arial" w:hAnsi="Arial"/>
                <w:sz w:val="18"/>
                <w:szCs w:val="18"/>
                <w:color w:val="auto"/>
              </w:rPr>
              <w:t>(7,827)</w:t>
            </w:r>
          </w:p>
        </w:tc>
        <w:tc>
          <w:tcPr>
            <w:tcW w:w="360" w:type="dxa"/>
            <w:vAlign w:val="bottom"/>
          </w:tcPr>
          <w:p>
            <w:pPr>
              <w:spacing w:after="0"/>
              <w:rPr>
                <w:sz w:val="19"/>
                <w:szCs w:val="19"/>
                <w:color w:val="auto"/>
              </w:rPr>
            </w:pPr>
          </w:p>
        </w:tc>
        <w:tc>
          <w:tcPr>
            <w:tcW w:w="1320" w:type="dxa"/>
            <w:vAlign w:val="bottom"/>
            <w:gridSpan w:val="2"/>
          </w:tcPr>
          <w:p>
            <w:pPr>
              <w:jc w:val="right"/>
              <w:ind w:right="60"/>
              <w:spacing w:after="0"/>
              <w:rPr>
                <w:sz w:val="20"/>
                <w:szCs w:val="20"/>
                <w:color w:val="auto"/>
              </w:rPr>
            </w:pPr>
            <w:r>
              <w:rPr>
                <w:rFonts w:ascii="Arial" w:cs="Arial" w:eastAsia="Arial" w:hAnsi="Arial"/>
                <w:sz w:val="18"/>
                <w:szCs w:val="18"/>
                <w:color w:val="auto"/>
              </w:rPr>
              <w:t>(4,529)</w:t>
            </w:r>
          </w:p>
        </w:tc>
        <w:tc>
          <w:tcPr>
            <w:tcW w:w="0" w:type="dxa"/>
            <w:vAlign w:val="bottom"/>
          </w:tcPr>
          <w:p>
            <w:pPr>
              <w:spacing w:after="0"/>
              <w:rPr>
                <w:sz w:val="1"/>
                <w:szCs w:val="1"/>
                <w:color w:val="auto"/>
              </w:rPr>
            </w:pPr>
          </w:p>
        </w:tc>
      </w:tr>
      <w:tr>
        <w:trPr>
          <w:trHeight w:val="223"/>
        </w:trPr>
        <w:tc>
          <w:tcPr>
            <w:tcW w:w="5780" w:type="dxa"/>
            <w:vAlign w:val="bottom"/>
            <w:tcBorders>
              <w:top w:val="single" w:sz="8" w:color="CFF0FC"/>
              <w:bottom w:val="single" w:sz="8" w:color="CFF0FC"/>
            </w:tcBorders>
            <w:shd w:val="clear" w:color="auto" w:fill="CFF0FC"/>
          </w:tcPr>
          <w:p>
            <w:pPr>
              <w:spacing w:after="0"/>
              <w:rPr>
                <w:sz w:val="20"/>
                <w:szCs w:val="20"/>
                <w:color w:val="auto"/>
              </w:rPr>
            </w:pPr>
            <w:r>
              <w:rPr>
                <w:rFonts w:ascii="Arial" w:cs="Arial" w:eastAsia="Arial" w:hAnsi="Arial"/>
                <w:sz w:val="18"/>
                <w:szCs w:val="18"/>
                <w:color w:val="auto"/>
              </w:rPr>
              <w:t>Net income</w:t>
            </w:r>
          </w:p>
        </w:tc>
        <w:tc>
          <w:tcPr>
            <w:tcW w:w="2200" w:type="dxa"/>
            <w:vAlign w:val="bottom"/>
            <w:tcBorders>
              <w:top w:val="single" w:sz="8" w:color="CFF0FC"/>
              <w:bottom w:val="single" w:sz="8" w:color="CFF0FC"/>
            </w:tcBorders>
            <w:shd w:val="clear" w:color="auto" w:fill="CFF0FC"/>
          </w:tcPr>
          <w:p>
            <w:pPr>
              <w:spacing w:after="0"/>
              <w:rPr>
                <w:sz w:val="19"/>
                <w:szCs w:val="19"/>
                <w:color w:val="auto"/>
              </w:rPr>
            </w:pPr>
          </w:p>
        </w:tc>
        <w:tc>
          <w:tcPr>
            <w:tcW w:w="360" w:type="dxa"/>
            <w:vAlign w:val="bottom"/>
            <w:tcBorders>
              <w:top w:val="single" w:sz="8" w:color="auto"/>
              <w:bottom w:val="single" w:sz="8" w:color="auto"/>
            </w:tcBorders>
            <w:shd w:val="clear" w:color="auto" w:fill="CFF0FC"/>
          </w:tcPr>
          <w:p>
            <w:pPr>
              <w:jc w:val="right"/>
              <w:ind w:right="170"/>
              <w:spacing w:after="0"/>
              <w:rPr>
                <w:sz w:val="20"/>
                <w:szCs w:val="20"/>
                <w:color w:val="auto"/>
              </w:rPr>
            </w:pPr>
            <w:r>
              <w:rPr>
                <w:rFonts w:ascii="Arial" w:cs="Arial" w:eastAsia="Arial" w:hAnsi="Arial"/>
                <w:sz w:val="18"/>
                <w:szCs w:val="18"/>
                <w:color w:val="auto"/>
                <w:w w:val="79"/>
              </w:rPr>
              <w:t>$</w:t>
            </w:r>
          </w:p>
        </w:tc>
        <w:tc>
          <w:tcPr>
            <w:tcW w:w="118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15,297</w:t>
            </w:r>
          </w:p>
        </w:tc>
        <w:tc>
          <w:tcPr>
            <w:tcW w:w="220" w:type="dxa"/>
            <w:vAlign w:val="bottom"/>
            <w:tcBorders>
              <w:top w:val="single" w:sz="8" w:color="CFF0FC"/>
              <w:bottom w:val="single" w:sz="8" w:color="CFF0FC"/>
            </w:tcBorders>
            <w:shd w:val="clear" w:color="auto" w:fill="CFF0FC"/>
          </w:tcPr>
          <w:p>
            <w:pPr>
              <w:spacing w:after="0"/>
              <w:rPr>
                <w:sz w:val="19"/>
                <w:szCs w:val="19"/>
                <w:color w:val="auto"/>
              </w:rPr>
            </w:pPr>
          </w:p>
        </w:tc>
        <w:tc>
          <w:tcPr>
            <w:tcW w:w="360" w:type="dxa"/>
            <w:vAlign w:val="bottom"/>
            <w:tcBorders>
              <w:top w:val="single" w:sz="8" w:color="auto"/>
              <w:bottom w:val="single" w:sz="8" w:color="auto"/>
            </w:tcBorders>
            <w:shd w:val="clear" w:color="auto" w:fill="CFF0FC"/>
          </w:tcPr>
          <w:p>
            <w:pPr>
              <w:jc w:val="right"/>
              <w:ind w:right="170"/>
              <w:spacing w:after="0"/>
              <w:rPr>
                <w:sz w:val="20"/>
                <w:szCs w:val="20"/>
                <w:color w:val="auto"/>
              </w:rPr>
            </w:pPr>
            <w:r>
              <w:rPr>
                <w:rFonts w:ascii="Arial" w:cs="Arial" w:eastAsia="Arial" w:hAnsi="Arial"/>
                <w:sz w:val="18"/>
                <w:szCs w:val="18"/>
                <w:color w:val="auto"/>
                <w:w w:val="79"/>
              </w:rPr>
              <w:t>$</w:t>
            </w:r>
          </w:p>
        </w:tc>
        <w:tc>
          <w:tcPr>
            <w:tcW w:w="120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7,581</w:t>
            </w:r>
          </w:p>
        </w:tc>
        <w:tc>
          <w:tcPr>
            <w:tcW w:w="120" w:type="dxa"/>
            <w:vAlign w:val="bottom"/>
            <w:tcBorders>
              <w:top w:val="single" w:sz="8" w:color="CFF0FC"/>
              <w:bottom w:val="single" w:sz="8" w:color="CFF0FC"/>
            </w:tcBorders>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5780" w:type="dxa"/>
            <w:vAlign w:val="bottom"/>
            <w:vMerge w:val="restart"/>
          </w:tcPr>
          <w:p>
            <w:pPr>
              <w:spacing w:after="0"/>
              <w:rPr>
                <w:sz w:val="20"/>
                <w:szCs w:val="20"/>
                <w:color w:val="auto"/>
              </w:rPr>
            </w:pPr>
            <w:r>
              <w:rPr>
                <w:rFonts w:ascii="Arial" w:cs="Arial" w:eastAsia="Arial" w:hAnsi="Arial"/>
                <w:sz w:val="18"/>
                <w:szCs w:val="18"/>
                <w:color w:val="auto"/>
              </w:rPr>
              <w:t>Earnings per share</w:t>
            </w:r>
          </w:p>
        </w:tc>
        <w:tc>
          <w:tcPr>
            <w:tcW w:w="220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5780" w:type="dxa"/>
            <w:vAlign w:val="bottom"/>
            <w:vMerge w:val="continue"/>
          </w:tcPr>
          <w:p>
            <w:pPr>
              <w:spacing w:after="0"/>
              <w:rPr>
                <w:sz w:val="18"/>
                <w:szCs w:val="18"/>
                <w:color w:val="auto"/>
              </w:rPr>
            </w:pPr>
          </w:p>
        </w:tc>
        <w:tc>
          <w:tcPr>
            <w:tcW w:w="220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1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5780" w:type="dxa"/>
            <w:vAlign w:val="bottom"/>
            <w:shd w:val="clear" w:color="auto" w:fill="CFF0FC"/>
          </w:tcPr>
          <w:p>
            <w:pPr>
              <w:ind w:left="260"/>
              <w:spacing w:after="0"/>
              <w:rPr>
                <w:sz w:val="20"/>
                <w:szCs w:val="20"/>
                <w:color w:val="auto"/>
              </w:rPr>
            </w:pPr>
            <w:r>
              <w:rPr>
                <w:rFonts w:ascii="Arial" w:cs="Arial" w:eastAsia="Arial" w:hAnsi="Arial"/>
                <w:sz w:val="18"/>
                <w:szCs w:val="18"/>
                <w:color w:val="auto"/>
              </w:rPr>
              <w:t>Basic</w:t>
            </w:r>
          </w:p>
        </w:tc>
        <w:tc>
          <w:tcPr>
            <w:tcW w:w="2560" w:type="dxa"/>
            <w:vAlign w:val="bottom"/>
            <w:gridSpan w:val="2"/>
            <w:shd w:val="clear" w:color="auto" w:fill="CFF0FC"/>
          </w:tcPr>
          <w:p>
            <w:pPr>
              <w:jc w:val="right"/>
              <w:ind w:right="170"/>
              <w:spacing w:after="0"/>
              <w:rPr>
                <w:sz w:val="20"/>
                <w:szCs w:val="20"/>
                <w:color w:val="auto"/>
              </w:rPr>
            </w:pPr>
            <w:r>
              <w:rPr>
                <w:rFonts w:ascii="Arial" w:cs="Arial" w:eastAsia="Arial" w:hAnsi="Arial"/>
                <w:sz w:val="18"/>
                <w:szCs w:val="18"/>
                <w:color w:val="auto"/>
              </w:rPr>
              <w:t>$</w:t>
            </w:r>
          </w:p>
        </w:tc>
        <w:tc>
          <w:tcPr>
            <w:tcW w:w="11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0.09</w:t>
            </w:r>
          </w:p>
        </w:tc>
        <w:tc>
          <w:tcPr>
            <w:tcW w:w="220" w:type="dxa"/>
            <w:vAlign w:val="bottom"/>
            <w:shd w:val="clear" w:color="auto" w:fill="CFF0FC"/>
          </w:tcPr>
          <w:p>
            <w:pPr>
              <w:spacing w:after="0"/>
              <w:rPr>
                <w:sz w:val="19"/>
                <w:szCs w:val="19"/>
                <w:color w:val="auto"/>
              </w:rPr>
            </w:pPr>
          </w:p>
        </w:tc>
        <w:tc>
          <w:tcPr>
            <w:tcW w:w="360" w:type="dxa"/>
            <w:vAlign w:val="bottom"/>
            <w:shd w:val="clear" w:color="auto" w:fill="CFF0FC"/>
          </w:tcPr>
          <w:p>
            <w:pPr>
              <w:jc w:val="right"/>
              <w:ind w:right="170"/>
              <w:spacing w:after="0"/>
              <w:rPr>
                <w:sz w:val="20"/>
                <w:szCs w:val="20"/>
                <w:color w:val="auto"/>
              </w:rPr>
            </w:pPr>
            <w:r>
              <w:rPr>
                <w:rFonts w:ascii="Arial" w:cs="Arial" w:eastAsia="Arial" w:hAnsi="Arial"/>
                <w:sz w:val="18"/>
                <w:szCs w:val="18"/>
                <w:color w:val="auto"/>
                <w:w w:val="79"/>
              </w:rPr>
              <w:t>$</w:t>
            </w:r>
          </w:p>
        </w:tc>
        <w:tc>
          <w:tcPr>
            <w:tcW w:w="12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0.06</w:t>
            </w:r>
          </w:p>
        </w:tc>
        <w:tc>
          <w:tcPr>
            <w:tcW w:w="1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5780" w:type="dxa"/>
            <w:vAlign w:val="bottom"/>
          </w:tcPr>
          <w:p>
            <w:pPr>
              <w:ind w:left="260"/>
              <w:spacing w:after="0"/>
              <w:rPr>
                <w:sz w:val="20"/>
                <w:szCs w:val="20"/>
                <w:color w:val="auto"/>
              </w:rPr>
            </w:pPr>
            <w:r>
              <w:rPr>
                <w:rFonts w:ascii="Arial" w:cs="Arial" w:eastAsia="Arial" w:hAnsi="Arial"/>
                <w:sz w:val="18"/>
                <w:szCs w:val="18"/>
                <w:color w:val="auto"/>
              </w:rPr>
              <w:t>Diluted</w:t>
            </w:r>
          </w:p>
        </w:tc>
        <w:tc>
          <w:tcPr>
            <w:tcW w:w="2560" w:type="dxa"/>
            <w:vAlign w:val="bottom"/>
            <w:gridSpan w:val="2"/>
          </w:tcPr>
          <w:p>
            <w:pPr>
              <w:jc w:val="right"/>
              <w:ind w:right="170"/>
              <w:spacing w:after="0"/>
              <w:rPr>
                <w:sz w:val="20"/>
                <w:szCs w:val="20"/>
                <w:color w:val="auto"/>
              </w:rPr>
            </w:pPr>
            <w:r>
              <w:rPr>
                <w:rFonts w:ascii="Arial" w:cs="Arial" w:eastAsia="Arial" w:hAnsi="Arial"/>
                <w:sz w:val="18"/>
                <w:szCs w:val="18"/>
                <w:color w:val="auto"/>
              </w:rPr>
              <w:t>$</w:t>
            </w:r>
          </w:p>
        </w:tc>
        <w:tc>
          <w:tcPr>
            <w:tcW w:w="1180" w:type="dxa"/>
            <w:vAlign w:val="bottom"/>
          </w:tcPr>
          <w:p>
            <w:pPr>
              <w:jc w:val="right"/>
              <w:spacing w:after="0"/>
              <w:rPr>
                <w:sz w:val="20"/>
                <w:szCs w:val="20"/>
                <w:color w:val="auto"/>
              </w:rPr>
            </w:pPr>
            <w:r>
              <w:rPr>
                <w:rFonts w:ascii="Arial" w:cs="Arial" w:eastAsia="Arial" w:hAnsi="Arial"/>
                <w:sz w:val="18"/>
                <w:szCs w:val="18"/>
                <w:color w:val="auto"/>
              </w:rPr>
              <w:t>0.09</w:t>
            </w:r>
          </w:p>
        </w:tc>
        <w:tc>
          <w:tcPr>
            <w:tcW w:w="220" w:type="dxa"/>
            <w:vAlign w:val="bottom"/>
          </w:tcPr>
          <w:p>
            <w:pPr>
              <w:spacing w:after="0"/>
              <w:rPr>
                <w:sz w:val="19"/>
                <w:szCs w:val="19"/>
                <w:color w:val="auto"/>
              </w:rPr>
            </w:pPr>
          </w:p>
        </w:tc>
        <w:tc>
          <w:tcPr>
            <w:tcW w:w="360" w:type="dxa"/>
            <w:vAlign w:val="bottom"/>
          </w:tcPr>
          <w:p>
            <w:pPr>
              <w:jc w:val="right"/>
              <w:ind w:right="170"/>
              <w:spacing w:after="0"/>
              <w:rPr>
                <w:sz w:val="20"/>
                <w:szCs w:val="20"/>
                <w:color w:val="auto"/>
              </w:rPr>
            </w:pPr>
            <w:r>
              <w:rPr>
                <w:rFonts w:ascii="Arial" w:cs="Arial" w:eastAsia="Arial" w:hAnsi="Arial"/>
                <w:sz w:val="18"/>
                <w:szCs w:val="18"/>
                <w:color w:val="auto"/>
                <w:w w:val="79"/>
              </w:rPr>
              <w:t>$</w:t>
            </w:r>
          </w:p>
        </w:tc>
        <w:tc>
          <w:tcPr>
            <w:tcW w:w="1200" w:type="dxa"/>
            <w:vAlign w:val="bottom"/>
          </w:tcPr>
          <w:p>
            <w:pPr>
              <w:jc w:val="right"/>
              <w:spacing w:after="0"/>
              <w:rPr>
                <w:sz w:val="20"/>
                <w:szCs w:val="20"/>
                <w:color w:val="auto"/>
              </w:rPr>
            </w:pPr>
            <w:r>
              <w:rPr>
                <w:rFonts w:ascii="Arial" w:cs="Arial" w:eastAsia="Arial" w:hAnsi="Arial"/>
                <w:sz w:val="18"/>
                <w:szCs w:val="18"/>
                <w:color w:val="auto"/>
              </w:rPr>
              <w:t>0.06</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5780" w:type="dxa"/>
            <w:vAlign w:val="bottom"/>
            <w:shd w:val="clear" w:color="auto" w:fill="CFF0FC"/>
          </w:tcPr>
          <w:p>
            <w:pPr>
              <w:spacing w:after="0"/>
              <w:rPr>
                <w:sz w:val="20"/>
                <w:szCs w:val="20"/>
                <w:color w:val="auto"/>
              </w:rPr>
            </w:pPr>
            <w:r>
              <w:rPr>
                <w:rFonts w:ascii="Arial" w:cs="Arial" w:eastAsia="Arial" w:hAnsi="Arial"/>
                <w:sz w:val="18"/>
                <w:szCs w:val="18"/>
                <w:color w:val="auto"/>
              </w:rPr>
              <w:t>Weighted average shares outstanding</w:t>
            </w:r>
          </w:p>
        </w:tc>
        <w:tc>
          <w:tcPr>
            <w:tcW w:w="2200" w:type="dxa"/>
            <w:vAlign w:val="bottom"/>
            <w:shd w:val="clear" w:color="auto" w:fill="CFF0FC"/>
          </w:tcPr>
          <w:p>
            <w:pPr>
              <w:spacing w:after="0"/>
              <w:rPr>
                <w:sz w:val="19"/>
                <w:szCs w:val="19"/>
                <w:color w:val="auto"/>
              </w:rPr>
            </w:pPr>
          </w:p>
        </w:tc>
        <w:tc>
          <w:tcPr>
            <w:tcW w:w="360" w:type="dxa"/>
            <w:vAlign w:val="bottom"/>
            <w:shd w:val="clear" w:color="auto" w:fill="CFF0FC"/>
          </w:tcPr>
          <w:p>
            <w:pPr>
              <w:spacing w:after="0"/>
              <w:rPr>
                <w:sz w:val="19"/>
                <w:szCs w:val="19"/>
                <w:color w:val="auto"/>
              </w:rPr>
            </w:pPr>
          </w:p>
        </w:tc>
        <w:tc>
          <w:tcPr>
            <w:tcW w:w="1180" w:type="dxa"/>
            <w:vAlign w:val="bottom"/>
            <w:shd w:val="clear" w:color="auto" w:fill="CFF0FC"/>
          </w:tcPr>
          <w:p>
            <w:pPr>
              <w:spacing w:after="0"/>
              <w:rPr>
                <w:sz w:val="19"/>
                <w:szCs w:val="19"/>
                <w:color w:val="auto"/>
              </w:rPr>
            </w:pPr>
          </w:p>
        </w:tc>
        <w:tc>
          <w:tcPr>
            <w:tcW w:w="220" w:type="dxa"/>
            <w:vAlign w:val="bottom"/>
            <w:shd w:val="clear" w:color="auto" w:fill="CFF0FC"/>
          </w:tcPr>
          <w:p>
            <w:pPr>
              <w:spacing w:after="0"/>
              <w:rPr>
                <w:sz w:val="19"/>
                <w:szCs w:val="19"/>
                <w:color w:val="auto"/>
              </w:rPr>
            </w:pPr>
          </w:p>
        </w:tc>
        <w:tc>
          <w:tcPr>
            <w:tcW w:w="360" w:type="dxa"/>
            <w:vAlign w:val="bottom"/>
            <w:shd w:val="clear" w:color="auto" w:fill="CFF0FC"/>
          </w:tcPr>
          <w:p>
            <w:pPr>
              <w:spacing w:after="0"/>
              <w:rPr>
                <w:sz w:val="19"/>
                <w:szCs w:val="19"/>
                <w:color w:val="auto"/>
              </w:rPr>
            </w:pPr>
          </w:p>
        </w:tc>
        <w:tc>
          <w:tcPr>
            <w:tcW w:w="120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5780" w:type="dxa"/>
            <w:vAlign w:val="bottom"/>
          </w:tcPr>
          <w:p>
            <w:pPr>
              <w:ind w:left="260"/>
              <w:spacing w:after="0"/>
              <w:rPr>
                <w:sz w:val="20"/>
                <w:szCs w:val="20"/>
                <w:color w:val="auto"/>
              </w:rPr>
            </w:pPr>
            <w:r>
              <w:rPr>
                <w:rFonts w:ascii="Arial" w:cs="Arial" w:eastAsia="Arial" w:hAnsi="Arial"/>
                <w:sz w:val="18"/>
                <w:szCs w:val="18"/>
                <w:color w:val="auto"/>
              </w:rPr>
              <w:t>Basic</w:t>
            </w:r>
          </w:p>
        </w:tc>
        <w:tc>
          <w:tcPr>
            <w:tcW w:w="220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1180" w:type="dxa"/>
            <w:vAlign w:val="bottom"/>
          </w:tcPr>
          <w:p>
            <w:pPr>
              <w:jc w:val="right"/>
              <w:spacing w:after="0"/>
              <w:rPr>
                <w:sz w:val="20"/>
                <w:szCs w:val="20"/>
                <w:color w:val="auto"/>
              </w:rPr>
            </w:pPr>
            <w:r>
              <w:rPr>
                <w:rFonts w:ascii="Arial" w:cs="Arial" w:eastAsia="Arial" w:hAnsi="Arial"/>
                <w:sz w:val="18"/>
                <w:szCs w:val="18"/>
                <w:color w:val="auto"/>
              </w:rPr>
              <w:t>161,490,970</w:t>
            </w:r>
          </w:p>
        </w:tc>
        <w:tc>
          <w:tcPr>
            <w:tcW w:w="22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1200" w:type="dxa"/>
            <w:vAlign w:val="bottom"/>
          </w:tcPr>
          <w:p>
            <w:pPr>
              <w:jc w:val="right"/>
              <w:spacing w:after="0"/>
              <w:rPr>
                <w:sz w:val="20"/>
                <w:szCs w:val="20"/>
                <w:color w:val="auto"/>
              </w:rPr>
            </w:pPr>
            <w:r>
              <w:rPr>
                <w:rFonts w:ascii="Arial" w:cs="Arial" w:eastAsia="Arial" w:hAnsi="Arial"/>
                <w:sz w:val="18"/>
                <w:szCs w:val="18"/>
                <w:color w:val="auto"/>
              </w:rPr>
              <w:t>129,700,000</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5780" w:type="dxa"/>
            <w:vAlign w:val="bottom"/>
            <w:shd w:val="clear" w:color="auto" w:fill="CFF0FC"/>
          </w:tcPr>
          <w:p>
            <w:pPr>
              <w:ind w:left="260"/>
              <w:spacing w:after="0"/>
              <w:rPr>
                <w:sz w:val="20"/>
                <w:szCs w:val="20"/>
                <w:color w:val="auto"/>
              </w:rPr>
            </w:pPr>
            <w:r>
              <w:rPr>
                <w:rFonts w:ascii="Arial" w:cs="Arial" w:eastAsia="Arial" w:hAnsi="Arial"/>
                <w:sz w:val="18"/>
                <w:szCs w:val="18"/>
                <w:color w:val="auto"/>
              </w:rPr>
              <w:t>Diluted</w:t>
            </w:r>
          </w:p>
        </w:tc>
        <w:tc>
          <w:tcPr>
            <w:tcW w:w="2200" w:type="dxa"/>
            <w:vAlign w:val="bottom"/>
            <w:shd w:val="clear" w:color="auto" w:fill="CFF0FC"/>
          </w:tcPr>
          <w:p>
            <w:pPr>
              <w:spacing w:after="0"/>
              <w:rPr>
                <w:sz w:val="19"/>
                <w:szCs w:val="19"/>
                <w:color w:val="auto"/>
              </w:rPr>
            </w:pPr>
          </w:p>
        </w:tc>
        <w:tc>
          <w:tcPr>
            <w:tcW w:w="360" w:type="dxa"/>
            <w:vAlign w:val="bottom"/>
            <w:shd w:val="clear" w:color="auto" w:fill="CFF0FC"/>
          </w:tcPr>
          <w:p>
            <w:pPr>
              <w:spacing w:after="0"/>
              <w:rPr>
                <w:sz w:val="19"/>
                <w:szCs w:val="19"/>
                <w:color w:val="auto"/>
              </w:rPr>
            </w:pPr>
          </w:p>
        </w:tc>
        <w:tc>
          <w:tcPr>
            <w:tcW w:w="11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162,807,376</w:t>
            </w:r>
          </w:p>
        </w:tc>
        <w:tc>
          <w:tcPr>
            <w:tcW w:w="220" w:type="dxa"/>
            <w:vAlign w:val="bottom"/>
            <w:shd w:val="clear" w:color="auto" w:fill="CFF0FC"/>
          </w:tcPr>
          <w:p>
            <w:pPr>
              <w:spacing w:after="0"/>
              <w:rPr>
                <w:sz w:val="19"/>
                <w:szCs w:val="19"/>
                <w:color w:val="auto"/>
              </w:rPr>
            </w:pPr>
          </w:p>
        </w:tc>
        <w:tc>
          <w:tcPr>
            <w:tcW w:w="360" w:type="dxa"/>
            <w:vAlign w:val="bottom"/>
            <w:shd w:val="clear" w:color="auto" w:fill="CFF0FC"/>
          </w:tcPr>
          <w:p>
            <w:pPr>
              <w:spacing w:after="0"/>
              <w:rPr>
                <w:sz w:val="19"/>
                <w:szCs w:val="19"/>
                <w:color w:val="auto"/>
              </w:rPr>
            </w:pPr>
          </w:p>
        </w:tc>
        <w:tc>
          <w:tcPr>
            <w:tcW w:w="12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129,700,000</w:t>
            </w:r>
          </w:p>
        </w:tc>
        <w:tc>
          <w:tcPr>
            <w:tcW w:w="1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bl>
    <w:p>
      <w:pPr>
        <w:spacing w:after="0" w:line="202"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See accompanying condensed notes to the unaudited consolidated financial statements.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- 4 -</w:t>
      </w:r>
    </w:p>
    <w:p>
      <w:pPr>
        <w:sectPr>
          <w:pgSz w:w="11900" w:h="16838" w:orient="portrait"/>
          <w:cols w:equalWidth="0" w:num="1">
            <w:col w:w="11420"/>
          </w:cols>
          <w:pgMar w:left="240" w:top="135" w:right="239" w:bottom="1440" w:gutter="0" w:footer="0" w:header="0"/>
        </w:sectPr>
      </w:pPr>
    </w:p>
    <w:bookmarkStart w:id="4" w:name="page5"/>
    <w:bookmarkEnd w:id="4"/>
    <w:p>
      <w:pPr>
        <w:jc w:val="center"/>
        <w:spacing w:after="0"/>
        <w:rPr>
          <w:sz w:val="20"/>
          <w:szCs w:val="20"/>
          <w:color w:val="auto"/>
        </w:rPr>
      </w:pPr>
      <w:r>
        <w:rPr>
          <w:rFonts w:ascii="Arial" w:cs="Arial" w:eastAsia="Arial" w:hAnsi="Arial"/>
          <w:sz w:val="18"/>
          <w:szCs w:val="18"/>
          <w:b w:val="1"/>
          <w:bCs w:val="1"/>
          <w:color w:val="auto"/>
        </w:rPr>
        <w:t>TRI POINTE HOMES,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CONSOLIDATED STATEMENTS OF EQUITY</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(in thousands, except share amounts)</w:t>
      </w:r>
    </w:p>
    <w:p>
      <w:pPr>
        <w:spacing w:after="0" w:line="284" w:lineRule="exact"/>
        <w:rPr>
          <w:sz w:val="20"/>
          <w:szCs w:val="20"/>
          <w:color w:val="auto"/>
        </w:rPr>
      </w:pPr>
    </w:p>
    <w:tbl>
      <w:tblPr>
        <w:tblLayout w:type="fixed"/>
        <w:tblInd w:w="0" w:type="dxa"/>
        <w:tblCellMar>
          <w:top w:w="0" w:type="dxa"/>
          <w:left w:w="0" w:type="dxa"/>
          <w:bottom w:w="0" w:type="dxa"/>
          <w:right w:w="0" w:type="dxa"/>
        </w:tblCellMar>
      </w:tblPr>
      <w:tr>
        <w:trPr>
          <w:trHeight w:val="162"/>
        </w:trPr>
        <w:tc>
          <w:tcPr>
            <w:tcW w:w="4000" w:type="dxa"/>
            <w:vAlign w:val="bottom"/>
          </w:tcPr>
          <w:p>
            <w:pPr>
              <w:spacing w:after="0"/>
              <w:rPr>
                <w:sz w:val="14"/>
                <w:szCs w:val="14"/>
                <w:color w:val="auto"/>
              </w:rPr>
            </w:pPr>
          </w:p>
        </w:tc>
        <w:tc>
          <w:tcPr>
            <w:tcW w:w="124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w w:val="97"/>
              </w:rPr>
              <w:t>Number of</w:t>
            </w:r>
          </w:p>
        </w:tc>
        <w:tc>
          <w:tcPr>
            <w:tcW w:w="8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920" w:type="dxa"/>
            <w:vAlign w:val="bottom"/>
            <w:gridSpan w:val="3"/>
          </w:tcPr>
          <w:p>
            <w:pPr>
              <w:jc w:val="right"/>
              <w:ind w:right="200"/>
              <w:spacing w:after="0"/>
              <w:rPr>
                <w:sz w:val="20"/>
                <w:szCs w:val="20"/>
                <w:color w:val="auto"/>
              </w:rPr>
            </w:pPr>
            <w:r>
              <w:rPr>
                <w:rFonts w:ascii="Arial" w:cs="Arial" w:eastAsia="Arial" w:hAnsi="Arial"/>
                <w:sz w:val="14"/>
                <w:szCs w:val="14"/>
                <w:b w:val="1"/>
                <w:bCs w:val="1"/>
                <w:color w:val="auto"/>
              </w:rPr>
              <w:t>Additional</w:t>
            </w:r>
          </w:p>
        </w:tc>
        <w:tc>
          <w:tcPr>
            <w:tcW w:w="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900" w:type="dxa"/>
            <w:vAlign w:val="bottom"/>
            <w:gridSpan w:val="2"/>
          </w:tcPr>
          <w:p>
            <w:pPr>
              <w:jc w:val="right"/>
              <w:ind w:right="420"/>
              <w:spacing w:after="0"/>
              <w:rPr>
                <w:sz w:val="20"/>
                <w:szCs w:val="20"/>
                <w:color w:val="auto"/>
              </w:rPr>
            </w:pPr>
            <w:r>
              <w:rPr>
                <w:rFonts w:ascii="Arial" w:cs="Arial" w:eastAsia="Arial" w:hAnsi="Arial"/>
                <w:sz w:val="14"/>
                <w:szCs w:val="14"/>
                <w:b w:val="1"/>
                <w:bCs w:val="1"/>
                <w:color w:val="auto"/>
              </w:rPr>
              <w:t>Total</w:t>
            </w:r>
          </w:p>
        </w:tc>
        <w:tc>
          <w:tcPr>
            <w:tcW w:w="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100" w:type="dxa"/>
            <w:vAlign w:val="bottom"/>
          </w:tcPr>
          <w:p>
            <w:pPr>
              <w:spacing w:after="0"/>
              <w:rPr>
                <w:sz w:val="14"/>
                <w:szCs w:val="14"/>
                <w:color w:val="auto"/>
              </w:rPr>
            </w:pPr>
          </w:p>
        </w:tc>
      </w:tr>
      <w:tr>
        <w:trPr>
          <w:trHeight w:val="162"/>
        </w:trPr>
        <w:tc>
          <w:tcPr>
            <w:tcW w:w="4000" w:type="dxa"/>
            <w:vAlign w:val="bottom"/>
          </w:tcPr>
          <w:p>
            <w:pPr>
              <w:spacing w:after="0"/>
              <w:rPr>
                <w:sz w:val="14"/>
                <w:szCs w:val="14"/>
                <w:color w:val="auto"/>
              </w:rPr>
            </w:pPr>
          </w:p>
        </w:tc>
        <w:tc>
          <w:tcPr>
            <w:tcW w:w="124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w w:val="92"/>
              </w:rPr>
              <w:t>Common</w:t>
            </w:r>
          </w:p>
        </w:tc>
        <w:tc>
          <w:tcPr>
            <w:tcW w:w="80" w:type="dxa"/>
            <w:vAlign w:val="bottom"/>
          </w:tcPr>
          <w:p>
            <w:pPr>
              <w:spacing w:after="0"/>
              <w:rPr>
                <w:sz w:val="14"/>
                <w:szCs w:val="14"/>
                <w:color w:val="auto"/>
              </w:rPr>
            </w:pPr>
          </w:p>
        </w:tc>
        <w:tc>
          <w:tcPr>
            <w:tcW w:w="680" w:type="dxa"/>
            <w:vAlign w:val="bottom"/>
          </w:tcPr>
          <w:p>
            <w:pPr>
              <w:jc w:val="right"/>
              <w:ind w:right="12"/>
              <w:spacing w:after="0"/>
              <w:rPr>
                <w:sz w:val="20"/>
                <w:szCs w:val="20"/>
                <w:color w:val="auto"/>
              </w:rPr>
            </w:pPr>
            <w:r>
              <w:rPr>
                <w:rFonts w:ascii="Arial" w:cs="Arial" w:eastAsia="Arial" w:hAnsi="Arial"/>
                <w:sz w:val="14"/>
                <w:szCs w:val="14"/>
                <w:b w:val="1"/>
                <w:bCs w:val="1"/>
                <w:color w:val="auto"/>
                <w:w w:val="92"/>
              </w:rPr>
              <w:t>Common</w:t>
            </w:r>
          </w:p>
        </w:tc>
        <w:tc>
          <w:tcPr>
            <w:tcW w:w="2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800" w:type="dxa"/>
            <w:vAlign w:val="bottom"/>
            <w:gridSpan w:val="2"/>
          </w:tcPr>
          <w:p>
            <w:pPr>
              <w:jc w:val="right"/>
              <w:ind w:right="320"/>
              <w:spacing w:after="0"/>
              <w:rPr>
                <w:sz w:val="20"/>
                <w:szCs w:val="20"/>
                <w:color w:val="auto"/>
              </w:rPr>
            </w:pPr>
            <w:r>
              <w:rPr>
                <w:rFonts w:ascii="Arial" w:cs="Arial" w:eastAsia="Arial" w:hAnsi="Arial"/>
                <w:sz w:val="14"/>
                <w:szCs w:val="14"/>
                <w:b w:val="1"/>
                <w:bCs w:val="1"/>
                <w:color w:val="auto"/>
                <w:w w:val="98"/>
              </w:rPr>
              <w:t>Paid-in</w:t>
            </w:r>
          </w:p>
        </w:tc>
        <w:tc>
          <w:tcPr>
            <w:tcW w:w="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80" w:type="dxa"/>
            <w:vAlign w:val="bottom"/>
          </w:tcPr>
          <w:p>
            <w:pPr>
              <w:jc w:val="right"/>
              <w:ind w:right="32"/>
              <w:spacing w:after="0"/>
              <w:rPr>
                <w:sz w:val="20"/>
                <w:szCs w:val="20"/>
                <w:color w:val="auto"/>
              </w:rPr>
            </w:pPr>
            <w:r>
              <w:rPr>
                <w:rFonts w:ascii="Arial" w:cs="Arial" w:eastAsia="Arial" w:hAnsi="Arial"/>
                <w:sz w:val="14"/>
                <w:szCs w:val="14"/>
                <w:b w:val="1"/>
                <w:bCs w:val="1"/>
                <w:color w:val="auto"/>
                <w:w w:val="91"/>
              </w:rPr>
              <w:t>Retained</w:t>
            </w:r>
          </w:p>
        </w:tc>
        <w:tc>
          <w:tcPr>
            <w:tcW w:w="220" w:type="dxa"/>
            <w:vAlign w:val="bottom"/>
          </w:tcPr>
          <w:p>
            <w:pPr>
              <w:spacing w:after="0"/>
              <w:rPr>
                <w:sz w:val="14"/>
                <w:szCs w:val="14"/>
                <w:color w:val="auto"/>
              </w:rPr>
            </w:pPr>
          </w:p>
        </w:tc>
        <w:tc>
          <w:tcPr>
            <w:tcW w:w="1000" w:type="dxa"/>
            <w:vAlign w:val="bottom"/>
            <w:gridSpan w:val="3"/>
          </w:tcPr>
          <w:p>
            <w:pPr>
              <w:spacing w:after="0"/>
              <w:rPr>
                <w:sz w:val="20"/>
                <w:szCs w:val="20"/>
                <w:color w:val="auto"/>
              </w:rPr>
            </w:pPr>
            <w:r>
              <w:rPr>
                <w:rFonts w:ascii="Arial" w:cs="Arial" w:eastAsia="Arial" w:hAnsi="Arial"/>
                <w:sz w:val="14"/>
                <w:szCs w:val="14"/>
                <w:b w:val="1"/>
                <w:bCs w:val="1"/>
                <w:color w:val="auto"/>
              </w:rPr>
              <w:t>Stockholders'</w:t>
            </w:r>
          </w:p>
        </w:tc>
        <w:tc>
          <w:tcPr>
            <w:tcW w:w="80" w:type="dxa"/>
            <w:vAlign w:val="bottom"/>
          </w:tcPr>
          <w:p>
            <w:pPr>
              <w:spacing w:after="0"/>
              <w:rPr>
                <w:sz w:val="14"/>
                <w:szCs w:val="14"/>
                <w:color w:val="auto"/>
              </w:rPr>
            </w:pPr>
          </w:p>
        </w:tc>
        <w:tc>
          <w:tcPr>
            <w:tcW w:w="1160" w:type="dxa"/>
            <w:vAlign w:val="bottom"/>
            <w:gridSpan w:val="3"/>
          </w:tcPr>
          <w:p>
            <w:pPr>
              <w:spacing w:after="0"/>
              <w:rPr>
                <w:sz w:val="20"/>
                <w:szCs w:val="20"/>
                <w:color w:val="auto"/>
              </w:rPr>
            </w:pPr>
            <w:r>
              <w:rPr>
                <w:rFonts w:ascii="Arial" w:cs="Arial" w:eastAsia="Arial" w:hAnsi="Arial"/>
                <w:sz w:val="14"/>
                <w:szCs w:val="14"/>
                <w:b w:val="1"/>
                <w:bCs w:val="1"/>
                <w:color w:val="auto"/>
              </w:rPr>
              <w:t>Noncontrolling</w:t>
            </w: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60" w:type="dxa"/>
            <w:vAlign w:val="bottom"/>
            <w:gridSpan w:val="2"/>
          </w:tcPr>
          <w:p>
            <w:pPr>
              <w:jc w:val="right"/>
              <w:ind w:right="380"/>
              <w:spacing w:after="0"/>
              <w:rPr>
                <w:sz w:val="20"/>
                <w:szCs w:val="20"/>
                <w:color w:val="auto"/>
              </w:rPr>
            </w:pPr>
            <w:r>
              <w:rPr>
                <w:rFonts w:ascii="Arial" w:cs="Arial" w:eastAsia="Arial" w:hAnsi="Arial"/>
                <w:sz w:val="14"/>
                <w:szCs w:val="14"/>
                <w:b w:val="1"/>
                <w:bCs w:val="1"/>
                <w:color w:val="auto"/>
              </w:rPr>
              <w:t>Total</w:t>
            </w:r>
          </w:p>
        </w:tc>
      </w:tr>
      <w:tr>
        <w:trPr>
          <w:trHeight w:val="171"/>
        </w:trPr>
        <w:tc>
          <w:tcPr>
            <w:tcW w:w="4000" w:type="dxa"/>
            <w:vAlign w:val="bottom"/>
          </w:tcPr>
          <w:p>
            <w:pPr>
              <w:spacing w:after="0"/>
              <w:rPr>
                <w:sz w:val="14"/>
                <w:szCs w:val="14"/>
                <w:color w:val="auto"/>
              </w:rPr>
            </w:pPr>
          </w:p>
        </w:tc>
        <w:tc>
          <w:tcPr>
            <w:tcW w:w="124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w w:val="91"/>
              </w:rPr>
              <w:t>Shares (Note 1)</w:t>
            </w:r>
          </w:p>
        </w:tc>
        <w:tc>
          <w:tcPr>
            <w:tcW w:w="80" w:type="dxa"/>
            <w:vAlign w:val="bottom"/>
          </w:tcPr>
          <w:p>
            <w:pPr>
              <w:spacing w:after="0"/>
              <w:rPr>
                <w:sz w:val="14"/>
                <w:szCs w:val="14"/>
                <w:color w:val="auto"/>
              </w:rPr>
            </w:pPr>
          </w:p>
        </w:tc>
        <w:tc>
          <w:tcPr>
            <w:tcW w:w="680" w:type="dxa"/>
            <w:vAlign w:val="bottom"/>
          </w:tcPr>
          <w:p>
            <w:pPr>
              <w:jc w:val="right"/>
              <w:ind w:right="132"/>
              <w:spacing w:after="0"/>
              <w:rPr>
                <w:sz w:val="20"/>
                <w:szCs w:val="20"/>
                <w:color w:val="auto"/>
              </w:rPr>
            </w:pPr>
            <w:r>
              <w:rPr>
                <w:rFonts w:ascii="Arial" w:cs="Arial" w:eastAsia="Arial" w:hAnsi="Arial"/>
                <w:sz w:val="14"/>
                <w:szCs w:val="14"/>
                <w:b w:val="1"/>
                <w:bCs w:val="1"/>
                <w:color w:val="auto"/>
              </w:rPr>
              <w:t>Stock</w:t>
            </w:r>
          </w:p>
        </w:tc>
        <w:tc>
          <w:tcPr>
            <w:tcW w:w="2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800" w:type="dxa"/>
            <w:vAlign w:val="bottom"/>
            <w:gridSpan w:val="2"/>
          </w:tcPr>
          <w:p>
            <w:pPr>
              <w:jc w:val="right"/>
              <w:ind w:right="300"/>
              <w:spacing w:after="0"/>
              <w:rPr>
                <w:sz w:val="20"/>
                <w:szCs w:val="20"/>
                <w:color w:val="auto"/>
              </w:rPr>
            </w:pPr>
            <w:r>
              <w:rPr>
                <w:rFonts w:ascii="Arial" w:cs="Arial" w:eastAsia="Arial" w:hAnsi="Arial"/>
                <w:sz w:val="14"/>
                <w:szCs w:val="14"/>
                <w:b w:val="1"/>
                <w:bCs w:val="1"/>
                <w:color w:val="auto"/>
              </w:rPr>
              <w:t>Capital</w:t>
            </w:r>
          </w:p>
        </w:tc>
        <w:tc>
          <w:tcPr>
            <w:tcW w:w="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80" w:type="dxa"/>
            <w:vAlign w:val="bottom"/>
          </w:tcPr>
          <w:p>
            <w:pPr>
              <w:jc w:val="right"/>
              <w:ind w:right="32"/>
              <w:spacing w:after="0"/>
              <w:rPr>
                <w:sz w:val="20"/>
                <w:szCs w:val="20"/>
                <w:color w:val="auto"/>
              </w:rPr>
            </w:pPr>
            <w:r>
              <w:rPr>
                <w:rFonts w:ascii="Arial" w:cs="Arial" w:eastAsia="Arial" w:hAnsi="Arial"/>
                <w:sz w:val="14"/>
                <w:szCs w:val="14"/>
                <w:b w:val="1"/>
                <w:bCs w:val="1"/>
                <w:color w:val="auto"/>
                <w:w w:val="90"/>
              </w:rPr>
              <w:t>Earnings</w:t>
            </w:r>
          </w:p>
        </w:tc>
        <w:tc>
          <w:tcPr>
            <w:tcW w:w="2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900" w:type="dxa"/>
            <w:vAlign w:val="bottom"/>
            <w:gridSpan w:val="2"/>
          </w:tcPr>
          <w:p>
            <w:pPr>
              <w:jc w:val="right"/>
              <w:ind w:right="360"/>
              <w:spacing w:after="0"/>
              <w:rPr>
                <w:sz w:val="20"/>
                <w:szCs w:val="20"/>
                <w:color w:val="auto"/>
              </w:rPr>
            </w:pPr>
            <w:r>
              <w:rPr>
                <w:rFonts w:ascii="Arial" w:cs="Arial" w:eastAsia="Arial" w:hAnsi="Arial"/>
                <w:sz w:val="14"/>
                <w:szCs w:val="14"/>
                <w:b w:val="1"/>
                <w:bCs w:val="1"/>
                <w:color w:val="auto"/>
              </w:rPr>
              <w:t>Equity</w:t>
            </w:r>
          </w:p>
        </w:tc>
        <w:tc>
          <w:tcPr>
            <w:tcW w:w="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020" w:type="dxa"/>
            <w:vAlign w:val="bottom"/>
            <w:gridSpan w:val="2"/>
          </w:tcPr>
          <w:p>
            <w:pPr>
              <w:jc w:val="right"/>
              <w:ind w:right="420"/>
              <w:spacing w:after="0"/>
              <w:rPr>
                <w:sz w:val="20"/>
                <w:szCs w:val="20"/>
                <w:color w:val="auto"/>
              </w:rPr>
            </w:pPr>
            <w:r>
              <w:rPr>
                <w:rFonts w:ascii="Arial" w:cs="Arial" w:eastAsia="Arial" w:hAnsi="Arial"/>
                <w:sz w:val="14"/>
                <w:szCs w:val="14"/>
                <w:b w:val="1"/>
                <w:bCs w:val="1"/>
                <w:color w:val="auto"/>
                <w:w w:val="99"/>
              </w:rPr>
              <w:t>Interests</w:t>
            </w: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60" w:type="dxa"/>
            <w:vAlign w:val="bottom"/>
            <w:gridSpan w:val="2"/>
          </w:tcPr>
          <w:p>
            <w:pPr>
              <w:jc w:val="right"/>
              <w:ind w:right="340"/>
              <w:spacing w:after="0"/>
              <w:rPr>
                <w:sz w:val="20"/>
                <w:szCs w:val="20"/>
                <w:color w:val="auto"/>
              </w:rPr>
            </w:pPr>
            <w:r>
              <w:rPr>
                <w:rFonts w:ascii="Arial" w:cs="Arial" w:eastAsia="Arial" w:hAnsi="Arial"/>
                <w:sz w:val="14"/>
                <w:szCs w:val="14"/>
                <w:b w:val="1"/>
                <w:bCs w:val="1"/>
                <w:color w:val="auto"/>
              </w:rPr>
              <w:t>Equity</w:t>
            </w:r>
          </w:p>
        </w:tc>
      </w:tr>
      <w:tr>
        <w:trPr>
          <w:trHeight w:val="223"/>
        </w:trPr>
        <w:tc>
          <w:tcPr>
            <w:tcW w:w="4000" w:type="dxa"/>
            <w:vAlign w:val="bottom"/>
            <w:tcBorders>
              <w:top w:val="single" w:sz="8" w:color="CFF0FC"/>
            </w:tcBorders>
            <w:shd w:val="clear" w:color="auto" w:fill="CFF0FC"/>
          </w:tcPr>
          <w:p>
            <w:pPr>
              <w:spacing w:after="0"/>
              <w:rPr>
                <w:sz w:val="20"/>
                <w:szCs w:val="20"/>
                <w:color w:val="auto"/>
              </w:rPr>
            </w:pPr>
            <w:r>
              <w:rPr>
                <w:rFonts w:ascii="Arial" w:cs="Arial" w:eastAsia="Arial" w:hAnsi="Arial"/>
                <w:sz w:val="18"/>
                <w:szCs w:val="18"/>
                <w:color w:val="auto"/>
              </w:rPr>
              <w:t>Balance at December 31, 2013</w:t>
            </w:r>
          </w:p>
        </w:tc>
        <w:tc>
          <w:tcPr>
            <w:tcW w:w="102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w w:val="97"/>
              </w:rPr>
              <w:t>129,700,000</w:t>
            </w:r>
          </w:p>
        </w:tc>
        <w:tc>
          <w:tcPr>
            <w:tcW w:w="220" w:type="dxa"/>
            <w:vAlign w:val="bottom"/>
            <w:tcBorders>
              <w:top w:val="single" w:sz="8" w:color="CFF0FC"/>
            </w:tcBorders>
            <w:shd w:val="clear" w:color="auto" w:fill="CFF0FC"/>
          </w:tcPr>
          <w:p>
            <w:pPr>
              <w:spacing w:after="0"/>
              <w:rPr>
                <w:sz w:val="19"/>
                <w:szCs w:val="19"/>
                <w:color w:val="auto"/>
              </w:rPr>
            </w:pPr>
          </w:p>
        </w:tc>
        <w:tc>
          <w:tcPr>
            <w:tcW w:w="8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5"/>
                <w:szCs w:val="15"/>
                <w:color w:val="auto"/>
                <w:w w:val="71"/>
              </w:rPr>
              <w:t>$</w:t>
            </w:r>
          </w:p>
        </w:tc>
        <w:tc>
          <w:tcPr>
            <w:tcW w:w="68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1,297</w:t>
            </w:r>
          </w:p>
        </w:tc>
        <w:tc>
          <w:tcPr>
            <w:tcW w:w="220" w:type="dxa"/>
            <w:vAlign w:val="bottom"/>
            <w:tcBorders>
              <w:top w:val="single" w:sz="8" w:color="CFF0FC"/>
            </w:tcBorders>
            <w:shd w:val="clear" w:color="auto" w:fill="CFF0FC"/>
          </w:tcPr>
          <w:p>
            <w:pPr>
              <w:spacing w:after="0"/>
              <w:rPr>
                <w:sz w:val="19"/>
                <w:szCs w:val="19"/>
                <w:color w:val="auto"/>
              </w:rPr>
            </w:pPr>
          </w:p>
        </w:tc>
        <w:tc>
          <w:tcPr>
            <w:tcW w:w="12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66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w w:val="98"/>
              </w:rPr>
              <w:t>333,589</w:t>
            </w:r>
          </w:p>
        </w:tc>
        <w:tc>
          <w:tcPr>
            <w:tcW w:w="140" w:type="dxa"/>
            <w:vAlign w:val="bottom"/>
            <w:tcBorders>
              <w:top w:val="single" w:sz="8" w:color="CFF0FC"/>
            </w:tcBorders>
            <w:shd w:val="clear" w:color="auto" w:fill="CFF0FC"/>
          </w:tcPr>
          <w:p>
            <w:pPr>
              <w:spacing w:after="0"/>
              <w:rPr>
                <w:sz w:val="19"/>
                <w:szCs w:val="19"/>
                <w:color w:val="auto"/>
              </w:rPr>
            </w:pPr>
          </w:p>
        </w:tc>
        <w:tc>
          <w:tcPr>
            <w:tcW w:w="80" w:type="dxa"/>
            <w:vAlign w:val="bottom"/>
            <w:tcBorders>
              <w:top w:val="single" w:sz="8" w:color="CFF0FC"/>
            </w:tcBorders>
            <w:shd w:val="clear" w:color="auto" w:fill="CFF0FC"/>
          </w:tcPr>
          <w:p>
            <w:pPr>
              <w:spacing w:after="0"/>
              <w:rPr>
                <w:sz w:val="19"/>
                <w:szCs w:val="19"/>
                <w:color w:val="auto"/>
              </w:rPr>
            </w:pPr>
          </w:p>
        </w:tc>
        <w:tc>
          <w:tcPr>
            <w:tcW w:w="10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5"/>
                <w:szCs w:val="15"/>
                <w:color w:val="auto"/>
                <w:w w:val="71"/>
              </w:rPr>
              <w:t>$</w:t>
            </w:r>
          </w:p>
        </w:tc>
        <w:tc>
          <w:tcPr>
            <w:tcW w:w="68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w w:val="98"/>
              </w:rPr>
              <w:t>462,210</w:t>
            </w:r>
          </w:p>
        </w:tc>
        <w:tc>
          <w:tcPr>
            <w:tcW w:w="220" w:type="dxa"/>
            <w:vAlign w:val="bottom"/>
            <w:tcBorders>
              <w:top w:val="single" w:sz="8" w:color="CFF0FC"/>
            </w:tcBorders>
            <w:shd w:val="clear" w:color="auto" w:fill="CFF0FC"/>
          </w:tcPr>
          <w:p>
            <w:pPr>
              <w:spacing w:after="0"/>
              <w:rPr>
                <w:sz w:val="19"/>
                <w:szCs w:val="19"/>
                <w:color w:val="auto"/>
              </w:rPr>
            </w:pPr>
          </w:p>
        </w:tc>
        <w:tc>
          <w:tcPr>
            <w:tcW w:w="100" w:type="dxa"/>
            <w:vAlign w:val="bottom"/>
            <w:tcBorders>
              <w:top w:val="single" w:sz="8" w:color="auto"/>
            </w:tcBorders>
            <w:shd w:val="clear" w:color="auto" w:fill="CFF0FC"/>
          </w:tcPr>
          <w:p>
            <w:pPr>
              <w:spacing w:after="0"/>
              <w:rPr>
                <w:sz w:val="20"/>
                <w:szCs w:val="20"/>
                <w:color w:val="auto"/>
              </w:rPr>
            </w:pPr>
            <w:r>
              <w:rPr>
                <w:rFonts w:ascii="Arial" w:cs="Arial" w:eastAsia="Arial" w:hAnsi="Arial"/>
                <w:sz w:val="18"/>
                <w:szCs w:val="18"/>
                <w:color w:val="auto"/>
                <w:w w:val="79"/>
              </w:rPr>
              <w:t>$</w:t>
            </w:r>
          </w:p>
        </w:tc>
        <w:tc>
          <w:tcPr>
            <w:tcW w:w="76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797,096</w:t>
            </w:r>
          </w:p>
        </w:tc>
        <w:tc>
          <w:tcPr>
            <w:tcW w:w="140" w:type="dxa"/>
            <w:vAlign w:val="bottom"/>
            <w:tcBorders>
              <w:top w:val="single" w:sz="8" w:color="CFF0FC"/>
            </w:tcBorders>
            <w:shd w:val="clear" w:color="auto" w:fill="CFF0FC"/>
          </w:tcPr>
          <w:p>
            <w:pPr>
              <w:spacing w:after="0"/>
              <w:rPr>
                <w:sz w:val="19"/>
                <w:szCs w:val="19"/>
                <w:color w:val="auto"/>
              </w:rPr>
            </w:pPr>
          </w:p>
        </w:tc>
        <w:tc>
          <w:tcPr>
            <w:tcW w:w="80" w:type="dxa"/>
            <w:vAlign w:val="bottom"/>
            <w:tcBorders>
              <w:top w:val="single" w:sz="8" w:color="CFF0FC"/>
            </w:tcBorders>
            <w:shd w:val="clear" w:color="auto" w:fill="CFF0FC"/>
          </w:tcPr>
          <w:p>
            <w:pPr>
              <w:spacing w:after="0"/>
              <w:rPr>
                <w:sz w:val="19"/>
                <w:szCs w:val="19"/>
                <w:color w:val="auto"/>
              </w:rPr>
            </w:pPr>
          </w:p>
        </w:tc>
        <w:tc>
          <w:tcPr>
            <w:tcW w:w="140" w:type="dxa"/>
            <w:vAlign w:val="bottom"/>
            <w:tcBorders>
              <w:top w:val="single" w:sz="8" w:color="auto"/>
            </w:tcBorders>
            <w:shd w:val="clear" w:color="auto" w:fill="CFF0FC"/>
          </w:tcPr>
          <w:p>
            <w:pPr>
              <w:spacing w:after="0"/>
              <w:rPr>
                <w:sz w:val="20"/>
                <w:szCs w:val="20"/>
                <w:color w:val="auto"/>
              </w:rPr>
            </w:pPr>
            <w:r>
              <w:rPr>
                <w:rFonts w:ascii="Arial" w:cs="Arial" w:eastAsia="Arial" w:hAnsi="Arial"/>
                <w:sz w:val="18"/>
                <w:szCs w:val="18"/>
                <w:color w:val="auto"/>
              </w:rPr>
              <w:t>$</w:t>
            </w:r>
          </w:p>
        </w:tc>
        <w:tc>
          <w:tcPr>
            <w:tcW w:w="80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28,421</w:t>
            </w:r>
          </w:p>
        </w:tc>
        <w:tc>
          <w:tcPr>
            <w:tcW w:w="220" w:type="dxa"/>
            <w:vAlign w:val="bottom"/>
            <w:tcBorders>
              <w:top w:val="single" w:sz="8" w:color="CFF0FC"/>
            </w:tcBorders>
            <w:shd w:val="clear" w:color="auto" w:fill="CFF0FC"/>
          </w:tcPr>
          <w:p>
            <w:pPr>
              <w:spacing w:after="0"/>
              <w:rPr>
                <w:sz w:val="19"/>
                <w:szCs w:val="19"/>
                <w:color w:val="auto"/>
              </w:rPr>
            </w:pPr>
          </w:p>
        </w:tc>
        <w:tc>
          <w:tcPr>
            <w:tcW w:w="20" w:type="dxa"/>
            <w:vAlign w:val="bottom"/>
            <w:tcBorders>
              <w:top w:val="single" w:sz="8" w:color="CFF0FC"/>
            </w:tcBorders>
            <w:shd w:val="clear" w:color="auto" w:fill="CFF0FC"/>
          </w:tcPr>
          <w:p>
            <w:pPr>
              <w:spacing w:after="0"/>
              <w:rPr>
                <w:sz w:val="19"/>
                <w:szCs w:val="19"/>
                <w:color w:val="auto"/>
              </w:rPr>
            </w:pPr>
          </w:p>
        </w:tc>
        <w:tc>
          <w:tcPr>
            <w:tcW w:w="8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5"/>
                <w:szCs w:val="15"/>
                <w:color w:val="auto"/>
                <w:w w:val="71"/>
              </w:rPr>
              <w:t>$</w:t>
            </w:r>
          </w:p>
        </w:tc>
        <w:tc>
          <w:tcPr>
            <w:tcW w:w="76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825,517</w:t>
            </w:r>
          </w:p>
        </w:tc>
        <w:tc>
          <w:tcPr>
            <w:tcW w:w="100" w:type="dxa"/>
            <w:vAlign w:val="bottom"/>
            <w:tcBorders>
              <w:top w:val="single" w:sz="8" w:color="CFF0FC"/>
            </w:tcBorders>
            <w:shd w:val="clear" w:color="auto" w:fill="CFF0FC"/>
          </w:tcPr>
          <w:p>
            <w:pPr>
              <w:spacing w:after="0"/>
              <w:rPr>
                <w:sz w:val="19"/>
                <w:szCs w:val="19"/>
                <w:color w:val="auto"/>
              </w:rPr>
            </w:pPr>
          </w:p>
        </w:tc>
      </w:tr>
      <w:tr>
        <w:trPr>
          <w:trHeight w:val="230"/>
        </w:trPr>
        <w:tc>
          <w:tcPr>
            <w:tcW w:w="4000" w:type="dxa"/>
            <w:vAlign w:val="bottom"/>
          </w:tcPr>
          <w:p>
            <w:pPr>
              <w:ind w:left="260"/>
              <w:spacing w:after="0"/>
              <w:rPr>
                <w:sz w:val="20"/>
                <w:szCs w:val="20"/>
                <w:color w:val="auto"/>
              </w:rPr>
            </w:pPr>
            <w:r>
              <w:rPr>
                <w:rFonts w:ascii="Arial" w:cs="Arial" w:eastAsia="Arial" w:hAnsi="Arial"/>
                <w:sz w:val="18"/>
                <w:szCs w:val="18"/>
                <w:color w:val="auto"/>
              </w:rPr>
              <w:t>Net income</w:t>
            </w:r>
          </w:p>
        </w:tc>
        <w:tc>
          <w:tcPr>
            <w:tcW w:w="1240" w:type="dxa"/>
            <w:vAlign w:val="bottom"/>
            <w:gridSpan w:val="2"/>
          </w:tcPr>
          <w:p>
            <w:pPr>
              <w:jc w:val="right"/>
              <w:ind w:right="24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9"/>
                <w:szCs w:val="19"/>
                <w:color w:val="auto"/>
              </w:rPr>
            </w:pPr>
          </w:p>
        </w:tc>
        <w:tc>
          <w:tcPr>
            <w:tcW w:w="680" w:type="dxa"/>
            <w:vAlign w:val="bottom"/>
          </w:tcPr>
          <w:p>
            <w:pPr>
              <w:jc w:val="right"/>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80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80" w:type="dxa"/>
            <w:vAlign w:val="bottom"/>
          </w:tcPr>
          <w:p>
            <w:pPr>
              <w:jc w:val="right"/>
              <w:spacing w:after="0"/>
              <w:rPr>
                <w:sz w:val="20"/>
                <w:szCs w:val="20"/>
                <w:color w:val="auto"/>
              </w:rPr>
            </w:pPr>
            <w:r>
              <w:rPr>
                <w:rFonts w:ascii="Arial" w:cs="Arial" w:eastAsia="Arial" w:hAnsi="Arial"/>
                <w:sz w:val="18"/>
                <w:szCs w:val="18"/>
                <w:color w:val="auto"/>
              </w:rPr>
              <w:t>84,197</w:t>
            </w:r>
          </w:p>
        </w:tc>
        <w:tc>
          <w:tcPr>
            <w:tcW w:w="2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84,197</w:t>
            </w:r>
          </w:p>
        </w:tc>
        <w:tc>
          <w:tcPr>
            <w:tcW w:w="1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02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84,197</w:t>
            </w:r>
          </w:p>
        </w:tc>
        <w:tc>
          <w:tcPr>
            <w:tcW w:w="100" w:type="dxa"/>
            <w:vAlign w:val="bottom"/>
          </w:tcPr>
          <w:p>
            <w:pPr>
              <w:spacing w:after="0"/>
              <w:rPr>
                <w:sz w:val="19"/>
                <w:szCs w:val="19"/>
                <w:color w:val="auto"/>
              </w:rPr>
            </w:pPr>
          </w:p>
        </w:tc>
      </w:tr>
      <w:tr>
        <w:trPr>
          <w:trHeight w:val="230"/>
        </w:trPr>
        <w:tc>
          <w:tcPr>
            <w:tcW w:w="4000" w:type="dxa"/>
            <w:vAlign w:val="bottom"/>
            <w:shd w:val="clear" w:color="auto" w:fill="CFF0FC"/>
          </w:tcPr>
          <w:p>
            <w:pPr>
              <w:ind w:left="260"/>
              <w:spacing w:after="0"/>
              <w:rPr>
                <w:sz w:val="20"/>
                <w:szCs w:val="20"/>
                <w:color w:val="auto"/>
              </w:rPr>
            </w:pPr>
            <w:r>
              <w:rPr>
                <w:rFonts w:ascii="Arial" w:cs="Arial" w:eastAsia="Arial" w:hAnsi="Arial"/>
                <w:sz w:val="18"/>
                <w:szCs w:val="18"/>
                <w:color w:val="auto"/>
              </w:rPr>
              <w:t>Capital contribution by Weyerhaeuser, net</w:t>
            </w:r>
          </w:p>
        </w:tc>
        <w:tc>
          <w:tcPr>
            <w:tcW w:w="1240" w:type="dxa"/>
            <w:vAlign w:val="bottom"/>
            <w:gridSpan w:val="2"/>
            <w:shd w:val="clear" w:color="auto" w:fill="CFF0FC"/>
          </w:tcPr>
          <w:p>
            <w:pPr>
              <w:jc w:val="right"/>
              <w:ind w:right="240"/>
              <w:spacing w:after="0"/>
              <w:rPr>
                <w:sz w:val="20"/>
                <w:szCs w:val="20"/>
                <w:color w:val="auto"/>
              </w:rPr>
            </w:pPr>
            <w:r>
              <w:rPr>
                <w:rFonts w:ascii="Arial" w:cs="Arial" w:eastAsia="Arial" w:hAnsi="Arial"/>
                <w:sz w:val="18"/>
                <w:szCs w:val="18"/>
                <w:color w:val="auto"/>
              </w:rPr>
              <w:t>—</w:t>
            </w:r>
          </w:p>
        </w:tc>
        <w:tc>
          <w:tcPr>
            <w:tcW w:w="80" w:type="dxa"/>
            <w:vAlign w:val="bottom"/>
            <w:shd w:val="clear" w:color="auto" w:fill="CFF0FC"/>
          </w:tcPr>
          <w:p>
            <w:pPr>
              <w:spacing w:after="0"/>
              <w:rPr>
                <w:sz w:val="19"/>
                <w:szCs w:val="19"/>
                <w:color w:val="auto"/>
              </w:rPr>
            </w:pPr>
          </w:p>
        </w:tc>
        <w:tc>
          <w:tcPr>
            <w:tcW w:w="6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22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6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63,355</w:t>
            </w:r>
          </w:p>
        </w:tc>
        <w:tc>
          <w:tcPr>
            <w:tcW w:w="14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6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22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7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63,355</w:t>
            </w:r>
          </w:p>
        </w:tc>
        <w:tc>
          <w:tcPr>
            <w:tcW w:w="14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1020" w:type="dxa"/>
            <w:vAlign w:val="bottom"/>
            <w:gridSpan w:val="2"/>
            <w:shd w:val="clear" w:color="auto" w:fill="CFF0FC"/>
          </w:tcPr>
          <w:p>
            <w:pPr>
              <w:jc w:val="right"/>
              <w:ind w:right="220"/>
              <w:spacing w:after="0"/>
              <w:rPr>
                <w:sz w:val="20"/>
                <w:szCs w:val="20"/>
                <w:color w:val="auto"/>
              </w:rPr>
            </w:pPr>
            <w:r>
              <w:rPr>
                <w:rFonts w:ascii="Arial" w:cs="Arial" w:eastAsia="Arial" w:hAnsi="Arial"/>
                <w:sz w:val="18"/>
                <w:szCs w:val="18"/>
                <w:color w:val="auto"/>
              </w:rPr>
              <w:t>—</w:t>
            </w:r>
          </w:p>
        </w:tc>
        <w:tc>
          <w:tcPr>
            <w:tcW w:w="2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7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63,355</w:t>
            </w:r>
          </w:p>
        </w:tc>
        <w:tc>
          <w:tcPr>
            <w:tcW w:w="100" w:type="dxa"/>
            <w:vAlign w:val="bottom"/>
            <w:shd w:val="clear" w:color="auto" w:fill="CFF0FC"/>
          </w:tcPr>
          <w:p>
            <w:pPr>
              <w:spacing w:after="0"/>
              <w:rPr>
                <w:sz w:val="19"/>
                <w:szCs w:val="19"/>
                <w:color w:val="auto"/>
              </w:rPr>
            </w:pPr>
          </w:p>
        </w:tc>
      </w:tr>
      <w:tr>
        <w:trPr>
          <w:trHeight w:val="215"/>
        </w:trPr>
        <w:tc>
          <w:tcPr>
            <w:tcW w:w="4000" w:type="dxa"/>
            <w:vAlign w:val="bottom"/>
          </w:tcPr>
          <w:p>
            <w:pPr>
              <w:ind w:left="260"/>
              <w:spacing w:after="0"/>
              <w:rPr>
                <w:sz w:val="20"/>
                <w:szCs w:val="20"/>
                <w:color w:val="auto"/>
              </w:rPr>
            </w:pPr>
            <w:r>
              <w:rPr>
                <w:rFonts w:ascii="Arial" w:cs="Arial" w:eastAsia="Arial" w:hAnsi="Arial"/>
                <w:sz w:val="18"/>
                <w:szCs w:val="18"/>
                <w:color w:val="auto"/>
              </w:rPr>
              <w:t>Common shares issued in connection</w:t>
            </w:r>
          </w:p>
        </w:tc>
        <w:tc>
          <w:tcPr>
            <w:tcW w:w="10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30"/>
        </w:trPr>
        <w:tc>
          <w:tcPr>
            <w:tcW w:w="4000" w:type="dxa"/>
            <w:vAlign w:val="bottom"/>
          </w:tcPr>
          <w:p>
            <w:pPr>
              <w:ind w:left="380"/>
              <w:spacing w:after="0"/>
              <w:rPr>
                <w:sz w:val="20"/>
                <w:szCs w:val="20"/>
                <w:color w:val="auto"/>
              </w:rPr>
            </w:pPr>
            <w:r>
              <w:rPr>
                <w:rFonts w:ascii="Arial" w:cs="Arial" w:eastAsia="Arial" w:hAnsi="Arial"/>
                <w:sz w:val="18"/>
                <w:szCs w:val="18"/>
                <w:color w:val="auto"/>
              </w:rPr>
              <w:t>with the Merger (Note 2)</w:t>
            </w:r>
          </w:p>
        </w:tc>
        <w:tc>
          <w:tcPr>
            <w:tcW w:w="1020" w:type="dxa"/>
            <w:vAlign w:val="bottom"/>
          </w:tcPr>
          <w:p>
            <w:pPr>
              <w:jc w:val="right"/>
              <w:spacing w:after="0"/>
              <w:rPr>
                <w:sz w:val="20"/>
                <w:szCs w:val="20"/>
                <w:color w:val="auto"/>
              </w:rPr>
            </w:pPr>
            <w:r>
              <w:rPr>
                <w:rFonts w:ascii="Arial" w:cs="Arial" w:eastAsia="Arial" w:hAnsi="Arial"/>
                <w:sz w:val="18"/>
                <w:szCs w:val="18"/>
                <w:color w:val="auto"/>
              </w:rPr>
              <w:t>31,632,533</w:t>
            </w:r>
          </w:p>
        </w:tc>
        <w:tc>
          <w:tcPr>
            <w:tcW w:w="2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680" w:type="dxa"/>
            <w:vAlign w:val="bottom"/>
          </w:tcPr>
          <w:p>
            <w:pPr>
              <w:jc w:val="right"/>
              <w:spacing w:after="0"/>
              <w:rPr>
                <w:sz w:val="20"/>
                <w:szCs w:val="20"/>
                <w:color w:val="auto"/>
              </w:rPr>
            </w:pPr>
            <w:r>
              <w:rPr>
                <w:rFonts w:ascii="Arial" w:cs="Arial" w:eastAsia="Arial" w:hAnsi="Arial"/>
                <w:sz w:val="18"/>
                <w:szCs w:val="18"/>
                <w:color w:val="auto"/>
              </w:rPr>
              <w:t>317</w:t>
            </w:r>
          </w:p>
        </w:tc>
        <w:tc>
          <w:tcPr>
            <w:tcW w:w="2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w w:val="98"/>
              </w:rPr>
              <w:t>498,656</w:t>
            </w:r>
          </w:p>
        </w:tc>
        <w:tc>
          <w:tcPr>
            <w:tcW w:w="1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80" w:type="dxa"/>
            <w:vAlign w:val="bottom"/>
          </w:tcPr>
          <w:p>
            <w:pPr>
              <w:jc w:val="right"/>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498,973</w:t>
            </w:r>
          </w:p>
        </w:tc>
        <w:tc>
          <w:tcPr>
            <w:tcW w:w="1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02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498,973</w:t>
            </w:r>
          </w:p>
        </w:tc>
        <w:tc>
          <w:tcPr>
            <w:tcW w:w="100" w:type="dxa"/>
            <w:vAlign w:val="bottom"/>
          </w:tcPr>
          <w:p>
            <w:pPr>
              <w:spacing w:after="0"/>
              <w:rPr>
                <w:sz w:val="20"/>
                <w:szCs w:val="20"/>
                <w:color w:val="auto"/>
              </w:rPr>
            </w:pPr>
          </w:p>
        </w:tc>
      </w:tr>
      <w:tr>
        <w:trPr>
          <w:trHeight w:val="230"/>
        </w:trPr>
        <w:tc>
          <w:tcPr>
            <w:tcW w:w="4000" w:type="dxa"/>
            <w:vAlign w:val="bottom"/>
            <w:shd w:val="clear" w:color="auto" w:fill="CFF0FC"/>
          </w:tcPr>
          <w:p>
            <w:pPr>
              <w:ind w:left="260"/>
              <w:spacing w:after="0"/>
              <w:rPr>
                <w:sz w:val="20"/>
                <w:szCs w:val="20"/>
                <w:color w:val="auto"/>
              </w:rPr>
            </w:pPr>
            <w:r>
              <w:rPr>
                <w:rFonts w:ascii="Arial" w:cs="Arial" w:eastAsia="Arial" w:hAnsi="Arial"/>
                <w:sz w:val="18"/>
                <w:szCs w:val="18"/>
                <w:color w:val="auto"/>
              </w:rPr>
              <w:t>Shares issued under share-based awards</w:t>
            </w:r>
          </w:p>
        </w:tc>
        <w:tc>
          <w:tcPr>
            <w:tcW w:w="10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22,957</w:t>
            </w:r>
          </w:p>
        </w:tc>
        <w:tc>
          <w:tcPr>
            <w:tcW w:w="22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6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22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6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176</w:t>
            </w:r>
          </w:p>
        </w:tc>
        <w:tc>
          <w:tcPr>
            <w:tcW w:w="14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6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22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7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176</w:t>
            </w:r>
          </w:p>
        </w:tc>
        <w:tc>
          <w:tcPr>
            <w:tcW w:w="14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1020" w:type="dxa"/>
            <w:vAlign w:val="bottom"/>
            <w:gridSpan w:val="2"/>
            <w:shd w:val="clear" w:color="auto" w:fill="CFF0FC"/>
          </w:tcPr>
          <w:p>
            <w:pPr>
              <w:jc w:val="right"/>
              <w:ind w:right="220"/>
              <w:spacing w:after="0"/>
              <w:rPr>
                <w:sz w:val="20"/>
                <w:szCs w:val="20"/>
                <w:color w:val="auto"/>
              </w:rPr>
            </w:pPr>
            <w:r>
              <w:rPr>
                <w:rFonts w:ascii="Arial" w:cs="Arial" w:eastAsia="Arial" w:hAnsi="Arial"/>
                <w:sz w:val="18"/>
                <w:szCs w:val="18"/>
                <w:color w:val="auto"/>
              </w:rPr>
              <w:t>—</w:t>
            </w:r>
          </w:p>
        </w:tc>
        <w:tc>
          <w:tcPr>
            <w:tcW w:w="2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7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176</w:t>
            </w:r>
          </w:p>
        </w:tc>
        <w:tc>
          <w:tcPr>
            <w:tcW w:w="100" w:type="dxa"/>
            <w:vAlign w:val="bottom"/>
            <w:shd w:val="clear" w:color="auto" w:fill="CFF0FC"/>
          </w:tcPr>
          <w:p>
            <w:pPr>
              <w:spacing w:after="0"/>
              <w:rPr>
                <w:sz w:val="19"/>
                <w:szCs w:val="19"/>
                <w:color w:val="auto"/>
              </w:rPr>
            </w:pPr>
          </w:p>
        </w:tc>
      </w:tr>
      <w:tr>
        <w:trPr>
          <w:trHeight w:val="215"/>
        </w:trPr>
        <w:tc>
          <w:tcPr>
            <w:tcW w:w="4000" w:type="dxa"/>
            <w:vAlign w:val="bottom"/>
          </w:tcPr>
          <w:p>
            <w:pPr>
              <w:ind w:left="260"/>
              <w:spacing w:after="0"/>
              <w:rPr>
                <w:sz w:val="20"/>
                <w:szCs w:val="20"/>
                <w:color w:val="auto"/>
              </w:rPr>
            </w:pPr>
            <w:r>
              <w:rPr>
                <w:rFonts w:ascii="Arial" w:cs="Arial" w:eastAsia="Arial" w:hAnsi="Arial"/>
                <w:sz w:val="18"/>
                <w:szCs w:val="18"/>
                <w:color w:val="auto"/>
              </w:rPr>
              <w:t>Excess tax benefit of share-based awards,</w:t>
            </w:r>
          </w:p>
        </w:tc>
        <w:tc>
          <w:tcPr>
            <w:tcW w:w="10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30"/>
        </w:trPr>
        <w:tc>
          <w:tcPr>
            <w:tcW w:w="4000" w:type="dxa"/>
            <w:vAlign w:val="bottom"/>
          </w:tcPr>
          <w:p>
            <w:pPr>
              <w:ind w:left="380"/>
              <w:spacing w:after="0"/>
              <w:rPr>
                <w:sz w:val="20"/>
                <w:szCs w:val="20"/>
                <w:color w:val="auto"/>
              </w:rPr>
            </w:pPr>
            <w:r>
              <w:rPr>
                <w:rFonts w:ascii="Arial" w:cs="Arial" w:eastAsia="Arial" w:hAnsi="Arial"/>
                <w:sz w:val="18"/>
                <w:szCs w:val="18"/>
                <w:color w:val="auto"/>
              </w:rPr>
              <w:t>net</w:t>
            </w:r>
          </w:p>
        </w:tc>
        <w:tc>
          <w:tcPr>
            <w:tcW w:w="1240" w:type="dxa"/>
            <w:vAlign w:val="bottom"/>
            <w:gridSpan w:val="2"/>
          </w:tcPr>
          <w:p>
            <w:pPr>
              <w:jc w:val="right"/>
              <w:ind w:right="24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20"/>
                <w:szCs w:val="20"/>
                <w:color w:val="auto"/>
              </w:rPr>
            </w:pPr>
          </w:p>
        </w:tc>
        <w:tc>
          <w:tcPr>
            <w:tcW w:w="680" w:type="dxa"/>
            <w:vAlign w:val="bottom"/>
          </w:tcPr>
          <w:p>
            <w:pPr>
              <w:jc w:val="right"/>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1,757</w:t>
            </w:r>
          </w:p>
        </w:tc>
        <w:tc>
          <w:tcPr>
            <w:tcW w:w="1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80" w:type="dxa"/>
            <w:vAlign w:val="bottom"/>
          </w:tcPr>
          <w:p>
            <w:pPr>
              <w:jc w:val="right"/>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1,757</w:t>
            </w:r>
          </w:p>
        </w:tc>
        <w:tc>
          <w:tcPr>
            <w:tcW w:w="1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02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1,757</w:t>
            </w:r>
          </w:p>
        </w:tc>
        <w:tc>
          <w:tcPr>
            <w:tcW w:w="100" w:type="dxa"/>
            <w:vAlign w:val="bottom"/>
          </w:tcPr>
          <w:p>
            <w:pPr>
              <w:spacing w:after="0"/>
              <w:rPr>
                <w:sz w:val="20"/>
                <w:szCs w:val="20"/>
                <w:color w:val="auto"/>
              </w:rPr>
            </w:pPr>
          </w:p>
        </w:tc>
      </w:tr>
      <w:tr>
        <w:trPr>
          <w:trHeight w:val="230"/>
        </w:trPr>
        <w:tc>
          <w:tcPr>
            <w:tcW w:w="4000" w:type="dxa"/>
            <w:vAlign w:val="bottom"/>
            <w:shd w:val="clear" w:color="auto" w:fill="CFF0FC"/>
          </w:tcPr>
          <w:p>
            <w:pPr>
              <w:ind w:left="260"/>
              <w:spacing w:after="0"/>
              <w:rPr>
                <w:sz w:val="20"/>
                <w:szCs w:val="20"/>
                <w:color w:val="auto"/>
              </w:rPr>
            </w:pPr>
            <w:r>
              <w:rPr>
                <w:rFonts w:ascii="Arial" w:cs="Arial" w:eastAsia="Arial" w:hAnsi="Arial"/>
                <w:sz w:val="18"/>
                <w:szCs w:val="18"/>
                <w:color w:val="auto"/>
              </w:rPr>
              <w:t>Stock-based compensation expense</w:t>
            </w:r>
          </w:p>
        </w:tc>
        <w:tc>
          <w:tcPr>
            <w:tcW w:w="1240" w:type="dxa"/>
            <w:vAlign w:val="bottom"/>
            <w:gridSpan w:val="2"/>
            <w:shd w:val="clear" w:color="auto" w:fill="CFF0FC"/>
          </w:tcPr>
          <w:p>
            <w:pPr>
              <w:jc w:val="right"/>
              <w:ind w:right="240"/>
              <w:spacing w:after="0"/>
              <w:rPr>
                <w:sz w:val="20"/>
                <w:szCs w:val="20"/>
                <w:color w:val="auto"/>
              </w:rPr>
            </w:pPr>
            <w:r>
              <w:rPr>
                <w:rFonts w:ascii="Arial" w:cs="Arial" w:eastAsia="Arial" w:hAnsi="Arial"/>
                <w:sz w:val="18"/>
                <w:szCs w:val="18"/>
                <w:color w:val="auto"/>
              </w:rPr>
              <w:t>—</w:t>
            </w:r>
          </w:p>
        </w:tc>
        <w:tc>
          <w:tcPr>
            <w:tcW w:w="80" w:type="dxa"/>
            <w:vAlign w:val="bottom"/>
            <w:shd w:val="clear" w:color="auto" w:fill="CFF0FC"/>
          </w:tcPr>
          <w:p>
            <w:pPr>
              <w:spacing w:after="0"/>
              <w:rPr>
                <w:sz w:val="19"/>
                <w:szCs w:val="19"/>
                <w:color w:val="auto"/>
              </w:rPr>
            </w:pPr>
          </w:p>
        </w:tc>
        <w:tc>
          <w:tcPr>
            <w:tcW w:w="6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22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6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8,626</w:t>
            </w:r>
          </w:p>
        </w:tc>
        <w:tc>
          <w:tcPr>
            <w:tcW w:w="14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6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22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7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8,626</w:t>
            </w:r>
          </w:p>
        </w:tc>
        <w:tc>
          <w:tcPr>
            <w:tcW w:w="14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1020" w:type="dxa"/>
            <w:vAlign w:val="bottom"/>
            <w:gridSpan w:val="2"/>
            <w:shd w:val="clear" w:color="auto" w:fill="CFF0FC"/>
          </w:tcPr>
          <w:p>
            <w:pPr>
              <w:jc w:val="right"/>
              <w:ind w:right="220"/>
              <w:spacing w:after="0"/>
              <w:rPr>
                <w:sz w:val="20"/>
                <w:szCs w:val="20"/>
                <w:color w:val="auto"/>
              </w:rPr>
            </w:pPr>
            <w:r>
              <w:rPr>
                <w:rFonts w:ascii="Arial" w:cs="Arial" w:eastAsia="Arial" w:hAnsi="Arial"/>
                <w:sz w:val="18"/>
                <w:szCs w:val="18"/>
                <w:color w:val="auto"/>
              </w:rPr>
              <w:t>—</w:t>
            </w:r>
          </w:p>
        </w:tc>
        <w:tc>
          <w:tcPr>
            <w:tcW w:w="2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7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8,626</w:t>
            </w:r>
          </w:p>
        </w:tc>
        <w:tc>
          <w:tcPr>
            <w:tcW w:w="100" w:type="dxa"/>
            <w:vAlign w:val="bottom"/>
            <w:shd w:val="clear" w:color="auto" w:fill="CFF0FC"/>
          </w:tcPr>
          <w:p>
            <w:pPr>
              <w:spacing w:after="0"/>
              <w:rPr>
                <w:sz w:val="19"/>
                <w:szCs w:val="19"/>
                <w:color w:val="auto"/>
              </w:rPr>
            </w:pPr>
          </w:p>
        </w:tc>
      </w:tr>
      <w:tr>
        <w:trPr>
          <w:trHeight w:val="215"/>
        </w:trPr>
        <w:tc>
          <w:tcPr>
            <w:tcW w:w="4000" w:type="dxa"/>
            <w:vAlign w:val="bottom"/>
          </w:tcPr>
          <w:p>
            <w:pPr>
              <w:ind w:left="260"/>
              <w:spacing w:after="0"/>
              <w:rPr>
                <w:sz w:val="20"/>
                <w:szCs w:val="20"/>
                <w:color w:val="auto"/>
              </w:rPr>
            </w:pPr>
            <w:r>
              <w:rPr>
                <w:rFonts w:ascii="Arial" w:cs="Arial" w:eastAsia="Arial" w:hAnsi="Arial"/>
                <w:sz w:val="18"/>
                <w:szCs w:val="18"/>
                <w:color w:val="auto"/>
              </w:rPr>
              <w:t>Distributions to noncontrolling interests,</w:t>
            </w:r>
          </w:p>
        </w:tc>
        <w:tc>
          <w:tcPr>
            <w:tcW w:w="10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30"/>
        </w:trPr>
        <w:tc>
          <w:tcPr>
            <w:tcW w:w="4000" w:type="dxa"/>
            <w:vAlign w:val="bottom"/>
          </w:tcPr>
          <w:p>
            <w:pPr>
              <w:ind w:left="380"/>
              <w:spacing w:after="0"/>
              <w:rPr>
                <w:sz w:val="20"/>
                <w:szCs w:val="20"/>
                <w:color w:val="auto"/>
              </w:rPr>
            </w:pPr>
            <w:r>
              <w:rPr>
                <w:rFonts w:ascii="Arial" w:cs="Arial" w:eastAsia="Arial" w:hAnsi="Arial"/>
                <w:sz w:val="18"/>
                <w:szCs w:val="18"/>
                <w:color w:val="auto"/>
              </w:rPr>
              <w:t>net</w:t>
            </w:r>
          </w:p>
        </w:tc>
        <w:tc>
          <w:tcPr>
            <w:tcW w:w="1240" w:type="dxa"/>
            <w:vAlign w:val="bottom"/>
            <w:gridSpan w:val="2"/>
          </w:tcPr>
          <w:p>
            <w:pPr>
              <w:jc w:val="right"/>
              <w:ind w:right="24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20"/>
                <w:szCs w:val="20"/>
                <w:color w:val="auto"/>
              </w:rPr>
            </w:pPr>
          </w:p>
        </w:tc>
        <w:tc>
          <w:tcPr>
            <w:tcW w:w="680" w:type="dxa"/>
            <w:vAlign w:val="bottom"/>
          </w:tcPr>
          <w:p>
            <w:pPr>
              <w:jc w:val="right"/>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80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80" w:type="dxa"/>
            <w:vAlign w:val="bottom"/>
          </w:tcPr>
          <w:p>
            <w:pPr>
              <w:jc w:val="right"/>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90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020" w:type="dxa"/>
            <w:vAlign w:val="bottom"/>
            <w:gridSpan w:val="2"/>
          </w:tcPr>
          <w:p>
            <w:pPr>
              <w:jc w:val="right"/>
              <w:ind w:right="160"/>
              <w:spacing w:after="0"/>
              <w:rPr>
                <w:sz w:val="20"/>
                <w:szCs w:val="20"/>
                <w:color w:val="auto"/>
              </w:rPr>
            </w:pPr>
            <w:r>
              <w:rPr>
                <w:rFonts w:ascii="Arial" w:cs="Arial" w:eastAsia="Arial" w:hAnsi="Arial"/>
                <w:sz w:val="18"/>
                <w:szCs w:val="18"/>
                <w:color w:val="auto"/>
              </w:rPr>
              <w:t>(17,248)</w:t>
            </w:r>
          </w:p>
        </w:tc>
        <w:tc>
          <w:tcPr>
            <w:tcW w:w="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860" w:type="dxa"/>
            <w:vAlign w:val="bottom"/>
            <w:gridSpan w:val="2"/>
          </w:tcPr>
          <w:p>
            <w:pPr>
              <w:jc w:val="right"/>
              <w:ind w:right="40"/>
              <w:spacing w:after="0"/>
              <w:rPr>
                <w:sz w:val="20"/>
                <w:szCs w:val="20"/>
                <w:color w:val="auto"/>
              </w:rPr>
            </w:pPr>
            <w:r>
              <w:rPr>
                <w:rFonts w:ascii="Arial" w:cs="Arial" w:eastAsia="Arial" w:hAnsi="Arial"/>
                <w:sz w:val="18"/>
                <w:szCs w:val="18"/>
                <w:color w:val="auto"/>
              </w:rPr>
              <w:t>(17,248)</w:t>
            </w:r>
          </w:p>
        </w:tc>
      </w:tr>
      <w:tr>
        <w:trPr>
          <w:trHeight w:val="215"/>
        </w:trPr>
        <w:tc>
          <w:tcPr>
            <w:tcW w:w="4000" w:type="dxa"/>
            <w:vAlign w:val="bottom"/>
            <w:shd w:val="clear" w:color="auto" w:fill="CFF0FC"/>
          </w:tcPr>
          <w:p>
            <w:pPr>
              <w:ind w:left="260"/>
              <w:spacing w:after="0"/>
              <w:rPr>
                <w:sz w:val="20"/>
                <w:szCs w:val="20"/>
                <w:color w:val="auto"/>
              </w:rPr>
            </w:pPr>
            <w:r>
              <w:rPr>
                <w:rFonts w:ascii="Arial" w:cs="Arial" w:eastAsia="Arial" w:hAnsi="Arial"/>
                <w:sz w:val="18"/>
                <w:szCs w:val="18"/>
                <w:color w:val="auto"/>
              </w:rPr>
              <w:t>Net effect of consolidations, de-</w:t>
            </w:r>
          </w:p>
        </w:tc>
        <w:tc>
          <w:tcPr>
            <w:tcW w:w="1020" w:type="dxa"/>
            <w:vAlign w:val="bottom"/>
            <w:shd w:val="clear" w:color="auto" w:fill="CFF0FC"/>
          </w:tcPr>
          <w:p>
            <w:pPr>
              <w:spacing w:after="0"/>
              <w:rPr>
                <w:sz w:val="18"/>
                <w:szCs w:val="18"/>
                <w:color w:val="auto"/>
              </w:rPr>
            </w:pPr>
          </w:p>
        </w:tc>
        <w:tc>
          <w:tcPr>
            <w:tcW w:w="220" w:type="dxa"/>
            <w:vAlign w:val="bottom"/>
            <w:shd w:val="clear" w:color="auto" w:fill="CFF0FC"/>
          </w:tcPr>
          <w:p>
            <w:pPr>
              <w:spacing w:after="0"/>
              <w:rPr>
                <w:sz w:val="18"/>
                <w:szCs w:val="18"/>
                <w:color w:val="auto"/>
              </w:rPr>
            </w:pPr>
          </w:p>
        </w:tc>
        <w:tc>
          <w:tcPr>
            <w:tcW w:w="80" w:type="dxa"/>
            <w:vAlign w:val="bottom"/>
            <w:shd w:val="clear" w:color="auto" w:fill="CFF0FC"/>
          </w:tcPr>
          <w:p>
            <w:pPr>
              <w:spacing w:after="0"/>
              <w:rPr>
                <w:sz w:val="18"/>
                <w:szCs w:val="18"/>
                <w:color w:val="auto"/>
              </w:rPr>
            </w:pPr>
          </w:p>
        </w:tc>
        <w:tc>
          <w:tcPr>
            <w:tcW w:w="680" w:type="dxa"/>
            <w:vAlign w:val="bottom"/>
            <w:shd w:val="clear" w:color="auto" w:fill="CFF0FC"/>
          </w:tcPr>
          <w:p>
            <w:pPr>
              <w:spacing w:after="0"/>
              <w:rPr>
                <w:sz w:val="18"/>
                <w:szCs w:val="18"/>
                <w:color w:val="auto"/>
              </w:rPr>
            </w:pPr>
          </w:p>
        </w:tc>
        <w:tc>
          <w:tcPr>
            <w:tcW w:w="220" w:type="dxa"/>
            <w:vAlign w:val="bottom"/>
            <w:shd w:val="clear" w:color="auto" w:fill="CFF0FC"/>
          </w:tcPr>
          <w:p>
            <w:pPr>
              <w:spacing w:after="0"/>
              <w:rPr>
                <w:sz w:val="18"/>
                <w:szCs w:val="18"/>
                <w:color w:val="auto"/>
              </w:rPr>
            </w:pPr>
          </w:p>
        </w:tc>
        <w:tc>
          <w:tcPr>
            <w:tcW w:w="120" w:type="dxa"/>
            <w:vAlign w:val="bottom"/>
            <w:shd w:val="clear" w:color="auto" w:fill="CFF0FC"/>
          </w:tcPr>
          <w:p>
            <w:pPr>
              <w:spacing w:after="0"/>
              <w:rPr>
                <w:sz w:val="18"/>
                <w:szCs w:val="18"/>
                <w:color w:val="auto"/>
              </w:rPr>
            </w:pPr>
          </w:p>
        </w:tc>
        <w:tc>
          <w:tcPr>
            <w:tcW w:w="660" w:type="dxa"/>
            <w:vAlign w:val="bottom"/>
            <w:shd w:val="clear" w:color="auto" w:fill="CFF0FC"/>
          </w:tcPr>
          <w:p>
            <w:pPr>
              <w:spacing w:after="0"/>
              <w:rPr>
                <w:sz w:val="18"/>
                <w:szCs w:val="18"/>
                <w:color w:val="auto"/>
              </w:rPr>
            </w:pPr>
          </w:p>
        </w:tc>
        <w:tc>
          <w:tcPr>
            <w:tcW w:w="140" w:type="dxa"/>
            <w:vAlign w:val="bottom"/>
            <w:shd w:val="clear" w:color="auto" w:fill="CFF0FC"/>
          </w:tcPr>
          <w:p>
            <w:pPr>
              <w:spacing w:after="0"/>
              <w:rPr>
                <w:sz w:val="18"/>
                <w:szCs w:val="18"/>
                <w:color w:val="auto"/>
              </w:rPr>
            </w:pPr>
          </w:p>
        </w:tc>
        <w:tc>
          <w:tcPr>
            <w:tcW w:w="8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c>
          <w:tcPr>
            <w:tcW w:w="680" w:type="dxa"/>
            <w:vAlign w:val="bottom"/>
            <w:shd w:val="clear" w:color="auto" w:fill="CFF0FC"/>
          </w:tcPr>
          <w:p>
            <w:pPr>
              <w:spacing w:after="0"/>
              <w:rPr>
                <w:sz w:val="18"/>
                <w:szCs w:val="18"/>
                <w:color w:val="auto"/>
              </w:rPr>
            </w:pPr>
          </w:p>
        </w:tc>
        <w:tc>
          <w:tcPr>
            <w:tcW w:w="22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c>
          <w:tcPr>
            <w:tcW w:w="760" w:type="dxa"/>
            <w:vAlign w:val="bottom"/>
            <w:shd w:val="clear" w:color="auto" w:fill="CFF0FC"/>
          </w:tcPr>
          <w:p>
            <w:pPr>
              <w:spacing w:after="0"/>
              <w:rPr>
                <w:sz w:val="18"/>
                <w:szCs w:val="18"/>
                <w:color w:val="auto"/>
              </w:rPr>
            </w:pPr>
          </w:p>
        </w:tc>
        <w:tc>
          <w:tcPr>
            <w:tcW w:w="140" w:type="dxa"/>
            <w:vAlign w:val="bottom"/>
            <w:shd w:val="clear" w:color="auto" w:fill="CFF0FC"/>
          </w:tcPr>
          <w:p>
            <w:pPr>
              <w:spacing w:after="0"/>
              <w:rPr>
                <w:sz w:val="18"/>
                <w:szCs w:val="18"/>
                <w:color w:val="auto"/>
              </w:rPr>
            </w:pPr>
          </w:p>
        </w:tc>
        <w:tc>
          <w:tcPr>
            <w:tcW w:w="80" w:type="dxa"/>
            <w:vAlign w:val="bottom"/>
            <w:shd w:val="clear" w:color="auto" w:fill="CFF0FC"/>
          </w:tcPr>
          <w:p>
            <w:pPr>
              <w:spacing w:after="0"/>
              <w:rPr>
                <w:sz w:val="18"/>
                <w:szCs w:val="18"/>
                <w:color w:val="auto"/>
              </w:rPr>
            </w:pPr>
          </w:p>
        </w:tc>
        <w:tc>
          <w:tcPr>
            <w:tcW w:w="140" w:type="dxa"/>
            <w:vAlign w:val="bottom"/>
            <w:shd w:val="clear" w:color="auto" w:fill="CFF0FC"/>
          </w:tcPr>
          <w:p>
            <w:pPr>
              <w:spacing w:after="0"/>
              <w:rPr>
                <w:sz w:val="18"/>
                <w:szCs w:val="18"/>
                <w:color w:val="auto"/>
              </w:rPr>
            </w:pPr>
          </w:p>
        </w:tc>
        <w:tc>
          <w:tcPr>
            <w:tcW w:w="800" w:type="dxa"/>
            <w:vAlign w:val="bottom"/>
            <w:shd w:val="clear" w:color="auto" w:fill="CFF0FC"/>
          </w:tcPr>
          <w:p>
            <w:pPr>
              <w:spacing w:after="0"/>
              <w:rPr>
                <w:sz w:val="18"/>
                <w:szCs w:val="18"/>
                <w:color w:val="auto"/>
              </w:rPr>
            </w:pPr>
          </w:p>
        </w:tc>
        <w:tc>
          <w:tcPr>
            <w:tcW w:w="220" w:type="dxa"/>
            <w:vAlign w:val="bottom"/>
            <w:shd w:val="clear" w:color="auto" w:fill="CFF0FC"/>
          </w:tcPr>
          <w:p>
            <w:pPr>
              <w:spacing w:after="0"/>
              <w:rPr>
                <w:sz w:val="18"/>
                <w:szCs w:val="18"/>
                <w:color w:val="auto"/>
              </w:rPr>
            </w:pPr>
          </w:p>
        </w:tc>
        <w:tc>
          <w:tcPr>
            <w:tcW w:w="20" w:type="dxa"/>
            <w:vAlign w:val="bottom"/>
            <w:shd w:val="clear" w:color="auto" w:fill="CFF0FC"/>
          </w:tcPr>
          <w:p>
            <w:pPr>
              <w:spacing w:after="0"/>
              <w:rPr>
                <w:sz w:val="18"/>
                <w:szCs w:val="18"/>
                <w:color w:val="auto"/>
              </w:rPr>
            </w:pPr>
          </w:p>
        </w:tc>
        <w:tc>
          <w:tcPr>
            <w:tcW w:w="80" w:type="dxa"/>
            <w:vAlign w:val="bottom"/>
            <w:shd w:val="clear" w:color="auto" w:fill="CFF0FC"/>
          </w:tcPr>
          <w:p>
            <w:pPr>
              <w:spacing w:after="0"/>
              <w:rPr>
                <w:sz w:val="18"/>
                <w:szCs w:val="18"/>
                <w:color w:val="auto"/>
              </w:rPr>
            </w:pPr>
          </w:p>
        </w:tc>
        <w:tc>
          <w:tcPr>
            <w:tcW w:w="76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r>
      <w:tr>
        <w:trPr>
          <w:trHeight w:val="230"/>
        </w:trPr>
        <w:tc>
          <w:tcPr>
            <w:tcW w:w="4000" w:type="dxa"/>
            <w:vAlign w:val="bottom"/>
            <w:shd w:val="clear" w:color="auto" w:fill="CFF0FC"/>
          </w:tcPr>
          <w:p>
            <w:pPr>
              <w:ind w:left="380"/>
              <w:spacing w:after="0"/>
              <w:rPr>
                <w:sz w:val="20"/>
                <w:szCs w:val="20"/>
                <w:color w:val="auto"/>
              </w:rPr>
            </w:pPr>
            <w:r>
              <w:rPr>
                <w:rFonts w:ascii="Arial" w:cs="Arial" w:eastAsia="Arial" w:hAnsi="Arial"/>
                <w:sz w:val="18"/>
                <w:szCs w:val="18"/>
                <w:color w:val="auto"/>
              </w:rPr>
              <w:t>consolidations and other transactions</w:t>
            </w:r>
          </w:p>
        </w:tc>
        <w:tc>
          <w:tcPr>
            <w:tcW w:w="1240" w:type="dxa"/>
            <w:vAlign w:val="bottom"/>
            <w:gridSpan w:val="2"/>
            <w:shd w:val="clear" w:color="auto" w:fill="CFF0FC"/>
          </w:tcPr>
          <w:p>
            <w:pPr>
              <w:jc w:val="right"/>
              <w:ind w:right="240"/>
              <w:spacing w:after="0"/>
              <w:rPr>
                <w:sz w:val="20"/>
                <w:szCs w:val="20"/>
                <w:color w:val="auto"/>
              </w:rPr>
            </w:pPr>
            <w:r>
              <w:rPr>
                <w:rFonts w:ascii="Arial" w:cs="Arial" w:eastAsia="Arial" w:hAnsi="Arial"/>
                <w:sz w:val="18"/>
                <w:szCs w:val="18"/>
                <w:color w:val="auto"/>
              </w:rPr>
              <w:t>—</w:t>
            </w:r>
          </w:p>
        </w:tc>
        <w:tc>
          <w:tcPr>
            <w:tcW w:w="80" w:type="dxa"/>
            <w:vAlign w:val="bottom"/>
            <w:shd w:val="clear" w:color="auto" w:fill="CFF0FC"/>
          </w:tcPr>
          <w:p>
            <w:pPr>
              <w:spacing w:after="0"/>
              <w:rPr>
                <w:sz w:val="20"/>
                <w:szCs w:val="20"/>
                <w:color w:val="auto"/>
              </w:rPr>
            </w:pPr>
          </w:p>
        </w:tc>
        <w:tc>
          <w:tcPr>
            <w:tcW w:w="6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220" w:type="dxa"/>
            <w:vAlign w:val="bottom"/>
            <w:shd w:val="clear" w:color="auto" w:fill="CFF0FC"/>
          </w:tcPr>
          <w:p>
            <w:pPr>
              <w:spacing w:after="0"/>
              <w:rPr>
                <w:sz w:val="20"/>
                <w:szCs w:val="20"/>
                <w:color w:val="auto"/>
              </w:rPr>
            </w:pPr>
          </w:p>
        </w:tc>
        <w:tc>
          <w:tcPr>
            <w:tcW w:w="120" w:type="dxa"/>
            <w:vAlign w:val="bottom"/>
            <w:shd w:val="clear" w:color="auto" w:fill="CFF0FC"/>
          </w:tcPr>
          <w:p>
            <w:pPr>
              <w:spacing w:after="0"/>
              <w:rPr>
                <w:sz w:val="20"/>
                <w:szCs w:val="20"/>
                <w:color w:val="auto"/>
              </w:rPr>
            </w:pPr>
          </w:p>
        </w:tc>
        <w:tc>
          <w:tcPr>
            <w:tcW w:w="800" w:type="dxa"/>
            <w:vAlign w:val="bottom"/>
            <w:gridSpan w:val="2"/>
            <w:shd w:val="clear" w:color="auto" w:fill="CFF0FC"/>
          </w:tcPr>
          <w:p>
            <w:pPr>
              <w:jc w:val="right"/>
              <w:ind w:right="140"/>
              <w:spacing w:after="0"/>
              <w:rPr>
                <w:sz w:val="20"/>
                <w:szCs w:val="20"/>
                <w:color w:val="auto"/>
              </w:rPr>
            </w:pPr>
            <w:r>
              <w:rPr>
                <w:rFonts w:ascii="Arial" w:cs="Arial" w:eastAsia="Arial" w:hAnsi="Arial"/>
                <w:sz w:val="18"/>
                <w:szCs w:val="18"/>
                <w:color w:val="auto"/>
              </w:rPr>
              <w:t>—</w:t>
            </w:r>
          </w:p>
        </w:tc>
        <w:tc>
          <w:tcPr>
            <w:tcW w:w="80" w:type="dxa"/>
            <w:vAlign w:val="bottom"/>
            <w:shd w:val="clear" w:color="auto" w:fill="CFF0FC"/>
          </w:tcPr>
          <w:p>
            <w:pPr>
              <w:spacing w:after="0"/>
              <w:rPr>
                <w:sz w:val="20"/>
                <w:szCs w:val="20"/>
                <w:color w:val="auto"/>
              </w:rPr>
            </w:pPr>
          </w:p>
        </w:tc>
        <w:tc>
          <w:tcPr>
            <w:tcW w:w="100" w:type="dxa"/>
            <w:vAlign w:val="bottom"/>
            <w:shd w:val="clear" w:color="auto" w:fill="CFF0FC"/>
          </w:tcPr>
          <w:p>
            <w:pPr>
              <w:spacing w:after="0"/>
              <w:rPr>
                <w:sz w:val="20"/>
                <w:szCs w:val="20"/>
                <w:color w:val="auto"/>
              </w:rPr>
            </w:pPr>
          </w:p>
        </w:tc>
        <w:tc>
          <w:tcPr>
            <w:tcW w:w="6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220" w:type="dxa"/>
            <w:vAlign w:val="bottom"/>
            <w:shd w:val="clear" w:color="auto" w:fill="CFF0FC"/>
          </w:tcPr>
          <w:p>
            <w:pPr>
              <w:spacing w:after="0"/>
              <w:rPr>
                <w:sz w:val="20"/>
                <w:szCs w:val="20"/>
                <w:color w:val="auto"/>
              </w:rPr>
            </w:pPr>
          </w:p>
        </w:tc>
        <w:tc>
          <w:tcPr>
            <w:tcW w:w="100" w:type="dxa"/>
            <w:vAlign w:val="bottom"/>
            <w:shd w:val="clear" w:color="auto" w:fill="CFF0FC"/>
          </w:tcPr>
          <w:p>
            <w:pPr>
              <w:spacing w:after="0"/>
              <w:rPr>
                <w:sz w:val="20"/>
                <w:szCs w:val="20"/>
                <w:color w:val="auto"/>
              </w:rPr>
            </w:pPr>
          </w:p>
        </w:tc>
        <w:tc>
          <w:tcPr>
            <w:tcW w:w="900" w:type="dxa"/>
            <w:vAlign w:val="bottom"/>
            <w:gridSpan w:val="2"/>
            <w:shd w:val="clear" w:color="auto" w:fill="CFF0FC"/>
          </w:tcPr>
          <w:p>
            <w:pPr>
              <w:jc w:val="right"/>
              <w:ind w:right="140"/>
              <w:spacing w:after="0"/>
              <w:rPr>
                <w:sz w:val="20"/>
                <w:szCs w:val="20"/>
                <w:color w:val="auto"/>
              </w:rPr>
            </w:pPr>
            <w:r>
              <w:rPr>
                <w:rFonts w:ascii="Arial" w:cs="Arial" w:eastAsia="Arial" w:hAnsi="Arial"/>
                <w:sz w:val="18"/>
                <w:szCs w:val="18"/>
                <w:color w:val="auto"/>
              </w:rPr>
              <w:t>—</w:t>
            </w:r>
          </w:p>
        </w:tc>
        <w:tc>
          <w:tcPr>
            <w:tcW w:w="80" w:type="dxa"/>
            <w:vAlign w:val="bottom"/>
            <w:shd w:val="clear" w:color="auto" w:fill="CFF0FC"/>
          </w:tcPr>
          <w:p>
            <w:pPr>
              <w:spacing w:after="0"/>
              <w:rPr>
                <w:sz w:val="20"/>
                <w:szCs w:val="20"/>
                <w:color w:val="auto"/>
              </w:rPr>
            </w:pPr>
          </w:p>
        </w:tc>
        <w:tc>
          <w:tcPr>
            <w:tcW w:w="140" w:type="dxa"/>
            <w:vAlign w:val="bottom"/>
            <w:shd w:val="clear" w:color="auto" w:fill="CFF0FC"/>
          </w:tcPr>
          <w:p>
            <w:pPr>
              <w:spacing w:after="0"/>
              <w:rPr>
                <w:sz w:val="20"/>
                <w:szCs w:val="20"/>
                <w:color w:val="auto"/>
              </w:rPr>
            </w:pPr>
          </w:p>
        </w:tc>
        <w:tc>
          <w:tcPr>
            <w:tcW w:w="8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7,123</w:t>
            </w:r>
          </w:p>
        </w:tc>
        <w:tc>
          <w:tcPr>
            <w:tcW w:w="220" w:type="dxa"/>
            <w:vAlign w:val="bottom"/>
            <w:shd w:val="clear" w:color="auto" w:fill="CFF0FC"/>
          </w:tcPr>
          <w:p>
            <w:pPr>
              <w:spacing w:after="0"/>
              <w:rPr>
                <w:sz w:val="20"/>
                <w:szCs w:val="20"/>
                <w:color w:val="auto"/>
              </w:rPr>
            </w:pPr>
          </w:p>
        </w:tc>
        <w:tc>
          <w:tcPr>
            <w:tcW w:w="20" w:type="dxa"/>
            <w:vAlign w:val="bottom"/>
            <w:shd w:val="clear" w:color="auto" w:fill="CFF0FC"/>
          </w:tcPr>
          <w:p>
            <w:pPr>
              <w:spacing w:after="0"/>
              <w:rPr>
                <w:sz w:val="20"/>
                <w:szCs w:val="20"/>
                <w:color w:val="auto"/>
              </w:rPr>
            </w:pPr>
          </w:p>
        </w:tc>
        <w:tc>
          <w:tcPr>
            <w:tcW w:w="80" w:type="dxa"/>
            <w:vAlign w:val="bottom"/>
            <w:shd w:val="clear" w:color="auto" w:fill="CFF0FC"/>
          </w:tcPr>
          <w:p>
            <w:pPr>
              <w:spacing w:after="0"/>
              <w:rPr>
                <w:sz w:val="20"/>
                <w:szCs w:val="20"/>
                <w:color w:val="auto"/>
              </w:rPr>
            </w:pPr>
          </w:p>
        </w:tc>
        <w:tc>
          <w:tcPr>
            <w:tcW w:w="7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7,123</w:t>
            </w:r>
          </w:p>
        </w:tc>
        <w:tc>
          <w:tcPr>
            <w:tcW w:w="100" w:type="dxa"/>
            <w:vAlign w:val="bottom"/>
            <w:shd w:val="clear" w:color="auto" w:fill="CFF0FC"/>
          </w:tcPr>
          <w:p>
            <w:pPr>
              <w:spacing w:after="0"/>
              <w:rPr>
                <w:sz w:val="20"/>
                <w:szCs w:val="20"/>
                <w:color w:val="auto"/>
              </w:rPr>
            </w:pPr>
          </w:p>
        </w:tc>
      </w:tr>
      <w:tr>
        <w:trPr>
          <w:trHeight w:val="223"/>
        </w:trPr>
        <w:tc>
          <w:tcPr>
            <w:tcW w:w="4000" w:type="dxa"/>
            <w:vAlign w:val="bottom"/>
          </w:tcPr>
          <w:p>
            <w:pPr>
              <w:spacing w:after="0"/>
              <w:rPr>
                <w:sz w:val="20"/>
                <w:szCs w:val="20"/>
                <w:color w:val="auto"/>
              </w:rPr>
            </w:pPr>
            <w:r>
              <w:rPr>
                <w:rFonts w:ascii="Arial" w:cs="Arial" w:eastAsia="Arial" w:hAnsi="Arial"/>
                <w:sz w:val="18"/>
                <w:szCs w:val="18"/>
                <w:color w:val="auto"/>
              </w:rPr>
              <w:t>Balance at December 31, 2014</w:t>
            </w:r>
          </w:p>
        </w:tc>
        <w:tc>
          <w:tcPr>
            <w:tcW w:w="10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7"/>
              </w:rPr>
              <w:t>161,355,490</w:t>
            </w:r>
          </w:p>
        </w:tc>
        <w:tc>
          <w:tcPr>
            <w:tcW w:w="220" w:type="dxa"/>
            <w:vAlign w:val="bottom"/>
          </w:tcPr>
          <w:p>
            <w:pPr>
              <w:spacing w:after="0"/>
              <w:rPr>
                <w:sz w:val="19"/>
                <w:szCs w:val="19"/>
                <w:color w:val="auto"/>
              </w:rPr>
            </w:pPr>
          </w:p>
        </w:tc>
        <w:tc>
          <w:tcPr>
            <w:tcW w:w="80" w:type="dxa"/>
            <w:vAlign w:val="bottom"/>
            <w:tcBorders>
              <w:top w:val="single" w:sz="8" w:color="auto"/>
            </w:tcBorders>
          </w:tcPr>
          <w:p>
            <w:pPr>
              <w:spacing w:after="0"/>
              <w:rPr>
                <w:sz w:val="19"/>
                <w:szCs w:val="19"/>
                <w:color w:val="auto"/>
              </w:rPr>
            </w:pPr>
          </w:p>
        </w:tc>
        <w:tc>
          <w:tcPr>
            <w:tcW w:w="6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1,614</w:t>
            </w:r>
          </w:p>
        </w:tc>
        <w:tc>
          <w:tcPr>
            <w:tcW w:w="220" w:type="dxa"/>
            <w:vAlign w:val="bottom"/>
          </w:tcPr>
          <w:p>
            <w:pPr>
              <w:spacing w:after="0"/>
              <w:rPr>
                <w:sz w:val="19"/>
                <w:szCs w:val="19"/>
                <w:color w:val="auto"/>
              </w:rPr>
            </w:pPr>
          </w:p>
        </w:tc>
        <w:tc>
          <w:tcPr>
            <w:tcW w:w="120" w:type="dxa"/>
            <w:vAlign w:val="bottom"/>
            <w:tcBorders>
              <w:top w:val="single" w:sz="8" w:color="auto"/>
            </w:tcBorders>
          </w:tcPr>
          <w:p>
            <w:pPr>
              <w:spacing w:after="0"/>
              <w:rPr>
                <w:sz w:val="19"/>
                <w:szCs w:val="19"/>
                <w:color w:val="auto"/>
              </w:rPr>
            </w:pPr>
          </w:p>
        </w:tc>
        <w:tc>
          <w:tcPr>
            <w:tcW w:w="6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8"/>
              </w:rPr>
              <w:t>906,159</w:t>
            </w:r>
          </w:p>
        </w:tc>
        <w:tc>
          <w:tcPr>
            <w:tcW w:w="1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6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8"/>
              </w:rPr>
              <w:t>546,407</w:t>
            </w:r>
          </w:p>
        </w:tc>
        <w:tc>
          <w:tcPr>
            <w:tcW w:w="220" w:type="dxa"/>
            <w:vAlign w:val="bottom"/>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7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2"/>
              </w:rPr>
              <w:t>1,454,180</w:t>
            </w:r>
          </w:p>
        </w:tc>
        <w:tc>
          <w:tcPr>
            <w:tcW w:w="1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40" w:type="dxa"/>
            <w:vAlign w:val="bottom"/>
            <w:tcBorders>
              <w:top w:val="single" w:sz="8" w:color="auto"/>
            </w:tcBorders>
          </w:tcPr>
          <w:p>
            <w:pPr>
              <w:spacing w:after="0"/>
              <w:rPr>
                <w:sz w:val="19"/>
                <w:szCs w:val="19"/>
                <w:color w:val="auto"/>
              </w:rPr>
            </w:pPr>
          </w:p>
        </w:tc>
        <w:tc>
          <w:tcPr>
            <w:tcW w:w="8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18,296</w:t>
            </w:r>
          </w:p>
        </w:tc>
        <w:tc>
          <w:tcPr>
            <w:tcW w:w="2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80" w:type="dxa"/>
            <w:vAlign w:val="bottom"/>
            <w:tcBorders>
              <w:top w:val="single" w:sz="8" w:color="auto"/>
            </w:tcBorders>
          </w:tcPr>
          <w:p>
            <w:pPr>
              <w:spacing w:after="0"/>
              <w:rPr>
                <w:sz w:val="19"/>
                <w:szCs w:val="19"/>
                <w:color w:val="auto"/>
              </w:rPr>
            </w:pPr>
          </w:p>
        </w:tc>
        <w:tc>
          <w:tcPr>
            <w:tcW w:w="7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89"/>
              </w:rPr>
              <w:t>1,472,476</w:t>
            </w:r>
          </w:p>
        </w:tc>
        <w:tc>
          <w:tcPr>
            <w:tcW w:w="100" w:type="dxa"/>
            <w:vAlign w:val="bottom"/>
          </w:tcPr>
          <w:p>
            <w:pPr>
              <w:spacing w:after="0"/>
              <w:rPr>
                <w:sz w:val="19"/>
                <w:szCs w:val="19"/>
                <w:color w:val="auto"/>
              </w:rPr>
            </w:pPr>
          </w:p>
        </w:tc>
      </w:tr>
      <w:tr>
        <w:trPr>
          <w:trHeight w:val="230"/>
        </w:trPr>
        <w:tc>
          <w:tcPr>
            <w:tcW w:w="4000" w:type="dxa"/>
            <w:vAlign w:val="bottom"/>
            <w:shd w:val="clear" w:color="auto" w:fill="CFF0FC"/>
          </w:tcPr>
          <w:p>
            <w:pPr>
              <w:ind w:left="260"/>
              <w:spacing w:after="0"/>
              <w:rPr>
                <w:sz w:val="20"/>
                <w:szCs w:val="20"/>
                <w:color w:val="auto"/>
              </w:rPr>
            </w:pPr>
            <w:r>
              <w:rPr>
                <w:rFonts w:ascii="Arial" w:cs="Arial" w:eastAsia="Arial" w:hAnsi="Arial"/>
                <w:sz w:val="18"/>
                <w:szCs w:val="18"/>
                <w:color w:val="auto"/>
              </w:rPr>
              <w:t>Net income</w:t>
            </w:r>
          </w:p>
        </w:tc>
        <w:tc>
          <w:tcPr>
            <w:tcW w:w="1240" w:type="dxa"/>
            <w:vAlign w:val="bottom"/>
            <w:gridSpan w:val="2"/>
            <w:shd w:val="clear" w:color="auto" w:fill="CFF0FC"/>
          </w:tcPr>
          <w:p>
            <w:pPr>
              <w:jc w:val="right"/>
              <w:ind w:right="240"/>
              <w:spacing w:after="0"/>
              <w:rPr>
                <w:sz w:val="20"/>
                <w:szCs w:val="20"/>
                <w:color w:val="auto"/>
              </w:rPr>
            </w:pPr>
            <w:r>
              <w:rPr>
                <w:rFonts w:ascii="Arial" w:cs="Arial" w:eastAsia="Arial" w:hAnsi="Arial"/>
                <w:sz w:val="18"/>
                <w:szCs w:val="18"/>
                <w:color w:val="auto"/>
              </w:rPr>
              <w:t>—</w:t>
            </w:r>
          </w:p>
        </w:tc>
        <w:tc>
          <w:tcPr>
            <w:tcW w:w="80" w:type="dxa"/>
            <w:vAlign w:val="bottom"/>
            <w:shd w:val="clear" w:color="auto" w:fill="CFF0FC"/>
          </w:tcPr>
          <w:p>
            <w:pPr>
              <w:spacing w:after="0"/>
              <w:rPr>
                <w:sz w:val="19"/>
                <w:szCs w:val="19"/>
                <w:color w:val="auto"/>
              </w:rPr>
            </w:pPr>
          </w:p>
        </w:tc>
        <w:tc>
          <w:tcPr>
            <w:tcW w:w="6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22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800" w:type="dxa"/>
            <w:vAlign w:val="bottom"/>
            <w:gridSpan w:val="2"/>
            <w:shd w:val="clear" w:color="auto" w:fill="CFF0FC"/>
          </w:tcPr>
          <w:p>
            <w:pPr>
              <w:jc w:val="right"/>
              <w:ind w:right="140"/>
              <w:spacing w:after="0"/>
              <w:rPr>
                <w:sz w:val="20"/>
                <w:szCs w:val="20"/>
                <w:color w:val="auto"/>
              </w:rPr>
            </w:pPr>
            <w:r>
              <w:rPr>
                <w:rFonts w:ascii="Arial" w:cs="Arial" w:eastAsia="Arial" w:hAnsi="Arial"/>
                <w:sz w:val="18"/>
                <w:szCs w:val="18"/>
                <w:color w:val="auto"/>
              </w:rPr>
              <w:t>—</w:t>
            </w:r>
          </w:p>
        </w:tc>
        <w:tc>
          <w:tcPr>
            <w:tcW w:w="8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6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15,297</w:t>
            </w:r>
          </w:p>
        </w:tc>
        <w:tc>
          <w:tcPr>
            <w:tcW w:w="22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7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15,297</w:t>
            </w:r>
          </w:p>
        </w:tc>
        <w:tc>
          <w:tcPr>
            <w:tcW w:w="14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1020" w:type="dxa"/>
            <w:vAlign w:val="bottom"/>
            <w:gridSpan w:val="2"/>
            <w:shd w:val="clear" w:color="auto" w:fill="CFF0FC"/>
          </w:tcPr>
          <w:p>
            <w:pPr>
              <w:jc w:val="right"/>
              <w:ind w:right="220"/>
              <w:spacing w:after="0"/>
              <w:rPr>
                <w:sz w:val="20"/>
                <w:szCs w:val="20"/>
                <w:color w:val="auto"/>
              </w:rPr>
            </w:pPr>
            <w:r>
              <w:rPr>
                <w:rFonts w:ascii="Arial" w:cs="Arial" w:eastAsia="Arial" w:hAnsi="Arial"/>
                <w:sz w:val="18"/>
                <w:szCs w:val="18"/>
                <w:color w:val="auto"/>
              </w:rPr>
              <w:t>—</w:t>
            </w:r>
          </w:p>
        </w:tc>
        <w:tc>
          <w:tcPr>
            <w:tcW w:w="2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7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15,297</w:t>
            </w:r>
          </w:p>
        </w:tc>
        <w:tc>
          <w:tcPr>
            <w:tcW w:w="100" w:type="dxa"/>
            <w:vAlign w:val="bottom"/>
            <w:shd w:val="clear" w:color="auto" w:fill="CFF0FC"/>
          </w:tcPr>
          <w:p>
            <w:pPr>
              <w:spacing w:after="0"/>
              <w:rPr>
                <w:sz w:val="19"/>
                <w:szCs w:val="19"/>
                <w:color w:val="auto"/>
              </w:rPr>
            </w:pPr>
          </w:p>
        </w:tc>
      </w:tr>
      <w:tr>
        <w:trPr>
          <w:trHeight w:val="230"/>
        </w:trPr>
        <w:tc>
          <w:tcPr>
            <w:tcW w:w="4000" w:type="dxa"/>
            <w:vAlign w:val="bottom"/>
          </w:tcPr>
          <w:p>
            <w:pPr>
              <w:ind w:left="260"/>
              <w:spacing w:after="0"/>
              <w:rPr>
                <w:sz w:val="20"/>
                <w:szCs w:val="20"/>
                <w:color w:val="auto"/>
              </w:rPr>
            </w:pPr>
            <w:r>
              <w:rPr>
                <w:rFonts w:ascii="Arial" w:cs="Arial" w:eastAsia="Arial" w:hAnsi="Arial"/>
                <w:sz w:val="18"/>
                <w:szCs w:val="18"/>
                <w:color w:val="auto"/>
              </w:rPr>
              <w:t>Shares issued under share-based awards</w:t>
            </w:r>
          </w:p>
        </w:tc>
        <w:tc>
          <w:tcPr>
            <w:tcW w:w="1020" w:type="dxa"/>
            <w:vAlign w:val="bottom"/>
          </w:tcPr>
          <w:p>
            <w:pPr>
              <w:jc w:val="right"/>
              <w:spacing w:after="0"/>
              <w:rPr>
                <w:sz w:val="20"/>
                <w:szCs w:val="20"/>
                <w:color w:val="auto"/>
              </w:rPr>
            </w:pPr>
            <w:r>
              <w:rPr>
                <w:rFonts w:ascii="Arial" w:cs="Arial" w:eastAsia="Arial" w:hAnsi="Arial"/>
                <w:sz w:val="18"/>
                <w:szCs w:val="18"/>
                <w:color w:val="auto"/>
              </w:rPr>
              <w:t>247,393</w:t>
            </w:r>
          </w:p>
        </w:tc>
        <w:tc>
          <w:tcPr>
            <w:tcW w:w="2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680" w:type="dxa"/>
            <w:vAlign w:val="bottom"/>
          </w:tcPr>
          <w:p>
            <w:pPr>
              <w:jc w:val="right"/>
              <w:spacing w:after="0"/>
              <w:rPr>
                <w:sz w:val="20"/>
                <w:szCs w:val="20"/>
                <w:color w:val="auto"/>
              </w:rPr>
            </w:pPr>
            <w:r>
              <w:rPr>
                <w:rFonts w:ascii="Arial" w:cs="Arial" w:eastAsia="Arial" w:hAnsi="Arial"/>
                <w:sz w:val="18"/>
                <w:szCs w:val="18"/>
                <w:color w:val="auto"/>
              </w:rPr>
              <w:t>2</w:t>
            </w:r>
          </w:p>
        </w:tc>
        <w:tc>
          <w:tcPr>
            <w:tcW w:w="2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261</w:t>
            </w:r>
          </w:p>
        </w:tc>
        <w:tc>
          <w:tcPr>
            <w:tcW w:w="1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80" w:type="dxa"/>
            <w:vAlign w:val="bottom"/>
          </w:tcPr>
          <w:p>
            <w:pPr>
              <w:jc w:val="right"/>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263</w:t>
            </w:r>
          </w:p>
        </w:tc>
        <w:tc>
          <w:tcPr>
            <w:tcW w:w="1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02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263</w:t>
            </w:r>
          </w:p>
        </w:tc>
        <w:tc>
          <w:tcPr>
            <w:tcW w:w="100" w:type="dxa"/>
            <w:vAlign w:val="bottom"/>
          </w:tcPr>
          <w:p>
            <w:pPr>
              <w:spacing w:after="0"/>
              <w:rPr>
                <w:sz w:val="19"/>
                <w:szCs w:val="19"/>
                <w:color w:val="auto"/>
              </w:rPr>
            </w:pPr>
          </w:p>
        </w:tc>
      </w:tr>
      <w:tr>
        <w:trPr>
          <w:trHeight w:val="215"/>
        </w:trPr>
        <w:tc>
          <w:tcPr>
            <w:tcW w:w="4000" w:type="dxa"/>
            <w:vAlign w:val="bottom"/>
            <w:shd w:val="clear" w:color="auto" w:fill="CFF0FC"/>
          </w:tcPr>
          <w:p>
            <w:pPr>
              <w:ind w:left="260"/>
              <w:spacing w:after="0"/>
              <w:rPr>
                <w:sz w:val="20"/>
                <w:szCs w:val="20"/>
                <w:color w:val="auto"/>
              </w:rPr>
            </w:pPr>
            <w:r>
              <w:rPr>
                <w:rFonts w:ascii="Arial" w:cs="Arial" w:eastAsia="Arial" w:hAnsi="Arial"/>
                <w:sz w:val="18"/>
                <w:szCs w:val="18"/>
                <w:color w:val="auto"/>
              </w:rPr>
              <w:t>Excess tax benefit of share-based awards,</w:t>
            </w:r>
          </w:p>
        </w:tc>
        <w:tc>
          <w:tcPr>
            <w:tcW w:w="1020" w:type="dxa"/>
            <w:vAlign w:val="bottom"/>
            <w:shd w:val="clear" w:color="auto" w:fill="CFF0FC"/>
          </w:tcPr>
          <w:p>
            <w:pPr>
              <w:spacing w:after="0"/>
              <w:rPr>
                <w:sz w:val="18"/>
                <w:szCs w:val="18"/>
                <w:color w:val="auto"/>
              </w:rPr>
            </w:pPr>
          </w:p>
        </w:tc>
        <w:tc>
          <w:tcPr>
            <w:tcW w:w="220" w:type="dxa"/>
            <w:vAlign w:val="bottom"/>
            <w:shd w:val="clear" w:color="auto" w:fill="CFF0FC"/>
          </w:tcPr>
          <w:p>
            <w:pPr>
              <w:spacing w:after="0"/>
              <w:rPr>
                <w:sz w:val="18"/>
                <w:szCs w:val="18"/>
                <w:color w:val="auto"/>
              </w:rPr>
            </w:pPr>
          </w:p>
        </w:tc>
        <w:tc>
          <w:tcPr>
            <w:tcW w:w="80" w:type="dxa"/>
            <w:vAlign w:val="bottom"/>
            <w:shd w:val="clear" w:color="auto" w:fill="CFF0FC"/>
          </w:tcPr>
          <w:p>
            <w:pPr>
              <w:spacing w:after="0"/>
              <w:rPr>
                <w:sz w:val="18"/>
                <w:szCs w:val="18"/>
                <w:color w:val="auto"/>
              </w:rPr>
            </w:pPr>
          </w:p>
        </w:tc>
        <w:tc>
          <w:tcPr>
            <w:tcW w:w="680" w:type="dxa"/>
            <w:vAlign w:val="bottom"/>
            <w:shd w:val="clear" w:color="auto" w:fill="CFF0FC"/>
          </w:tcPr>
          <w:p>
            <w:pPr>
              <w:spacing w:after="0"/>
              <w:rPr>
                <w:sz w:val="18"/>
                <w:szCs w:val="18"/>
                <w:color w:val="auto"/>
              </w:rPr>
            </w:pPr>
          </w:p>
        </w:tc>
        <w:tc>
          <w:tcPr>
            <w:tcW w:w="220" w:type="dxa"/>
            <w:vAlign w:val="bottom"/>
            <w:shd w:val="clear" w:color="auto" w:fill="CFF0FC"/>
          </w:tcPr>
          <w:p>
            <w:pPr>
              <w:spacing w:after="0"/>
              <w:rPr>
                <w:sz w:val="18"/>
                <w:szCs w:val="18"/>
                <w:color w:val="auto"/>
              </w:rPr>
            </w:pPr>
          </w:p>
        </w:tc>
        <w:tc>
          <w:tcPr>
            <w:tcW w:w="120" w:type="dxa"/>
            <w:vAlign w:val="bottom"/>
            <w:shd w:val="clear" w:color="auto" w:fill="CFF0FC"/>
          </w:tcPr>
          <w:p>
            <w:pPr>
              <w:spacing w:after="0"/>
              <w:rPr>
                <w:sz w:val="18"/>
                <w:szCs w:val="18"/>
                <w:color w:val="auto"/>
              </w:rPr>
            </w:pPr>
          </w:p>
        </w:tc>
        <w:tc>
          <w:tcPr>
            <w:tcW w:w="660" w:type="dxa"/>
            <w:vAlign w:val="bottom"/>
            <w:shd w:val="clear" w:color="auto" w:fill="CFF0FC"/>
          </w:tcPr>
          <w:p>
            <w:pPr>
              <w:spacing w:after="0"/>
              <w:rPr>
                <w:sz w:val="18"/>
                <w:szCs w:val="18"/>
                <w:color w:val="auto"/>
              </w:rPr>
            </w:pPr>
          </w:p>
        </w:tc>
        <w:tc>
          <w:tcPr>
            <w:tcW w:w="140" w:type="dxa"/>
            <w:vAlign w:val="bottom"/>
            <w:shd w:val="clear" w:color="auto" w:fill="CFF0FC"/>
          </w:tcPr>
          <w:p>
            <w:pPr>
              <w:spacing w:after="0"/>
              <w:rPr>
                <w:sz w:val="18"/>
                <w:szCs w:val="18"/>
                <w:color w:val="auto"/>
              </w:rPr>
            </w:pPr>
          </w:p>
        </w:tc>
        <w:tc>
          <w:tcPr>
            <w:tcW w:w="8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c>
          <w:tcPr>
            <w:tcW w:w="680" w:type="dxa"/>
            <w:vAlign w:val="bottom"/>
            <w:shd w:val="clear" w:color="auto" w:fill="CFF0FC"/>
          </w:tcPr>
          <w:p>
            <w:pPr>
              <w:spacing w:after="0"/>
              <w:rPr>
                <w:sz w:val="18"/>
                <w:szCs w:val="18"/>
                <w:color w:val="auto"/>
              </w:rPr>
            </w:pPr>
          </w:p>
        </w:tc>
        <w:tc>
          <w:tcPr>
            <w:tcW w:w="22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c>
          <w:tcPr>
            <w:tcW w:w="760" w:type="dxa"/>
            <w:vAlign w:val="bottom"/>
            <w:shd w:val="clear" w:color="auto" w:fill="CFF0FC"/>
          </w:tcPr>
          <w:p>
            <w:pPr>
              <w:spacing w:after="0"/>
              <w:rPr>
                <w:sz w:val="18"/>
                <w:szCs w:val="18"/>
                <w:color w:val="auto"/>
              </w:rPr>
            </w:pPr>
          </w:p>
        </w:tc>
        <w:tc>
          <w:tcPr>
            <w:tcW w:w="140" w:type="dxa"/>
            <w:vAlign w:val="bottom"/>
            <w:shd w:val="clear" w:color="auto" w:fill="CFF0FC"/>
          </w:tcPr>
          <w:p>
            <w:pPr>
              <w:spacing w:after="0"/>
              <w:rPr>
                <w:sz w:val="18"/>
                <w:szCs w:val="18"/>
                <w:color w:val="auto"/>
              </w:rPr>
            </w:pPr>
          </w:p>
        </w:tc>
        <w:tc>
          <w:tcPr>
            <w:tcW w:w="80" w:type="dxa"/>
            <w:vAlign w:val="bottom"/>
            <w:shd w:val="clear" w:color="auto" w:fill="CFF0FC"/>
          </w:tcPr>
          <w:p>
            <w:pPr>
              <w:spacing w:after="0"/>
              <w:rPr>
                <w:sz w:val="18"/>
                <w:szCs w:val="18"/>
                <w:color w:val="auto"/>
              </w:rPr>
            </w:pPr>
          </w:p>
        </w:tc>
        <w:tc>
          <w:tcPr>
            <w:tcW w:w="140" w:type="dxa"/>
            <w:vAlign w:val="bottom"/>
            <w:shd w:val="clear" w:color="auto" w:fill="CFF0FC"/>
          </w:tcPr>
          <w:p>
            <w:pPr>
              <w:spacing w:after="0"/>
              <w:rPr>
                <w:sz w:val="18"/>
                <w:szCs w:val="18"/>
                <w:color w:val="auto"/>
              </w:rPr>
            </w:pPr>
          </w:p>
        </w:tc>
        <w:tc>
          <w:tcPr>
            <w:tcW w:w="800" w:type="dxa"/>
            <w:vAlign w:val="bottom"/>
            <w:shd w:val="clear" w:color="auto" w:fill="CFF0FC"/>
          </w:tcPr>
          <w:p>
            <w:pPr>
              <w:spacing w:after="0"/>
              <w:rPr>
                <w:sz w:val="18"/>
                <w:szCs w:val="18"/>
                <w:color w:val="auto"/>
              </w:rPr>
            </w:pPr>
          </w:p>
        </w:tc>
        <w:tc>
          <w:tcPr>
            <w:tcW w:w="220" w:type="dxa"/>
            <w:vAlign w:val="bottom"/>
            <w:shd w:val="clear" w:color="auto" w:fill="CFF0FC"/>
          </w:tcPr>
          <w:p>
            <w:pPr>
              <w:spacing w:after="0"/>
              <w:rPr>
                <w:sz w:val="18"/>
                <w:szCs w:val="18"/>
                <w:color w:val="auto"/>
              </w:rPr>
            </w:pPr>
          </w:p>
        </w:tc>
        <w:tc>
          <w:tcPr>
            <w:tcW w:w="20" w:type="dxa"/>
            <w:vAlign w:val="bottom"/>
            <w:shd w:val="clear" w:color="auto" w:fill="CFF0FC"/>
          </w:tcPr>
          <w:p>
            <w:pPr>
              <w:spacing w:after="0"/>
              <w:rPr>
                <w:sz w:val="18"/>
                <w:szCs w:val="18"/>
                <w:color w:val="auto"/>
              </w:rPr>
            </w:pPr>
          </w:p>
        </w:tc>
        <w:tc>
          <w:tcPr>
            <w:tcW w:w="80" w:type="dxa"/>
            <w:vAlign w:val="bottom"/>
            <w:shd w:val="clear" w:color="auto" w:fill="CFF0FC"/>
          </w:tcPr>
          <w:p>
            <w:pPr>
              <w:spacing w:after="0"/>
              <w:rPr>
                <w:sz w:val="18"/>
                <w:szCs w:val="18"/>
                <w:color w:val="auto"/>
              </w:rPr>
            </w:pPr>
          </w:p>
        </w:tc>
        <w:tc>
          <w:tcPr>
            <w:tcW w:w="76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r>
      <w:tr>
        <w:trPr>
          <w:trHeight w:val="230"/>
        </w:trPr>
        <w:tc>
          <w:tcPr>
            <w:tcW w:w="4000" w:type="dxa"/>
            <w:vAlign w:val="bottom"/>
            <w:shd w:val="clear" w:color="auto" w:fill="CFF0FC"/>
          </w:tcPr>
          <w:p>
            <w:pPr>
              <w:ind w:left="380"/>
              <w:spacing w:after="0"/>
              <w:rPr>
                <w:sz w:val="20"/>
                <w:szCs w:val="20"/>
                <w:color w:val="auto"/>
              </w:rPr>
            </w:pPr>
            <w:r>
              <w:rPr>
                <w:rFonts w:ascii="Arial" w:cs="Arial" w:eastAsia="Arial" w:hAnsi="Arial"/>
                <w:sz w:val="18"/>
                <w:szCs w:val="18"/>
                <w:color w:val="auto"/>
              </w:rPr>
              <w:t>net</w:t>
            </w:r>
          </w:p>
        </w:tc>
        <w:tc>
          <w:tcPr>
            <w:tcW w:w="1240" w:type="dxa"/>
            <w:vAlign w:val="bottom"/>
            <w:gridSpan w:val="2"/>
            <w:shd w:val="clear" w:color="auto" w:fill="CFF0FC"/>
          </w:tcPr>
          <w:p>
            <w:pPr>
              <w:jc w:val="right"/>
              <w:ind w:right="240"/>
              <w:spacing w:after="0"/>
              <w:rPr>
                <w:sz w:val="20"/>
                <w:szCs w:val="20"/>
                <w:color w:val="auto"/>
              </w:rPr>
            </w:pPr>
            <w:r>
              <w:rPr>
                <w:rFonts w:ascii="Arial" w:cs="Arial" w:eastAsia="Arial" w:hAnsi="Arial"/>
                <w:sz w:val="18"/>
                <w:szCs w:val="18"/>
                <w:color w:val="auto"/>
              </w:rPr>
              <w:t>—</w:t>
            </w:r>
          </w:p>
        </w:tc>
        <w:tc>
          <w:tcPr>
            <w:tcW w:w="80" w:type="dxa"/>
            <w:vAlign w:val="bottom"/>
            <w:shd w:val="clear" w:color="auto" w:fill="CFF0FC"/>
          </w:tcPr>
          <w:p>
            <w:pPr>
              <w:spacing w:after="0"/>
              <w:rPr>
                <w:sz w:val="20"/>
                <w:szCs w:val="20"/>
                <w:color w:val="auto"/>
              </w:rPr>
            </w:pPr>
          </w:p>
        </w:tc>
        <w:tc>
          <w:tcPr>
            <w:tcW w:w="6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220" w:type="dxa"/>
            <w:vAlign w:val="bottom"/>
            <w:shd w:val="clear" w:color="auto" w:fill="CFF0FC"/>
          </w:tcPr>
          <w:p>
            <w:pPr>
              <w:spacing w:after="0"/>
              <w:rPr>
                <w:sz w:val="20"/>
                <w:szCs w:val="20"/>
                <w:color w:val="auto"/>
              </w:rPr>
            </w:pPr>
          </w:p>
        </w:tc>
        <w:tc>
          <w:tcPr>
            <w:tcW w:w="120" w:type="dxa"/>
            <w:vAlign w:val="bottom"/>
            <w:shd w:val="clear" w:color="auto" w:fill="CFF0FC"/>
          </w:tcPr>
          <w:p>
            <w:pPr>
              <w:spacing w:after="0"/>
              <w:rPr>
                <w:sz w:val="20"/>
                <w:szCs w:val="20"/>
                <w:color w:val="auto"/>
              </w:rPr>
            </w:pPr>
          </w:p>
        </w:tc>
        <w:tc>
          <w:tcPr>
            <w:tcW w:w="6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308</w:t>
            </w:r>
          </w:p>
        </w:tc>
        <w:tc>
          <w:tcPr>
            <w:tcW w:w="140" w:type="dxa"/>
            <w:vAlign w:val="bottom"/>
            <w:shd w:val="clear" w:color="auto" w:fill="CFF0FC"/>
          </w:tcPr>
          <w:p>
            <w:pPr>
              <w:spacing w:after="0"/>
              <w:rPr>
                <w:sz w:val="20"/>
                <w:szCs w:val="20"/>
                <w:color w:val="auto"/>
              </w:rPr>
            </w:pPr>
          </w:p>
        </w:tc>
        <w:tc>
          <w:tcPr>
            <w:tcW w:w="80" w:type="dxa"/>
            <w:vAlign w:val="bottom"/>
            <w:shd w:val="clear" w:color="auto" w:fill="CFF0FC"/>
          </w:tcPr>
          <w:p>
            <w:pPr>
              <w:spacing w:after="0"/>
              <w:rPr>
                <w:sz w:val="20"/>
                <w:szCs w:val="20"/>
                <w:color w:val="auto"/>
              </w:rPr>
            </w:pPr>
          </w:p>
        </w:tc>
        <w:tc>
          <w:tcPr>
            <w:tcW w:w="100" w:type="dxa"/>
            <w:vAlign w:val="bottom"/>
            <w:shd w:val="clear" w:color="auto" w:fill="CFF0FC"/>
          </w:tcPr>
          <w:p>
            <w:pPr>
              <w:spacing w:after="0"/>
              <w:rPr>
                <w:sz w:val="20"/>
                <w:szCs w:val="20"/>
                <w:color w:val="auto"/>
              </w:rPr>
            </w:pPr>
          </w:p>
        </w:tc>
        <w:tc>
          <w:tcPr>
            <w:tcW w:w="6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220" w:type="dxa"/>
            <w:vAlign w:val="bottom"/>
            <w:shd w:val="clear" w:color="auto" w:fill="CFF0FC"/>
          </w:tcPr>
          <w:p>
            <w:pPr>
              <w:spacing w:after="0"/>
              <w:rPr>
                <w:sz w:val="20"/>
                <w:szCs w:val="20"/>
                <w:color w:val="auto"/>
              </w:rPr>
            </w:pPr>
          </w:p>
        </w:tc>
        <w:tc>
          <w:tcPr>
            <w:tcW w:w="100" w:type="dxa"/>
            <w:vAlign w:val="bottom"/>
            <w:shd w:val="clear" w:color="auto" w:fill="CFF0FC"/>
          </w:tcPr>
          <w:p>
            <w:pPr>
              <w:spacing w:after="0"/>
              <w:rPr>
                <w:sz w:val="20"/>
                <w:szCs w:val="20"/>
                <w:color w:val="auto"/>
              </w:rPr>
            </w:pPr>
          </w:p>
        </w:tc>
        <w:tc>
          <w:tcPr>
            <w:tcW w:w="7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308</w:t>
            </w:r>
          </w:p>
        </w:tc>
        <w:tc>
          <w:tcPr>
            <w:tcW w:w="140" w:type="dxa"/>
            <w:vAlign w:val="bottom"/>
            <w:shd w:val="clear" w:color="auto" w:fill="CFF0FC"/>
          </w:tcPr>
          <w:p>
            <w:pPr>
              <w:spacing w:after="0"/>
              <w:rPr>
                <w:sz w:val="20"/>
                <w:szCs w:val="20"/>
                <w:color w:val="auto"/>
              </w:rPr>
            </w:pPr>
          </w:p>
        </w:tc>
        <w:tc>
          <w:tcPr>
            <w:tcW w:w="80" w:type="dxa"/>
            <w:vAlign w:val="bottom"/>
            <w:shd w:val="clear" w:color="auto" w:fill="CFF0FC"/>
          </w:tcPr>
          <w:p>
            <w:pPr>
              <w:spacing w:after="0"/>
              <w:rPr>
                <w:sz w:val="20"/>
                <w:szCs w:val="20"/>
                <w:color w:val="auto"/>
              </w:rPr>
            </w:pPr>
          </w:p>
        </w:tc>
        <w:tc>
          <w:tcPr>
            <w:tcW w:w="140" w:type="dxa"/>
            <w:vAlign w:val="bottom"/>
            <w:shd w:val="clear" w:color="auto" w:fill="CFF0FC"/>
          </w:tcPr>
          <w:p>
            <w:pPr>
              <w:spacing w:after="0"/>
              <w:rPr>
                <w:sz w:val="20"/>
                <w:szCs w:val="20"/>
                <w:color w:val="auto"/>
              </w:rPr>
            </w:pPr>
          </w:p>
        </w:tc>
        <w:tc>
          <w:tcPr>
            <w:tcW w:w="1020" w:type="dxa"/>
            <w:vAlign w:val="bottom"/>
            <w:gridSpan w:val="2"/>
            <w:shd w:val="clear" w:color="auto" w:fill="CFF0FC"/>
          </w:tcPr>
          <w:p>
            <w:pPr>
              <w:jc w:val="right"/>
              <w:ind w:right="220"/>
              <w:spacing w:after="0"/>
              <w:rPr>
                <w:sz w:val="20"/>
                <w:szCs w:val="20"/>
                <w:color w:val="auto"/>
              </w:rPr>
            </w:pPr>
            <w:r>
              <w:rPr>
                <w:rFonts w:ascii="Arial" w:cs="Arial" w:eastAsia="Arial" w:hAnsi="Arial"/>
                <w:sz w:val="18"/>
                <w:szCs w:val="18"/>
                <w:color w:val="auto"/>
              </w:rPr>
              <w:t>—</w:t>
            </w:r>
          </w:p>
        </w:tc>
        <w:tc>
          <w:tcPr>
            <w:tcW w:w="20" w:type="dxa"/>
            <w:vAlign w:val="bottom"/>
            <w:shd w:val="clear" w:color="auto" w:fill="CFF0FC"/>
          </w:tcPr>
          <w:p>
            <w:pPr>
              <w:spacing w:after="0"/>
              <w:rPr>
                <w:sz w:val="20"/>
                <w:szCs w:val="20"/>
                <w:color w:val="auto"/>
              </w:rPr>
            </w:pPr>
          </w:p>
        </w:tc>
        <w:tc>
          <w:tcPr>
            <w:tcW w:w="80" w:type="dxa"/>
            <w:vAlign w:val="bottom"/>
            <w:shd w:val="clear" w:color="auto" w:fill="CFF0FC"/>
          </w:tcPr>
          <w:p>
            <w:pPr>
              <w:spacing w:after="0"/>
              <w:rPr>
                <w:sz w:val="20"/>
                <w:szCs w:val="20"/>
                <w:color w:val="auto"/>
              </w:rPr>
            </w:pPr>
          </w:p>
        </w:tc>
        <w:tc>
          <w:tcPr>
            <w:tcW w:w="7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308</w:t>
            </w:r>
          </w:p>
        </w:tc>
        <w:tc>
          <w:tcPr>
            <w:tcW w:w="100" w:type="dxa"/>
            <w:vAlign w:val="bottom"/>
            <w:shd w:val="clear" w:color="auto" w:fill="CFF0FC"/>
          </w:tcPr>
          <w:p>
            <w:pPr>
              <w:spacing w:after="0"/>
              <w:rPr>
                <w:sz w:val="20"/>
                <w:szCs w:val="20"/>
                <w:color w:val="auto"/>
              </w:rPr>
            </w:pPr>
          </w:p>
        </w:tc>
      </w:tr>
      <w:tr>
        <w:trPr>
          <w:trHeight w:val="215"/>
        </w:trPr>
        <w:tc>
          <w:tcPr>
            <w:tcW w:w="4000" w:type="dxa"/>
            <w:vAlign w:val="bottom"/>
          </w:tcPr>
          <w:p>
            <w:pPr>
              <w:ind w:left="260"/>
              <w:spacing w:after="0"/>
              <w:rPr>
                <w:sz w:val="20"/>
                <w:szCs w:val="20"/>
                <w:color w:val="auto"/>
              </w:rPr>
            </w:pPr>
            <w:r>
              <w:rPr>
                <w:rFonts w:ascii="Arial" w:cs="Arial" w:eastAsia="Arial" w:hAnsi="Arial"/>
                <w:sz w:val="18"/>
                <w:szCs w:val="18"/>
                <w:color w:val="auto"/>
              </w:rPr>
              <w:t>Minimum tax withholding paid on behalf of</w:t>
            </w:r>
          </w:p>
        </w:tc>
        <w:tc>
          <w:tcPr>
            <w:tcW w:w="10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30"/>
        </w:trPr>
        <w:tc>
          <w:tcPr>
            <w:tcW w:w="4000" w:type="dxa"/>
            <w:vAlign w:val="bottom"/>
          </w:tcPr>
          <w:p>
            <w:pPr>
              <w:ind w:left="260"/>
              <w:spacing w:after="0"/>
              <w:rPr>
                <w:sz w:val="20"/>
                <w:szCs w:val="20"/>
                <w:color w:val="auto"/>
              </w:rPr>
            </w:pPr>
            <w:r>
              <w:rPr>
                <w:rFonts w:ascii="Arial" w:cs="Arial" w:eastAsia="Arial" w:hAnsi="Arial"/>
                <w:sz w:val="18"/>
                <w:szCs w:val="18"/>
                <w:color w:val="auto"/>
              </w:rPr>
              <w:t>employees for restricted stock units</w:t>
            </w:r>
          </w:p>
        </w:tc>
        <w:tc>
          <w:tcPr>
            <w:tcW w:w="1240" w:type="dxa"/>
            <w:vAlign w:val="bottom"/>
            <w:gridSpan w:val="2"/>
          </w:tcPr>
          <w:p>
            <w:pPr>
              <w:jc w:val="right"/>
              <w:ind w:right="24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20"/>
                <w:szCs w:val="20"/>
                <w:color w:val="auto"/>
              </w:rPr>
            </w:pPr>
          </w:p>
        </w:tc>
        <w:tc>
          <w:tcPr>
            <w:tcW w:w="680" w:type="dxa"/>
            <w:vAlign w:val="bottom"/>
          </w:tcPr>
          <w:p>
            <w:pPr>
              <w:jc w:val="right"/>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800" w:type="dxa"/>
            <w:vAlign w:val="bottom"/>
            <w:gridSpan w:val="2"/>
          </w:tcPr>
          <w:p>
            <w:pPr>
              <w:jc w:val="right"/>
              <w:ind w:right="80"/>
              <w:spacing w:after="0"/>
              <w:rPr>
                <w:sz w:val="20"/>
                <w:szCs w:val="20"/>
                <w:color w:val="auto"/>
              </w:rPr>
            </w:pPr>
            <w:r>
              <w:rPr>
                <w:rFonts w:ascii="Arial" w:cs="Arial" w:eastAsia="Arial" w:hAnsi="Arial"/>
                <w:sz w:val="18"/>
                <w:szCs w:val="18"/>
                <w:color w:val="auto"/>
              </w:rPr>
              <w:t>(1,827)</w:t>
            </w:r>
          </w:p>
        </w:tc>
        <w:tc>
          <w:tcPr>
            <w:tcW w:w="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80" w:type="dxa"/>
            <w:vAlign w:val="bottom"/>
          </w:tcPr>
          <w:p>
            <w:pPr>
              <w:jc w:val="right"/>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900" w:type="dxa"/>
            <w:vAlign w:val="bottom"/>
            <w:gridSpan w:val="2"/>
          </w:tcPr>
          <w:p>
            <w:pPr>
              <w:jc w:val="right"/>
              <w:ind w:right="80"/>
              <w:spacing w:after="0"/>
              <w:rPr>
                <w:sz w:val="20"/>
                <w:szCs w:val="20"/>
                <w:color w:val="auto"/>
              </w:rPr>
            </w:pPr>
            <w:r>
              <w:rPr>
                <w:rFonts w:ascii="Arial" w:cs="Arial" w:eastAsia="Arial" w:hAnsi="Arial"/>
                <w:sz w:val="18"/>
                <w:szCs w:val="18"/>
                <w:color w:val="auto"/>
              </w:rPr>
              <w:t>(1,827)</w:t>
            </w:r>
          </w:p>
        </w:tc>
        <w:tc>
          <w:tcPr>
            <w:tcW w:w="8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02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860" w:type="dxa"/>
            <w:vAlign w:val="bottom"/>
            <w:gridSpan w:val="2"/>
          </w:tcPr>
          <w:p>
            <w:pPr>
              <w:jc w:val="right"/>
              <w:ind w:right="40"/>
              <w:spacing w:after="0"/>
              <w:rPr>
                <w:sz w:val="20"/>
                <w:szCs w:val="20"/>
                <w:color w:val="auto"/>
              </w:rPr>
            </w:pPr>
            <w:r>
              <w:rPr>
                <w:rFonts w:ascii="Arial" w:cs="Arial" w:eastAsia="Arial" w:hAnsi="Arial"/>
                <w:sz w:val="18"/>
                <w:szCs w:val="18"/>
                <w:color w:val="auto"/>
              </w:rPr>
              <w:t>(1,827)</w:t>
            </w:r>
          </w:p>
        </w:tc>
      </w:tr>
      <w:tr>
        <w:trPr>
          <w:trHeight w:val="230"/>
        </w:trPr>
        <w:tc>
          <w:tcPr>
            <w:tcW w:w="4000" w:type="dxa"/>
            <w:vAlign w:val="bottom"/>
            <w:shd w:val="clear" w:color="auto" w:fill="CFF0FC"/>
          </w:tcPr>
          <w:p>
            <w:pPr>
              <w:ind w:left="260"/>
              <w:spacing w:after="0"/>
              <w:rPr>
                <w:sz w:val="20"/>
                <w:szCs w:val="20"/>
                <w:color w:val="auto"/>
              </w:rPr>
            </w:pPr>
            <w:r>
              <w:rPr>
                <w:rFonts w:ascii="Arial" w:cs="Arial" w:eastAsia="Arial" w:hAnsi="Arial"/>
                <w:sz w:val="18"/>
                <w:szCs w:val="18"/>
                <w:color w:val="auto"/>
              </w:rPr>
              <w:t>Stock-based compensation expense</w:t>
            </w:r>
          </w:p>
        </w:tc>
        <w:tc>
          <w:tcPr>
            <w:tcW w:w="1240" w:type="dxa"/>
            <w:vAlign w:val="bottom"/>
            <w:gridSpan w:val="2"/>
            <w:shd w:val="clear" w:color="auto" w:fill="CFF0FC"/>
          </w:tcPr>
          <w:p>
            <w:pPr>
              <w:jc w:val="right"/>
              <w:ind w:right="240"/>
              <w:spacing w:after="0"/>
              <w:rPr>
                <w:sz w:val="20"/>
                <w:szCs w:val="20"/>
                <w:color w:val="auto"/>
              </w:rPr>
            </w:pPr>
            <w:r>
              <w:rPr>
                <w:rFonts w:ascii="Arial" w:cs="Arial" w:eastAsia="Arial" w:hAnsi="Arial"/>
                <w:sz w:val="18"/>
                <w:szCs w:val="18"/>
                <w:color w:val="auto"/>
              </w:rPr>
              <w:t>—</w:t>
            </w:r>
          </w:p>
        </w:tc>
        <w:tc>
          <w:tcPr>
            <w:tcW w:w="80" w:type="dxa"/>
            <w:vAlign w:val="bottom"/>
            <w:shd w:val="clear" w:color="auto" w:fill="CFF0FC"/>
          </w:tcPr>
          <w:p>
            <w:pPr>
              <w:spacing w:after="0"/>
              <w:rPr>
                <w:sz w:val="19"/>
                <w:szCs w:val="19"/>
                <w:color w:val="auto"/>
              </w:rPr>
            </w:pPr>
          </w:p>
        </w:tc>
        <w:tc>
          <w:tcPr>
            <w:tcW w:w="6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22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6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2,381</w:t>
            </w:r>
          </w:p>
        </w:tc>
        <w:tc>
          <w:tcPr>
            <w:tcW w:w="14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6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22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7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2,381</w:t>
            </w:r>
          </w:p>
        </w:tc>
        <w:tc>
          <w:tcPr>
            <w:tcW w:w="14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1020" w:type="dxa"/>
            <w:vAlign w:val="bottom"/>
            <w:gridSpan w:val="2"/>
            <w:shd w:val="clear" w:color="auto" w:fill="CFF0FC"/>
          </w:tcPr>
          <w:p>
            <w:pPr>
              <w:jc w:val="right"/>
              <w:ind w:right="220"/>
              <w:spacing w:after="0"/>
              <w:rPr>
                <w:sz w:val="20"/>
                <w:szCs w:val="20"/>
                <w:color w:val="auto"/>
              </w:rPr>
            </w:pPr>
            <w:r>
              <w:rPr>
                <w:rFonts w:ascii="Arial" w:cs="Arial" w:eastAsia="Arial" w:hAnsi="Arial"/>
                <w:sz w:val="18"/>
                <w:szCs w:val="18"/>
                <w:color w:val="auto"/>
              </w:rPr>
              <w:t>—</w:t>
            </w:r>
          </w:p>
        </w:tc>
        <w:tc>
          <w:tcPr>
            <w:tcW w:w="2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7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2,381</w:t>
            </w:r>
          </w:p>
        </w:tc>
        <w:tc>
          <w:tcPr>
            <w:tcW w:w="100" w:type="dxa"/>
            <w:vAlign w:val="bottom"/>
            <w:shd w:val="clear" w:color="auto" w:fill="CFF0FC"/>
          </w:tcPr>
          <w:p>
            <w:pPr>
              <w:spacing w:after="0"/>
              <w:rPr>
                <w:sz w:val="19"/>
                <w:szCs w:val="19"/>
                <w:color w:val="auto"/>
              </w:rPr>
            </w:pPr>
          </w:p>
        </w:tc>
      </w:tr>
      <w:tr>
        <w:trPr>
          <w:trHeight w:val="230"/>
        </w:trPr>
        <w:tc>
          <w:tcPr>
            <w:tcW w:w="4000" w:type="dxa"/>
            <w:vAlign w:val="bottom"/>
          </w:tcPr>
          <w:p>
            <w:pPr>
              <w:ind w:left="260"/>
              <w:spacing w:after="0"/>
              <w:rPr>
                <w:sz w:val="20"/>
                <w:szCs w:val="20"/>
                <w:color w:val="auto"/>
              </w:rPr>
            </w:pPr>
            <w:r>
              <w:rPr>
                <w:rFonts w:ascii="Arial" w:cs="Arial" w:eastAsia="Arial" w:hAnsi="Arial"/>
                <w:sz w:val="18"/>
                <w:szCs w:val="18"/>
                <w:color w:val="auto"/>
              </w:rPr>
              <w:t>Contributions to noncontrolling interests, net</w:t>
            </w:r>
          </w:p>
        </w:tc>
        <w:tc>
          <w:tcPr>
            <w:tcW w:w="1240" w:type="dxa"/>
            <w:vAlign w:val="bottom"/>
            <w:gridSpan w:val="2"/>
          </w:tcPr>
          <w:p>
            <w:pPr>
              <w:jc w:val="right"/>
              <w:ind w:right="24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9"/>
                <w:szCs w:val="19"/>
                <w:color w:val="auto"/>
              </w:rPr>
            </w:pPr>
          </w:p>
        </w:tc>
        <w:tc>
          <w:tcPr>
            <w:tcW w:w="680" w:type="dxa"/>
            <w:vAlign w:val="bottom"/>
          </w:tcPr>
          <w:p>
            <w:pPr>
              <w:jc w:val="right"/>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80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80" w:type="dxa"/>
            <w:vAlign w:val="bottom"/>
          </w:tcPr>
          <w:p>
            <w:pPr>
              <w:jc w:val="right"/>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90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147</w:t>
            </w:r>
          </w:p>
        </w:tc>
        <w:tc>
          <w:tcPr>
            <w:tcW w:w="2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147</w:t>
            </w:r>
          </w:p>
        </w:tc>
        <w:tc>
          <w:tcPr>
            <w:tcW w:w="100" w:type="dxa"/>
            <w:vAlign w:val="bottom"/>
          </w:tcPr>
          <w:p>
            <w:pPr>
              <w:spacing w:after="0"/>
              <w:rPr>
                <w:sz w:val="19"/>
                <w:szCs w:val="19"/>
                <w:color w:val="auto"/>
              </w:rPr>
            </w:pPr>
          </w:p>
        </w:tc>
      </w:tr>
      <w:tr>
        <w:trPr>
          <w:trHeight w:val="215"/>
        </w:trPr>
        <w:tc>
          <w:tcPr>
            <w:tcW w:w="4000" w:type="dxa"/>
            <w:vAlign w:val="bottom"/>
            <w:shd w:val="clear" w:color="auto" w:fill="CFF0FC"/>
          </w:tcPr>
          <w:p>
            <w:pPr>
              <w:ind w:left="260"/>
              <w:spacing w:after="0"/>
              <w:rPr>
                <w:sz w:val="20"/>
                <w:szCs w:val="20"/>
                <w:color w:val="auto"/>
              </w:rPr>
            </w:pPr>
            <w:r>
              <w:rPr>
                <w:rFonts w:ascii="Arial" w:cs="Arial" w:eastAsia="Arial" w:hAnsi="Arial"/>
                <w:sz w:val="18"/>
                <w:szCs w:val="18"/>
                <w:color w:val="auto"/>
              </w:rPr>
              <w:t>Net effect of consolidations, de-</w:t>
            </w:r>
          </w:p>
        </w:tc>
        <w:tc>
          <w:tcPr>
            <w:tcW w:w="1020" w:type="dxa"/>
            <w:vAlign w:val="bottom"/>
            <w:shd w:val="clear" w:color="auto" w:fill="CFF0FC"/>
          </w:tcPr>
          <w:p>
            <w:pPr>
              <w:spacing w:after="0"/>
              <w:rPr>
                <w:sz w:val="18"/>
                <w:szCs w:val="18"/>
                <w:color w:val="auto"/>
              </w:rPr>
            </w:pPr>
          </w:p>
        </w:tc>
        <w:tc>
          <w:tcPr>
            <w:tcW w:w="220" w:type="dxa"/>
            <w:vAlign w:val="bottom"/>
            <w:shd w:val="clear" w:color="auto" w:fill="CFF0FC"/>
          </w:tcPr>
          <w:p>
            <w:pPr>
              <w:spacing w:after="0"/>
              <w:rPr>
                <w:sz w:val="18"/>
                <w:szCs w:val="18"/>
                <w:color w:val="auto"/>
              </w:rPr>
            </w:pPr>
          </w:p>
        </w:tc>
        <w:tc>
          <w:tcPr>
            <w:tcW w:w="80" w:type="dxa"/>
            <w:vAlign w:val="bottom"/>
            <w:shd w:val="clear" w:color="auto" w:fill="CFF0FC"/>
          </w:tcPr>
          <w:p>
            <w:pPr>
              <w:spacing w:after="0"/>
              <w:rPr>
                <w:sz w:val="18"/>
                <w:szCs w:val="18"/>
                <w:color w:val="auto"/>
              </w:rPr>
            </w:pPr>
          </w:p>
        </w:tc>
        <w:tc>
          <w:tcPr>
            <w:tcW w:w="680" w:type="dxa"/>
            <w:vAlign w:val="bottom"/>
            <w:shd w:val="clear" w:color="auto" w:fill="CFF0FC"/>
          </w:tcPr>
          <w:p>
            <w:pPr>
              <w:spacing w:after="0"/>
              <w:rPr>
                <w:sz w:val="18"/>
                <w:szCs w:val="18"/>
                <w:color w:val="auto"/>
              </w:rPr>
            </w:pPr>
          </w:p>
        </w:tc>
        <w:tc>
          <w:tcPr>
            <w:tcW w:w="220" w:type="dxa"/>
            <w:vAlign w:val="bottom"/>
            <w:shd w:val="clear" w:color="auto" w:fill="CFF0FC"/>
          </w:tcPr>
          <w:p>
            <w:pPr>
              <w:spacing w:after="0"/>
              <w:rPr>
                <w:sz w:val="18"/>
                <w:szCs w:val="18"/>
                <w:color w:val="auto"/>
              </w:rPr>
            </w:pPr>
          </w:p>
        </w:tc>
        <w:tc>
          <w:tcPr>
            <w:tcW w:w="120" w:type="dxa"/>
            <w:vAlign w:val="bottom"/>
            <w:shd w:val="clear" w:color="auto" w:fill="CFF0FC"/>
          </w:tcPr>
          <w:p>
            <w:pPr>
              <w:spacing w:after="0"/>
              <w:rPr>
                <w:sz w:val="18"/>
                <w:szCs w:val="18"/>
                <w:color w:val="auto"/>
              </w:rPr>
            </w:pPr>
          </w:p>
        </w:tc>
        <w:tc>
          <w:tcPr>
            <w:tcW w:w="660" w:type="dxa"/>
            <w:vAlign w:val="bottom"/>
            <w:shd w:val="clear" w:color="auto" w:fill="CFF0FC"/>
          </w:tcPr>
          <w:p>
            <w:pPr>
              <w:spacing w:after="0"/>
              <w:rPr>
                <w:sz w:val="18"/>
                <w:szCs w:val="18"/>
                <w:color w:val="auto"/>
              </w:rPr>
            </w:pPr>
          </w:p>
        </w:tc>
        <w:tc>
          <w:tcPr>
            <w:tcW w:w="140" w:type="dxa"/>
            <w:vAlign w:val="bottom"/>
            <w:shd w:val="clear" w:color="auto" w:fill="CFF0FC"/>
          </w:tcPr>
          <w:p>
            <w:pPr>
              <w:spacing w:after="0"/>
              <w:rPr>
                <w:sz w:val="18"/>
                <w:szCs w:val="18"/>
                <w:color w:val="auto"/>
              </w:rPr>
            </w:pPr>
          </w:p>
        </w:tc>
        <w:tc>
          <w:tcPr>
            <w:tcW w:w="8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c>
          <w:tcPr>
            <w:tcW w:w="680" w:type="dxa"/>
            <w:vAlign w:val="bottom"/>
            <w:shd w:val="clear" w:color="auto" w:fill="CFF0FC"/>
          </w:tcPr>
          <w:p>
            <w:pPr>
              <w:spacing w:after="0"/>
              <w:rPr>
                <w:sz w:val="18"/>
                <w:szCs w:val="18"/>
                <w:color w:val="auto"/>
              </w:rPr>
            </w:pPr>
          </w:p>
        </w:tc>
        <w:tc>
          <w:tcPr>
            <w:tcW w:w="22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c>
          <w:tcPr>
            <w:tcW w:w="760" w:type="dxa"/>
            <w:vAlign w:val="bottom"/>
            <w:shd w:val="clear" w:color="auto" w:fill="CFF0FC"/>
          </w:tcPr>
          <w:p>
            <w:pPr>
              <w:spacing w:after="0"/>
              <w:rPr>
                <w:sz w:val="18"/>
                <w:szCs w:val="18"/>
                <w:color w:val="auto"/>
              </w:rPr>
            </w:pPr>
          </w:p>
        </w:tc>
        <w:tc>
          <w:tcPr>
            <w:tcW w:w="140" w:type="dxa"/>
            <w:vAlign w:val="bottom"/>
            <w:shd w:val="clear" w:color="auto" w:fill="CFF0FC"/>
          </w:tcPr>
          <w:p>
            <w:pPr>
              <w:spacing w:after="0"/>
              <w:rPr>
                <w:sz w:val="18"/>
                <w:szCs w:val="18"/>
                <w:color w:val="auto"/>
              </w:rPr>
            </w:pPr>
          </w:p>
        </w:tc>
        <w:tc>
          <w:tcPr>
            <w:tcW w:w="80" w:type="dxa"/>
            <w:vAlign w:val="bottom"/>
            <w:shd w:val="clear" w:color="auto" w:fill="CFF0FC"/>
          </w:tcPr>
          <w:p>
            <w:pPr>
              <w:spacing w:after="0"/>
              <w:rPr>
                <w:sz w:val="18"/>
                <w:szCs w:val="18"/>
                <w:color w:val="auto"/>
              </w:rPr>
            </w:pPr>
          </w:p>
        </w:tc>
        <w:tc>
          <w:tcPr>
            <w:tcW w:w="140" w:type="dxa"/>
            <w:vAlign w:val="bottom"/>
            <w:shd w:val="clear" w:color="auto" w:fill="CFF0FC"/>
          </w:tcPr>
          <w:p>
            <w:pPr>
              <w:spacing w:after="0"/>
              <w:rPr>
                <w:sz w:val="18"/>
                <w:szCs w:val="18"/>
                <w:color w:val="auto"/>
              </w:rPr>
            </w:pPr>
          </w:p>
        </w:tc>
        <w:tc>
          <w:tcPr>
            <w:tcW w:w="800" w:type="dxa"/>
            <w:vAlign w:val="bottom"/>
            <w:shd w:val="clear" w:color="auto" w:fill="CFF0FC"/>
          </w:tcPr>
          <w:p>
            <w:pPr>
              <w:spacing w:after="0"/>
              <w:rPr>
                <w:sz w:val="18"/>
                <w:szCs w:val="18"/>
                <w:color w:val="auto"/>
              </w:rPr>
            </w:pPr>
          </w:p>
        </w:tc>
        <w:tc>
          <w:tcPr>
            <w:tcW w:w="220" w:type="dxa"/>
            <w:vAlign w:val="bottom"/>
            <w:shd w:val="clear" w:color="auto" w:fill="CFF0FC"/>
          </w:tcPr>
          <w:p>
            <w:pPr>
              <w:spacing w:after="0"/>
              <w:rPr>
                <w:sz w:val="18"/>
                <w:szCs w:val="18"/>
                <w:color w:val="auto"/>
              </w:rPr>
            </w:pPr>
          </w:p>
        </w:tc>
        <w:tc>
          <w:tcPr>
            <w:tcW w:w="20" w:type="dxa"/>
            <w:vAlign w:val="bottom"/>
            <w:shd w:val="clear" w:color="auto" w:fill="CFF0FC"/>
          </w:tcPr>
          <w:p>
            <w:pPr>
              <w:spacing w:after="0"/>
              <w:rPr>
                <w:sz w:val="18"/>
                <w:szCs w:val="18"/>
                <w:color w:val="auto"/>
              </w:rPr>
            </w:pPr>
          </w:p>
        </w:tc>
        <w:tc>
          <w:tcPr>
            <w:tcW w:w="80" w:type="dxa"/>
            <w:vAlign w:val="bottom"/>
            <w:shd w:val="clear" w:color="auto" w:fill="CFF0FC"/>
          </w:tcPr>
          <w:p>
            <w:pPr>
              <w:spacing w:after="0"/>
              <w:rPr>
                <w:sz w:val="18"/>
                <w:szCs w:val="18"/>
                <w:color w:val="auto"/>
              </w:rPr>
            </w:pPr>
          </w:p>
        </w:tc>
        <w:tc>
          <w:tcPr>
            <w:tcW w:w="76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r>
      <w:tr>
        <w:trPr>
          <w:trHeight w:val="230"/>
        </w:trPr>
        <w:tc>
          <w:tcPr>
            <w:tcW w:w="4000" w:type="dxa"/>
            <w:vAlign w:val="bottom"/>
            <w:shd w:val="clear" w:color="auto" w:fill="CFF0FC"/>
          </w:tcPr>
          <w:p>
            <w:pPr>
              <w:ind w:left="380"/>
              <w:spacing w:after="0"/>
              <w:rPr>
                <w:sz w:val="20"/>
                <w:szCs w:val="20"/>
                <w:color w:val="auto"/>
              </w:rPr>
            </w:pPr>
            <w:r>
              <w:rPr>
                <w:rFonts w:ascii="Arial" w:cs="Arial" w:eastAsia="Arial" w:hAnsi="Arial"/>
                <w:sz w:val="18"/>
                <w:szCs w:val="18"/>
                <w:color w:val="auto"/>
              </w:rPr>
              <w:t>consolidations and other transactions</w:t>
            </w:r>
          </w:p>
        </w:tc>
        <w:tc>
          <w:tcPr>
            <w:tcW w:w="1240" w:type="dxa"/>
            <w:vAlign w:val="bottom"/>
            <w:gridSpan w:val="2"/>
            <w:shd w:val="clear" w:color="auto" w:fill="CFF0FC"/>
          </w:tcPr>
          <w:p>
            <w:pPr>
              <w:jc w:val="right"/>
              <w:ind w:right="240"/>
              <w:spacing w:after="0"/>
              <w:rPr>
                <w:sz w:val="20"/>
                <w:szCs w:val="20"/>
                <w:color w:val="auto"/>
              </w:rPr>
            </w:pPr>
            <w:r>
              <w:rPr>
                <w:rFonts w:ascii="Arial" w:cs="Arial" w:eastAsia="Arial" w:hAnsi="Arial"/>
                <w:sz w:val="18"/>
                <w:szCs w:val="18"/>
                <w:color w:val="auto"/>
              </w:rPr>
              <w:t>—</w:t>
            </w:r>
          </w:p>
        </w:tc>
        <w:tc>
          <w:tcPr>
            <w:tcW w:w="80" w:type="dxa"/>
            <w:vAlign w:val="bottom"/>
            <w:shd w:val="clear" w:color="auto" w:fill="CFF0FC"/>
          </w:tcPr>
          <w:p>
            <w:pPr>
              <w:spacing w:after="0"/>
              <w:rPr>
                <w:sz w:val="20"/>
                <w:szCs w:val="20"/>
                <w:color w:val="auto"/>
              </w:rPr>
            </w:pPr>
          </w:p>
        </w:tc>
        <w:tc>
          <w:tcPr>
            <w:tcW w:w="6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220" w:type="dxa"/>
            <w:vAlign w:val="bottom"/>
            <w:shd w:val="clear" w:color="auto" w:fill="CFF0FC"/>
          </w:tcPr>
          <w:p>
            <w:pPr>
              <w:spacing w:after="0"/>
              <w:rPr>
                <w:sz w:val="20"/>
                <w:szCs w:val="20"/>
                <w:color w:val="auto"/>
              </w:rPr>
            </w:pPr>
          </w:p>
        </w:tc>
        <w:tc>
          <w:tcPr>
            <w:tcW w:w="120" w:type="dxa"/>
            <w:vAlign w:val="bottom"/>
            <w:shd w:val="clear" w:color="auto" w:fill="CFF0FC"/>
          </w:tcPr>
          <w:p>
            <w:pPr>
              <w:spacing w:after="0"/>
              <w:rPr>
                <w:sz w:val="20"/>
                <w:szCs w:val="20"/>
                <w:color w:val="auto"/>
              </w:rPr>
            </w:pPr>
          </w:p>
        </w:tc>
        <w:tc>
          <w:tcPr>
            <w:tcW w:w="800" w:type="dxa"/>
            <w:vAlign w:val="bottom"/>
            <w:gridSpan w:val="2"/>
            <w:shd w:val="clear" w:color="auto" w:fill="CFF0FC"/>
          </w:tcPr>
          <w:p>
            <w:pPr>
              <w:jc w:val="right"/>
              <w:ind w:right="140"/>
              <w:spacing w:after="0"/>
              <w:rPr>
                <w:sz w:val="20"/>
                <w:szCs w:val="20"/>
                <w:color w:val="auto"/>
              </w:rPr>
            </w:pPr>
            <w:r>
              <w:rPr>
                <w:rFonts w:ascii="Arial" w:cs="Arial" w:eastAsia="Arial" w:hAnsi="Arial"/>
                <w:sz w:val="18"/>
                <w:szCs w:val="18"/>
                <w:color w:val="auto"/>
              </w:rPr>
              <w:t>—</w:t>
            </w:r>
          </w:p>
        </w:tc>
        <w:tc>
          <w:tcPr>
            <w:tcW w:w="80" w:type="dxa"/>
            <w:vAlign w:val="bottom"/>
            <w:shd w:val="clear" w:color="auto" w:fill="CFF0FC"/>
          </w:tcPr>
          <w:p>
            <w:pPr>
              <w:spacing w:after="0"/>
              <w:rPr>
                <w:sz w:val="20"/>
                <w:szCs w:val="20"/>
                <w:color w:val="auto"/>
              </w:rPr>
            </w:pPr>
          </w:p>
        </w:tc>
        <w:tc>
          <w:tcPr>
            <w:tcW w:w="100" w:type="dxa"/>
            <w:vAlign w:val="bottom"/>
            <w:shd w:val="clear" w:color="auto" w:fill="CFF0FC"/>
          </w:tcPr>
          <w:p>
            <w:pPr>
              <w:spacing w:after="0"/>
              <w:rPr>
                <w:sz w:val="20"/>
                <w:szCs w:val="20"/>
                <w:color w:val="auto"/>
              </w:rPr>
            </w:pPr>
          </w:p>
        </w:tc>
        <w:tc>
          <w:tcPr>
            <w:tcW w:w="6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220" w:type="dxa"/>
            <w:vAlign w:val="bottom"/>
            <w:shd w:val="clear" w:color="auto" w:fill="CFF0FC"/>
          </w:tcPr>
          <w:p>
            <w:pPr>
              <w:spacing w:after="0"/>
              <w:rPr>
                <w:sz w:val="20"/>
                <w:szCs w:val="20"/>
                <w:color w:val="auto"/>
              </w:rPr>
            </w:pPr>
          </w:p>
        </w:tc>
        <w:tc>
          <w:tcPr>
            <w:tcW w:w="100" w:type="dxa"/>
            <w:vAlign w:val="bottom"/>
            <w:shd w:val="clear" w:color="auto" w:fill="CFF0FC"/>
          </w:tcPr>
          <w:p>
            <w:pPr>
              <w:spacing w:after="0"/>
              <w:rPr>
                <w:sz w:val="20"/>
                <w:szCs w:val="20"/>
                <w:color w:val="auto"/>
              </w:rPr>
            </w:pPr>
          </w:p>
        </w:tc>
        <w:tc>
          <w:tcPr>
            <w:tcW w:w="900" w:type="dxa"/>
            <w:vAlign w:val="bottom"/>
            <w:gridSpan w:val="2"/>
            <w:shd w:val="clear" w:color="auto" w:fill="CFF0FC"/>
          </w:tcPr>
          <w:p>
            <w:pPr>
              <w:jc w:val="right"/>
              <w:ind w:right="140"/>
              <w:spacing w:after="0"/>
              <w:rPr>
                <w:sz w:val="20"/>
                <w:szCs w:val="20"/>
                <w:color w:val="auto"/>
              </w:rPr>
            </w:pPr>
            <w:r>
              <w:rPr>
                <w:rFonts w:ascii="Arial" w:cs="Arial" w:eastAsia="Arial" w:hAnsi="Arial"/>
                <w:sz w:val="18"/>
                <w:szCs w:val="18"/>
                <w:color w:val="auto"/>
              </w:rPr>
              <w:t>—</w:t>
            </w:r>
          </w:p>
        </w:tc>
        <w:tc>
          <w:tcPr>
            <w:tcW w:w="80" w:type="dxa"/>
            <w:vAlign w:val="bottom"/>
            <w:shd w:val="clear" w:color="auto" w:fill="CFF0FC"/>
          </w:tcPr>
          <w:p>
            <w:pPr>
              <w:spacing w:after="0"/>
              <w:rPr>
                <w:sz w:val="20"/>
                <w:szCs w:val="20"/>
                <w:color w:val="auto"/>
              </w:rPr>
            </w:pPr>
          </w:p>
        </w:tc>
        <w:tc>
          <w:tcPr>
            <w:tcW w:w="140" w:type="dxa"/>
            <w:vAlign w:val="bottom"/>
            <w:shd w:val="clear" w:color="auto" w:fill="CFF0FC"/>
          </w:tcPr>
          <w:p>
            <w:pPr>
              <w:spacing w:after="0"/>
              <w:rPr>
                <w:sz w:val="20"/>
                <w:szCs w:val="20"/>
                <w:color w:val="auto"/>
              </w:rPr>
            </w:pPr>
          </w:p>
        </w:tc>
        <w:tc>
          <w:tcPr>
            <w:tcW w:w="8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1,582</w:t>
            </w:r>
          </w:p>
        </w:tc>
        <w:tc>
          <w:tcPr>
            <w:tcW w:w="220" w:type="dxa"/>
            <w:vAlign w:val="bottom"/>
            <w:shd w:val="clear" w:color="auto" w:fill="CFF0FC"/>
          </w:tcPr>
          <w:p>
            <w:pPr>
              <w:spacing w:after="0"/>
              <w:rPr>
                <w:sz w:val="20"/>
                <w:szCs w:val="20"/>
                <w:color w:val="auto"/>
              </w:rPr>
            </w:pPr>
          </w:p>
        </w:tc>
        <w:tc>
          <w:tcPr>
            <w:tcW w:w="20" w:type="dxa"/>
            <w:vAlign w:val="bottom"/>
            <w:shd w:val="clear" w:color="auto" w:fill="CFF0FC"/>
          </w:tcPr>
          <w:p>
            <w:pPr>
              <w:spacing w:after="0"/>
              <w:rPr>
                <w:sz w:val="20"/>
                <w:szCs w:val="20"/>
                <w:color w:val="auto"/>
              </w:rPr>
            </w:pPr>
          </w:p>
        </w:tc>
        <w:tc>
          <w:tcPr>
            <w:tcW w:w="80" w:type="dxa"/>
            <w:vAlign w:val="bottom"/>
            <w:shd w:val="clear" w:color="auto" w:fill="CFF0FC"/>
          </w:tcPr>
          <w:p>
            <w:pPr>
              <w:spacing w:after="0"/>
              <w:rPr>
                <w:sz w:val="20"/>
                <w:szCs w:val="20"/>
                <w:color w:val="auto"/>
              </w:rPr>
            </w:pPr>
          </w:p>
        </w:tc>
        <w:tc>
          <w:tcPr>
            <w:tcW w:w="7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1,582</w:t>
            </w:r>
          </w:p>
        </w:tc>
        <w:tc>
          <w:tcPr>
            <w:tcW w:w="100" w:type="dxa"/>
            <w:vAlign w:val="bottom"/>
            <w:shd w:val="clear" w:color="auto" w:fill="CFF0FC"/>
          </w:tcPr>
          <w:p>
            <w:pPr>
              <w:spacing w:after="0"/>
              <w:rPr>
                <w:sz w:val="20"/>
                <w:szCs w:val="20"/>
                <w:color w:val="auto"/>
              </w:rPr>
            </w:pPr>
          </w:p>
        </w:tc>
      </w:tr>
      <w:tr>
        <w:trPr>
          <w:trHeight w:val="223"/>
        </w:trPr>
        <w:tc>
          <w:tcPr>
            <w:tcW w:w="4000" w:type="dxa"/>
            <w:vAlign w:val="bottom"/>
          </w:tcPr>
          <w:p>
            <w:pPr>
              <w:spacing w:after="0"/>
              <w:rPr>
                <w:sz w:val="20"/>
                <w:szCs w:val="20"/>
                <w:color w:val="auto"/>
              </w:rPr>
            </w:pPr>
            <w:r>
              <w:rPr>
                <w:rFonts w:ascii="Arial" w:cs="Arial" w:eastAsia="Arial" w:hAnsi="Arial"/>
                <w:sz w:val="18"/>
                <w:szCs w:val="18"/>
                <w:color w:val="auto"/>
              </w:rPr>
              <w:t>Balance at March 31, 2015</w:t>
            </w:r>
          </w:p>
        </w:tc>
        <w:tc>
          <w:tcPr>
            <w:tcW w:w="10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7"/>
              </w:rPr>
              <w:t>161,602,883</w:t>
            </w:r>
          </w:p>
        </w:tc>
        <w:tc>
          <w:tcPr>
            <w:tcW w:w="220" w:type="dxa"/>
            <w:vAlign w:val="bottom"/>
          </w:tcPr>
          <w:p>
            <w:pPr>
              <w:spacing w:after="0"/>
              <w:rPr>
                <w:sz w:val="19"/>
                <w:szCs w:val="19"/>
                <w:color w:val="auto"/>
              </w:rPr>
            </w:pPr>
          </w:p>
        </w:tc>
        <w:tc>
          <w:tcPr>
            <w:tcW w:w="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6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1,616</w:t>
            </w:r>
          </w:p>
        </w:tc>
        <w:tc>
          <w:tcPr>
            <w:tcW w:w="220" w:type="dxa"/>
            <w:vAlign w:val="bottom"/>
          </w:tcPr>
          <w:p>
            <w:pPr>
              <w:spacing w:after="0"/>
              <w:rPr>
                <w:sz w:val="19"/>
                <w:szCs w:val="19"/>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6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8"/>
              </w:rPr>
              <w:t>907,282</w:t>
            </w:r>
          </w:p>
        </w:tc>
        <w:tc>
          <w:tcPr>
            <w:tcW w:w="1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6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8"/>
              </w:rPr>
              <w:t>561,704</w:t>
            </w:r>
          </w:p>
        </w:tc>
        <w:tc>
          <w:tcPr>
            <w:tcW w:w="220" w:type="dxa"/>
            <w:vAlign w:val="bottom"/>
          </w:tcPr>
          <w:p>
            <w:pPr>
              <w:spacing w:after="0"/>
              <w:rPr>
                <w:sz w:val="19"/>
                <w:szCs w:val="19"/>
                <w:color w:val="auto"/>
              </w:rPr>
            </w:pPr>
          </w:p>
        </w:tc>
        <w:tc>
          <w:tcPr>
            <w:tcW w:w="100" w:type="dxa"/>
            <w:vAlign w:val="bottom"/>
            <w:tcBorders>
              <w:top w:val="single" w:sz="8" w:color="auto"/>
              <w:bottom w:val="single" w:sz="8" w:color="auto"/>
            </w:tcBorders>
          </w:tcPr>
          <w:p>
            <w:pPr>
              <w:spacing w:after="0"/>
              <w:rPr>
                <w:sz w:val="20"/>
                <w:szCs w:val="20"/>
                <w:color w:val="auto"/>
              </w:rPr>
            </w:pPr>
            <w:r>
              <w:rPr>
                <w:rFonts w:ascii="Arial" w:cs="Arial" w:eastAsia="Arial" w:hAnsi="Arial"/>
                <w:sz w:val="18"/>
                <w:szCs w:val="18"/>
                <w:color w:val="auto"/>
                <w:w w:val="79"/>
              </w:rPr>
              <w:t>$</w:t>
            </w:r>
          </w:p>
        </w:tc>
        <w:tc>
          <w:tcPr>
            <w:tcW w:w="7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2"/>
              </w:rPr>
              <w:t>1,470,602</w:t>
            </w:r>
          </w:p>
        </w:tc>
        <w:tc>
          <w:tcPr>
            <w:tcW w:w="1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40" w:type="dxa"/>
            <w:vAlign w:val="bottom"/>
            <w:tcBorders>
              <w:top w:val="single" w:sz="8" w:color="auto"/>
              <w:bottom w:val="single" w:sz="8" w:color="auto"/>
            </w:tcBorders>
          </w:tcPr>
          <w:p>
            <w:pPr>
              <w:spacing w:after="0"/>
              <w:rPr>
                <w:sz w:val="20"/>
                <w:szCs w:val="20"/>
                <w:color w:val="auto"/>
              </w:rPr>
            </w:pPr>
            <w:r>
              <w:rPr>
                <w:rFonts w:ascii="Arial" w:cs="Arial" w:eastAsia="Arial" w:hAnsi="Arial"/>
                <w:sz w:val="18"/>
                <w:szCs w:val="18"/>
                <w:color w:val="auto"/>
              </w:rPr>
              <w:t>$</w:t>
            </w:r>
          </w:p>
        </w:tc>
        <w:tc>
          <w:tcPr>
            <w:tcW w:w="8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20,025</w:t>
            </w:r>
          </w:p>
        </w:tc>
        <w:tc>
          <w:tcPr>
            <w:tcW w:w="220" w:type="dxa"/>
            <w:vAlign w:val="bottom"/>
          </w:tcPr>
          <w:p>
            <w:pPr>
              <w:spacing w:after="0"/>
              <w:rPr>
                <w:sz w:val="19"/>
                <w:szCs w:val="19"/>
                <w:color w:val="auto"/>
              </w:rPr>
            </w:pPr>
          </w:p>
        </w:tc>
        <w:tc>
          <w:tcPr>
            <w:tcW w:w="20" w:type="dxa"/>
            <w:vAlign w:val="bottom"/>
            <w:tcBorders>
              <w:bottom w:val="single" w:sz="8" w:color="auto"/>
            </w:tcBorders>
          </w:tcPr>
          <w:p>
            <w:pPr>
              <w:spacing w:after="0"/>
              <w:rPr>
                <w:sz w:val="19"/>
                <w:szCs w:val="19"/>
                <w:color w:val="auto"/>
              </w:rPr>
            </w:pPr>
          </w:p>
        </w:tc>
        <w:tc>
          <w:tcPr>
            <w:tcW w:w="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7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89"/>
              </w:rPr>
              <w:t>1,490,627</w:t>
            </w:r>
          </w:p>
        </w:tc>
        <w:tc>
          <w:tcPr>
            <w:tcW w:w="100" w:type="dxa"/>
            <w:vAlign w:val="bottom"/>
          </w:tcPr>
          <w:p>
            <w:pPr>
              <w:spacing w:after="0"/>
              <w:rPr>
                <w:sz w:val="19"/>
                <w:szCs w:val="19"/>
                <w:color w:val="auto"/>
              </w:rPr>
            </w:pPr>
          </w:p>
        </w:tc>
      </w:tr>
      <w:tr>
        <w:trPr>
          <w:trHeight w:val="20"/>
        </w:trPr>
        <w:tc>
          <w:tcPr>
            <w:tcW w:w="4000" w:type="dxa"/>
            <w:vAlign w:val="bottom"/>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202"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See accompanying condensed notes to the unaudited consolidated financial statements.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- 5 -</w:t>
      </w:r>
    </w:p>
    <w:p>
      <w:pPr>
        <w:sectPr>
          <w:pgSz w:w="11900" w:h="16838" w:orient="portrait"/>
          <w:cols w:equalWidth="0" w:num="1">
            <w:col w:w="11420"/>
          </w:cols>
          <w:pgMar w:left="240" w:top="135" w:right="239" w:bottom="1440" w:gutter="0" w:footer="0" w:header="0"/>
        </w:sectPr>
      </w:pPr>
    </w:p>
    <w:bookmarkStart w:id="5" w:name="page6"/>
    <w:bookmarkEnd w:id="5"/>
    <w:p>
      <w:pPr>
        <w:jc w:val="center"/>
        <w:spacing w:after="0"/>
        <w:rPr>
          <w:sz w:val="20"/>
          <w:szCs w:val="20"/>
          <w:color w:val="auto"/>
        </w:rPr>
      </w:pPr>
      <w:r>
        <w:rPr>
          <w:rFonts w:ascii="Arial" w:cs="Arial" w:eastAsia="Arial" w:hAnsi="Arial"/>
          <w:sz w:val="18"/>
          <w:szCs w:val="18"/>
          <w:b w:val="1"/>
          <w:bCs w:val="1"/>
          <w:color w:val="auto"/>
        </w:rPr>
        <w:t>TRI POINTE HOMES,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CONSOLIDATED STATEMENTS OF CASH FLOWS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(in thousands)</w:t>
      </w:r>
    </w:p>
    <w:p>
      <w:pPr>
        <w:spacing w:after="0" w:line="148"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806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3020" w:type="dxa"/>
            <w:vAlign w:val="bottom"/>
            <w:gridSpan w:val="6"/>
          </w:tcPr>
          <w:p>
            <w:pPr>
              <w:jc w:val="right"/>
              <w:ind w:right="760"/>
              <w:spacing w:after="0"/>
              <w:rPr>
                <w:sz w:val="20"/>
                <w:szCs w:val="20"/>
                <w:color w:val="auto"/>
              </w:rPr>
            </w:pPr>
            <w:r>
              <w:rPr>
                <w:rFonts w:ascii="Arial" w:cs="Arial" w:eastAsia="Arial" w:hAnsi="Arial"/>
                <w:sz w:val="14"/>
                <w:szCs w:val="14"/>
                <w:b w:val="1"/>
                <w:bCs w:val="1"/>
                <w:color w:val="auto"/>
              </w:rPr>
              <w:t>Three Months Ended March 31,</w:t>
            </w:r>
          </w:p>
        </w:tc>
      </w:tr>
      <w:tr>
        <w:trPr>
          <w:trHeight w:val="156"/>
        </w:trPr>
        <w:tc>
          <w:tcPr>
            <w:tcW w:w="8060" w:type="dxa"/>
            <w:vAlign w:val="bottom"/>
            <w:tcBorders>
              <w:bottom w:val="single" w:sz="8" w:color="CFF0FC"/>
            </w:tcBorders>
          </w:tcPr>
          <w:p>
            <w:pPr>
              <w:spacing w:after="0"/>
              <w:rPr>
                <w:sz w:val="13"/>
                <w:szCs w:val="13"/>
                <w:color w:val="auto"/>
              </w:rPr>
            </w:pPr>
          </w:p>
        </w:tc>
        <w:tc>
          <w:tcPr>
            <w:tcW w:w="340" w:type="dxa"/>
            <w:vAlign w:val="bottom"/>
            <w:tcBorders>
              <w:top w:val="single" w:sz="8" w:color="auto"/>
              <w:bottom w:val="single" w:sz="8" w:color="auto"/>
            </w:tcBorders>
          </w:tcPr>
          <w:p>
            <w:pPr>
              <w:spacing w:after="0"/>
              <w:rPr>
                <w:sz w:val="13"/>
                <w:szCs w:val="13"/>
                <w:color w:val="auto"/>
              </w:rPr>
            </w:pPr>
          </w:p>
        </w:tc>
        <w:tc>
          <w:tcPr>
            <w:tcW w:w="1160" w:type="dxa"/>
            <w:vAlign w:val="bottom"/>
            <w:tcBorders>
              <w:top w:val="single" w:sz="8" w:color="auto"/>
              <w:bottom w:val="single" w:sz="8" w:color="auto"/>
            </w:tcBorders>
          </w:tcPr>
          <w:p>
            <w:pPr>
              <w:jc w:val="right"/>
              <w:ind w:right="511"/>
              <w:spacing w:after="0" w:line="155" w:lineRule="exact"/>
              <w:rPr>
                <w:sz w:val="20"/>
                <w:szCs w:val="20"/>
                <w:color w:val="auto"/>
              </w:rPr>
            </w:pPr>
            <w:r>
              <w:rPr>
                <w:rFonts w:ascii="Arial" w:cs="Arial" w:eastAsia="Arial" w:hAnsi="Arial"/>
                <w:sz w:val="14"/>
                <w:szCs w:val="14"/>
                <w:b w:val="1"/>
                <w:bCs w:val="1"/>
                <w:color w:val="auto"/>
              </w:rPr>
              <w:t>2015</w:t>
            </w:r>
          </w:p>
        </w:tc>
        <w:tc>
          <w:tcPr>
            <w:tcW w:w="140" w:type="dxa"/>
            <w:vAlign w:val="bottom"/>
            <w:tcBorders>
              <w:top w:val="single" w:sz="8" w:color="auto"/>
              <w:bottom w:val="single" w:sz="8" w:color="CFF0FC"/>
            </w:tcBorders>
          </w:tcPr>
          <w:p>
            <w:pPr>
              <w:spacing w:after="0"/>
              <w:rPr>
                <w:sz w:val="13"/>
                <w:szCs w:val="13"/>
                <w:color w:val="auto"/>
              </w:rPr>
            </w:pPr>
          </w:p>
        </w:tc>
        <w:tc>
          <w:tcPr>
            <w:tcW w:w="80" w:type="dxa"/>
            <w:vAlign w:val="bottom"/>
            <w:tcBorders>
              <w:top w:val="single" w:sz="8" w:color="auto"/>
              <w:bottom w:val="single" w:sz="8" w:color="CFF0FC"/>
            </w:tcBorders>
          </w:tcPr>
          <w:p>
            <w:pPr>
              <w:spacing w:after="0"/>
              <w:rPr>
                <w:sz w:val="13"/>
                <w:szCs w:val="13"/>
                <w:color w:val="auto"/>
              </w:rPr>
            </w:pPr>
          </w:p>
        </w:tc>
        <w:tc>
          <w:tcPr>
            <w:tcW w:w="360" w:type="dxa"/>
            <w:vAlign w:val="bottom"/>
            <w:tcBorders>
              <w:top w:val="single" w:sz="8" w:color="auto"/>
              <w:bottom w:val="single" w:sz="8" w:color="auto"/>
            </w:tcBorders>
          </w:tcPr>
          <w:p>
            <w:pPr>
              <w:spacing w:after="0"/>
              <w:rPr>
                <w:sz w:val="13"/>
                <w:szCs w:val="13"/>
                <w:color w:val="auto"/>
              </w:rPr>
            </w:pPr>
          </w:p>
        </w:tc>
        <w:tc>
          <w:tcPr>
            <w:tcW w:w="1160" w:type="dxa"/>
            <w:vAlign w:val="bottom"/>
            <w:tcBorders>
              <w:top w:val="single" w:sz="8" w:color="auto"/>
              <w:bottom w:val="single" w:sz="8" w:color="auto"/>
            </w:tcBorders>
          </w:tcPr>
          <w:p>
            <w:pPr>
              <w:jc w:val="right"/>
              <w:ind w:right="531"/>
              <w:spacing w:after="0" w:line="155" w:lineRule="exact"/>
              <w:rPr>
                <w:sz w:val="20"/>
                <w:szCs w:val="20"/>
                <w:color w:val="auto"/>
              </w:rPr>
            </w:pPr>
            <w:r>
              <w:rPr>
                <w:rFonts w:ascii="Arial" w:cs="Arial" w:eastAsia="Arial" w:hAnsi="Arial"/>
                <w:sz w:val="14"/>
                <w:szCs w:val="14"/>
                <w:b w:val="1"/>
                <w:bCs w:val="1"/>
                <w:color w:val="auto"/>
              </w:rPr>
              <w:t>2014</w:t>
            </w:r>
          </w:p>
        </w:tc>
        <w:tc>
          <w:tcPr>
            <w:tcW w:w="120" w:type="dxa"/>
            <w:vAlign w:val="bottom"/>
            <w:tcBorders>
              <w:bottom w:val="single" w:sz="8" w:color="CFF0FC"/>
            </w:tcBorders>
          </w:tcPr>
          <w:p>
            <w:pPr>
              <w:spacing w:after="0"/>
              <w:rPr>
                <w:sz w:val="13"/>
                <w:szCs w:val="13"/>
                <w:color w:val="auto"/>
              </w:rPr>
            </w:pPr>
          </w:p>
        </w:tc>
      </w:tr>
      <w:tr>
        <w:trPr>
          <w:trHeight w:val="223"/>
        </w:trPr>
        <w:tc>
          <w:tcPr>
            <w:tcW w:w="8060" w:type="dxa"/>
            <w:vAlign w:val="bottom"/>
            <w:shd w:val="clear" w:color="auto" w:fill="CFF0FC"/>
          </w:tcPr>
          <w:p>
            <w:pPr>
              <w:spacing w:after="0"/>
              <w:rPr>
                <w:sz w:val="20"/>
                <w:szCs w:val="20"/>
                <w:color w:val="auto"/>
              </w:rPr>
            </w:pPr>
            <w:r>
              <w:rPr>
                <w:rFonts w:ascii="Arial" w:cs="Arial" w:eastAsia="Arial" w:hAnsi="Arial"/>
                <w:sz w:val="18"/>
                <w:szCs w:val="18"/>
                <w:b w:val="1"/>
                <w:bCs w:val="1"/>
                <w:color w:val="auto"/>
              </w:rPr>
              <w:t>Cash flows from operating activities</w:t>
            </w:r>
          </w:p>
        </w:tc>
        <w:tc>
          <w:tcPr>
            <w:tcW w:w="340" w:type="dxa"/>
            <w:vAlign w:val="bottom"/>
            <w:shd w:val="clear" w:color="auto" w:fill="CFF0FC"/>
          </w:tcPr>
          <w:p>
            <w:pPr>
              <w:spacing w:after="0"/>
              <w:rPr>
                <w:sz w:val="19"/>
                <w:szCs w:val="19"/>
                <w:color w:val="auto"/>
              </w:rPr>
            </w:pPr>
          </w:p>
        </w:tc>
        <w:tc>
          <w:tcPr>
            <w:tcW w:w="1160" w:type="dxa"/>
            <w:vAlign w:val="bottom"/>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360" w:type="dxa"/>
            <w:vAlign w:val="bottom"/>
            <w:shd w:val="clear" w:color="auto" w:fill="CFF0FC"/>
          </w:tcPr>
          <w:p>
            <w:pPr>
              <w:spacing w:after="0"/>
              <w:rPr>
                <w:sz w:val="19"/>
                <w:szCs w:val="19"/>
                <w:color w:val="auto"/>
              </w:rPr>
            </w:pPr>
          </w:p>
        </w:tc>
        <w:tc>
          <w:tcPr>
            <w:tcW w:w="116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r>
      <w:tr>
        <w:trPr>
          <w:trHeight w:val="230"/>
        </w:trPr>
        <w:tc>
          <w:tcPr>
            <w:tcW w:w="8060" w:type="dxa"/>
            <w:vAlign w:val="bottom"/>
          </w:tcPr>
          <w:p>
            <w:pPr>
              <w:ind w:left="260"/>
              <w:spacing w:after="0"/>
              <w:rPr>
                <w:sz w:val="20"/>
                <w:szCs w:val="20"/>
                <w:color w:val="auto"/>
              </w:rPr>
            </w:pPr>
            <w:r>
              <w:rPr>
                <w:rFonts w:ascii="Arial" w:cs="Arial" w:eastAsia="Arial" w:hAnsi="Arial"/>
                <w:sz w:val="18"/>
                <w:szCs w:val="18"/>
                <w:color w:val="auto"/>
              </w:rPr>
              <w:t>Net income</w:t>
            </w:r>
          </w:p>
        </w:tc>
        <w:tc>
          <w:tcPr>
            <w:tcW w:w="340" w:type="dxa"/>
            <w:vAlign w:val="bottom"/>
          </w:tcPr>
          <w:p>
            <w:pPr>
              <w:jc w:val="right"/>
              <w:ind w:right="185"/>
              <w:spacing w:after="0"/>
              <w:rPr>
                <w:sz w:val="20"/>
                <w:szCs w:val="20"/>
                <w:color w:val="auto"/>
              </w:rPr>
            </w:pPr>
            <w:r>
              <w:rPr>
                <w:rFonts w:ascii="Arial" w:cs="Arial" w:eastAsia="Arial" w:hAnsi="Arial"/>
                <w:sz w:val="15"/>
                <w:szCs w:val="15"/>
                <w:color w:val="auto"/>
                <w:w w:val="71"/>
              </w:rPr>
              <w:t>$</w:t>
            </w:r>
          </w:p>
        </w:tc>
        <w:tc>
          <w:tcPr>
            <w:tcW w:w="1160" w:type="dxa"/>
            <w:vAlign w:val="bottom"/>
          </w:tcPr>
          <w:p>
            <w:pPr>
              <w:jc w:val="right"/>
              <w:spacing w:after="0"/>
              <w:rPr>
                <w:sz w:val="20"/>
                <w:szCs w:val="20"/>
                <w:color w:val="auto"/>
              </w:rPr>
            </w:pPr>
            <w:r>
              <w:rPr>
                <w:rFonts w:ascii="Arial" w:cs="Arial" w:eastAsia="Arial" w:hAnsi="Arial"/>
                <w:sz w:val="18"/>
                <w:szCs w:val="18"/>
                <w:color w:val="auto"/>
              </w:rPr>
              <w:t>15,297</w:t>
            </w:r>
          </w:p>
        </w:tc>
        <w:tc>
          <w:tcPr>
            <w:tcW w:w="140" w:type="dxa"/>
            <w:vAlign w:val="bottom"/>
          </w:tcPr>
          <w:p>
            <w:pPr>
              <w:spacing w:after="0"/>
              <w:rPr>
                <w:sz w:val="19"/>
                <w:szCs w:val="19"/>
                <w:color w:val="auto"/>
              </w:rPr>
            </w:pPr>
          </w:p>
        </w:tc>
        <w:tc>
          <w:tcPr>
            <w:tcW w:w="440" w:type="dxa"/>
            <w:vAlign w:val="bottom"/>
            <w:gridSpan w:val="2"/>
          </w:tcPr>
          <w:p>
            <w:pPr>
              <w:jc w:val="right"/>
              <w:ind w:right="170"/>
              <w:spacing w:after="0"/>
              <w:rPr>
                <w:sz w:val="20"/>
                <w:szCs w:val="20"/>
                <w:color w:val="auto"/>
              </w:rPr>
            </w:pPr>
            <w:r>
              <w:rPr>
                <w:rFonts w:ascii="Arial" w:cs="Arial" w:eastAsia="Arial" w:hAnsi="Arial"/>
                <w:sz w:val="18"/>
                <w:szCs w:val="18"/>
                <w:color w:val="auto"/>
              </w:rPr>
              <w:t>$</w:t>
            </w:r>
          </w:p>
        </w:tc>
        <w:tc>
          <w:tcPr>
            <w:tcW w:w="1160" w:type="dxa"/>
            <w:vAlign w:val="bottom"/>
          </w:tcPr>
          <w:p>
            <w:pPr>
              <w:jc w:val="right"/>
              <w:spacing w:after="0"/>
              <w:rPr>
                <w:sz w:val="20"/>
                <w:szCs w:val="20"/>
                <w:color w:val="auto"/>
              </w:rPr>
            </w:pPr>
            <w:r>
              <w:rPr>
                <w:rFonts w:ascii="Arial" w:cs="Arial" w:eastAsia="Arial" w:hAnsi="Arial"/>
                <w:sz w:val="18"/>
                <w:szCs w:val="18"/>
                <w:color w:val="auto"/>
              </w:rPr>
              <w:t>7,581</w:t>
            </w:r>
          </w:p>
        </w:tc>
        <w:tc>
          <w:tcPr>
            <w:tcW w:w="120" w:type="dxa"/>
            <w:vAlign w:val="bottom"/>
          </w:tcPr>
          <w:p>
            <w:pPr>
              <w:spacing w:after="0"/>
              <w:rPr>
                <w:sz w:val="19"/>
                <w:szCs w:val="19"/>
                <w:color w:val="auto"/>
              </w:rPr>
            </w:pPr>
          </w:p>
        </w:tc>
      </w:tr>
      <w:tr>
        <w:trPr>
          <w:trHeight w:val="215"/>
        </w:trPr>
        <w:tc>
          <w:tcPr>
            <w:tcW w:w="8060" w:type="dxa"/>
            <w:vAlign w:val="bottom"/>
            <w:shd w:val="clear" w:color="auto" w:fill="CFF0FC"/>
          </w:tcPr>
          <w:p>
            <w:pPr>
              <w:ind w:left="260"/>
              <w:spacing w:after="0"/>
              <w:rPr>
                <w:sz w:val="20"/>
                <w:szCs w:val="20"/>
                <w:color w:val="auto"/>
              </w:rPr>
            </w:pPr>
            <w:r>
              <w:rPr>
                <w:rFonts w:ascii="Arial" w:cs="Arial" w:eastAsia="Arial" w:hAnsi="Arial"/>
                <w:sz w:val="18"/>
                <w:szCs w:val="18"/>
                <w:color w:val="auto"/>
              </w:rPr>
              <w:t>Adjustments to reconcile net income to net cash used in</w:t>
            </w:r>
          </w:p>
        </w:tc>
        <w:tc>
          <w:tcPr>
            <w:tcW w:w="340" w:type="dxa"/>
            <w:vAlign w:val="bottom"/>
            <w:shd w:val="clear" w:color="auto" w:fill="CFF0FC"/>
          </w:tcPr>
          <w:p>
            <w:pPr>
              <w:spacing w:after="0"/>
              <w:rPr>
                <w:sz w:val="18"/>
                <w:szCs w:val="18"/>
                <w:color w:val="auto"/>
              </w:rPr>
            </w:pPr>
          </w:p>
        </w:tc>
        <w:tc>
          <w:tcPr>
            <w:tcW w:w="1160" w:type="dxa"/>
            <w:vAlign w:val="bottom"/>
            <w:shd w:val="clear" w:color="auto" w:fill="CFF0FC"/>
          </w:tcPr>
          <w:p>
            <w:pPr>
              <w:spacing w:after="0"/>
              <w:rPr>
                <w:sz w:val="18"/>
                <w:szCs w:val="18"/>
                <w:color w:val="auto"/>
              </w:rPr>
            </w:pPr>
          </w:p>
        </w:tc>
        <w:tc>
          <w:tcPr>
            <w:tcW w:w="140" w:type="dxa"/>
            <w:vAlign w:val="bottom"/>
            <w:shd w:val="clear" w:color="auto" w:fill="CFF0FC"/>
          </w:tcPr>
          <w:p>
            <w:pPr>
              <w:spacing w:after="0"/>
              <w:rPr>
                <w:sz w:val="18"/>
                <w:szCs w:val="18"/>
                <w:color w:val="auto"/>
              </w:rPr>
            </w:pPr>
          </w:p>
        </w:tc>
        <w:tc>
          <w:tcPr>
            <w:tcW w:w="80" w:type="dxa"/>
            <w:vAlign w:val="bottom"/>
            <w:shd w:val="clear" w:color="auto" w:fill="CFF0FC"/>
          </w:tcPr>
          <w:p>
            <w:pPr>
              <w:spacing w:after="0"/>
              <w:rPr>
                <w:sz w:val="18"/>
                <w:szCs w:val="18"/>
                <w:color w:val="auto"/>
              </w:rPr>
            </w:pPr>
          </w:p>
        </w:tc>
        <w:tc>
          <w:tcPr>
            <w:tcW w:w="360" w:type="dxa"/>
            <w:vAlign w:val="bottom"/>
            <w:shd w:val="clear" w:color="auto" w:fill="CFF0FC"/>
          </w:tcPr>
          <w:p>
            <w:pPr>
              <w:spacing w:after="0"/>
              <w:rPr>
                <w:sz w:val="18"/>
                <w:szCs w:val="18"/>
                <w:color w:val="auto"/>
              </w:rPr>
            </w:pPr>
          </w:p>
        </w:tc>
        <w:tc>
          <w:tcPr>
            <w:tcW w:w="1160" w:type="dxa"/>
            <w:vAlign w:val="bottom"/>
            <w:shd w:val="clear" w:color="auto" w:fill="CFF0FC"/>
          </w:tcPr>
          <w:p>
            <w:pPr>
              <w:spacing w:after="0"/>
              <w:rPr>
                <w:sz w:val="18"/>
                <w:szCs w:val="18"/>
                <w:color w:val="auto"/>
              </w:rPr>
            </w:pPr>
          </w:p>
        </w:tc>
        <w:tc>
          <w:tcPr>
            <w:tcW w:w="120" w:type="dxa"/>
            <w:vAlign w:val="bottom"/>
            <w:shd w:val="clear" w:color="auto" w:fill="CFF0FC"/>
          </w:tcPr>
          <w:p>
            <w:pPr>
              <w:spacing w:after="0"/>
              <w:rPr>
                <w:sz w:val="18"/>
                <w:szCs w:val="18"/>
                <w:color w:val="auto"/>
              </w:rPr>
            </w:pPr>
          </w:p>
        </w:tc>
      </w:tr>
      <w:tr>
        <w:trPr>
          <w:trHeight w:val="230"/>
        </w:trPr>
        <w:tc>
          <w:tcPr>
            <w:tcW w:w="8060" w:type="dxa"/>
            <w:vAlign w:val="bottom"/>
            <w:shd w:val="clear" w:color="auto" w:fill="CFF0FC"/>
          </w:tcPr>
          <w:p>
            <w:pPr>
              <w:ind w:left="380"/>
              <w:spacing w:after="0"/>
              <w:rPr>
                <w:sz w:val="20"/>
                <w:szCs w:val="20"/>
                <w:color w:val="auto"/>
              </w:rPr>
            </w:pPr>
            <w:r>
              <w:rPr>
                <w:rFonts w:ascii="Arial" w:cs="Arial" w:eastAsia="Arial" w:hAnsi="Arial"/>
                <w:sz w:val="18"/>
                <w:szCs w:val="18"/>
                <w:color w:val="auto"/>
              </w:rPr>
              <w:t>operating activities:</w:t>
            </w:r>
          </w:p>
        </w:tc>
        <w:tc>
          <w:tcPr>
            <w:tcW w:w="340" w:type="dxa"/>
            <w:vAlign w:val="bottom"/>
            <w:shd w:val="clear" w:color="auto" w:fill="CFF0FC"/>
          </w:tcPr>
          <w:p>
            <w:pPr>
              <w:spacing w:after="0"/>
              <w:rPr>
                <w:sz w:val="20"/>
                <w:szCs w:val="20"/>
                <w:color w:val="auto"/>
              </w:rPr>
            </w:pPr>
          </w:p>
        </w:tc>
        <w:tc>
          <w:tcPr>
            <w:tcW w:w="1160" w:type="dxa"/>
            <w:vAlign w:val="bottom"/>
            <w:shd w:val="clear" w:color="auto" w:fill="CFF0FC"/>
          </w:tcPr>
          <w:p>
            <w:pPr>
              <w:spacing w:after="0"/>
              <w:rPr>
                <w:sz w:val="20"/>
                <w:szCs w:val="20"/>
                <w:color w:val="auto"/>
              </w:rPr>
            </w:pPr>
          </w:p>
        </w:tc>
        <w:tc>
          <w:tcPr>
            <w:tcW w:w="140" w:type="dxa"/>
            <w:vAlign w:val="bottom"/>
            <w:shd w:val="clear" w:color="auto" w:fill="CFF0FC"/>
          </w:tcPr>
          <w:p>
            <w:pPr>
              <w:spacing w:after="0"/>
              <w:rPr>
                <w:sz w:val="20"/>
                <w:szCs w:val="20"/>
                <w:color w:val="auto"/>
              </w:rPr>
            </w:pPr>
          </w:p>
        </w:tc>
        <w:tc>
          <w:tcPr>
            <w:tcW w:w="80" w:type="dxa"/>
            <w:vAlign w:val="bottom"/>
            <w:shd w:val="clear" w:color="auto" w:fill="CFF0FC"/>
          </w:tcPr>
          <w:p>
            <w:pPr>
              <w:spacing w:after="0"/>
              <w:rPr>
                <w:sz w:val="20"/>
                <w:szCs w:val="20"/>
                <w:color w:val="auto"/>
              </w:rPr>
            </w:pPr>
          </w:p>
        </w:tc>
        <w:tc>
          <w:tcPr>
            <w:tcW w:w="360" w:type="dxa"/>
            <w:vAlign w:val="bottom"/>
            <w:shd w:val="clear" w:color="auto" w:fill="CFF0FC"/>
          </w:tcPr>
          <w:p>
            <w:pPr>
              <w:spacing w:after="0"/>
              <w:rPr>
                <w:sz w:val="20"/>
                <w:szCs w:val="20"/>
                <w:color w:val="auto"/>
              </w:rPr>
            </w:pPr>
          </w:p>
        </w:tc>
        <w:tc>
          <w:tcPr>
            <w:tcW w:w="1160" w:type="dxa"/>
            <w:vAlign w:val="bottom"/>
            <w:shd w:val="clear" w:color="auto" w:fill="CFF0FC"/>
          </w:tcPr>
          <w:p>
            <w:pPr>
              <w:spacing w:after="0"/>
              <w:rPr>
                <w:sz w:val="20"/>
                <w:szCs w:val="20"/>
                <w:color w:val="auto"/>
              </w:rPr>
            </w:pPr>
          </w:p>
        </w:tc>
        <w:tc>
          <w:tcPr>
            <w:tcW w:w="120" w:type="dxa"/>
            <w:vAlign w:val="bottom"/>
            <w:shd w:val="clear" w:color="auto" w:fill="CFF0FC"/>
          </w:tcPr>
          <w:p>
            <w:pPr>
              <w:spacing w:after="0"/>
              <w:rPr>
                <w:sz w:val="20"/>
                <w:szCs w:val="20"/>
                <w:color w:val="auto"/>
              </w:rPr>
            </w:pPr>
          </w:p>
        </w:tc>
      </w:tr>
      <w:tr>
        <w:trPr>
          <w:trHeight w:val="230"/>
        </w:trPr>
        <w:tc>
          <w:tcPr>
            <w:tcW w:w="8060" w:type="dxa"/>
            <w:vAlign w:val="bottom"/>
          </w:tcPr>
          <w:p>
            <w:pPr>
              <w:ind w:left="740"/>
              <w:spacing w:after="0"/>
              <w:rPr>
                <w:sz w:val="20"/>
                <w:szCs w:val="20"/>
                <w:color w:val="auto"/>
              </w:rPr>
            </w:pPr>
            <w:r>
              <w:rPr>
                <w:rFonts w:ascii="Arial" w:cs="Arial" w:eastAsia="Arial" w:hAnsi="Arial"/>
                <w:sz w:val="18"/>
                <w:szCs w:val="18"/>
                <w:color w:val="auto"/>
              </w:rPr>
              <w:t>Depreciation and amortization</w:t>
            </w:r>
          </w:p>
        </w:tc>
        <w:tc>
          <w:tcPr>
            <w:tcW w:w="340" w:type="dxa"/>
            <w:vAlign w:val="bottom"/>
          </w:tcPr>
          <w:p>
            <w:pPr>
              <w:spacing w:after="0"/>
              <w:rPr>
                <w:sz w:val="19"/>
                <w:szCs w:val="19"/>
                <w:color w:val="auto"/>
              </w:rPr>
            </w:pPr>
          </w:p>
        </w:tc>
        <w:tc>
          <w:tcPr>
            <w:tcW w:w="1160" w:type="dxa"/>
            <w:vAlign w:val="bottom"/>
          </w:tcPr>
          <w:p>
            <w:pPr>
              <w:jc w:val="right"/>
              <w:spacing w:after="0"/>
              <w:rPr>
                <w:sz w:val="20"/>
                <w:szCs w:val="20"/>
                <w:color w:val="auto"/>
              </w:rPr>
            </w:pPr>
            <w:r>
              <w:rPr>
                <w:rFonts w:ascii="Arial" w:cs="Arial" w:eastAsia="Arial" w:hAnsi="Arial"/>
                <w:sz w:val="18"/>
                <w:szCs w:val="18"/>
                <w:color w:val="auto"/>
              </w:rPr>
              <w:t>1,481</w:t>
            </w:r>
          </w:p>
        </w:tc>
        <w:tc>
          <w:tcPr>
            <w:tcW w:w="1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1160" w:type="dxa"/>
            <w:vAlign w:val="bottom"/>
          </w:tcPr>
          <w:p>
            <w:pPr>
              <w:jc w:val="right"/>
              <w:spacing w:after="0"/>
              <w:rPr>
                <w:sz w:val="20"/>
                <w:szCs w:val="20"/>
                <w:color w:val="auto"/>
              </w:rPr>
            </w:pPr>
            <w:r>
              <w:rPr>
                <w:rFonts w:ascii="Arial" w:cs="Arial" w:eastAsia="Arial" w:hAnsi="Arial"/>
                <w:sz w:val="18"/>
                <w:szCs w:val="18"/>
                <w:color w:val="auto"/>
              </w:rPr>
              <w:t>2,882</w:t>
            </w:r>
          </w:p>
        </w:tc>
        <w:tc>
          <w:tcPr>
            <w:tcW w:w="120" w:type="dxa"/>
            <w:vAlign w:val="bottom"/>
          </w:tcPr>
          <w:p>
            <w:pPr>
              <w:spacing w:after="0"/>
              <w:rPr>
                <w:sz w:val="19"/>
                <w:szCs w:val="19"/>
                <w:color w:val="auto"/>
              </w:rPr>
            </w:pPr>
          </w:p>
        </w:tc>
      </w:tr>
      <w:tr>
        <w:trPr>
          <w:trHeight w:val="230"/>
        </w:trPr>
        <w:tc>
          <w:tcPr>
            <w:tcW w:w="8060" w:type="dxa"/>
            <w:vAlign w:val="bottom"/>
            <w:shd w:val="clear" w:color="auto" w:fill="CFF0FC"/>
          </w:tcPr>
          <w:p>
            <w:pPr>
              <w:ind w:left="740"/>
              <w:spacing w:after="0"/>
              <w:rPr>
                <w:sz w:val="20"/>
                <w:szCs w:val="20"/>
                <w:color w:val="auto"/>
              </w:rPr>
            </w:pPr>
            <w:r>
              <w:rPr>
                <w:rFonts w:ascii="Arial" w:cs="Arial" w:eastAsia="Arial" w:hAnsi="Arial"/>
                <w:sz w:val="18"/>
                <w:szCs w:val="18"/>
                <w:color w:val="auto"/>
              </w:rPr>
              <w:t>Equity in (income) loss of unconsolidated entities, net</w:t>
            </w:r>
          </w:p>
        </w:tc>
        <w:tc>
          <w:tcPr>
            <w:tcW w:w="340" w:type="dxa"/>
            <w:vAlign w:val="bottom"/>
            <w:shd w:val="clear" w:color="auto" w:fill="CFF0FC"/>
          </w:tcPr>
          <w:p>
            <w:pPr>
              <w:spacing w:after="0"/>
              <w:rPr>
                <w:sz w:val="19"/>
                <w:szCs w:val="19"/>
                <w:color w:val="auto"/>
              </w:rPr>
            </w:pPr>
          </w:p>
        </w:tc>
        <w:tc>
          <w:tcPr>
            <w:tcW w:w="1300" w:type="dxa"/>
            <w:vAlign w:val="bottom"/>
            <w:gridSpan w:val="2"/>
            <w:shd w:val="clear" w:color="auto" w:fill="CFF0FC"/>
          </w:tcPr>
          <w:p>
            <w:pPr>
              <w:jc w:val="right"/>
              <w:ind w:right="80"/>
              <w:spacing w:after="0"/>
              <w:rPr>
                <w:sz w:val="20"/>
                <w:szCs w:val="20"/>
                <w:color w:val="auto"/>
              </w:rPr>
            </w:pPr>
            <w:r>
              <w:rPr>
                <w:rFonts w:ascii="Arial" w:cs="Arial" w:eastAsia="Arial" w:hAnsi="Arial"/>
                <w:sz w:val="18"/>
                <w:szCs w:val="18"/>
                <w:color w:val="auto"/>
              </w:rPr>
              <w:t>(74)</w:t>
            </w:r>
          </w:p>
        </w:tc>
        <w:tc>
          <w:tcPr>
            <w:tcW w:w="80" w:type="dxa"/>
            <w:vAlign w:val="bottom"/>
            <w:shd w:val="clear" w:color="auto" w:fill="CFF0FC"/>
          </w:tcPr>
          <w:p>
            <w:pPr>
              <w:spacing w:after="0"/>
              <w:rPr>
                <w:sz w:val="19"/>
                <w:szCs w:val="19"/>
                <w:color w:val="auto"/>
              </w:rPr>
            </w:pPr>
          </w:p>
        </w:tc>
        <w:tc>
          <w:tcPr>
            <w:tcW w:w="360" w:type="dxa"/>
            <w:vAlign w:val="bottom"/>
            <w:shd w:val="clear" w:color="auto" w:fill="CFF0FC"/>
          </w:tcPr>
          <w:p>
            <w:pPr>
              <w:spacing w:after="0"/>
              <w:rPr>
                <w:sz w:val="19"/>
                <w:szCs w:val="19"/>
                <w:color w:val="auto"/>
              </w:rPr>
            </w:pPr>
          </w:p>
        </w:tc>
        <w:tc>
          <w:tcPr>
            <w:tcW w:w="11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68</w:t>
            </w:r>
          </w:p>
        </w:tc>
        <w:tc>
          <w:tcPr>
            <w:tcW w:w="120" w:type="dxa"/>
            <w:vAlign w:val="bottom"/>
            <w:shd w:val="clear" w:color="auto" w:fill="CFF0FC"/>
          </w:tcPr>
          <w:p>
            <w:pPr>
              <w:spacing w:after="0"/>
              <w:rPr>
                <w:sz w:val="19"/>
                <w:szCs w:val="19"/>
                <w:color w:val="auto"/>
              </w:rPr>
            </w:pPr>
          </w:p>
        </w:tc>
      </w:tr>
      <w:tr>
        <w:trPr>
          <w:trHeight w:val="230"/>
        </w:trPr>
        <w:tc>
          <w:tcPr>
            <w:tcW w:w="8060" w:type="dxa"/>
            <w:vAlign w:val="bottom"/>
          </w:tcPr>
          <w:p>
            <w:pPr>
              <w:ind w:left="740"/>
              <w:spacing w:after="0"/>
              <w:rPr>
                <w:sz w:val="20"/>
                <w:szCs w:val="20"/>
                <w:color w:val="auto"/>
              </w:rPr>
            </w:pPr>
            <w:r>
              <w:rPr>
                <w:rFonts w:ascii="Arial" w:cs="Arial" w:eastAsia="Arial" w:hAnsi="Arial"/>
                <w:sz w:val="18"/>
                <w:szCs w:val="18"/>
                <w:color w:val="auto"/>
              </w:rPr>
              <w:t>Deferred income taxes, net</w:t>
            </w:r>
          </w:p>
        </w:tc>
        <w:tc>
          <w:tcPr>
            <w:tcW w:w="340" w:type="dxa"/>
            <w:vAlign w:val="bottom"/>
          </w:tcPr>
          <w:p>
            <w:pPr>
              <w:spacing w:after="0"/>
              <w:rPr>
                <w:sz w:val="19"/>
                <w:szCs w:val="19"/>
                <w:color w:val="auto"/>
              </w:rPr>
            </w:pPr>
          </w:p>
        </w:tc>
        <w:tc>
          <w:tcPr>
            <w:tcW w:w="1160" w:type="dxa"/>
            <w:vAlign w:val="bottom"/>
          </w:tcPr>
          <w:p>
            <w:pPr>
              <w:jc w:val="right"/>
              <w:spacing w:after="0"/>
              <w:rPr>
                <w:sz w:val="20"/>
                <w:szCs w:val="20"/>
                <w:color w:val="auto"/>
              </w:rPr>
            </w:pPr>
            <w:r>
              <w:rPr>
                <w:rFonts w:ascii="Arial" w:cs="Arial" w:eastAsia="Arial" w:hAnsi="Arial"/>
                <w:sz w:val="18"/>
                <w:szCs w:val="18"/>
                <w:color w:val="auto"/>
              </w:rPr>
              <w:t>2,018</w:t>
            </w:r>
          </w:p>
        </w:tc>
        <w:tc>
          <w:tcPr>
            <w:tcW w:w="1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1160" w:type="dxa"/>
            <w:vAlign w:val="bottom"/>
          </w:tcPr>
          <w:p>
            <w:pPr>
              <w:jc w:val="right"/>
              <w:spacing w:after="0"/>
              <w:rPr>
                <w:sz w:val="20"/>
                <w:szCs w:val="20"/>
                <w:color w:val="auto"/>
              </w:rPr>
            </w:pPr>
            <w:r>
              <w:rPr>
                <w:rFonts w:ascii="Arial" w:cs="Arial" w:eastAsia="Arial" w:hAnsi="Arial"/>
                <w:sz w:val="18"/>
                <w:szCs w:val="18"/>
                <w:color w:val="auto"/>
              </w:rPr>
              <w:t>1,029</w:t>
            </w:r>
          </w:p>
        </w:tc>
        <w:tc>
          <w:tcPr>
            <w:tcW w:w="120" w:type="dxa"/>
            <w:vAlign w:val="bottom"/>
          </w:tcPr>
          <w:p>
            <w:pPr>
              <w:spacing w:after="0"/>
              <w:rPr>
                <w:sz w:val="19"/>
                <w:szCs w:val="19"/>
                <w:color w:val="auto"/>
              </w:rPr>
            </w:pPr>
          </w:p>
        </w:tc>
      </w:tr>
      <w:tr>
        <w:trPr>
          <w:trHeight w:val="230"/>
        </w:trPr>
        <w:tc>
          <w:tcPr>
            <w:tcW w:w="8060" w:type="dxa"/>
            <w:vAlign w:val="bottom"/>
            <w:shd w:val="clear" w:color="auto" w:fill="CFF0FC"/>
          </w:tcPr>
          <w:p>
            <w:pPr>
              <w:ind w:left="740"/>
              <w:spacing w:after="0"/>
              <w:rPr>
                <w:sz w:val="20"/>
                <w:szCs w:val="20"/>
                <w:color w:val="auto"/>
              </w:rPr>
            </w:pPr>
            <w:r>
              <w:rPr>
                <w:rFonts w:ascii="Arial" w:cs="Arial" w:eastAsia="Arial" w:hAnsi="Arial"/>
                <w:sz w:val="18"/>
                <w:szCs w:val="18"/>
                <w:color w:val="auto"/>
              </w:rPr>
              <w:t>Amortization of stock-based compensation</w:t>
            </w:r>
          </w:p>
        </w:tc>
        <w:tc>
          <w:tcPr>
            <w:tcW w:w="340" w:type="dxa"/>
            <w:vAlign w:val="bottom"/>
            <w:shd w:val="clear" w:color="auto" w:fill="CFF0FC"/>
          </w:tcPr>
          <w:p>
            <w:pPr>
              <w:spacing w:after="0"/>
              <w:rPr>
                <w:sz w:val="19"/>
                <w:szCs w:val="19"/>
                <w:color w:val="auto"/>
              </w:rPr>
            </w:pPr>
          </w:p>
        </w:tc>
        <w:tc>
          <w:tcPr>
            <w:tcW w:w="11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2,381</w:t>
            </w:r>
          </w:p>
        </w:tc>
        <w:tc>
          <w:tcPr>
            <w:tcW w:w="14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360" w:type="dxa"/>
            <w:vAlign w:val="bottom"/>
            <w:shd w:val="clear" w:color="auto" w:fill="CFF0FC"/>
          </w:tcPr>
          <w:p>
            <w:pPr>
              <w:spacing w:after="0"/>
              <w:rPr>
                <w:sz w:val="19"/>
                <w:szCs w:val="19"/>
                <w:color w:val="auto"/>
              </w:rPr>
            </w:pPr>
          </w:p>
        </w:tc>
        <w:tc>
          <w:tcPr>
            <w:tcW w:w="11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1,293</w:t>
            </w:r>
          </w:p>
        </w:tc>
        <w:tc>
          <w:tcPr>
            <w:tcW w:w="120" w:type="dxa"/>
            <w:vAlign w:val="bottom"/>
            <w:shd w:val="clear" w:color="auto" w:fill="CFF0FC"/>
          </w:tcPr>
          <w:p>
            <w:pPr>
              <w:spacing w:after="0"/>
              <w:rPr>
                <w:sz w:val="19"/>
                <w:szCs w:val="19"/>
                <w:color w:val="auto"/>
              </w:rPr>
            </w:pPr>
          </w:p>
        </w:tc>
      </w:tr>
      <w:tr>
        <w:trPr>
          <w:trHeight w:val="230"/>
        </w:trPr>
        <w:tc>
          <w:tcPr>
            <w:tcW w:w="8060" w:type="dxa"/>
            <w:vAlign w:val="bottom"/>
          </w:tcPr>
          <w:p>
            <w:pPr>
              <w:ind w:left="740"/>
              <w:spacing w:after="0"/>
              <w:rPr>
                <w:sz w:val="20"/>
                <w:szCs w:val="20"/>
                <w:color w:val="auto"/>
              </w:rPr>
            </w:pPr>
            <w:r>
              <w:rPr>
                <w:rFonts w:ascii="Arial" w:cs="Arial" w:eastAsia="Arial" w:hAnsi="Arial"/>
                <w:sz w:val="18"/>
                <w:szCs w:val="18"/>
                <w:color w:val="auto"/>
              </w:rPr>
              <w:t>Charges for impairments and lot option abandonments</w:t>
            </w:r>
          </w:p>
        </w:tc>
        <w:tc>
          <w:tcPr>
            <w:tcW w:w="340" w:type="dxa"/>
            <w:vAlign w:val="bottom"/>
          </w:tcPr>
          <w:p>
            <w:pPr>
              <w:spacing w:after="0"/>
              <w:rPr>
                <w:sz w:val="19"/>
                <w:szCs w:val="19"/>
                <w:color w:val="auto"/>
              </w:rPr>
            </w:pPr>
          </w:p>
        </w:tc>
        <w:tc>
          <w:tcPr>
            <w:tcW w:w="1160" w:type="dxa"/>
            <w:vAlign w:val="bottom"/>
          </w:tcPr>
          <w:p>
            <w:pPr>
              <w:jc w:val="right"/>
              <w:spacing w:after="0"/>
              <w:rPr>
                <w:sz w:val="20"/>
                <w:szCs w:val="20"/>
                <w:color w:val="auto"/>
              </w:rPr>
            </w:pPr>
            <w:r>
              <w:rPr>
                <w:rFonts w:ascii="Arial" w:cs="Arial" w:eastAsia="Arial" w:hAnsi="Arial"/>
                <w:sz w:val="18"/>
                <w:szCs w:val="18"/>
                <w:color w:val="auto"/>
              </w:rPr>
              <w:t>360</w:t>
            </w:r>
          </w:p>
        </w:tc>
        <w:tc>
          <w:tcPr>
            <w:tcW w:w="1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1160" w:type="dxa"/>
            <w:vAlign w:val="bottom"/>
          </w:tcPr>
          <w:p>
            <w:pPr>
              <w:jc w:val="right"/>
              <w:spacing w:after="0"/>
              <w:rPr>
                <w:sz w:val="20"/>
                <w:szCs w:val="20"/>
                <w:color w:val="auto"/>
              </w:rPr>
            </w:pPr>
            <w:r>
              <w:rPr>
                <w:rFonts w:ascii="Arial" w:cs="Arial" w:eastAsia="Arial" w:hAnsi="Arial"/>
                <w:sz w:val="18"/>
                <w:szCs w:val="18"/>
                <w:color w:val="auto"/>
              </w:rPr>
              <w:t>468</w:t>
            </w:r>
          </w:p>
        </w:tc>
        <w:tc>
          <w:tcPr>
            <w:tcW w:w="120" w:type="dxa"/>
            <w:vAlign w:val="bottom"/>
          </w:tcPr>
          <w:p>
            <w:pPr>
              <w:spacing w:after="0"/>
              <w:rPr>
                <w:sz w:val="19"/>
                <w:szCs w:val="19"/>
                <w:color w:val="auto"/>
              </w:rPr>
            </w:pPr>
          </w:p>
        </w:tc>
      </w:tr>
      <w:tr>
        <w:trPr>
          <w:trHeight w:val="230"/>
        </w:trPr>
        <w:tc>
          <w:tcPr>
            <w:tcW w:w="8060" w:type="dxa"/>
            <w:vAlign w:val="bottom"/>
            <w:shd w:val="clear" w:color="auto" w:fill="CFF0FC"/>
          </w:tcPr>
          <w:p>
            <w:pPr>
              <w:ind w:left="740"/>
              <w:spacing w:after="0"/>
              <w:rPr>
                <w:sz w:val="20"/>
                <w:szCs w:val="20"/>
                <w:color w:val="auto"/>
              </w:rPr>
            </w:pPr>
            <w:r>
              <w:rPr>
                <w:rFonts w:ascii="Arial" w:cs="Arial" w:eastAsia="Arial" w:hAnsi="Arial"/>
                <w:sz w:val="18"/>
                <w:szCs w:val="18"/>
                <w:color w:val="auto"/>
              </w:rPr>
              <w:t>Changes in assets and liabilities:</w:t>
            </w:r>
          </w:p>
        </w:tc>
        <w:tc>
          <w:tcPr>
            <w:tcW w:w="340" w:type="dxa"/>
            <w:vAlign w:val="bottom"/>
            <w:shd w:val="clear" w:color="auto" w:fill="CFF0FC"/>
          </w:tcPr>
          <w:p>
            <w:pPr>
              <w:spacing w:after="0"/>
              <w:rPr>
                <w:sz w:val="19"/>
                <w:szCs w:val="19"/>
                <w:color w:val="auto"/>
              </w:rPr>
            </w:pPr>
          </w:p>
        </w:tc>
        <w:tc>
          <w:tcPr>
            <w:tcW w:w="1160" w:type="dxa"/>
            <w:vAlign w:val="bottom"/>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360" w:type="dxa"/>
            <w:vAlign w:val="bottom"/>
            <w:shd w:val="clear" w:color="auto" w:fill="CFF0FC"/>
          </w:tcPr>
          <w:p>
            <w:pPr>
              <w:spacing w:after="0"/>
              <w:rPr>
                <w:sz w:val="19"/>
                <w:szCs w:val="19"/>
                <w:color w:val="auto"/>
              </w:rPr>
            </w:pPr>
          </w:p>
        </w:tc>
        <w:tc>
          <w:tcPr>
            <w:tcW w:w="116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r>
      <w:tr>
        <w:trPr>
          <w:trHeight w:val="230"/>
        </w:trPr>
        <w:tc>
          <w:tcPr>
            <w:tcW w:w="8060" w:type="dxa"/>
            <w:vAlign w:val="bottom"/>
          </w:tcPr>
          <w:p>
            <w:pPr>
              <w:ind w:left="1000"/>
              <w:spacing w:after="0"/>
              <w:rPr>
                <w:sz w:val="20"/>
                <w:szCs w:val="20"/>
                <w:color w:val="auto"/>
              </w:rPr>
            </w:pPr>
            <w:r>
              <w:rPr>
                <w:rFonts w:ascii="Arial" w:cs="Arial" w:eastAsia="Arial" w:hAnsi="Arial"/>
                <w:sz w:val="18"/>
                <w:szCs w:val="18"/>
                <w:color w:val="auto"/>
              </w:rPr>
              <w:t>Real estate inventories</w:t>
            </w:r>
          </w:p>
        </w:tc>
        <w:tc>
          <w:tcPr>
            <w:tcW w:w="340" w:type="dxa"/>
            <w:vAlign w:val="bottom"/>
          </w:tcPr>
          <w:p>
            <w:pPr>
              <w:spacing w:after="0"/>
              <w:rPr>
                <w:sz w:val="19"/>
                <w:szCs w:val="19"/>
                <w:color w:val="auto"/>
              </w:rPr>
            </w:pPr>
          </w:p>
        </w:tc>
        <w:tc>
          <w:tcPr>
            <w:tcW w:w="1300" w:type="dxa"/>
            <w:vAlign w:val="bottom"/>
            <w:gridSpan w:val="2"/>
          </w:tcPr>
          <w:p>
            <w:pPr>
              <w:jc w:val="right"/>
              <w:ind w:right="80"/>
              <w:spacing w:after="0"/>
              <w:rPr>
                <w:sz w:val="20"/>
                <w:szCs w:val="20"/>
                <w:color w:val="auto"/>
              </w:rPr>
            </w:pPr>
            <w:r>
              <w:rPr>
                <w:rFonts w:ascii="Arial" w:cs="Arial" w:eastAsia="Arial" w:hAnsi="Arial"/>
                <w:sz w:val="18"/>
                <w:szCs w:val="18"/>
                <w:color w:val="auto"/>
              </w:rPr>
              <w:t>(127,304)</w:t>
            </w:r>
          </w:p>
        </w:tc>
        <w:tc>
          <w:tcPr>
            <w:tcW w:w="8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1280" w:type="dxa"/>
            <w:vAlign w:val="bottom"/>
            <w:gridSpan w:val="2"/>
          </w:tcPr>
          <w:p>
            <w:pPr>
              <w:jc w:val="right"/>
              <w:ind w:right="60"/>
              <w:spacing w:after="0"/>
              <w:rPr>
                <w:sz w:val="20"/>
                <w:szCs w:val="20"/>
                <w:color w:val="auto"/>
              </w:rPr>
            </w:pPr>
            <w:r>
              <w:rPr>
                <w:rFonts w:ascii="Arial" w:cs="Arial" w:eastAsia="Arial" w:hAnsi="Arial"/>
                <w:sz w:val="18"/>
                <w:szCs w:val="18"/>
                <w:color w:val="auto"/>
              </w:rPr>
              <w:t>(67,902)</w:t>
            </w:r>
          </w:p>
        </w:tc>
      </w:tr>
      <w:tr>
        <w:trPr>
          <w:trHeight w:val="230"/>
        </w:trPr>
        <w:tc>
          <w:tcPr>
            <w:tcW w:w="8060" w:type="dxa"/>
            <w:vAlign w:val="bottom"/>
            <w:shd w:val="clear" w:color="auto" w:fill="CFF0FC"/>
          </w:tcPr>
          <w:p>
            <w:pPr>
              <w:ind w:left="1000"/>
              <w:spacing w:after="0"/>
              <w:rPr>
                <w:sz w:val="20"/>
                <w:szCs w:val="20"/>
                <w:color w:val="auto"/>
              </w:rPr>
            </w:pPr>
            <w:r>
              <w:rPr>
                <w:rFonts w:ascii="Arial" w:cs="Arial" w:eastAsia="Arial" w:hAnsi="Arial"/>
                <w:sz w:val="18"/>
                <w:szCs w:val="18"/>
                <w:color w:val="auto"/>
              </w:rPr>
              <w:t>Receivables</w:t>
            </w:r>
          </w:p>
        </w:tc>
        <w:tc>
          <w:tcPr>
            <w:tcW w:w="340" w:type="dxa"/>
            <w:vAlign w:val="bottom"/>
            <w:shd w:val="clear" w:color="auto" w:fill="CFF0FC"/>
          </w:tcPr>
          <w:p>
            <w:pPr>
              <w:spacing w:after="0"/>
              <w:rPr>
                <w:sz w:val="19"/>
                <w:szCs w:val="19"/>
                <w:color w:val="auto"/>
              </w:rPr>
            </w:pPr>
          </w:p>
        </w:tc>
        <w:tc>
          <w:tcPr>
            <w:tcW w:w="1300" w:type="dxa"/>
            <w:vAlign w:val="bottom"/>
            <w:gridSpan w:val="2"/>
            <w:shd w:val="clear" w:color="auto" w:fill="CFF0FC"/>
          </w:tcPr>
          <w:p>
            <w:pPr>
              <w:jc w:val="right"/>
              <w:ind w:right="80"/>
              <w:spacing w:after="0"/>
              <w:rPr>
                <w:sz w:val="20"/>
                <w:szCs w:val="20"/>
                <w:color w:val="auto"/>
              </w:rPr>
            </w:pPr>
            <w:r>
              <w:rPr>
                <w:rFonts w:ascii="Arial" w:cs="Arial" w:eastAsia="Arial" w:hAnsi="Arial"/>
                <w:sz w:val="18"/>
                <w:szCs w:val="18"/>
                <w:color w:val="auto"/>
              </w:rPr>
              <w:t>(2,894)</w:t>
            </w:r>
          </w:p>
        </w:tc>
        <w:tc>
          <w:tcPr>
            <w:tcW w:w="80" w:type="dxa"/>
            <w:vAlign w:val="bottom"/>
            <w:shd w:val="clear" w:color="auto" w:fill="CFF0FC"/>
          </w:tcPr>
          <w:p>
            <w:pPr>
              <w:spacing w:after="0"/>
              <w:rPr>
                <w:sz w:val="19"/>
                <w:szCs w:val="19"/>
                <w:color w:val="auto"/>
              </w:rPr>
            </w:pPr>
          </w:p>
        </w:tc>
        <w:tc>
          <w:tcPr>
            <w:tcW w:w="360" w:type="dxa"/>
            <w:vAlign w:val="bottom"/>
            <w:shd w:val="clear" w:color="auto" w:fill="CFF0FC"/>
          </w:tcPr>
          <w:p>
            <w:pPr>
              <w:spacing w:after="0"/>
              <w:rPr>
                <w:sz w:val="19"/>
                <w:szCs w:val="19"/>
                <w:color w:val="auto"/>
              </w:rPr>
            </w:pPr>
          </w:p>
        </w:tc>
        <w:tc>
          <w:tcPr>
            <w:tcW w:w="11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24,972</w:t>
            </w:r>
          </w:p>
        </w:tc>
        <w:tc>
          <w:tcPr>
            <w:tcW w:w="120" w:type="dxa"/>
            <w:vAlign w:val="bottom"/>
            <w:shd w:val="clear" w:color="auto" w:fill="CFF0FC"/>
          </w:tcPr>
          <w:p>
            <w:pPr>
              <w:spacing w:after="0"/>
              <w:rPr>
                <w:sz w:val="19"/>
                <w:szCs w:val="19"/>
                <w:color w:val="auto"/>
              </w:rPr>
            </w:pPr>
          </w:p>
        </w:tc>
      </w:tr>
      <w:tr>
        <w:trPr>
          <w:trHeight w:val="230"/>
        </w:trPr>
        <w:tc>
          <w:tcPr>
            <w:tcW w:w="8060" w:type="dxa"/>
            <w:vAlign w:val="bottom"/>
          </w:tcPr>
          <w:p>
            <w:pPr>
              <w:ind w:left="1000"/>
              <w:spacing w:after="0"/>
              <w:rPr>
                <w:sz w:val="20"/>
                <w:szCs w:val="20"/>
                <w:color w:val="auto"/>
              </w:rPr>
            </w:pPr>
            <w:r>
              <w:rPr>
                <w:rFonts w:ascii="Arial" w:cs="Arial" w:eastAsia="Arial" w:hAnsi="Arial"/>
                <w:sz w:val="18"/>
                <w:szCs w:val="18"/>
                <w:color w:val="auto"/>
              </w:rPr>
              <w:t>Other assets</w:t>
            </w:r>
          </w:p>
        </w:tc>
        <w:tc>
          <w:tcPr>
            <w:tcW w:w="340" w:type="dxa"/>
            <w:vAlign w:val="bottom"/>
          </w:tcPr>
          <w:p>
            <w:pPr>
              <w:spacing w:after="0"/>
              <w:rPr>
                <w:sz w:val="19"/>
                <w:szCs w:val="19"/>
                <w:color w:val="auto"/>
              </w:rPr>
            </w:pPr>
          </w:p>
        </w:tc>
        <w:tc>
          <w:tcPr>
            <w:tcW w:w="1160" w:type="dxa"/>
            <w:vAlign w:val="bottom"/>
          </w:tcPr>
          <w:p>
            <w:pPr>
              <w:jc w:val="right"/>
              <w:spacing w:after="0"/>
              <w:rPr>
                <w:sz w:val="20"/>
                <w:szCs w:val="20"/>
                <w:color w:val="auto"/>
              </w:rPr>
            </w:pPr>
            <w:r>
              <w:rPr>
                <w:rFonts w:ascii="Arial" w:cs="Arial" w:eastAsia="Arial" w:hAnsi="Arial"/>
                <w:sz w:val="18"/>
                <w:szCs w:val="18"/>
                <w:color w:val="auto"/>
              </w:rPr>
              <w:t>6,963</w:t>
            </w:r>
          </w:p>
        </w:tc>
        <w:tc>
          <w:tcPr>
            <w:tcW w:w="1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1160" w:type="dxa"/>
            <w:vAlign w:val="bottom"/>
          </w:tcPr>
          <w:p>
            <w:pPr>
              <w:jc w:val="right"/>
              <w:spacing w:after="0"/>
              <w:rPr>
                <w:sz w:val="20"/>
                <w:szCs w:val="20"/>
                <w:color w:val="auto"/>
              </w:rPr>
            </w:pPr>
            <w:r>
              <w:rPr>
                <w:rFonts w:ascii="Arial" w:cs="Arial" w:eastAsia="Arial" w:hAnsi="Arial"/>
                <w:sz w:val="18"/>
                <w:szCs w:val="18"/>
                <w:color w:val="auto"/>
              </w:rPr>
              <w:t>11,811</w:t>
            </w:r>
          </w:p>
        </w:tc>
        <w:tc>
          <w:tcPr>
            <w:tcW w:w="120" w:type="dxa"/>
            <w:vAlign w:val="bottom"/>
          </w:tcPr>
          <w:p>
            <w:pPr>
              <w:spacing w:after="0"/>
              <w:rPr>
                <w:sz w:val="19"/>
                <w:szCs w:val="19"/>
                <w:color w:val="auto"/>
              </w:rPr>
            </w:pPr>
          </w:p>
        </w:tc>
      </w:tr>
      <w:tr>
        <w:trPr>
          <w:trHeight w:val="230"/>
        </w:trPr>
        <w:tc>
          <w:tcPr>
            <w:tcW w:w="8060" w:type="dxa"/>
            <w:vAlign w:val="bottom"/>
            <w:shd w:val="clear" w:color="auto" w:fill="CFF0FC"/>
          </w:tcPr>
          <w:p>
            <w:pPr>
              <w:ind w:left="1000"/>
              <w:spacing w:after="0"/>
              <w:rPr>
                <w:sz w:val="20"/>
                <w:szCs w:val="20"/>
                <w:color w:val="auto"/>
              </w:rPr>
            </w:pPr>
            <w:r>
              <w:rPr>
                <w:rFonts w:ascii="Arial" w:cs="Arial" w:eastAsia="Arial" w:hAnsi="Arial"/>
                <w:sz w:val="18"/>
                <w:szCs w:val="18"/>
                <w:color w:val="auto"/>
              </w:rPr>
              <w:t>Accounts payable</w:t>
            </w:r>
          </w:p>
        </w:tc>
        <w:tc>
          <w:tcPr>
            <w:tcW w:w="340" w:type="dxa"/>
            <w:vAlign w:val="bottom"/>
            <w:shd w:val="clear" w:color="auto" w:fill="CFF0FC"/>
          </w:tcPr>
          <w:p>
            <w:pPr>
              <w:spacing w:after="0"/>
              <w:rPr>
                <w:sz w:val="19"/>
                <w:szCs w:val="19"/>
                <w:color w:val="auto"/>
              </w:rPr>
            </w:pPr>
          </w:p>
        </w:tc>
        <w:tc>
          <w:tcPr>
            <w:tcW w:w="1300" w:type="dxa"/>
            <w:vAlign w:val="bottom"/>
            <w:gridSpan w:val="2"/>
            <w:shd w:val="clear" w:color="auto" w:fill="CFF0FC"/>
          </w:tcPr>
          <w:p>
            <w:pPr>
              <w:jc w:val="right"/>
              <w:ind w:right="80"/>
              <w:spacing w:after="0"/>
              <w:rPr>
                <w:sz w:val="20"/>
                <w:szCs w:val="20"/>
                <w:color w:val="auto"/>
              </w:rPr>
            </w:pPr>
            <w:r>
              <w:rPr>
                <w:rFonts w:ascii="Arial" w:cs="Arial" w:eastAsia="Arial" w:hAnsi="Arial"/>
                <w:sz w:val="18"/>
                <w:szCs w:val="18"/>
                <w:color w:val="auto"/>
              </w:rPr>
              <w:t>(7,865)</w:t>
            </w:r>
          </w:p>
        </w:tc>
        <w:tc>
          <w:tcPr>
            <w:tcW w:w="80" w:type="dxa"/>
            <w:vAlign w:val="bottom"/>
            <w:shd w:val="clear" w:color="auto" w:fill="CFF0FC"/>
          </w:tcPr>
          <w:p>
            <w:pPr>
              <w:spacing w:after="0"/>
              <w:rPr>
                <w:sz w:val="19"/>
                <w:szCs w:val="19"/>
                <w:color w:val="auto"/>
              </w:rPr>
            </w:pPr>
          </w:p>
        </w:tc>
        <w:tc>
          <w:tcPr>
            <w:tcW w:w="360" w:type="dxa"/>
            <w:vAlign w:val="bottom"/>
            <w:shd w:val="clear" w:color="auto" w:fill="CFF0FC"/>
          </w:tcPr>
          <w:p>
            <w:pPr>
              <w:spacing w:after="0"/>
              <w:rPr>
                <w:sz w:val="19"/>
                <w:szCs w:val="19"/>
                <w:color w:val="auto"/>
              </w:rPr>
            </w:pPr>
          </w:p>
        </w:tc>
        <w:tc>
          <w:tcPr>
            <w:tcW w:w="11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22,950</w:t>
            </w:r>
          </w:p>
        </w:tc>
        <w:tc>
          <w:tcPr>
            <w:tcW w:w="120" w:type="dxa"/>
            <w:vAlign w:val="bottom"/>
            <w:shd w:val="clear" w:color="auto" w:fill="CFF0FC"/>
          </w:tcPr>
          <w:p>
            <w:pPr>
              <w:spacing w:after="0"/>
              <w:rPr>
                <w:sz w:val="19"/>
                <w:szCs w:val="19"/>
                <w:color w:val="auto"/>
              </w:rPr>
            </w:pPr>
          </w:p>
        </w:tc>
      </w:tr>
      <w:tr>
        <w:trPr>
          <w:trHeight w:val="230"/>
        </w:trPr>
        <w:tc>
          <w:tcPr>
            <w:tcW w:w="8060" w:type="dxa"/>
            <w:vAlign w:val="bottom"/>
          </w:tcPr>
          <w:p>
            <w:pPr>
              <w:ind w:left="1000"/>
              <w:spacing w:after="0"/>
              <w:rPr>
                <w:sz w:val="20"/>
                <w:szCs w:val="20"/>
                <w:color w:val="auto"/>
              </w:rPr>
            </w:pPr>
            <w:r>
              <w:rPr>
                <w:rFonts w:ascii="Arial" w:cs="Arial" w:eastAsia="Arial" w:hAnsi="Arial"/>
                <w:sz w:val="18"/>
                <w:szCs w:val="18"/>
                <w:color w:val="auto"/>
              </w:rPr>
              <w:t>Accrued expenses and other liabilities</w:t>
            </w:r>
          </w:p>
        </w:tc>
        <w:tc>
          <w:tcPr>
            <w:tcW w:w="340" w:type="dxa"/>
            <w:vAlign w:val="bottom"/>
          </w:tcPr>
          <w:p>
            <w:pPr>
              <w:spacing w:after="0"/>
              <w:rPr>
                <w:sz w:val="19"/>
                <w:szCs w:val="19"/>
                <w:color w:val="auto"/>
              </w:rPr>
            </w:pPr>
          </w:p>
        </w:tc>
        <w:tc>
          <w:tcPr>
            <w:tcW w:w="1160" w:type="dxa"/>
            <w:vAlign w:val="bottom"/>
          </w:tcPr>
          <w:p>
            <w:pPr>
              <w:jc w:val="right"/>
              <w:spacing w:after="0"/>
              <w:rPr>
                <w:sz w:val="20"/>
                <w:szCs w:val="20"/>
                <w:color w:val="auto"/>
              </w:rPr>
            </w:pPr>
            <w:r>
              <w:rPr>
                <w:rFonts w:ascii="Arial" w:cs="Arial" w:eastAsia="Arial" w:hAnsi="Arial"/>
                <w:sz w:val="18"/>
                <w:szCs w:val="18"/>
                <w:color w:val="auto"/>
              </w:rPr>
              <w:t>1,323</w:t>
            </w:r>
          </w:p>
        </w:tc>
        <w:tc>
          <w:tcPr>
            <w:tcW w:w="1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1280" w:type="dxa"/>
            <w:vAlign w:val="bottom"/>
            <w:gridSpan w:val="2"/>
          </w:tcPr>
          <w:p>
            <w:pPr>
              <w:jc w:val="right"/>
              <w:ind w:right="60"/>
              <w:spacing w:after="0"/>
              <w:rPr>
                <w:sz w:val="20"/>
                <w:szCs w:val="20"/>
                <w:color w:val="auto"/>
              </w:rPr>
            </w:pPr>
            <w:r>
              <w:rPr>
                <w:rFonts w:ascii="Arial" w:cs="Arial" w:eastAsia="Arial" w:hAnsi="Arial"/>
                <w:sz w:val="18"/>
                <w:szCs w:val="18"/>
                <w:color w:val="auto"/>
              </w:rPr>
              <w:t>(33,370)</w:t>
            </w:r>
          </w:p>
        </w:tc>
      </w:tr>
      <w:tr>
        <w:trPr>
          <w:trHeight w:val="230"/>
        </w:trPr>
        <w:tc>
          <w:tcPr>
            <w:tcW w:w="8060" w:type="dxa"/>
            <w:vAlign w:val="bottom"/>
            <w:shd w:val="clear" w:color="auto" w:fill="CFF0FC"/>
          </w:tcPr>
          <w:p>
            <w:pPr>
              <w:ind w:left="1000"/>
              <w:spacing w:after="0"/>
              <w:rPr>
                <w:sz w:val="20"/>
                <w:szCs w:val="20"/>
                <w:color w:val="auto"/>
              </w:rPr>
            </w:pPr>
            <w:r>
              <w:rPr>
                <w:rFonts w:ascii="Arial" w:cs="Arial" w:eastAsia="Arial" w:hAnsi="Arial"/>
                <w:sz w:val="18"/>
                <w:szCs w:val="18"/>
                <w:color w:val="auto"/>
              </w:rPr>
              <w:t>Income taxes receivable from or payable to Weyerhaeuser</w:t>
            </w:r>
          </w:p>
        </w:tc>
        <w:tc>
          <w:tcPr>
            <w:tcW w:w="340" w:type="dxa"/>
            <w:vAlign w:val="bottom"/>
            <w:shd w:val="clear" w:color="auto" w:fill="CFF0FC"/>
          </w:tcPr>
          <w:p>
            <w:pPr>
              <w:spacing w:after="0"/>
              <w:rPr>
                <w:sz w:val="19"/>
                <w:szCs w:val="19"/>
                <w:color w:val="auto"/>
              </w:rPr>
            </w:pPr>
          </w:p>
        </w:tc>
        <w:tc>
          <w:tcPr>
            <w:tcW w:w="1300" w:type="dxa"/>
            <w:vAlign w:val="bottom"/>
            <w:gridSpan w:val="2"/>
            <w:shd w:val="clear" w:color="auto" w:fill="CFF0FC"/>
          </w:tcPr>
          <w:p>
            <w:pPr>
              <w:jc w:val="right"/>
              <w:ind w:right="140"/>
              <w:spacing w:after="0"/>
              <w:rPr>
                <w:sz w:val="20"/>
                <w:szCs w:val="20"/>
                <w:color w:val="auto"/>
              </w:rPr>
            </w:pPr>
            <w:r>
              <w:rPr>
                <w:rFonts w:ascii="Arial" w:cs="Arial" w:eastAsia="Arial" w:hAnsi="Arial"/>
                <w:sz w:val="18"/>
                <w:szCs w:val="18"/>
                <w:color w:val="auto"/>
              </w:rPr>
              <w:t>—</w:t>
            </w:r>
          </w:p>
        </w:tc>
        <w:tc>
          <w:tcPr>
            <w:tcW w:w="80" w:type="dxa"/>
            <w:vAlign w:val="bottom"/>
            <w:shd w:val="clear" w:color="auto" w:fill="CFF0FC"/>
          </w:tcPr>
          <w:p>
            <w:pPr>
              <w:spacing w:after="0"/>
              <w:rPr>
                <w:sz w:val="19"/>
                <w:szCs w:val="19"/>
                <w:color w:val="auto"/>
              </w:rPr>
            </w:pPr>
          </w:p>
        </w:tc>
        <w:tc>
          <w:tcPr>
            <w:tcW w:w="360" w:type="dxa"/>
            <w:vAlign w:val="bottom"/>
            <w:shd w:val="clear" w:color="auto" w:fill="CFF0FC"/>
          </w:tcPr>
          <w:p>
            <w:pPr>
              <w:spacing w:after="0"/>
              <w:rPr>
                <w:sz w:val="19"/>
                <w:szCs w:val="19"/>
                <w:color w:val="auto"/>
              </w:rPr>
            </w:pPr>
          </w:p>
        </w:tc>
        <w:tc>
          <w:tcPr>
            <w:tcW w:w="11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3,014</w:t>
            </w:r>
          </w:p>
        </w:tc>
        <w:tc>
          <w:tcPr>
            <w:tcW w:w="120" w:type="dxa"/>
            <w:vAlign w:val="bottom"/>
            <w:shd w:val="clear" w:color="auto" w:fill="CFF0FC"/>
          </w:tcPr>
          <w:p>
            <w:pPr>
              <w:spacing w:after="0"/>
              <w:rPr>
                <w:sz w:val="19"/>
                <w:szCs w:val="19"/>
                <w:color w:val="auto"/>
              </w:rPr>
            </w:pPr>
          </w:p>
        </w:tc>
      </w:tr>
      <w:tr>
        <w:trPr>
          <w:trHeight w:val="230"/>
        </w:trPr>
        <w:tc>
          <w:tcPr>
            <w:tcW w:w="8060" w:type="dxa"/>
            <w:vAlign w:val="bottom"/>
          </w:tcPr>
          <w:p>
            <w:pPr>
              <w:ind w:left="500"/>
              <w:spacing w:after="0"/>
              <w:rPr>
                <w:sz w:val="20"/>
                <w:szCs w:val="20"/>
                <w:color w:val="auto"/>
              </w:rPr>
            </w:pPr>
            <w:r>
              <w:rPr>
                <w:rFonts w:ascii="Arial" w:cs="Arial" w:eastAsia="Arial" w:hAnsi="Arial"/>
                <w:sz w:val="18"/>
                <w:szCs w:val="18"/>
                <w:color w:val="auto"/>
              </w:rPr>
              <w:t>Other operating cash flows</w:t>
            </w:r>
          </w:p>
        </w:tc>
        <w:tc>
          <w:tcPr>
            <w:tcW w:w="340" w:type="dxa"/>
            <w:vAlign w:val="bottom"/>
          </w:tcPr>
          <w:p>
            <w:pPr>
              <w:spacing w:after="0"/>
              <w:rPr>
                <w:sz w:val="19"/>
                <w:szCs w:val="19"/>
                <w:color w:val="auto"/>
              </w:rPr>
            </w:pPr>
          </w:p>
        </w:tc>
        <w:tc>
          <w:tcPr>
            <w:tcW w:w="130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1160" w:type="dxa"/>
            <w:vAlign w:val="bottom"/>
          </w:tcPr>
          <w:p>
            <w:pPr>
              <w:jc w:val="right"/>
              <w:spacing w:after="0"/>
              <w:rPr>
                <w:sz w:val="20"/>
                <w:szCs w:val="20"/>
                <w:color w:val="auto"/>
              </w:rPr>
            </w:pPr>
            <w:r>
              <w:rPr>
                <w:rFonts w:ascii="Arial" w:cs="Arial" w:eastAsia="Arial" w:hAnsi="Arial"/>
                <w:sz w:val="18"/>
                <w:szCs w:val="18"/>
                <w:color w:val="auto"/>
              </w:rPr>
              <w:t>31</w:t>
            </w:r>
          </w:p>
        </w:tc>
        <w:tc>
          <w:tcPr>
            <w:tcW w:w="120" w:type="dxa"/>
            <w:vAlign w:val="bottom"/>
          </w:tcPr>
          <w:p>
            <w:pPr>
              <w:spacing w:after="0"/>
              <w:rPr>
                <w:sz w:val="19"/>
                <w:szCs w:val="19"/>
                <w:color w:val="auto"/>
              </w:rPr>
            </w:pPr>
          </w:p>
        </w:tc>
      </w:tr>
      <w:tr>
        <w:trPr>
          <w:trHeight w:val="223"/>
        </w:trPr>
        <w:tc>
          <w:tcPr>
            <w:tcW w:w="8060" w:type="dxa"/>
            <w:vAlign w:val="bottom"/>
            <w:tcBorders>
              <w:top w:val="single" w:sz="8" w:color="CFF0FC"/>
            </w:tcBorders>
            <w:shd w:val="clear" w:color="auto" w:fill="CFF0FC"/>
          </w:tcPr>
          <w:p>
            <w:pPr>
              <w:spacing w:after="0"/>
              <w:rPr>
                <w:sz w:val="20"/>
                <w:szCs w:val="20"/>
                <w:color w:val="auto"/>
              </w:rPr>
            </w:pPr>
            <w:r>
              <w:rPr>
                <w:rFonts w:ascii="Arial" w:cs="Arial" w:eastAsia="Arial" w:hAnsi="Arial"/>
                <w:sz w:val="18"/>
                <w:szCs w:val="18"/>
                <w:color w:val="auto"/>
              </w:rPr>
              <w:t>Net cash used in operating activities</w:t>
            </w:r>
          </w:p>
        </w:tc>
        <w:tc>
          <w:tcPr>
            <w:tcW w:w="340" w:type="dxa"/>
            <w:vAlign w:val="bottom"/>
            <w:tcBorders>
              <w:top w:val="single" w:sz="8" w:color="auto"/>
              <w:bottom w:val="single" w:sz="8" w:color="auto"/>
            </w:tcBorders>
            <w:shd w:val="clear" w:color="auto" w:fill="CFF0FC"/>
          </w:tcPr>
          <w:p>
            <w:pPr>
              <w:spacing w:after="0"/>
              <w:rPr>
                <w:sz w:val="19"/>
                <w:szCs w:val="19"/>
                <w:color w:val="auto"/>
              </w:rPr>
            </w:pPr>
          </w:p>
        </w:tc>
        <w:tc>
          <w:tcPr>
            <w:tcW w:w="116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(108,314)</w:t>
            </w:r>
          </w:p>
        </w:tc>
        <w:tc>
          <w:tcPr>
            <w:tcW w:w="140" w:type="dxa"/>
            <w:vAlign w:val="bottom"/>
            <w:tcBorders>
              <w:top w:val="single" w:sz="8" w:color="CFF0FC"/>
            </w:tcBorders>
            <w:shd w:val="clear" w:color="auto" w:fill="CFF0FC"/>
          </w:tcPr>
          <w:p>
            <w:pPr>
              <w:spacing w:after="0"/>
              <w:rPr>
                <w:sz w:val="19"/>
                <w:szCs w:val="19"/>
                <w:color w:val="auto"/>
              </w:rPr>
            </w:pPr>
          </w:p>
        </w:tc>
        <w:tc>
          <w:tcPr>
            <w:tcW w:w="80" w:type="dxa"/>
            <w:vAlign w:val="bottom"/>
            <w:tcBorders>
              <w:top w:val="single" w:sz="8" w:color="CFF0FC"/>
            </w:tcBorders>
            <w:shd w:val="clear" w:color="auto" w:fill="CFF0FC"/>
          </w:tcPr>
          <w:p>
            <w:pPr>
              <w:spacing w:after="0"/>
              <w:rPr>
                <w:sz w:val="19"/>
                <w:szCs w:val="19"/>
                <w:color w:val="auto"/>
              </w:rPr>
            </w:pPr>
          </w:p>
        </w:tc>
        <w:tc>
          <w:tcPr>
            <w:tcW w:w="360" w:type="dxa"/>
            <w:vAlign w:val="bottom"/>
            <w:tcBorders>
              <w:top w:val="single" w:sz="8" w:color="auto"/>
              <w:bottom w:val="single" w:sz="8" w:color="auto"/>
            </w:tcBorders>
            <w:shd w:val="clear" w:color="auto" w:fill="CFF0FC"/>
          </w:tcPr>
          <w:p>
            <w:pPr>
              <w:spacing w:after="0"/>
              <w:rPr>
                <w:sz w:val="19"/>
                <w:szCs w:val="19"/>
                <w:color w:val="auto"/>
              </w:rPr>
            </w:pPr>
          </w:p>
        </w:tc>
        <w:tc>
          <w:tcPr>
            <w:tcW w:w="116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(25,173)</w:t>
            </w:r>
          </w:p>
        </w:tc>
        <w:tc>
          <w:tcPr>
            <w:tcW w:w="120" w:type="dxa"/>
            <w:vAlign w:val="bottom"/>
            <w:tcBorders>
              <w:top w:val="single" w:sz="8" w:color="CFF0FC"/>
            </w:tcBorders>
            <w:shd w:val="clear" w:color="auto" w:fill="CFF0FC"/>
          </w:tcPr>
          <w:p>
            <w:pPr>
              <w:spacing w:after="0"/>
              <w:rPr>
                <w:sz w:val="19"/>
                <w:szCs w:val="19"/>
                <w:color w:val="auto"/>
              </w:rPr>
            </w:pPr>
          </w:p>
        </w:tc>
      </w:tr>
      <w:tr>
        <w:trPr>
          <w:trHeight w:val="223"/>
        </w:trPr>
        <w:tc>
          <w:tcPr>
            <w:tcW w:w="8060" w:type="dxa"/>
            <w:vAlign w:val="bottom"/>
          </w:tcPr>
          <w:p>
            <w:pPr>
              <w:spacing w:after="0"/>
              <w:rPr>
                <w:sz w:val="20"/>
                <w:szCs w:val="20"/>
                <w:color w:val="auto"/>
              </w:rPr>
            </w:pPr>
            <w:r>
              <w:rPr>
                <w:rFonts w:ascii="Arial" w:cs="Arial" w:eastAsia="Arial" w:hAnsi="Arial"/>
                <w:sz w:val="18"/>
                <w:szCs w:val="18"/>
                <w:b w:val="1"/>
                <w:bCs w:val="1"/>
                <w:color w:val="auto"/>
              </w:rPr>
              <w:t>Cash flows from investing activities:</w:t>
            </w:r>
          </w:p>
        </w:tc>
        <w:tc>
          <w:tcPr>
            <w:tcW w:w="340" w:type="dxa"/>
            <w:vAlign w:val="bottom"/>
          </w:tcPr>
          <w:p>
            <w:pPr>
              <w:spacing w:after="0"/>
              <w:rPr>
                <w:sz w:val="19"/>
                <w:szCs w:val="19"/>
                <w:color w:val="auto"/>
              </w:rPr>
            </w:pPr>
          </w:p>
        </w:tc>
        <w:tc>
          <w:tcPr>
            <w:tcW w:w="116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1160" w:type="dxa"/>
            <w:vAlign w:val="bottom"/>
          </w:tcPr>
          <w:p>
            <w:pPr>
              <w:spacing w:after="0"/>
              <w:rPr>
                <w:sz w:val="19"/>
                <w:szCs w:val="19"/>
                <w:color w:val="auto"/>
              </w:rPr>
            </w:pPr>
          </w:p>
        </w:tc>
        <w:tc>
          <w:tcPr>
            <w:tcW w:w="120" w:type="dxa"/>
            <w:vAlign w:val="bottom"/>
          </w:tcPr>
          <w:p>
            <w:pPr>
              <w:spacing w:after="0"/>
              <w:rPr>
                <w:sz w:val="19"/>
                <w:szCs w:val="19"/>
                <w:color w:val="auto"/>
              </w:rPr>
            </w:pPr>
          </w:p>
        </w:tc>
      </w:tr>
      <w:tr>
        <w:trPr>
          <w:trHeight w:val="230"/>
        </w:trPr>
        <w:tc>
          <w:tcPr>
            <w:tcW w:w="8060" w:type="dxa"/>
            <w:vAlign w:val="bottom"/>
            <w:shd w:val="clear" w:color="auto" w:fill="CFF0FC"/>
          </w:tcPr>
          <w:p>
            <w:pPr>
              <w:ind w:left="740"/>
              <w:spacing w:after="0"/>
              <w:rPr>
                <w:sz w:val="20"/>
                <w:szCs w:val="20"/>
                <w:color w:val="auto"/>
              </w:rPr>
            </w:pPr>
            <w:r>
              <w:rPr>
                <w:rFonts w:ascii="Arial" w:cs="Arial" w:eastAsia="Arial" w:hAnsi="Arial"/>
                <w:sz w:val="18"/>
                <w:szCs w:val="18"/>
                <w:color w:val="auto"/>
              </w:rPr>
              <w:t>Purchases of property and equipment</w:t>
            </w:r>
          </w:p>
        </w:tc>
        <w:tc>
          <w:tcPr>
            <w:tcW w:w="340" w:type="dxa"/>
            <w:vAlign w:val="bottom"/>
            <w:shd w:val="clear" w:color="auto" w:fill="CFF0FC"/>
          </w:tcPr>
          <w:p>
            <w:pPr>
              <w:spacing w:after="0"/>
              <w:rPr>
                <w:sz w:val="19"/>
                <w:szCs w:val="19"/>
                <w:color w:val="auto"/>
              </w:rPr>
            </w:pPr>
          </w:p>
        </w:tc>
        <w:tc>
          <w:tcPr>
            <w:tcW w:w="1300" w:type="dxa"/>
            <w:vAlign w:val="bottom"/>
            <w:gridSpan w:val="2"/>
            <w:shd w:val="clear" w:color="auto" w:fill="CFF0FC"/>
          </w:tcPr>
          <w:p>
            <w:pPr>
              <w:jc w:val="right"/>
              <w:ind w:right="80"/>
              <w:spacing w:after="0"/>
              <w:rPr>
                <w:sz w:val="20"/>
                <w:szCs w:val="20"/>
                <w:color w:val="auto"/>
              </w:rPr>
            </w:pPr>
            <w:r>
              <w:rPr>
                <w:rFonts w:ascii="Arial" w:cs="Arial" w:eastAsia="Arial" w:hAnsi="Arial"/>
                <w:sz w:val="18"/>
                <w:szCs w:val="18"/>
                <w:color w:val="auto"/>
              </w:rPr>
              <w:t>(378)</w:t>
            </w:r>
          </w:p>
        </w:tc>
        <w:tc>
          <w:tcPr>
            <w:tcW w:w="80" w:type="dxa"/>
            <w:vAlign w:val="bottom"/>
            <w:shd w:val="clear" w:color="auto" w:fill="CFF0FC"/>
          </w:tcPr>
          <w:p>
            <w:pPr>
              <w:spacing w:after="0"/>
              <w:rPr>
                <w:sz w:val="19"/>
                <w:szCs w:val="19"/>
                <w:color w:val="auto"/>
              </w:rPr>
            </w:pPr>
          </w:p>
        </w:tc>
        <w:tc>
          <w:tcPr>
            <w:tcW w:w="360" w:type="dxa"/>
            <w:vAlign w:val="bottom"/>
            <w:shd w:val="clear" w:color="auto" w:fill="CFF0FC"/>
          </w:tcPr>
          <w:p>
            <w:pPr>
              <w:spacing w:after="0"/>
              <w:rPr>
                <w:sz w:val="19"/>
                <w:szCs w:val="19"/>
                <w:color w:val="auto"/>
              </w:rPr>
            </w:pPr>
          </w:p>
        </w:tc>
        <w:tc>
          <w:tcPr>
            <w:tcW w:w="1280" w:type="dxa"/>
            <w:vAlign w:val="bottom"/>
            <w:gridSpan w:val="2"/>
            <w:shd w:val="clear" w:color="auto" w:fill="CFF0FC"/>
          </w:tcPr>
          <w:p>
            <w:pPr>
              <w:jc w:val="right"/>
              <w:ind w:right="60"/>
              <w:spacing w:after="0"/>
              <w:rPr>
                <w:sz w:val="20"/>
                <w:szCs w:val="20"/>
                <w:color w:val="auto"/>
              </w:rPr>
            </w:pPr>
            <w:r>
              <w:rPr>
                <w:rFonts w:ascii="Arial" w:cs="Arial" w:eastAsia="Arial" w:hAnsi="Arial"/>
                <w:sz w:val="18"/>
                <w:szCs w:val="18"/>
                <w:color w:val="auto"/>
              </w:rPr>
              <w:t>(1,663)</w:t>
            </w:r>
          </w:p>
        </w:tc>
      </w:tr>
      <w:tr>
        <w:trPr>
          <w:trHeight w:val="230"/>
        </w:trPr>
        <w:tc>
          <w:tcPr>
            <w:tcW w:w="8060" w:type="dxa"/>
            <w:vAlign w:val="bottom"/>
          </w:tcPr>
          <w:p>
            <w:pPr>
              <w:ind w:left="740"/>
              <w:spacing w:after="0"/>
              <w:rPr>
                <w:sz w:val="20"/>
                <w:szCs w:val="20"/>
                <w:color w:val="auto"/>
              </w:rPr>
            </w:pPr>
            <w:r>
              <w:rPr>
                <w:rFonts w:ascii="Arial" w:cs="Arial" w:eastAsia="Arial" w:hAnsi="Arial"/>
                <w:sz w:val="18"/>
                <w:szCs w:val="18"/>
                <w:color w:val="auto"/>
              </w:rPr>
              <w:t>Proceeds from sale of property and equipment</w:t>
            </w:r>
          </w:p>
        </w:tc>
        <w:tc>
          <w:tcPr>
            <w:tcW w:w="340" w:type="dxa"/>
            <w:vAlign w:val="bottom"/>
          </w:tcPr>
          <w:p>
            <w:pPr>
              <w:spacing w:after="0"/>
              <w:rPr>
                <w:sz w:val="19"/>
                <w:szCs w:val="19"/>
                <w:color w:val="auto"/>
              </w:rPr>
            </w:pPr>
          </w:p>
        </w:tc>
        <w:tc>
          <w:tcPr>
            <w:tcW w:w="130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1160" w:type="dxa"/>
            <w:vAlign w:val="bottom"/>
          </w:tcPr>
          <w:p>
            <w:pPr>
              <w:jc w:val="right"/>
              <w:spacing w:after="0"/>
              <w:rPr>
                <w:sz w:val="20"/>
                <w:szCs w:val="20"/>
                <w:color w:val="auto"/>
              </w:rPr>
            </w:pPr>
            <w:r>
              <w:rPr>
                <w:rFonts w:ascii="Arial" w:cs="Arial" w:eastAsia="Arial" w:hAnsi="Arial"/>
                <w:sz w:val="18"/>
                <w:szCs w:val="18"/>
                <w:color w:val="auto"/>
              </w:rPr>
              <w:t>4</w:t>
            </w:r>
          </w:p>
        </w:tc>
        <w:tc>
          <w:tcPr>
            <w:tcW w:w="120" w:type="dxa"/>
            <w:vAlign w:val="bottom"/>
          </w:tcPr>
          <w:p>
            <w:pPr>
              <w:spacing w:after="0"/>
              <w:rPr>
                <w:sz w:val="19"/>
                <w:szCs w:val="19"/>
                <w:color w:val="auto"/>
              </w:rPr>
            </w:pPr>
          </w:p>
        </w:tc>
      </w:tr>
      <w:tr>
        <w:trPr>
          <w:trHeight w:val="230"/>
        </w:trPr>
        <w:tc>
          <w:tcPr>
            <w:tcW w:w="8060" w:type="dxa"/>
            <w:vAlign w:val="bottom"/>
            <w:shd w:val="clear" w:color="auto" w:fill="CFF0FC"/>
          </w:tcPr>
          <w:p>
            <w:pPr>
              <w:ind w:left="740"/>
              <w:spacing w:after="0"/>
              <w:rPr>
                <w:sz w:val="20"/>
                <w:szCs w:val="20"/>
                <w:color w:val="auto"/>
              </w:rPr>
            </w:pPr>
            <w:r>
              <w:rPr>
                <w:rFonts w:ascii="Arial" w:cs="Arial" w:eastAsia="Arial" w:hAnsi="Arial"/>
                <w:sz w:val="18"/>
                <w:szCs w:val="18"/>
                <w:color w:val="auto"/>
              </w:rPr>
              <w:t>Investments in unconsolidated entities</w:t>
            </w:r>
          </w:p>
        </w:tc>
        <w:tc>
          <w:tcPr>
            <w:tcW w:w="340" w:type="dxa"/>
            <w:vAlign w:val="bottom"/>
            <w:shd w:val="clear" w:color="auto" w:fill="CFF0FC"/>
          </w:tcPr>
          <w:p>
            <w:pPr>
              <w:spacing w:after="0"/>
              <w:rPr>
                <w:sz w:val="19"/>
                <w:szCs w:val="19"/>
                <w:color w:val="auto"/>
              </w:rPr>
            </w:pPr>
          </w:p>
        </w:tc>
        <w:tc>
          <w:tcPr>
            <w:tcW w:w="1300" w:type="dxa"/>
            <w:vAlign w:val="bottom"/>
            <w:gridSpan w:val="2"/>
            <w:shd w:val="clear" w:color="auto" w:fill="CFF0FC"/>
          </w:tcPr>
          <w:p>
            <w:pPr>
              <w:jc w:val="right"/>
              <w:ind w:right="80"/>
              <w:spacing w:after="0"/>
              <w:rPr>
                <w:sz w:val="20"/>
                <w:szCs w:val="20"/>
                <w:color w:val="auto"/>
              </w:rPr>
            </w:pPr>
            <w:r>
              <w:rPr>
                <w:rFonts w:ascii="Arial" w:cs="Arial" w:eastAsia="Arial" w:hAnsi="Arial"/>
                <w:sz w:val="18"/>
                <w:szCs w:val="18"/>
                <w:color w:val="auto"/>
              </w:rPr>
              <w:t>(978)</w:t>
            </w:r>
          </w:p>
        </w:tc>
        <w:tc>
          <w:tcPr>
            <w:tcW w:w="80" w:type="dxa"/>
            <w:vAlign w:val="bottom"/>
            <w:shd w:val="clear" w:color="auto" w:fill="CFF0FC"/>
          </w:tcPr>
          <w:p>
            <w:pPr>
              <w:spacing w:after="0"/>
              <w:rPr>
                <w:sz w:val="19"/>
                <w:szCs w:val="19"/>
                <w:color w:val="auto"/>
              </w:rPr>
            </w:pPr>
          </w:p>
        </w:tc>
        <w:tc>
          <w:tcPr>
            <w:tcW w:w="360" w:type="dxa"/>
            <w:vAlign w:val="bottom"/>
            <w:shd w:val="clear" w:color="auto" w:fill="CFF0FC"/>
          </w:tcPr>
          <w:p>
            <w:pPr>
              <w:spacing w:after="0"/>
              <w:rPr>
                <w:sz w:val="19"/>
                <w:szCs w:val="19"/>
                <w:color w:val="auto"/>
              </w:rPr>
            </w:pPr>
          </w:p>
        </w:tc>
        <w:tc>
          <w:tcPr>
            <w:tcW w:w="1280" w:type="dxa"/>
            <w:vAlign w:val="bottom"/>
            <w:gridSpan w:val="2"/>
            <w:shd w:val="clear" w:color="auto" w:fill="CFF0FC"/>
          </w:tcPr>
          <w:p>
            <w:pPr>
              <w:jc w:val="right"/>
              <w:ind w:right="60"/>
              <w:spacing w:after="0"/>
              <w:rPr>
                <w:sz w:val="20"/>
                <w:szCs w:val="20"/>
                <w:color w:val="auto"/>
              </w:rPr>
            </w:pPr>
            <w:r>
              <w:rPr>
                <w:rFonts w:ascii="Arial" w:cs="Arial" w:eastAsia="Arial" w:hAnsi="Arial"/>
                <w:sz w:val="18"/>
                <w:szCs w:val="18"/>
                <w:color w:val="auto"/>
              </w:rPr>
              <w:t>(473)</w:t>
            </w:r>
          </w:p>
        </w:tc>
      </w:tr>
      <w:tr>
        <w:trPr>
          <w:trHeight w:val="223"/>
        </w:trPr>
        <w:tc>
          <w:tcPr>
            <w:tcW w:w="8060" w:type="dxa"/>
            <w:vAlign w:val="bottom"/>
            <w:tcBorders>
              <w:bottom w:val="single" w:sz="8" w:color="CFF0FC"/>
            </w:tcBorders>
          </w:tcPr>
          <w:p>
            <w:pPr>
              <w:spacing w:after="0"/>
              <w:rPr>
                <w:sz w:val="20"/>
                <w:szCs w:val="20"/>
                <w:color w:val="auto"/>
              </w:rPr>
            </w:pPr>
            <w:r>
              <w:rPr>
                <w:rFonts w:ascii="Arial" w:cs="Arial" w:eastAsia="Arial" w:hAnsi="Arial"/>
                <w:sz w:val="18"/>
                <w:szCs w:val="18"/>
                <w:color w:val="auto"/>
              </w:rPr>
              <w:t>Net cash used in investing activities</w:t>
            </w:r>
          </w:p>
        </w:tc>
        <w:tc>
          <w:tcPr>
            <w:tcW w:w="340" w:type="dxa"/>
            <w:vAlign w:val="bottom"/>
            <w:tcBorders>
              <w:top w:val="single" w:sz="8" w:color="auto"/>
              <w:bottom w:val="single" w:sz="8" w:color="auto"/>
            </w:tcBorders>
          </w:tcPr>
          <w:p>
            <w:pPr>
              <w:spacing w:after="0"/>
              <w:rPr>
                <w:sz w:val="19"/>
                <w:szCs w:val="19"/>
                <w:color w:val="auto"/>
              </w:rPr>
            </w:pPr>
          </w:p>
        </w:tc>
        <w:tc>
          <w:tcPr>
            <w:tcW w:w="11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(1,356)</w:t>
            </w:r>
          </w:p>
        </w:tc>
        <w:tc>
          <w:tcPr>
            <w:tcW w:w="140" w:type="dxa"/>
            <w:vAlign w:val="bottom"/>
            <w:tcBorders>
              <w:bottom w:val="single" w:sz="8" w:color="CFF0FC"/>
            </w:tcBorders>
          </w:tcPr>
          <w:p>
            <w:pPr>
              <w:spacing w:after="0"/>
              <w:rPr>
                <w:sz w:val="19"/>
                <w:szCs w:val="19"/>
                <w:color w:val="auto"/>
              </w:rPr>
            </w:pPr>
          </w:p>
        </w:tc>
        <w:tc>
          <w:tcPr>
            <w:tcW w:w="80" w:type="dxa"/>
            <w:vAlign w:val="bottom"/>
            <w:tcBorders>
              <w:bottom w:val="single" w:sz="8" w:color="CFF0FC"/>
            </w:tcBorders>
          </w:tcPr>
          <w:p>
            <w:pPr>
              <w:spacing w:after="0"/>
              <w:rPr>
                <w:sz w:val="19"/>
                <w:szCs w:val="19"/>
                <w:color w:val="auto"/>
              </w:rPr>
            </w:pPr>
          </w:p>
        </w:tc>
        <w:tc>
          <w:tcPr>
            <w:tcW w:w="360" w:type="dxa"/>
            <w:vAlign w:val="bottom"/>
            <w:tcBorders>
              <w:top w:val="single" w:sz="8" w:color="auto"/>
              <w:bottom w:val="single" w:sz="8" w:color="auto"/>
            </w:tcBorders>
          </w:tcPr>
          <w:p>
            <w:pPr>
              <w:spacing w:after="0"/>
              <w:rPr>
                <w:sz w:val="19"/>
                <w:szCs w:val="19"/>
                <w:color w:val="auto"/>
              </w:rPr>
            </w:pPr>
          </w:p>
        </w:tc>
        <w:tc>
          <w:tcPr>
            <w:tcW w:w="11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(2,132)</w:t>
            </w:r>
          </w:p>
        </w:tc>
        <w:tc>
          <w:tcPr>
            <w:tcW w:w="120" w:type="dxa"/>
            <w:vAlign w:val="bottom"/>
            <w:tcBorders>
              <w:bottom w:val="single" w:sz="8" w:color="CFF0FC"/>
            </w:tcBorders>
          </w:tcPr>
          <w:p>
            <w:pPr>
              <w:spacing w:after="0"/>
              <w:rPr>
                <w:sz w:val="19"/>
                <w:szCs w:val="19"/>
                <w:color w:val="auto"/>
              </w:rPr>
            </w:pPr>
          </w:p>
        </w:tc>
      </w:tr>
      <w:tr>
        <w:trPr>
          <w:trHeight w:val="223"/>
        </w:trPr>
        <w:tc>
          <w:tcPr>
            <w:tcW w:w="8060" w:type="dxa"/>
            <w:vAlign w:val="bottom"/>
            <w:shd w:val="clear" w:color="auto" w:fill="CFF0FC"/>
          </w:tcPr>
          <w:p>
            <w:pPr>
              <w:spacing w:after="0"/>
              <w:rPr>
                <w:sz w:val="20"/>
                <w:szCs w:val="20"/>
                <w:color w:val="auto"/>
              </w:rPr>
            </w:pPr>
            <w:r>
              <w:rPr>
                <w:rFonts w:ascii="Arial" w:cs="Arial" w:eastAsia="Arial" w:hAnsi="Arial"/>
                <w:sz w:val="18"/>
                <w:szCs w:val="18"/>
                <w:b w:val="1"/>
                <w:bCs w:val="1"/>
                <w:color w:val="auto"/>
              </w:rPr>
              <w:t>Cash flows from financing activities:</w:t>
            </w:r>
          </w:p>
        </w:tc>
        <w:tc>
          <w:tcPr>
            <w:tcW w:w="340" w:type="dxa"/>
            <w:vAlign w:val="bottom"/>
            <w:shd w:val="clear" w:color="auto" w:fill="CFF0FC"/>
          </w:tcPr>
          <w:p>
            <w:pPr>
              <w:spacing w:after="0"/>
              <w:rPr>
                <w:sz w:val="19"/>
                <w:szCs w:val="19"/>
                <w:color w:val="auto"/>
              </w:rPr>
            </w:pPr>
          </w:p>
        </w:tc>
        <w:tc>
          <w:tcPr>
            <w:tcW w:w="1160" w:type="dxa"/>
            <w:vAlign w:val="bottom"/>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360" w:type="dxa"/>
            <w:vAlign w:val="bottom"/>
            <w:shd w:val="clear" w:color="auto" w:fill="CFF0FC"/>
          </w:tcPr>
          <w:p>
            <w:pPr>
              <w:spacing w:after="0"/>
              <w:rPr>
                <w:sz w:val="19"/>
                <w:szCs w:val="19"/>
                <w:color w:val="auto"/>
              </w:rPr>
            </w:pPr>
          </w:p>
        </w:tc>
        <w:tc>
          <w:tcPr>
            <w:tcW w:w="116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r>
      <w:tr>
        <w:trPr>
          <w:trHeight w:val="230"/>
        </w:trPr>
        <w:tc>
          <w:tcPr>
            <w:tcW w:w="8060" w:type="dxa"/>
            <w:vAlign w:val="bottom"/>
          </w:tcPr>
          <w:p>
            <w:pPr>
              <w:ind w:left="740"/>
              <w:spacing w:after="0"/>
              <w:rPr>
                <w:sz w:val="20"/>
                <w:szCs w:val="20"/>
                <w:color w:val="auto"/>
              </w:rPr>
            </w:pPr>
            <w:r>
              <w:rPr>
                <w:rFonts w:ascii="Arial" w:cs="Arial" w:eastAsia="Arial" w:hAnsi="Arial"/>
                <w:sz w:val="18"/>
                <w:szCs w:val="18"/>
                <w:color w:val="auto"/>
              </w:rPr>
              <w:t>Borrowings from notes payable</w:t>
            </w:r>
          </w:p>
        </w:tc>
        <w:tc>
          <w:tcPr>
            <w:tcW w:w="340" w:type="dxa"/>
            <w:vAlign w:val="bottom"/>
          </w:tcPr>
          <w:p>
            <w:pPr>
              <w:spacing w:after="0"/>
              <w:rPr>
                <w:sz w:val="19"/>
                <w:szCs w:val="19"/>
                <w:color w:val="auto"/>
              </w:rPr>
            </w:pPr>
          </w:p>
        </w:tc>
        <w:tc>
          <w:tcPr>
            <w:tcW w:w="1160" w:type="dxa"/>
            <w:vAlign w:val="bottom"/>
          </w:tcPr>
          <w:p>
            <w:pPr>
              <w:jc w:val="right"/>
              <w:spacing w:after="0"/>
              <w:rPr>
                <w:sz w:val="20"/>
                <w:szCs w:val="20"/>
                <w:color w:val="auto"/>
              </w:rPr>
            </w:pPr>
            <w:r>
              <w:rPr>
                <w:rFonts w:ascii="Arial" w:cs="Arial" w:eastAsia="Arial" w:hAnsi="Arial"/>
                <w:sz w:val="18"/>
                <w:szCs w:val="18"/>
                <w:color w:val="auto"/>
              </w:rPr>
              <w:t>50,000</w:t>
            </w:r>
          </w:p>
        </w:tc>
        <w:tc>
          <w:tcPr>
            <w:tcW w:w="1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128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r>
      <w:tr>
        <w:trPr>
          <w:trHeight w:val="230"/>
        </w:trPr>
        <w:tc>
          <w:tcPr>
            <w:tcW w:w="8060" w:type="dxa"/>
            <w:vAlign w:val="bottom"/>
            <w:shd w:val="clear" w:color="auto" w:fill="CFF0FC"/>
          </w:tcPr>
          <w:p>
            <w:pPr>
              <w:ind w:left="740"/>
              <w:spacing w:after="0"/>
              <w:rPr>
                <w:sz w:val="20"/>
                <w:szCs w:val="20"/>
                <w:color w:val="auto"/>
              </w:rPr>
            </w:pPr>
            <w:r>
              <w:rPr>
                <w:rFonts w:ascii="Arial" w:cs="Arial" w:eastAsia="Arial" w:hAnsi="Arial"/>
                <w:sz w:val="18"/>
                <w:szCs w:val="18"/>
                <w:color w:val="auto"/>
              </w:rPr>
              <w:t>Repayment of notes payable</w:t>
            </w:r>
          </w:p>
        </w:tc>
        <w:tc>
          <w:tcPr>
            <w:tcW w:w="340" w:type="dxa"/>
            <w:vAlign w:val="bottom"/>
            <w:shd w:val="clear" w:color="auto" w:fill="CFF0FC"/>
          </w:tcPr>
          <w:p>
            <w:pPr>
              <w:spacing w:after="0"/>
              <w:rPr>
                <w:sz w:val="19"/>
                <w:szCs w:val="19"/>
                <w:color w:val="auto"/>
              </w:rPr>
            </w:pPr>
          </w:p>
        </w:tc>
        <w:tc>
          <w:tcPr>
            <w:tcW w:w="1300" w:type="dxa"/>
            <w:vAlign w:val="bottom"/>
            <w:gridSpan w:val="2"/>
            <w:shd w:val="clear" w:color="auto" w:fill="CFF0FC"/>
          </w:tcPr>
          <w:p>
            <w:pPr>
              <w:jc w:val="right"/>
              <w:ind w:right="80"/>
              <w:spacing w:after="0"/>
              <w:rPr>
                <w:sz w:val="20"/>
                <w:szCs w:val="20"/>
                <w:color w:val="auto"/>
              </w:rPr>
            </w:pPr>
            <w:r>
              <w:rPr>
                <w:rFonts w:ascii="Arial" w:cs="Arial" w:eastAsia="Arial" w:hAnsi="Arial"/>
                <w:sz w:val="18"/>
                <w:szCs w:val="18"/>
                <w:color w:val="auto"/>
              </w:rPr>
              <w:t>(2,535)</w:t>
            </w:r>
          </w:p>
        </w:tc>
        <w:tc>
          <w:tcPr>
            <w:tcW w:w="80" w:type="dxa"/>
            <w:vAlign w:val="bottom"/>
            <w:shd w:val="clear" w:color="auto" w:fill="CFF0FC"/>
          </w:tcPr>
          <w:p>
            <w:pPr>
              <w:spacing w:after="0"/>
              <w:rPr>
                <w:sz w:val="19"/>
                <w:szCs w:val="19"/>
                <w:color w:val="auto"/>
              </w:rPr>
            </w:pPr>
          </w:p>
        </w:tc>
        <w:tc>
          <w:tcPr>
            <w:tcW w:w="360" w:type="dxa"/>
            <w:vAlign w:val="bottom"/>
            <w:shd w:val="clear" w:color="auto" w:fill="CFF0FC"/>
          </w:tcPr>
          <w:p>
            <w:pPr>
              <w:spacing w:after="0"/>
              <w:rPr>
                <w:sz w:val="19"/>
                <w:szCs w:val="19"/>
                <w:color w:val="auto"/>
              </w:rPr>
            </w:pPr>
          </w:p>
        </w:tc>
        <w:tc>
          <w:tcPr>
            <w:tcW w:w="1280" w:type="dxa"/>
            <w:vAlign w:val="bottom"/>
            <w:gridSpan w:val="2"/>
            <w:shd w:val="clear" w:color="auto" w:fill="CFF0FC"/>
          </w:tcPr>
          <w:p>
            <w:pPr>
              <w:jc w:val="right"/>
              <w:ind w:right="140"/>
              <w:spacing w:after="0"/>
              <w:rPr>
                <w:sz w:val="20"/>
                <w:szCs w:val="20"/>
                <w:color w:val="auto"/>
              </w:rPr>
            </w:pPr>
            <w:r>
              <w:rPr>
                <w:rFonts w:ascii="Arial" w:cs="Arial" w:eastAsia="Arial" w:hAnsi="Arial"/>
                <w:sz w:val="18"/>
                <w:szCs w:val="18"/>
                <w:color w:val="auto"/>
              </w:rPr>
              <w:t>—</w:t>
            </w:r>
          </w:p>
        </w:tc>
      </w:tr>
      <w:tr>
        <w:trPr>
          <w:trHeight w:val="230"/>
        </w:trPr>
        <w:tc>
          <w:tcPr>
            <w:tcW w:w="8060" w:type="dxa"/>
            <w:vAlign w:val="bottom"/>
          </w:tcPr>
          <w:p>
            <w:pPr>
              <w:ind w:left="740"/>
              <w:spacing w:after="0"/>
              <w:rPr>
                <w:sz w:val="20"/>
                <w:szCs w:val="20"/>
                <w:color w:val="auto"/>
              </w:rPr>
            </w:pPr>
            <w:r>
              <w:rPr>
                <w:rFonts w:ascii="Arial" w:cs="Arial" w:eastAsia="Arial" w:hAnsi="Arial"/>
                <w:sz w:val="18"/>
                <w:szCs w:val="18"/>
                <w:color w:val="auto"/>
              </w:rPr>
              <w:t>Changes in debt payable to Weyerhaeuser</w:t>
            </w:r>
          </w:p>
        </w:tc>
        <w:tc>
          <w:tcPr>
            <w:tcW w:w="340" w:type="dxa"/>
            <w:vAlign w:val="bottom"/>
          </w:tcPr>
          <w:p>
            <w:pPr>
              <w:spacing w:after="0"/>
              <w:rPr>
                <w:sz w:val="19"/>
                <w:szCs w:val="19"/>
                <w:color w:val="auto"/>
              </w:rPr>
            </w:pPr>
          </w:p>
        </w:tc>
        <w:tc>
          <w:tcPr>
            <w:tcW w:w="130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1160" w:type="dxa"/>
            <w:vAlign w:val="bottom"/>
          </w:tcPr>
          <w:p>
            <w:pPr>
              <w:jc w:val="right"/>
              <w:spacing w:after="0"/>
              <w:rPr>
                <w:sz w:val="20"/>
                <w:szCs w:val="20"/>
                <w:color w:val="auto"/>
              </w:rPr>
            </w:pPr>
            <w:r>
              <w:rPr>
                <w:rFonts w:ascii="Arial" w:cs="Arial" w:eastAsia="Arial" w:hAnsi="Arial"/>
                <w:sz w:val="18"/>
                <w:szCs w:val="18"/>
                <w:color w:val="auto"/>
              </w:rPr>
              <w:t>34,220</w:t>
            </w:r>
          </w:p>
        </w:tc>
        <w:tc>
          <w:tcPr>
            <w:tcW w:w="120" w:type="dxa"/>
            <w:vAlign w:val="bottom"/>
          </w:tcPr>
          <w:p>
            <w:pPr>
              <w:spacing w:after="0"/>
              <w:rPr>
                <w:sz w:val="19"/>
                <w:szCs w:val="19"/>
                <w:color w:val="auto"/>
              </w:rPr>
            </w:pPr>
          </w:p>
        </w:tc>
      </w:tr>
      <w:tr>
        <w:trPr>
          <w:trHeight w:val="230"/>
        </w:trPr>
        <w:tc>
          <w:tcPr>
            <w:tcW w:w="8060" w:type="dxa"/>
            <w:vAlign w:val="bottom"/>
            <w:shd w:val="clear" w:color="auto" w:fill="CFF0FC"/>
          </w:tcPr>
          <w:p>
            <w:pPr>
              <w:ind w:left="740"/>
              <w:spacing w:after="0"/>
              <w:rPr>
                <w:sz w:val="20"/>
                <w:szCs w:val="20"/>
                <w:color w:val="auto"/>
              </w:rPr>
            </w:pPr>
            <w:r>
              <w:rPr>
                <w:rFonts w:ascii="Arial" w:cs="Arial" w:eastAsia="Arial" w:hAnsi="Arial"/>
                <w:sz w:val="18"/>
                <w:szCs w:val="18"/>
                <w:color w:val="auto"/>
              </w:rPr>
              <w:t>Change in book overdrafts</w:t>
            </w:r>
          </w:p>
        </w:tc>
        <w:tc>
          <w:tcPr>
            <w:tcW w:w="340" w:type="dxa"/>
            <w:vAlign w:val="bottom"/>
            <w:shd w:val="clear" w:color="auto" w:fill="CFF0FC"/>
          </w:tcPr>
          <w:p>
            <w:pPr>
              <w:spacing w:after="0"/>
              <w:rPr>
                <w:sz w:val="19"/>
                <w:szCs w:val="19"/>
                <w:color w:val="auto"/>
              </w:rPr>
            </w:pPr>
          </w:p>
        </w:tc>
        <w:tc>
          <w:tcPr>
            <w:tcW w:w="1300" w:type="dxa"/>
            <w:vAlign w:val="bottom"/>
            <w:gridSpan w:val="2"/>
            <w:shd w:val="clear" w:color="auto" w:fill="CFF0FC"/>
          </w:tcPr>
          <w:p>
            <w:pPr>
              <w:jc w:val="right"/>
              <w:ind w:right="140"/>
              <w:spacing w:after="0"/>
              <w:rPr>
                <w:sz w:val="20"/>
                <w:szCs w:val="20"/>
                <w:color w:val="auto"/>
              </w:rPr>
            </w:pPr>
            <w:r>
              <w:rPr>
                <w:rFonts w:ascii="Arial" w:cs="Arial" w:eastAsia="Arial" w:hAnsi="Arial"/>
                <w:sz w:val="18"/>
                <w:szCs w:val="18"/>
                <w:color w:val="auto"/>
              </w:rPr>
              <w:t>—</w:t>
            </w:r>
          </w:p>
        </w:tc>
        <w:tc>
          <w:tcPr>
            <w:tcW w:w="80" w:type="dxa"/>
            <w:vAlign w:val="bottom"/>
            <w:shd w:val="clear" w:color="auto" w:fill="CFF0FC"/>
          </w:tcPr>
          <w:p>
            <w:pPr>
              <w:spacing w:after="0"/>
              <w:rPr>
                <w:sz w:val="19"/>
                <w:szCs w:val="19"/>
                <w:color w:val="auto"/>
              </w:rPr>
            </w:pPr>
          </w:p>
        </w:tc>
        <w:tc>
          <w:tcPr>
            <w:tcW w:w="360" w:type="dxa"/>
            <w:vAlign w:val="bottom"/>
            <w:shd w:val="clear" w:color="auto" w:fill="CFF0FC"/>
          </w:tcPr>
          <w:p>
            <w:pPr>
              <w:spacing w:after="0"/>
              <w:rPr>
                <w:sz w:val="19"/>
                <w:szCs w:val="19"/>
                <w:color w:val="auto"/>
              </w:rPr>
            </w:pPr>
          </w:p>
        </w:tc>
        <w:tc>
          <w:tcPr>
            <w:tcW w:w="1280" w:type="dxa"/>
            <w:vAlign w:val="bottom"/>
            <w:gridSpan w:val="2"/>
            <w:shd w:val="clear" w:color="auto" w:fill="CFF0FC"/>
          </w:tcPr>
          <w:p>
            <w:pPr>
              <w:jc w:val="right"/>
              <w:ind w:right="60"/>
              <w:spacing w:after="0"/>
              <w:rPr>
                <w:sz w:val="20"/>
                <w:szCs w:val="20"/>
                <w:color w:val="auto"/>
              </w:rPr>
            </w:pPr>
            <w:r>
              <w:rPr>
                <w:rFonts w:ascii="Arial" w:cs="Arial" w:eastAsia="Arial" w:hAnsi="Arial"/>
                <w:sz w:val="18"/>
                <w:szCs w:val="18"/>
                <w:color w:val="auto"/>
              </w:rPr>
              <w:t>(5,639)</w:t>
            </w:r>
          </w:p>
        </w:tc>
      </w:tr>
      <w:tr>
        <w:trPr>
          <w:trHeight w:val="230"/>
        </w:trPr>
        <w:tc>
          <w:tcPr>
            <w:tcW w:w="8060" w:type="dxa"/>
            <w:vAlign w:val="bottom"/>
          </w:tcPr>
          <w:p>
            <w:pPr>
              <w:ind w:left="740"/>
              <w:spacing w:after="0"/>
              <w:rPr>
                <w:sz w:val="20"/>
                <w:szCs w:val="20"/>
                <w:color w:val="auto"/>
              </w:rPr>
            </w:pPr>
            <w:r>
              <w:rPr>
                <w:rFonts w:ascii="Arial" w:cs="Arial" w:eastAsia="Arial" w:hAnsi="Arial"/>
                <w:sz w:val="18"/>
                <w:szCs w:val="18"/>
                <w:color w:val="auto"/>
              </w:rPr>
              <w:t>Net repayments of debt held by variable interest entities</w:t>
            </w:r>
          </w:p>
        </w:tc>
        <w:tc>
          <w:tcPr>
            <w:tcW w:w="340" w:type="dxa"/>
            <w:vAlign w:val="bottom"/>
          </w:tcPr>
          <w:p>
            <w:pPr>
              <w:spacing w:after="0"/>
              <w:rPr>
                <w:sz w:val="19"/>
                <w:szCs w:val="19"/>
                <w:color w:val="auto"/>
              </w:rPr>
            </w:pPr>
          </w:p>
        </w:tc>
        <w:tc>
          <w:tcPr>
            <w:tcW w:w="1300" w:type="dxa"/>
            <w:vAlign w:val="bottom"/>
            <w:gridSpan w:val="2"/>
          </w:tcPr>
          <w:p>
            <w:pPr>
              <w:jc w:val="right"/>
              <w:ind w:right="80"/>
              <w:spacing w:after="0"/>
              <w:rPr>
                <w:sz w:val="20"/>
                <w:szCs w:val="20"/>
                <w:color w:val="auto"/>
              </w:rPr>
            </w:pPr>
            <w:r>
              <w:rPr>
                <w:rFonts w:ascii="Arial" w:cs="Arial" w:eastAsia="Arial" w:hAnsi="Arial"/>
                <w:sz w:val="18"/>
                <w:szCs w:val="18"/>
                <w:color w:val="auto"/>
              </w:rPr>
              <w:t>(742)</w:t>
            </w:r>
          </w:p>
        </w:tc>
        <w:tc>
          <w:tcPr>
            <w:tcW w:w="8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1280" w:type="dxa"/>
            <w:vAlign w:val="bottom"/>
            <w:gridSpan w:val="2"/>
          </w:tcPr>
          <w:p>
            <w:pPr>
              <w:jc w:val="right"/>
              <w:ind w:right="60"/>
              <w:spacing w:after="0"/>
              <w:rPr>
                <w:sz w:val="20"/>
                <w:szCs w:val="20"/>
                <w:color w:val="auto"/>
              </w:rPr>
            </w:pPr>
            <w:r>
              <w:rPr>
                <w:rFonts w:ascii="Arial" w:cs="Arial" w:eastAsia="Arial" w:hAnsi="Arial"/>
                <w:sz w:val="18"/>
                <w:szCs w:val="18"/>
                <w:color w:val="auto"/>
              </w:rPr>
              <w:t>(803)</w:t>
            </w:r>
          </w:p>
        </w:tc>
      </w:tr>
      <w:tr>
        <w:trPr>
          <w:trHeight w:val="230"/>
        </w:trPr>
        <w:tc>
          <w:tcPr>
            <w:tcW w:w="8060" w:type="dxa"/>
            <w:vAlign w:val="bottom"/>
            <w:shd w:val="clear" w:color="auto" w:fill="CFF0FC"/>
          </w:tcPr>
          <w:p>
            <w:pPr>
              <w:ind w:left="740"/>
              <w:spacing w:after="0"/>
              <w:rPr>
                <w:sz w:val="20"/>
                <w:szCs w:val="20"/>
                <w:color w:val="auto"/>
              </w:rPr>
            </w:pPr>
            <w:r>
              <w:rPr>
                <w:rFonts w:ascii="Arial" w:cs="Arial" w:eastAsia="Arial" w:hAnsi="Arial"/>
                <w:sz w:val="18"/>
                <w:szCs w:val="18"/>
                <w:color w:val="auto"/>
              </w:rPr>
              <w:t>Contributions from noncontrolling interests</w:t>
            </w:r>
          </w:p>
        </w:tc>
        <w:tc>
          <w:tcPr>
            <w:tcW w:w="340" w:type="dxa"/>
            <w:vAlign w:val="bottom"/>
            <w:shd w:val="clear" w:color="auto" w:fill="CFF0FC"/>
          </w:tcPr>
          <w:p>
            <w:pPr>
              <w:spacing w:after="0"/>
              <w:rPr>
                <w:sz w:val="19"/>
                <w:szCs w:val="19"/>
                <w:color w:val="auto"/>
              </w:rPr>
            </w:pPr>
          </w:p>
        </w:tc>
        <w:tc>
          <w:tcPr>
            <w:tcW w:w="11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873</w:t>
            </w:r>
          </w:p>
        </w:tc>
        <w:tc>
          <w:tcPr>
            <w:tcW w:w="14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360" w:type="dxa"/>
            <w:vAlign w:val="bottom"/>
            <w:shd w:val="clear" w:color="auto" w:fill="CFF0FC"/>
          </w:tcPr>
          <w:p>
            <w:pPr>
              <w:spacing w:after="0"/>
              <w:rPr>
                <w:sz w:val="19"/>
                <w:szCs w:val="19"/>
                <w:color w:val="auto"/>
              </w:rPr>
            </w:pPr>
          </w:p>
        </w:tc>
        <w:tc>
          <w:tcPr>
            <w:tcW w:w="11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854</w:t>
            </w:r>
          </w:p>
        </w:tc>
        <w:tc>
          <w:tcPr>
            <w:tcW w:w="120" w:type="dxa"/>
            <w:vAlign w:val="bottom"/>
            <w:shd w:val="clear" w:color="auto" w:fill="CFF0FC"/>
          </w:tcPr>
          <w:p>
            <w:pPr>
              <w:spacing w:after="0"/>
              <w:rPr>
                <w:sz w:val="19"/>
                <w:szCs w:val="19"/>
                <w:color w:val="auto"/>
              </w:rPr>
            </w:pPr>
          </w:p>
        </w:tc>
      </w:tr>
      <w:tr>
        <w:trPr>
          <w:trHeight w:val="230"/>
        </w:trPr>
        <w:tc>
          <w:tcPr>
            <w:tcW w:w="8060" w:type="dxa"/>
            <w:vAlign w:val="bottom"/>
          </w:tcPr>
          <w:p>
            <w:pPr>
              <w:ind w:left="740"/>
              <w:spacing w:after="0"/>
              <w:rPr>
                <w:sz w:val="20"/>
                <w:szCs w:val="20"/>
                <w:color w:val="auto"/>
              </w:rPr>
            </w:pPr>
            <w:r>
              <w:rPr>
                <w:rFonts w:ascii="Arial" w:cs="Arial" w:eastAsia="Arial" w:hAnsi="Arial"/>
                <w:sz w:val="18"/>
                <w:szCs w:val="18"/>
                <w:color w:val="auto"/>
              </w:rPr>
              <w:t>Distributions to noncontrolling interests</w:t>
            </w:r>
          </w:p>
        </w:tc>
        <w:tc>
          <w:tcPr>
            <w:tcW w:w="340" w:type="dxa"/>
            <w:vAlign w:val="bottom"/>
          </w:tcPr>
          <w:p>
            <w:pPr>
              <w:spacing w:after="0"/>
              <w:rPr>
                <w:sz w:val="19"/>
                <w:szCs w:val="19"/>
                <w:color w:val="auto"/>
              </w:rPr>
            </w:pPr>
          </w:p>
        </w:tc>
        <w:tc>
          <w:tcPr>
            <w:tcW w:w="1300" w:type="dxa"/>
            <w:vAlign w:val="bottom"/>
            <w:gridSpan w:val="2"/>
          </w:tcPr>
          <w:p>
            <w:pPr>
              <w:jc w:val="right"/>
              <w:ind w:right="80"/>
              <w:spacing w:after="0"/>
              <w:rPr>
                <w:sz w:val="20"/>
                <w:szCs w:val="20"/>
                <w:color w:val="auto"/>
              </w:rPr>
            </w:pPr>
            <w:r>
              <w:rPr>
                <w:rFonts w:ascii="Arial" w:cs="Arial" w:eastAsia="Arial" w:hAnsi="Arial"/>
                <w:sz w:val="18"/>
                <w:szCs w:val="18"/>
                <w:color w:val="auto"/>
              </w:rPr>
              <w:t>(726)</w:t>
            </w:r>
          </w:p>
        </w:tc>
        <w:tc>
          <w:tcPr>
            <w:tcW w:w="8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1280" w:type="dxa"/>
            <w:vAlign w:val="bottom"/>
            <w:gridSpan w:val="2"/>
          </w:tcPr>
          <w:p>
            <w:pPr>
              <w:jc w:val="right"/>
              <w:ind w:right="60"/>
              <w:spacing w:after="0"/>
              <w:rPr>
                <w:sz w:val="20"/>
                <w:szCs w:val="20"/>
                <w:color w:val="auto"/>
              </w:rPr>
            </w:pPr>
            <w:r>
              <w:rPr>
                <w:rFonts w:ascii="Arial" w:cs="Arial" w:eastAsia="Arial" w:hAnsi="Arial"/>
                <w:sz w:val="18"/>
                <w:szCs w:val="18"/>
                <w:color w:val="auto"/>
              </w:rPr>
              <w:t>(2,985)</w:t>
            </w:r>
          </w:p>
        </w:tc>
      </w:tr>
      <w:tr>
        <w:trPr>
          <w:trHeight w:val="230"/>
        </w:trPr>
        <w:tc>
          <w:tcPr>
            <w:tcW w:w="8060" w:type="dxa"/>
            <w:vAlign w:val="bottom"/>
            <w:shd w:val="clear" w:color="auto" w:fill="CFF0FC"/>
          </w:tcPr>
          <w:p>
            <w:pPr>
              <w:ind w:left="740"/>
              <w:spacing w:after="0"/>
              <w:rPr>
                <w:sz w:val="20"/>
                <w:szCs w:val="20"/>
                <w:color w:val="auto"/>
              </w:rPr>
            </w:pPr>
            <w:r>
              <w:rPr>
                <w:rFonts w:ascii="Arial" w:cs="Arial" w:eastAsia="Arial" w:hAnsi="Arial"/>
                <w:sz w:val="18"/>
                <w:szCs w:val="18"/>
                <w:color w:val="auto"/>
              </w:rPr>
              <w:t>Proceeds from issuance of common stock under share-based awards</w:t>
            </w:r>
          </w:p>
        </w:tc>
        <w:tc>
          <w:tcPr>
            <w:tcW w:w="340" w:type="dxa"/>
            <w:vAlign w:val="bottom"/>
            <w:shd w:val="clear" w:color="auto" w:fill="CFF0FC"/>
          </w:tcPr>
          <w:p>
            <w:pPr>
              <w:spacing w:after="0"/>
              <w:rPr>
                <w:sz w:val="19"/>
                <w:szCs w:val="19"/>
                <w:color w:val="auto"/>
              </w:rPr>
            </w:pPr>
          </w:p>
        </w:tc>
        <w:tc>
          <w:tcPr>
            <w:tcW w:w="11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263</w:t>
            </w:r>
          </w:p>
        </w:tc>
        <w:tc>
          <w:tcPr>
            <w:tcW w:w="14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360" w:type="dxa"/>
            <w:vAlign w:val="bottom"/>
            <w:shd w:val="clear" w:color="auto" w:fill="CFF0FC"/>
          </w:tcPr>
          <w:p>
            <w:pPr>
              <w:spacing w:after="0"/>
              <w:rPr>
                <w:sz w:val="19"/>
                <w:szCs w:val="19"/>
                <w:color w:val="auto"/>
              </w:rPr>
            </w:pPr>
          </w:p>
        </w:tc>
        <w:tc>
          <w:tcPr>
            <w:tcW w:w="1280" w:type="dxa"/>
            <w:vAlign w:val="bottom"/>
            <w:gridSpan w:val="2"/>
            <w:shd w:val="clear" w:color="auto" w:fill="CFF0FC"/>
          </w:tcPr>
          <w:p>
            <w:pPr>
              <w:jc w:val="right"/>
              <w:ind w:right="140"/>
              <w:spacing w:after="0"/>
              <w:rPr>
                <w:sz w:val="20"/>
                <w:szCs w:val="20"/>
                <w:color w:val="auto"/>
              </w:rPr>
            </w:pPr>
            <w:r>
              <w:rPr>
                <w:rFonts w:ascii="Arial" w:cs="Arial" w:eastAsia="Arial" w:hAnsi="Arial"/>
                <w:sz w:val="18"/>
                <w:szCs w:val="18"/>
                <w:color w:val="auto"/>
              </w:rPr>
              <w:t>—</w:t>
            </w:r>
          </w:p>
        </w:tc>
      </w:tr>
      <w:tr>
        <w:trPr>
          <w:trHeight w:val="230"/>
        </w:trPr>
        <w:tc>
          <w:tcPr>
            <w:tcW w:w="8060" w:type="dxa"/>
            <w:vAlign w:val="bottom"/>
          </w:tcPr>
          <w:p>
            <w:pPr>
              <w:ind w:left="740"/>
              <w:spacing w:after="0"/>
              <w:rPr>
                <w:sz w:val="20"/>
                <w:szCs w:val="20"/>
                <w:color w:val="auto"/>
              </w:rPr>
            </w:pPr>
            <w:r>
              <w:rPr>
                <w:rFonts w:ascii="Arial" w:cs="Arial" w:eastAsia="Arial" w:hAnsi="Arial"/>
                <w:sz w:val="18"/>
                <w:szCs w:val="18"/>
                <w:color w:val="auto"/>
              </w:rPr>
              <w:t>Excess tax benefits of share-based awards</w:t>
            </w:r>
          </w:p>
        </w:tc>
        <w:tc>
          <w:tcPr>
            <w:tcW w:w="340" w:type="dxa"/>
            <w:vAlign w:val="bottom"/>
          </w:tcPr>
          <w:p>
            <w:pPr>
              <w:spacing w:after="0"/>
              <w:rPr>
                <w:sz w:val="19"/>
                <w:szCs w:val="19"/>
                <w:color w:val="auto"/>
              </w:rPr>
            </w:pPr>
          </w:p>
        </w:tc>
        <w:tc>
          <w:tcPr>
            <w:tcW w:w="1160" w:type="dxa"/>
            <w:vAlign w:val="bottom"/>
          </w:tcPr>
          <w:p>
            <w:pPr>
              <w:jc w:val="right"/>
              <w:spacing w:after="0"/>
              <w:rPr>
                <w:sz w:val="20"/>
                <w:szCs w:val="20"/>
                <w:color w:val="auto"/>
              </w:rPr>
            </w:pPr>
            <w:r>
              <w:rPr>
                <w:rFonts w:ascii="Arial" w:cs="Arial" w:eastAsia="Arial" w:hAnsi="Arial"/>
                <w:sz w:val="18"/>
                <w:szCs w:val="18"/>
                <w:color w:val="auto"/>
              </w:rPr>
              <w:t>308</w:t>
            </w:r>
          </w:p>
        </w:tc>
        <w:tc>
          <w:tcPr>
            <w:tcW w:w="1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1160" w:type="dxa"/>
            <w:vAlign w:val="bottom"/>
          </w:tcPr>
          <w:p>
            <w:pPr>
              <w:jc w:val="right"/>
              <w:spacing w:after="0"/>
              <w:rPr>
                <w:sz w:val="20"/>
                <w:szCs w:val="20"/>
                <w:color w:val="auto"/>
              </w:rPr>
            </w:pPr>
            <w:r>
              <w:rPr>
                <w:rFonts w:ascii="Arial" w:cs="Arial" w:eastAsia="Arial" w:hAnsi="Arial"/>
                <w:sz w:val="18"/>
                <w:szCs w:val="18"/>
                <w:color w:val="auto"/>
              </w:rPr>
              <w:t>486</w:t>
            </w:r>
          </w:p>
        </w:tc>
        <w:tc>
          <w:tcPr>
            <w:tcW w:w="120" w:type="dxa"/>
            <w:vAlign w:val="bottom"/>
          </w:tcPr>
          <w:p>
            <w:pPr>
              <w:spacing w:after="0"/>
              <w:rPr>
                <w:sz w:val="19"/>
                <w:szCs w:val="19"/>
                <w:color w:val="auto"/>
              </w:rPr>
            </w:pPr>
          </w:p>
        </w:tc>
      </w:tr>
      <w:tr>
        <w:trPr>
          <w:trHeight w:val="230"/>
        </w:trPr>
        <w:tc>
          <w:tcPr>
            <w:tcW w:w="8060" w:type="dxa"/>
            <w:vAlign w:val="bottom"/>
            <w:shd w:val="clear" w:color="auto" w:fill="CFF0FC"/>
          </w:tcPr>
          <w:p>
            <w:pPr>
              <w:ind w:left="740"/>
              <w:spacing w:after="0"/>
              <w:rPr>
                <w:sz w:val="20"/>
                <w:szCs w:val="20"/>
                <w:color w:val="auto"/>
              </w:rPr>
            </w:pPr>
            <w:r>
              <w:rPr>
                <w:rFonts w:ascii="Arial" w:cs="Arial" w:eastAsia="Arial" w:hAnsi="Arial"/>
                <w:sz w:val="18"/>
                <w:szCs w:val="18"/>
                <w:color w:val="auto"/>
              </w:rPr>
              <w:t>Minimum tax withholding paid on behalf of employees for restricted stock units</w:t>
            </w:r>
          </w:p>
        </w:tc>
        <w:tc>
          <w:tcPr>
            <w:tcW w:w="340" w:type="dxa"/>
            <w:vAlign w:val="bottom"/>
            <w:shd w:val="clear" w:color="auto" w:fill="CFF0FC"/>
          </w:tcPr>
          <w:p>
            <w:pPr>
              <w:spacing w:after="0"/>
              <w:rPr>
                <w:sz w:val="19"/>
                <w:szCs w:val="19"/>
                <w:color w:val="auto"/>
              </w:rPr>
            </w:pPr>
          </w:p>
        </w:tc>
        <w:tc>
          <w:tcPr>
            <w:tcW w:w="1300" w:type="dxa"/>
            <w:vAlign w:val="bottom"/>
            <w:gridSpan w:val="2"/>
            <w:shd w:val="clear" w:color="auto" w:fill="CFF0FC"/>
          </w:tcPr>
          <w:p>
            <w:pPr>
              <w:jc w:val="right"/>
              <w:ind w:right="80"/>
              <w:spacing w:after="0"/>
              <w:rPr>
                <w:sz w:val="20"/>
                <w:szCs w:val="20"/>
                <w:color w:val="auto"/>
              </w:rPr>
            </w:pPr>
            <w:r>
              <w:rPr>
                <w:rFonts w:ascii="Arial" w:cs="Arial" w:eastAsia="Arial" w:hAnsi="Arial"/>
                <w:sz w:val="18"/>
                <w:szCs w:val="18"/>
                <w:color w:val="auto"/>
              </w:rPr>
              <w:t>(1,827)</w:t>
            </w:r>
          </w:p>
        </w:tc>
        <w:tc>
          <w:tcPr>
            <w:tcW w:w="80" w:type="dxa"/>
            <w:vAlign w:val="bottom"/>
            <w:shd w:val="clear" w:color="auto" w:fill="CFF0FC"/>
          </w:tcPr>
          <w:p>
            <w:pPr>
              <w:spacing w:after="0"/>
              <w:rPr>
                <w:sz w:val="19"/>
                <w:szCs w:val="19"/>
                <w:color w:val="auto"/>
              </w:rPr>
            </w:pPr>
          </w:p>
        </w:tc>
        <w:tc>
          <w:tcPr>
            <w:tcW w:w="360" w:type="dxa"/>
            <w:vAlign w:val="bottom"/>
            <w:shd w:val="clear" w:color="auto" w:fill="CFF0FC"/>
          </w:tcPr>
          <w:p>
            <w:pPr>
              <w:spacing w:after="0"/>
              <w:rPr>
                <w:sz w:val="19"/>
                <w:szCs w:val="19"/>
                <w:color w:val="auto"/>
              </w:rPr>
            </w:pPr>
          </w:p>
        </w:tc>
        <w:tc>
          <w:tcPr>
            <w:tcW w:w="1280" w:type="dxa"/>
            <w:vAlign w:val="bottom"/>
            <w:gridSpan w:val="2"/>
            <w:shd w:val="clear" w:color="auto" w:fill="CFF0FC"/>
          </w:tcPr>
          <w:p>
            <w:pPr>
              <w:jc w:val="right"/>
              <w:ind w:right="140"/>
              <w:spacing w:after="0"/>
              <w:rPr>
                <w:sz w:val="20"/>
                <w:szCs w:val="20"/>
                <w:color w:val="auto"/>
              </w:rPr>
            </w:pPr>
            <w:r>
              <w:rPr>
                <w:rFonts w:ascii="Arial" w:cs="Arial" w:eastAsia="Arial" w:hAnsi="Arial"/>
                <w:sz w:val="18"/>
                <w:szCs w:val="18"/>
                <w:color w:val="auto"/>
              </w:rPr>
              <w:t>—</w:t>
            </w:r>
          </w:p>
        </w:tc>
      </w:tr>
      <w:tr>
        <w:trPr>
          <w:trHeight w:val="223"/>
        </w:trPr>
        <w:tc>
          <w:tcPr>
            <w:tcW w:w="8060" w:type="dxa"/>
            <w:vAlign w:val="bottom"/>
            <w:tcBorders>
              <w:bottom w:val="single" w:sz="8" w:color="CFF0FC"/>
            </w:tcBorders>
          </w:tcPr>
          <w:p>
            <w:pPr>
              <w:spacing w:after="0"/>
              <w:rPr>
                <w:sz w:val="20"/>
                <w:szCs w:val="20"/>
                <w:color w:val="auto"/>
              </w:rPr>
            </w:pPr>
            <w:r>
              <w:rPr>
                <w:rFonts w:ascii="Arial" w:cs="Arial" w:eastAsia="Arial" w:hAnsi="Arial"/>
                <w:sz w:val="18"/>
                <w:szCs w:val="18"/>
                <w:color w:val="auto"/>
              </w:rPr>
              <w:t>Net cash provided by financing activities</w:t>
            </w:r>
          </w:p>
        </w:tc>
        <w:tc>
          <w:tcPr>
            <w:tcW w:w="340" w:type="dxa"/>
            <w:vAlign w:val="bottom"/>
            <w:tcBorders>
              <w:top w:val="single" w:sz="8" w:color="auto"/>
              <w:bottom w:val="single" w:sz="8" w:color="auto"/>
            </w:tcBorders>
          </w:tcPr>
          <w:p>
            <w:pPr>
              <w:spacing w:after="0"/>
              <w:rPr>
                <w:sz w:val="19"/>
                <w:szCs w:val="19"/>
                <w:color w:val="auto"/>
              </w:rPr>
            </w:pPr>
          </w:p>
        </w:tc>
        <w:tc>
          <w:tcPr>
            <w:tcW w:w="11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45,614</w:t>
            </w:r>
          </w:p>
        </w:tc>
        <w:tc>
          <w:tcPr>
            <w:tcW w:w="140" w:type="dxa"/>
            <w:vAlign w:val="bottom"/>
            <w:tcBorders>
              <w:bottom w:val="single" w:sz="8" w:color="CFF0FC"/>
            </w:tcBorders>
          </w:tcPr>
          <w:p>
            <w:pPr>
              <w:spacing w:after="0"/>
              <w:rPr>
                <w:sz w:val="19"/>
                <w:szCs w:val="19"/>
                <w:color w:val="auto"/>
              </w:rPr>
            </w:pPr>
          </w:p>
        </w:tc>
        <w:tc>
          <w:tcPr>
            <w:tcW w:w="80" w:type="dxa"/>
            <w:vAlign w:val="bottom"/>
            <w:tcBorders>
              <w:bottom w:val="single" w:sz="8" w:color="CFF0FC"/>
            </w:tcBorders>
          </w:tcPr>
          <w:p>
            <w:pPr>
              <w:spacing w:after="0"/>
              <w:rPr>
                <w:sz w:val="19"/>
                <w:szCs w:val="19"/>
                <w:color w:val="auto"/>
              </w:rPr>
            </w:pPr>
          </w:p>
        </w:tc>
        <w:tc>
          <w:tcPr>
            <w:tcW w:w="360" w:type="dxa"/>
            <w:vAlign w:val="bottom"/>
            <w:tcBorders>
              <w:top w:val="single" w:sz="8" w:color="auto"/>
              <w:bottom w:val="single" w:sz="8" w:color="auto"/>
            </w:tcBorders>
          </w:tcPr>
          <w:p>
            <w:pPr>
              <w:spacing w:after="0"/>
              <w:rPr>
                <w:sz w:val="19"/>
                <w:szCs w:val="19"/>
                <w:color w:val="auto"/>
              </w:rPr>
            </w:pPr>
          </w:p>
        </w:tc>
        <w:tc>
          <w:tcPr>
            <w:tcW w:w="11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26,133</w:t>
            </w:r>
          </w:p>
        </w:tc>
        <w:tc>
          <w:tcPr>
            <w:tcW w:w="120" w:type="dxa"/>
            <w:vAlign w:val="bottom"/>
            <w:tcBorders>
              <w:bottom w:val="single" w:sz="8" w:color="CFF0FC"/>
            </w:tcBorders>
          </w:tcPr>
          <w:p>
            <w:pPr>
              <w:spacing w:after="0"/>
              <w:rPr>
                <w:sz w:val="19"/>
                <w:szCs w:val="19"/>
                <w:color w:val="auto"/>
              </w:rPr>
            </w:pPr>
          </w:p>
        </w:tc>
      </w:tr>
      <w:tr>
        <w:trPr>
          <w:trHeight w:val="223"/>
        </w:trPr>
        <w:tc>
          <w:tcPr>
            <w:tcW w:w="8060" w:type="dxa"/>
            <w:vAlign w:val="bottom"/>
            <w:shd w:val="clear" w:color="auto" w:fill="CFF0FC"/>
          </w:tcPr>
          <w:p>
            <w:pPr>
              <w:spacing w:after="0"/>
              <w:rPr>
                <w:sz w:val="20"/>
                <w:szCs w:val="20"/>
                <w:color w:val="auto"/>
              </w:rPr>
            </w:pPr>
            <w:r>
              <w:rPr>
                <w:rFonts w:ascii="Arial" w:cs="Arial" w:eastAsia="Arial" w:hAnsi="Arial"/>
                <w:sz w:val="18"/>
                <w:szCs w:val="18"/>
                <w:color w:val="auto"/>
              </w:rPr>
              <w:t>Net decrease in cash and cash equivalents</w:t>
            </w:r>
          </w:p>
        </w:tc>
        <w:tc>
          <w:tcPr>
            <w:tcW w:w="340" w:type="dxa"/>
            <w:vAlign w:val="bottom"/>
            <w:shd w:val="clear" w:color="auto" w:fill="CFF0FC"/>
          </w:tcPr>
          <w:p>
            <w:pPr>
              <w:spacing w:after="0"/>
              <w:rPr>
                <w:sz w:val="19"/>
                <w:szCs w:val="19"/>
                <w:color w:val="auto"/>
              </w:rPr>
            </w:pPr>
          </w:p>
        </w:tc>
        <w:tc>
          <w:tcPr>
            <w:tcW w:w="11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(64,056)</w:t>
            </w:r>
          </w:p>
        </w:tc>
        <w:tc>
          <w:tcPr>
            <w:tcW w:w="14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360" w:type="dxa"/>
            <w:vAlign w:val="bottom"/>
            <w:shd w:val="clear" w:color="auto" w:fill="CFF0FC"/>
          </w:tcPr>
          <w:p>
            <w:pPr>
              <w:spacing w:after="0"/>
              <w:rPr>
                <w:sz w:val="19"/>
                <w:szCs w:val="19"/>
                <w:color w:val="auto"/>
              </w:rPr>
            </w:pPr>
          </w:p>
        </w:tc>
        <w:tc>
          <w:tcPr>
            <w:tcW w:w="11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(1,172)</w:t>
            </w:r>
          </w:p>
        </w:tc>
        <w:tc>
          <w:tcPr>
            <w:tcW w:w="120" w:type="dxa"/>
            <w:vAlign w:val="bottom"/>
            <w:shd w:val="clear" w:color="auto" w:fill="CFF0FC"/>
          </w:tcPr>
          <w:p>
            <w:pPr>
              <w:spacing w:after="0"/>
              <w:rPr>
                <w:sz w:val="19"/>
                <w:szCs w:val="19"/>
                <w:color w:val="auto"/>
              </w:rPr>
            </w:pPr>
          </w:p>
        </w:tc>
      </w:tr>
      <w:tr>
        <w:trPr>
          <w:trHeight w:val="230"/>
        </w:trPr>
        <w:tc>
          <w:tcPr>
            <w:tcW w:w="8060" w:type="dxa"/>
            <w:vAlign w:val="bottom"/>
            <w:tcBorders>
              <w:bottom w:val="single" w:sz="8" w:color="CFF0FC"/>
            </w:tcBorders>
          </w:tcPr>
          <w:p>
            <w:pPr>
              <w:spacing w:after="0"/>
              <w:rPr>
                <w:sz w:val="20"/>
                <w:szCs w:val="20"/>
                <w:color w:val="auto"/>
              </w:rPr>
            </w:pPr>
            <w:r>
              <w:rPr>
                <w:rFonts w:ascii="Arial" w:cs="Arial" w:eastAsia="Arial" w:hAnsi="Arial"/>
                <w:sz w:val="18"/>
                <w:szCs w:val="18"/>
                <w:color w:val="auto"/>
              </w:rPr>
              <w:t>Cash and cash equivalents - beginning of period</w:t>
            </w:r>
          </w:p>
        </w:tc>
        <w:tc>
          <w:tcPr>
            <w:tcW w:w="340" w:type="dxa"/>
            <w:vAlign w:val="bottom"/>
            <w:tcBorders>
              <w:bottom w:val="single" w:sz="8" w:color="auto"/>
            </w:tcBorders>
          </w:tcPr>
          <w:p>
            <w:pPr>
              <w:spacing w:after="0"/>
              <w:rPr>
                <w:sz w:val="19"/>
                <w:szCs w:val="19"/>
                <w:color w:val="auto"/>
              </w:rPr>
            </w:pPr>
          </w:p>
        </w:tc>
        <w:tc>
          <w:tcPr>
            <w:tcW w:w="11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170,629</w:t>
            </w:r>
          </w:p>
        </w:tc>
        <w:tc>
          <w:tcPr>
            <w:tcW w:w="140" w:type="dxa"/>
            <w:vAlign w:val="bottom"/>
            <w:tcBorders>
              <w:bottom w:val="single" w:sz="8" w:color="CFF0FC"/>
            </w:tcBorders>
          </w:tcPr>
          <w:p>
            <w:pPr>
              <w:spacing w:after="0"/>
              <w:rPr>
                <w:sz w:val="19"/>
                <w:szCs w:val="19"/>
                <w:color w:val="auto"/>
              </w:rPr>
            </w:pPr>
          </w:p>
        </w:tc>
        <w:tc>
          <w:tcPr>
            <w:tcW w:w="80" w:type="dxa"/>
            <w:vAlign w:val="bottom"/>
            <w:tcBorders>
              <w:bottom w:val="single" w:sz="8" w:color="CFF0FC"/>
            </w:tcBorders>
          </w:tcPr>
          <w:p>
            <w:pPr>
              <w:spacing w:after="0"/>
              <w:rPr>
                <w:sz w:val="19"/>
                <w:szCs w:val="19"/>
                <w:color w:val="auto"/>
              </w:rPr>
            </w:pPr>
          </w:p>
        </w:tc>
        <w:tc>
          <w:tcPr>
            <w:tcW w:w="360" w:type="dxa"/>
            <w:vAlign w:val="bottom"/>
            <w:tcBorders>
              <w:bottom w:val="single" w:sz="8" w:color="auto"/>
            </w:tcBorders>
          </w:tcPr>
          <w:p>
            <w:pPr>
              <w:spacing w:after="0"/>
              <w:rPr>
                <w:sz w:val="19"/>
                <w:szCs w:val="19"/>
                <w:color w:val="auto"/>
              </w:rPr>
            </w:pPr>
          </w:p>
        </w:tc>
        <w:tc>
          <w:tcPr>
            <w:tcW w:w="11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4,510</w:t>
            </w:r>
          </w:p>
        </w:tc>
        <w:tc>
          <w:tcPr>
            <w:tcW w:w="120" w:type="dxa"/>
            <w:vAlign w:val="bottom"/>
            <w:tcBorders>
              <w:bottom w:val="single" w:sz="8" w:color="CFF0FC"/>
            </w:tcBorders>
          </w:tcPr>
          <w:p>
            <w:pPr>
              <w:spacing w:after="0"/>
              <w:rPr>
                <w:sz w:val="19"/>
                <w:szCs w:val="19"/>
                <w:color w:val="auto"/>
              </w:rPr>
            </w:pPr>
          </w:p>
        </w:tc>
      </w:tr>
      <w:tr>
        <w:trPr>
          <w:trHeight w:val="223"/>
        </w:trPr>
        <w:tc>
          <w:tcPr>
            <w:tcW w:w="8060" w:type="dxa"/>
            <w:vAlign w:val="bottom"/>
            <w:tcBorders>
              <w:bottom w:val="single" w:sz="8" w:color="CFF0FC"/>
            </w:tcBorders>
            <w:shd w:val="clear" w:color="auto" w:fill="CFF0FC"/>
          </w:tcPr>
          <w:p>
            <w:pPr>
              <w:spacing w:after="0"/>
              <w:rPr>
                <w:sz w:val="20"/>
                <w:szCs w:val="20"/>
                <w:color w:val="auto"/>
              </w:rPr>
            </w:pPr>
            <w:r>
              <w:rPr>
                <w:rFonts w:ascii="Arial" w:cs="Arial" w:eastAsia="Arial" w:hAnsi="Arial"/>
                <w:sz w:val="18"/>
                <w:szCs w:val="18"/>
                <w:color w:val="auto"/>
              </w:rPr>
              <w:t>Cash and cash equivalents - end of period</w:t>
            </w:r>
          </w:p>
        </w:tc>
        <w:tc>
          <w:tcPr>
            <w:tcW w:w="340" w:type="dxa"/>
            <w:vAlign w:val="bottom"/>
            <w:tcBorders>
              <w:bottom w:val="single" w:sz="8" w:color="auto"/>
            </w:tcBorders>
            <w:shd w:val="clear" w:color="auto" w:fill="CFF0FC"/>
          </w:tcPr>
          <w:p>
            <w:pPr>
              <w:jc w:val="right"/>
              <w:ind w:right="185"/>
              <w:spacing w:after="0"/>
              <w:rPr>
                <w:sz w:val="20"/>
                <w:szCs w:val="20"/>
                <w:color w:val="auto"/>
              </w:rPr>
            </w:pPr>
            <w:r>
              <w:rPr>
                <w:rFonts w:ascii="Arial" w:cs="Arial" w:eastAsia="Arial" w:hAnsi="Arial"/>
                <w:sz w:val="15"/>
                <w:szCs w:val="15"/>
                <w:color w:val="auto"/>
                <w:w w:val="71"/>
              </w:rPr>
              <w:t>$</w:t>
            </w:r>
          </w:p>
        </w:tc>
        <w:tc>
          <w:tcPr>
            <w:tcW w:w="116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106,573</w:t>
            </w:r>
          </w:p>
        </w:tc>
        <w:tc>
          <w:tcPr>
            <w:tcW w:w="140" w:type="dxa"/>
            <w:vAlign w:val="bottom"/>
            <w:tcBorders>
              <w:bottom w:val="single" w:sz="8" w:color="CFF0FC"/>
            </w:tcBorders>
            <w:shd w:val="clear" w:color="auto" w:fill="CFF0FC"/>
          </w:tcPr>
          <w:p>
            <w:pPr>
              <w:spacing w:after="0"/>
              <w:rPr>
                <w:sz w:val="19"/>
                <w:szCs w:val="19"/>
                <w:color w:val="auto"/>
              </w:rPr>
            </w:pPr>
          </w:p>
        </w:tc>
        <w:tc>
          <w:tcPr>
            <w:tcW w:w="80" w:type="dxa"/>
            <w:vAlign w:val="bottom"/>
            <w:tcBorders>
              <w:bottom w:val="single" w:sz="8" w:color="CFF0FC"/>
            </w:tcBorders>
            <w:shd w:val="clear" w:color="auto" w:fill="CFF0FC"/>
          </w:tcPr>
          <w:p>
            <w:pPr>
              <w:spacing w:after="0"/>
              <w:rPr>
                <w:sz w:val="19"/>
                <w:szCs w:val="19"/>
                <w:color w:val="auto"/>
              </w:rPr>
            </w:pPr>
          </w:p>
        </w:tc>
        <w:tc>
          <w:tcPr>
            <w:tcW w:w="360" w:type="dxa"/>
            <w:vAlign w:val="bottom"/>
            <w:tcBorders>
              <w:bottom w:val="single" w:sz="8" w:color="auto"/>
            </w:tcBorders>
            <w:shd w:val="clear" w:color="auto" w:fill="CFF0FC"/>
          </w:tcPr>
          <w:p>
            <w:pPr>
              <w:jc w:val="right"/>
              <w:ind w:right="170"/>
              <w:spacing w:after="0"/>
              <w:rPr>
                <w:sz w:val="20"/>
                <w:szCs w:val="20"/>
                <w:color w:val="auto"/>
              </w:rPr>
            </w:pPr>
            <w:r>
              <w:rPr>
                <w:rFonts w:ascii="Arial" w:cs="Arial" w:eastAsia="Arial" w:hAnsi="Arial"/>
                <w:sz w:val="18"/>
                <w:szCs w:val="18"/>
                <w:color w:val="auto"/>
                <w:w w:val="79"/>
              </w:rPr>
              <w:t>$</w:t>
            </w:r>
          </w:p>
        </w:tc>
        <w:tc>
          <w:tcPr>
            <w:tcW w:w="116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3,338</w:t>
            </w:r>
          </w:p>
        </w:tc>
        <w:tc>
          <w:tcPr>
            <w:tcW w:w="120" w:type="dxa"/>
            <w:vAlign w:val="bottom"/>
            <w:tcBorders>
              <w:bottom w:val="single" w:sz="8" w:color="CFF0FC"/>
            </w:tcBorders>
            <w:shd w:val="clear" w:color="auto" w:fill="CFF0FC"/>
          </w:tcPr>
          <w:p>
            <w:pPr>
              <w:spacing w:after="0"/>
              <w:rPr>
                <w:sz w:val="19"/>
                <w:szCs w:val="19"/>
                <w:color w:val="auto"/>
              </w:rPr>
            </w:pPr>
          </w:p>
        </w:tc>
      </w:tr>
      <w:tr>
        <w:trPr>
          <w:trHeight w:val="20"/>
        </w:trPr>
        <w:tc>
          <w:tcPr>
            <w:tcW w:w="806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r>
    </w:tbl>
    <w:p>
      <w:pPr>
        <w:spacing w:after="0" w:line="202"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See accompanying condensed notes to the unaudited consolidated financial statements.</w:t>
      </w:r>
    </w:p>
    <w:p>
      <w:pPr>
        <w:spacing w:after="0" w:line="200" w:lineRule="exact"/>
        <w:rPr>
          <w:sz w:val="20"/>
          <w:szCs w:val="20"/>
          <w:color w:val="auto"/>
        </w:rPr>
      </w:pPr>
    </w:p>
    <w:p>
      <w:pPr>
        <w:spacing w:after="0" w:line="200" w:lineRule="exact"/>
        <w:rPr>
          <w:sz w:val="20"/>
          <w:szCs w:val="20"/>
          <w:color w:val="auto"/>
        </w:rPr>
      </w:pPr>
    </w:p>
    <w:p>
      <w:pPr>
        <w:spacing w:after="0" w:line="20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- 6 -</w:t>
      </w:r>
    </w:p>
    <w:p>
      <w:pPr>
        <w:sectPr>
          <w:pgSz w:w="11900" w:h="16838" w:orient="portrait"/>
          <w:cols w:equalWidth="0" w:num="1">
            <w:col w:w="11420"/>
          </w:cols>
          <w:pgMar w:left="240" w:top="135" w:right="239" w:bottom="1440" w:gutter="0" w:footer="0" w:header="0"/>
        </w:sectPr>
      </w:pPr>
    </w:p>
    <w:bookmarkStart w:id="6" w:name="page7"/>
    <w:bookmarkEnd w:id="6"/>
    <w:p>
      <w:pPr>
        <w:jc w:val="center"/>
        <w:ind w:right="-79"/>
        <w:spacing w:after="0"/>
        <w:rPr>
          <w:sz w:val="20"/>
          <w:szCs w:val="20"/>
          <w:color w:val="auto"/>
        </w:rPr>
      </w:pPr>
      <w:r>
        <w:rPr>
          <w:rFonts w:ascii="Arial" w:cs="Arial" w:eastAsia="Arial" w:hAnsi="Arial"/>
          <w:sz w:val="18"/>
          <w:szCs w:val="18"/>
          <w:b w:val="1"/>
          <w:bCs w:val="1"/>
          <w:color w:val="auto"/>
        </w:rPr>
        <w:t>TRI POINTE HOMES, INC.</w:t>
      </w:r>
    </w:p>
    <w:p>
      <w:pPr>
        <w:spacing w:after="0" w:line="225" w:lineRule="exact"/>
        <w:rPr>
          <w:sz w:val="20"/>
          <w:szCs w:val="20"/>
          <w:color w:val="auto"/>
        </w:rPr>
      </w:pPr>
    </w:p>
    <w:p>
      <w:pPr>
        <w:jc w:val="center"/>
        <w:ind w:right="-79"/>
        <w:spacing w:after="0"/>
        <w:rPr>
          <w:sz w:val="20"/>
          <w:szCs w:val="20"/>
          <w:color w:val="auto"/>
        </w:rPr>
      </w:pPr>
      <w:r>
        <w:rPr>
          <w:rFonts w:ascii="Arial" w:cs="Arial" w:eastAsia="Arial" w:hAnsi="Arial"/>
          <w:sz w:val="18"/>
          <w:szCs w:val="18"/>
          <w:b w:val="1"/>
          <w:bCs w:val="1"/>
          <w:color w:val="auto"/>
        </w:rPr>
        <w:t>CONDENSED NOTES TO CONSOLIDATED FINANCIAL STATEMENTS</w:t>
      </w:r>
    </w:p>
    <w:p>
      <w:pPr>
        <w:spacing w:after="0" w:line="27" w:lineRule="exact"/>
        <w:rPr>
          <w:sz w:val="20"/>
          <w:szCs w:val="20"/>
          <w:color w:val="auto"/>
        </w:rPr>
      </w:pPr>
    </w:p>
    <w:p>
      <w:pPr>
        <w:jc w:val="center"/>
        <w:ind w:right="-79"/>
        <w:spacing w:after="0"/>
        <w:rPr>
          <w:sz w:val="20"/>
          <w:szCs w:val="20"/>
          <w:color w:val="auto"/>
        </w:rPr>
      </w:pPr>
      <w:r>
        <w:rPr>
          <w:rFonts w:ascii="Arial" w:cs="Arial" w:eastAsia="Arial" w:hAnsi="Arial"/>
          <w:sz w:val="18"/>
          <w:szCs w:val="18"/>
          <w:b w:val="1"/>
          <w:bCs w:val="1"/>
          <w:color w:val="auto"/>
        </w:rPr>
        <w:t>(unaudited)</w:t>
      </w:r>
    </w:p>
    <w:p>
      <w:pPr>
        <w:spacing w:after="0" w:line="234" w:lineRule="exact"/>
        <w:rPr>
          <w:sz w:val="20"/>
          <w:szCs w:val="20"/>
          <w:color w:val="auto"/>
        </w:rPr>
      </w:pPr>
    </w:p>
    <w:p>
      <w:pPr>
        <w:ind w:right="4320" w:firstLine="8"/>
        <w:spacing w:after="0" w:line="378" w:lineRule="auto"/>
        <w:tabs>
          <w:tab w:leader="none" w:pos="527" w:val="left"/>
        </w:tabs>
        <w:numPr>
          <w:ilvl w:val="0"/>
          <w:numId w:val="3"/>
        </w:numPr>
        <w:rPr>
          <w:rFonts w:ascii="Arial" w:cs="Arial" w:eastAsia="Arial" w:hAnsi="Arial"/>
          <w:sz w:val="18"/>
          <w:szCs w:val="18"/>
          <w:b w:val="1"/>
          <w:bCs w:val="1"/>
          <w:color w:val="auto"/>
        </w:rPr>
      </w:pPr>
      <w:r>
        <w:rPr>
          <w:rFonts w:ascii="Arial" w:cs="Arial" w:eastAsia="Arial" w:hAnsi="Arial"/>
          <w:sz w:val="18"/>
          <w:szCs w:val="18"/>
          <w:b w:val="1"/>
          <w:bCs w:val="1"/>
          <w:color w:val="auto"/>
        </w:rPr>
        <w:t>Organization, Basis of Presentation and Summary of Significant Accounting Policies Organization</w:t>
      </w:r>
    </w:p>
    <w:p>
      <w:pPr>
        <w:jc w:val="both"/>
        <w:ind w:right="120" w:firstLine="518"/>
        <w:spacing w:after="0" w:line="264" w:lineRule="auto"/>
        <w:rPr>
          <w:sz w:val="20"/>
          <w:szCs w:val="20"/>
          <w:color w:val="auto"/>
        </w:rPr>
      </w:pPr>
      <w:r>
        <w:rPr>
          <w:rFonts w:ascii="Arial" w:cs="Arial" w:eastAsia="Arial" w:hAnsi="Arial"/>
          <w:sz w:val="18"/>
          <w:szCs w:val="18"/>
          <w:color w:val="auto"/>
        </w:rPr>
        <w:t>TRI Pointe Homes, Inc. is engaged in the design, construction and sale of innovative single-family homes through its portfolio of six quality brands across eight states, including Maracay Homes in Arizona, Pardee Homes in California and Nevada, Quadrant Homes in Washington, Trendmaker Homes in Texas, TRI Pointe Homes in California and Colorado and Winchester Homes in Maryland and Virginia.</w:t>
      </w:r>
    </w:p>
    <w:p>
      <w:pPr>
        <w:spacing w:after="0" w:line="28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Basis of Presentation</w:t>
      </w:r>
    </w:p>
    <w:p>
      <w:pPr>
        <w:spacing w:after="0" w:line="121" w:lineRule="exact"/>
        <w:rPr>
          <w:sz w:val="20"/>
          <w:szCs w:val="20"/>
          <w:color w:val="auto"/>
        </w:rPr>
      </w:pPr>
    </w:p>
    <w:p>
      <w:pPr>
        <w:ind w:right="20" w:firstLine="518"/>
        <w:spacing w:after="0" w:line="277" w:lineRule="auto"/>
        <w:rPr>
          <w:sz w:val="20"/>
          <w:szCs w:val="20"/>
          <w:color w:val="auto"/>
        </w:rPr>
      </w:pPr>
      <w:r>
        <w:rPr>
          <w:rFonts w:ascii="Arial" w:cs="Arial" w:eastAsia="Arial" w:hAnsi="Arial"/>
          <w:sz w:val="18"/>
          <w:szCs w:val="18"/>
          <w:color w:val="auto"/>
        </w:rPr>
        <w:t>The accompanying financial statements have been prepared in accordance with U.S. generally accepted accounting principles (“GAAP”) as contained within the Financial Accounting Standards Board (“FASB”) Accounting Standards Codification (“ASC”).</w:t>
      </w:r>
    </w:p>
    <w:p>
      <w:pPr>
        <w:spacing w:after="0" w:line="170" w:lineRule="exact"/>
        <w:rPr>
          <w:sz w:val="20"/>
          <w:szCs w:val="20"/>
          <w:color w:val="auto"/>
        </w:rPr>
      </w:pPr>
    </w:p>
    <w:p>
      <w:pPr>
        <w:ind w:right="20" w:firstLine="518"/>
        <w:spacing w:after="0" w:line="255" w:lineRule="auto"/>
        <w:rPr>
          <w:sz w:val="20"/>
          <w:szCs w:val="20"/>
          <w:color w:val="auto"/>
        </w:rPr>
      </w:pPr>
      <w:r>
        <w:rPr>
          <w:rFonts w:ascii="Arial" w:cs="Arial" w:eastAsia="Arial" w:hAnsi="Arial"/>
          <w:sz w:val="18"/>
          <w:szCs w:val="18"/>
          <w:color w:val="auto"/>
        </w:rPr>
        <w:t>The consolidated financial statements include the accounts of the Company and its wholly owned subsidiaries as described in “Reverse Acquisition” below, as well as other entities in which the Company has a controlling interest and variable interest entities (“VIE”) in which the Company is the primary beneficiary. The noncontrolling interests as of March 31, 2015 and December 31, 2014 represent the outside owners interests in the Company’s consolidated entities and the net equity of the VIE owners. All significant intercompany accounts have been eliminated upon consolidation. Certain prior period amounts have been reclassified to conform to current period presentation. Subsequent events have been evaluated through the date the financial statements were issued. In the opinion of management, all adjustments, consisting of normal recurring adjustments, necessary for a fair presentation with respect to interim financial statements, have been included.</w:t>
      </w:r>
    </w:p>
    <w:p>
      <w:pPr>
        <w:spacing w:after="0" w:line="189" w:lineRule="exact"/>
        <w:rPr>
          <w:sz w:val="20"/>
          <w:szCs w:val="20"/>
          <w:color w:val="auto"/>
        </w:rPr>
      </w:pPr>
    </w:p>
    <w:p>
      <w:pPr>
        <w:ind w:right="320" w:firstLine="518"/>
        <w:spacing w:after="0" w:line="277" w:lineRule="auto"/>
        <w:rPr>
          <w:sz w:val="20"/>
          <w:szCs w:val="20"/>
          <w:color w:val="auto"/>
        </w:rPr>
      </w:pPr>
      <w:r>
        <w:rPr>
          <w:rFonts w:ascii="Arial" w:cs="Arial" w:eastAsia="Arial" w:hAnsi="Arial"/>
          <w:sz w:val="18"/>
          <w:szCs w:val="18"/>
          <w:color w:val="auto"/>
        </w:rPr>
        <w:t>The Company has historically experienced, and expects to continue to experience, variability in quarterly results. The results of operations for the three months ended March 31, 2015 are not necessarily indicative of the results to be expected for the full year.</w:t>
      </w:r>
    </w:p>
    <w:p>
      <w:pPr>
        <w:spacing w:after="0" w:line="170" w:lineRule="exact"/>
        <w:rPr>
          <w:sz w:val="20"/>
          <w:szCs w:val="20"/>
          <w:color w:val="auto"/>
        </w:rPr>
      </w:pPr>
    </w:p>
    <w:p>
      <w:pPr>
        <w:ind w:right="160" w:firstLine="518"/>
        <w:spacing w:after="0" w:line="257" w:lineRule="auto"/>
        <w:rPr>
          <w:sz w:val="20"/>
          <w:szCs w:val="20"/>
          <w:color w:val="auto"/>
        </w:rPr>
      </w:pPr>
      <w:r>
        <w:rPr>
          <w:rFonts w:ascii="Arial" w:cs="Arial" w:eastAsia="Arial" w:hAnsi="Arial"/>
          <w:sz w:val="18"/>
          <w:szCs w:val="18"/>
          <w:color w:val="auto"/>
        </w:rPr>
        <w:t>The accompanying unaudited condensed consolidated financial statements have been prepared in accordance with United States generally accepted accounting principles for interim financial information and with the instructions to Form 10-Q and Article 10 of Regulation S-X. Accordingly, they do not include all of the information and footnotes required by United States generally accepted accounting principles for complete financial statements. These financial statements should be read in conjunction with our consolidated financial statements and footnotes thereto included in our Annual Report on Form 10-K for the year ended December 31, 2014.</w:t>
      </w:r>
    </w:p>
    <w:p>
      <w:pPr>
        <w:spacing w:after="0" w:line="188" w:lineRule="exact"/>
        <w:rPr>
          <w:sz w:val="20"/>
          <w:szCs w:val="20"/>
          <w:color w:val="auto"/>
        </w:rPr>
      </w:pPr>
    </w:p>
    <w:p>
      <w:pPr>
        <w:ind w:right="100" w:firstLine="518"/>
        <w:spacing w:after="0" w:line="221" w:lineRule="exact"/>
        <w:rPr>
          <w:sz w:val="20"/>
          <w:szCs w:val="20"/>
          <w:color w:val="auto"/>
        </w:rPr>
      </w:pPr>
      <w:r>
        <w:rPr>
          <w:rFonts w:ascii="Arial" w:cs="Arial" w:eastAsia="Arial" w:hAnsi="Arial"/>
          <w:sz w:val="17"/>
          <w:szCs w:val="17"/>
          <w:color w:val="auto"/>
        </w:rPr>
        <w:t>Unless the context otherwise requires, the terms “TRI Pointe”, “we”, “us”, “our” and “the Company” refer to TRI Pointe Homes, Inc. (and its consolidated subsidiaries). Because the accompanying notes to consolidated financial statements are condensed, they should be read in conjunction with the consolidated financial statements and notes thereto included in our Annual Report on Form 10</w:t>
      </w:r>
      <w:r>
        <w:rPr>
          <w:rFonts w:ascii="MS PGothic" w:cs="MS PGothic" w:eastAsia="MS PGothic" w:hAnsi="MS PGothic"/>
          <w:sz w:val="17"/>
          <w:szCs w:val="17"/>
          <w:color w:val="auto"/>
        </w:rPr>
        <w:t>‑</w:t>
      </w:r>
      <w:r>
        <w:rPr>
          <w:rFonts w:ascii="Arial" w:cs="Arial" w:eastAsia="Arial" w:hAnsi="Arial"/>
          <w:sz w:val="17"/>
          <w:szCs w:val="17"/>
          <w:color w:val="auto"/>
        </w:rPr>
        <w:t>K for the year ended December 31, 2014.</w:t>
      </w:r>
    </w:p>
    <w:p>
      <w:pPr>
        <w:spacing w:after="0" w:line="310" w:lineRule="exact"/>
        <w:rPr>
          <w:sz w:val="20"/>
          <w:szCs w:val="20"/>
          <w:color w:val="auto"/>
        </w:rPr>
      </w:pPr>
    </w:p>
    <w:p>
      <w:pPr>
        <w:ind w:left="520"/>
        <w:spacing w:after="0"/>
        <w:rPr>
          <w:sz w:val="20"/>
          <w:szCs w:val="20"/>
          <w:color w:val="auto"/>
        </w:rPr>
      </w:pPr>
      <w:r>
        <w:rPr>
          <w:rFonts w:ascii="Arial" w:cs="Arial" w:eastAsia="Arial" w:hAnsi="Arial"/>
          <w:sz w:val="18"/>
          <w:szCs w:val="18"/>
          <w:b w:val="1"/>
          <w:bCs w:val="1"/>
          <w:i w:val="1"/>
          <w:iCs w:val="1"/>
          <w:color w:val="auto"/>
        </w:rPr>
        <w:t>Reverse Acquisition</w:t>
      </w:r>
    </w:p>
    <w:p>
      <w:pPr>
        <w:spacing w:after="0" w:line="117" w:lineRule="exact"/>
        <w:rPr>
          <w:sz w:val="20"/>
          <w:szCs w:val="20"/>
          <w:color w:val="auto"/>
        </w:rPr>
      </w:pPr>
    </w:p>
    <w:p>
      <w:pPr>
        <w:ind w:firstLine="518"/>
        <w:spacing w:after="0" w:line="290" w:lineRule="auto"/>
        <w:rPr>
          <w:sz w:val="20"/>
          <w:szCs w:val="20"/>
          <w:color w:val="auto"/>
        </w:rPr>
      </w:pPr>
      <w:r>
        <w:rPr>
          <w:rFonts w:ascii="Arial" w:cs="Arial" w:eastAsia="Arial" w:hAnsi="Arial"/>
          <w:sz w:val="16"/>
          <w:szCs w:val="16"/>
          <w:color w:val="auto"/>
        </w:rPr>
        <w:t xml:space="preserve">On July 7, 2014 (the “Closing Date”), TRI Pointe Homes, Inc. consummated the previously announced merger (the “Merger”) of our wholly owned subsidiary, Topaz Acquisition, Inc. (“Merger Sub”), with and into Weyerhaeuser Real Estate Company (“WRECO”), with WRECO surviving the Merger and becoming our wholly owned subsidiary, as contemplated by the Transaction Agreement, dated as of November 3, 2013 (the “Transaction Agreement”), by and among us, Weyerhaeuser Company (“Weyerhaeuser”), WRECO and Merger Sub. The Merger is accounted for in accordance with ASC Topic 805, </w:t>
      </w:r>
      <w:r>
        <w:rPr>
          <w:rFonts w:ascii="Arial" w:cs="Arial" w:eastAsia="Arial" w:hAnsi="Arial"/>
          <w:sz w:val="16"/>
          <w:szCs w:val="16"/>
          <w:i w:val="1"/>
          <w:iCs w:val="1"/>
          <w:color w:val="auto"/>
        </w:rPr>
        <w:t xml:space="preserve">Business Combinations </w:t>
      </w:r>
      <w:r>
        <w:rPr>
          <w:rFonts w:ascii="Arial" w:cs="Arial" w:eastAsia="Arial" w:hAnsi="Arial"/>
          <w:sz w:val="16"/>
          <w:szCs w:val="16"/>
          <w:color w:val="auto"/>
        </w:rPr>
        <w:t>(“ASC 805”). For accounting purposes, the Merger is treated as a “reverse acquisition” and WRECO is considered the accounting</w:t>
      </w:r>
      <w:r>
        <w:rPr>
          <w:rFonts w:ascii="Arial" w:cs="Arial" w:eastAsia="Arial" w:hAnsi="Arial"/>
          <w:sz w:val="16"/>
          <w:szCs w:val="16"/>
          <w:i w:val="1"/>
          <w:iCs w:val="1"/>
          <w:color w:val="auto"/>
        </w:rPr>
        <w:t xml:space="preserve"> </w:t>
      </w:r>
      <w:r>
        <w:rPr>
          <w:rFonts w:ascii="Arial" w:cs="Arial" w:eastAsia="Arial" w:hAnsi="Arial"/>
          <w:sz w:val="16"/>
          <w:szCs w:val="16"/>
          <w:color w:val="auto"/>
        </w:rPr>
        <w:t>acquirer. Accordingly, WRECO is reflected as the predecessor and acquirer and therefore the accompanying consolidated financial statements reflect the historical consolidated financial statements of WRECO for all periods presented and do not include the historical financial statements of TRI Pointe prior to the Closing Date. Subsequent to the Closing Date, the consolidated financial statements reflect the results of the combined company.</w:t>
      </w:r>
    </w:p>
    <w:p>
      <w:pPr>
        <w:spacing w:after="0" w:line="166" w:lineRule="exact"/>
        <w:rPr>
          <w:sz w:val="20"/>
          <w:szCs w:val="20"/>
          <w:color w:val="auto"/>
        </w:rPr>
      </w:pPr>
    </w:p>
    <w:p>
      <w:pPr>
        <w:ind w:right="80" w:firstLine="518"/>
        <w:spacing w:after="0" w:line="259" w:lineRule="auto"/>
        <w:rPr>
          <w:sz w:val="20"/>
          <w:szCs w:val="20"/>
          <w:color w:val="auto"/>
        </w:rPr>
      </w:pPr>
      <w:r>
        <w:rPr>
          <w:rFonts w:ascii="Arial" w:cs="Arial" w:eastAsia="Arial" w:hAnsi="Arial"/>
          <w:sz w:val="18"/>
          <w:szCs w:val="18"/>
          <w:color w:val="auto"/>
        </w:rPr>
        <w:t xml:space="preserve">See Note 2, </w:t>
      </w:r>
      <w:r>
        <w:rPr>
          <w:rFonts w:ascii="Arial" w:cs="Arial" w:eastAsia="Arial" w:hAnsi="Arial"/>
          <w:sz w:val="18"/>
          <w:szCs w:val="18"/>
          <w:i w:val="1"/>
          <w:iCs w:val="1"/>
          <w:color w:val="auto"/>
        </w:rPr>
        <w:t>Merger with Weyerhaeuser Real Estate Company,</w:t>
      </w:r>
      <w:r>
        <w:rPr>
          <w:rFonts w:ascii="Arial" w:cs="Arial" w:eastAsia="Arial" w:hAnsi="Arial"/>
          <w:sz w:val="18"/>
          <w:szCs w:val="18"/>
          <w:color w:val="auto"/>
        </w:rPr>
        <w:t xml:space="preserve"> for further information on the Merger. In the Merger, each issued and outstanding WRECO common share was converted into 1.297 shares of TRI Pointe common stock. The historical issued and outstanding WRECO common shares (100,000,000 common shares for all periods presented prior to the Merger) have been recast (as 129,700,000 common shares of the Company for all periods prior to the Merger) in all periods presented to reflect this conversion.</w:t>
      </w:r>
    </w:p>
    <w:p>
      <w:pPr>
        <w:spacing w:after="0" w:line="200" w:lineRule="exact"/>
        <w:rPr>
          <w:sz w:val="20"/>
          <w:szCs w:val="20"/>
          <w:color w:val="auto"/>
        </w:rPr>
      </w:pPr>
    </w:p>
    <w:p>
      <w:pPr>
        <w:spacing w:after="0" w:line="230"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- 7 -</w:t>
      </w:r>
    </w:p>
    <w:p>
      <w:pPr>
        <w:sectPr>
          <w:pgSz w:w="11900" w:h="16838" w:orient="portrait"/>
          <w:cols w:equalWidth="0" w:num="1">
            <w:col w:w="11340"/>
          </w:cols>
          <w:pgMar w:left="240" w:top="135" w:right="319" w:bottom="1440" w:gutter="0" w:footer="0" w:header="0"/>
        </w:sectPr>
      </w:pPr>
    </w:p>
    <w:bookmarkStart w:id="7" w:name="page8"/>
    <w:bookmarkEnd w:id="7"/>
    <w:p>
      <w:pPr>
        <w:spacing w:after="0"/>
        <w:rPr>
          <w:sz w:val="20"/>
          <w:szCs w:val="20"/>
          <w:color w:val="auto"/>
        </w:rPr>
      </w:pPr>
      <w:r>
        <w:rPr>
          <w:rFonts w:ascii="Arial" w:cs="Arial" w:eastAsia="Arial" w:hAnsi="Arial"/>
          <w:sz w:val="18"/>
          <w:szCs w:val="18"/>
          <w:b w:val="1"/>
          <w:bCs w:val="1"/>
          <w:color w:val="auto"/>
        </w:rPr>
        <w:t>Use of Estimates</w:t>
      </w:r>
    </w:p>
    <w:p>
      <w:pPr>
        <w:spacing w:after="0" w:line="121" w:lineRule="exact"/>
        <w:rPr>
          <w:sz w:val="20"/>
          <w:szCs w:val="20"/>
          <w:color w:val="auto"/>
        </w:rPr>
      </w:pPr>
    </w:p>
    <w:p>
      <w:pPr>
        <w:ind w:right="140" w:firstLine="518"/>
        <w:spacing w:after="0" w:line="312" w:lineRule="auto"/>
        <w:rPr>
          <w:sz w:val="20"/>
          <w:szCs w:val="20"/>
          <w:color w:val="auto"/>
        </w:rPr>
      </w:pPr>
      <w:r>
        <w:rPr>
          <w:rFonts w:ascii="Arial" w:cs="Arial" w:eastAsia="Arial" w:hAnsi="Arial"/>
          <w:sz w:val="16"/>
          <w:szCs w:val="16"/>
          <w:color w:val="auto"/>
        </w:rPr>
        <w:t>Our financial statements have been prepared in accordance with GAAP. The preparation of these financial statements requires our management to make estimates and judgments that affect the reported amounts of assets and liabilities and the disclosures of contingent liabilities at the date of the financial statements and the reported amounts of revenues and expenses during the reporting periods. Actual results could differ from our estimates.</w:t>
      </w:r>
    </w:p>
    <w:p>
      <w:pPr>
        <w:spacing w:after="0" w:line="25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Recently Issued Accounting Standards</w:t>
      </w:r>
    </w:p>
    <w:p>
      <w:pPr>
        <w:spacing w:after="0" w:line="121" w:lineRule="exact"/>
        <w:rPr>
          <w:sz w:val="20"/>
          <w:szCs w:val="20"/>
          <w:color w:val="auto"/>
        </w:rPr>
      </w:pPr>
    </w:p>
    <w:p>
      <w:pPr>
        <w:ind w:right="120" w:firstLine="518"/>
        <w:spacing w:after="0" w:line="297" w:lineRule="auto"/>
        <w:rPr>
          <w:sz w:val="20"/>
          <w:szCs w:val="20"/>
          <w:color w:val="auto"/>
        </w:rPr>
      </w:pPr>
      <w:r>
        <w:rPr>
          <w:rFonts w:ascii="Arial" w:cs="Arial" w:eastAsia="Arial" w:hAnsi="Arial"/>
          <w:sz w:val="16"/>
          <w:szCs w:val="16"/>
          <w:color w:val="auto"/>
        </w:rPr>
        <w:t xml:space="preserve">In April 2014, the FASB issued amendments to Accounting Standards Update 2014-08, </w:t>
      </w:r>
      <w:r>
        <w:rPr>
          <w:rFonts w:ascii="Arial" w:cs="Arial" w:eastAsia="Arial" w:hAnsi="Arial"/>
          <w:sz w:val="16"/>
          <w:szCs w:val="16"/>
          <w:i w:val="1"/>
          <w:iCs w:val="1"/>
          <w:color w:val="auto"/>
        </w:rPr>
        <w:t>Reporting Discontinued Operations and Disclosures of</w:t>
      </w:r>
      <w:r>
        <w:rPr>
          <w:rFonts w:ascii="Arial" w:cs="Arial" w:eastAsia="Arial" w:hAnsi="Arial"/>
          <w:sz w:val="16"/>
          <w:szCs w:val="16"/>
          <w:color w:val="auto"/>
        </w:rPr>
        <w:t xml:space="preserve"> </w:t>
      </w:r>
      <w:r>
        <w:rPr>
          <w:rFonts w:ascii="Arial" w:cs="Arial" w:eastAsia="Arial" w:hAnsi="Arial"/>
          <w:sz w:val="16"/>
          <w:szCs w:val="16"/>
          <w:i w:val="1"/>
          <w:iCs w:val="1"/>
          <w:color w:val="auto"/>
        </w:rPr>
        <w:t xml:space="preserve">Disposals of Components of an Entity. </w:t>
      </w:r>
      <w:r>
        <w:rPr>
          <w:rFonts w:ascii="Arial" w:cs="Arial" w:eastAsia="Arial" w:hAnsi="Arial"/>
          <w:sz w:val="16"/>
          <w:szCs w:val="16"/>
          <w:color w:val="auto"/>
        </w:rPr>
        <w:t>The update requires that a disposal representing a strategic shift that has (or will have) a major effect on an entity’s</w:t>
      </w:r>
      <w:r>
        <w:rPr>
          <w:rFonts w:ascii="Arial" w:cs="Arial" w:eastAsia="Arial" w:hAnsi="Arial"/>
          <w:sz w:val="16"/>
          <w:szCs w:val="16"/>
          <w:i w:val="1"/>
          <w:iCs w:val="1"/>
          <w:color w:val="auto"/>
        </w:rPr>
        <w:t xml:space="preserve"> </w:t>
      </w:r>
      <w:r>
        <w:rPr>
          <w:rFonts w:ascii="Arial" w:cs="Arial" w:eastAsia="Arial" w:hAnsi="Arial"/>
          <w:sz w:val="16"/>
          <w:szCs w:val="16"/>
          <w:color w:val="auto"/>
        </w:rPr>
        <w:t>financial results or a business activity classified as held for sale should be reported as discontinued operations. The amendments also expand the disclosure requirements for discontinued operations and add new disclosures for individually significant dispositions that do not qualify as discontinued operations. We adopted ASU 2014-08 on January 1, 2015 and the adoption has no impact on our current or prior year financial statements.</w:t>
      </w:r>
    </w:p>
    <w:p>
      <w:pPr>
        <w:spacing w:after="0" w:line="158" w:lineRule="exact"/>
        <w:rPr>
          <w:sz w:val="20"/>
          <w:szCs w:val="20"/>
          <w:color w:val="auto"/>
        </w:rPr>
      </w:pPr>
    </w:p>
    <w:p>
      <w:pPr>
        <w:ind w:right="80" w:firstLine="518"/>
        <w:spacing w:after="0" w:line="288" w:lineRule="auto"/>
        <w:rPr>
          <w:sz w:val="20"/>
          <w:szCs w:val="20"/>
          <w:color w:val="auto"/>
        </w:rPr>
      </w:pPr>
      <w:r>
        <w:rPr>
          <w:rFonts w:ascii="Arial" w:cs="Arial" w:eastAsia="Arial" w:hAnsi="Arial"/>
          <w:sz w:val="16"/>
          <w:szCs w:val="16"/>
          <w:color w:val="auto"/>
        </w:rPr>
        <w:t xml:space="preserve">In May 2014, the FASB issued Accounting Standards Update 2014-09, </w:t>
      </w:r>
      <w:r>
        <w:rPr>
          <w:rFonts w:ascii="Arial" w:cs="Arial" w:eastAsia="Arial" w:hAnsi="Arial"/>
          <w:sz w:val="16"/>
          <w:szCs w:val="16"/>
          <w:i w:val="1"/>
          <w:iCs w:val="1"/>
          <w:color w:val="auto"/>
        </w:rPr>
        <w:t>Revenue from Contracts with Customers</w:t>
      </w:r>
      <w:r>
        <w:rPr>
          <w:rFonts w:ascii="Arial" w:cs="Arial" w:eastAsia="Arial" w:hAnsi="Arial"/>
          <w:sz w:val="16"/>
          <w:szCs w:val="16"/>
          <w:color w:val="auto"/>
        </w:rPr>
        <w:t xml:space="preserve"> (“ASU 2014-09”). The core principle of ASU 2014-09 is that an entity should recognize revenue to depict the transfer of promised goods or services to customers in an amount that reflects the consideration to which the entity expects to be entitled in exchange for those goods or services. To achieve that core principle, an entity should apply the following steps: identify the contract(s) with a customer; identify the performance obligations in the contract; determine the transaction price; allocate the transaction price to the performance obligations in the contract; and recognize revenue when (or as) the entity satisfies a performance obligation. ASU 2014-09 supersedes the revenue-recognition requirements in ASC Topic 605, </w:t>
      </w:r>
      <w:r>
        <w:rPr>
          <w:rFonts w:ascii="Arial" w:cs="Arial" w:eastAsia="Arial" w:hAnsi="Arial"/>
          <w:sz w:val="16"/>
          <w:szCs w:val="16"/>
          <w:i w:val="1"/>
          <w:iCs w:val="1"/>
          <w:color w:val="auto"/>
        </w:rPr>
        <w:t>Revenue Recognition</w:t>
      </w:r>
      <w:r>
        <w:rPr>
          <w:rFonts w:ascii="Arial" w:cs="Arial" w:eastAsia="Arial" w:hAnsi="Arial"/>
          <w:sz w:val="16"/>
          <w:szCs w:val="16"/>
          <w:color w:val="auto"/>
        </w:rPr>
        <w:t>, most industry-specific guidance throughout the industry topics of the accounting standards codification, and some cost guidance related to construction-type and production-type contracts. ASU 2014-09 is effective for public entities for the annual periods ending after December 15, 2017, and for annual and interim periods thereafter. Early adoption is not permitted. Companies may use either a full retrospective or a modified retrospective approach to adopt ASU 2014-09. We are currently evaluating the approach for implementation and the potential impact of adopting this guidance on our consolidated financial statements.</w:t>
      </w:r>
    </w:p>
    <w:p>
      <w:pPr>
        <w:spacing w:after="0" w:line="169" w:lineRule="exact"/>
        <w:rPr>
          <w:sz w:val="20"/>
          <w:szCs w:val="20"/>
          <w:color w:val="auto"/>
        </w:rPr>
      </w:pPr>
    </w:p>
    <w:p>
      <w:pPr>
        <w:ind w:right="180" w:firstLine="518"/>
        <w:spacing w:after="0" w:line="272" w:lineRule="auto"/>
        <w:rPr>
          <w:sz w:val="20"/>
          <w:szCs w:val="20"/>
          <w:color w:val="auto"/>
        </w:rPr>
      </w:pPr>
      <w:r>
        <w:rPr>
          <w:rFonts w:ascii="Arial" w:cs="Arial" w:eastAsia="Arial" w:hAnsi="Arial"/>
          <w:sz w:val="17"/>
          <w:szCs w:val="17"/>
          <w:color w:val="auto"/>
        </w:rPr>
        <w:t xml:space="preserve">In August 2014, the FASB issued Accounting Standards Update No. 2014-15 (“ASU 2014-15”), </w:t>
      </w:r>
      <w:r>
        <w:rPr>
          <w:rFonts w:ascii="Arial" w:cs="Arial" w:eastAsia="Arial" w:hAnsi="Arial"/>
          <w:sz w:val="17"/>
          <w:szCs w:val="17"/>
          <w:i w:val="1"/>
          <w:iCs w:val="1"/>
          <w:color w:val="auto"/>
        </w:rPr>
        <w:t>Presentation of Financial Statements — Going</w:t>
      </w:r>
      <w:r>
        <w:rPr>
          <w:rFonts w:ascii="Arial" w:cs="Arial" w:eastAsia="Arial" w:hAnsi="Arial"/>
          <w:sz w:val="17"/>
          <w:szCs w:val="17"/>
          <w:color w:val="auto"/>
        </w:rPr>
        <w:t xml:space="preserve"> </w:t>
      </w:r>
      <w:r>
        <w:rPr>
          <w:rFonts w:ascii="Arial" w:cs="Arial" w:eastAsia="Arial" w:hAnsi="Arial"/>
          <w:sz w:val="17"/>
          <w:szCs w:val="17"/>
          <w:i w:val="1"/>
          <w:iCs w:val="1"/>
          <w:color w:val="auto"/>
        </w:rPr>
        <w:t>Concern (Subtopic 205-40): Disclosure of Uncertainties about an Entity’s Ability to Continue as a Going Concern</w:t>
      </w:r>
      <w:r>
        <w:rPr>
          <w:rFonts w:ascii="Arial" w:cs="Arial" w:eastAsia="Arial" w:hAnsi="Arial"/>
          <w:sz w:val="17"/>
          <w:szCs w:val="17"/>
          <w:color w:val="auto"/>
        </w:rPr>
        <w:t>, which requires management to evaluate,</w:t>
      </w:r>
      <w:r>
        <w:rPr>
          <w:rFonts w:ascii="Arial" w:cs="Arial" w:eastAsia="Arial" w:hAnsi="Arial"/>
          <w:sz w:val="17"/>
          <w:szCs w:val="17"/>
          <w:i w:val="1"/>
          <w:iCs w:val="1"/>
          <w:color w:val="auto"/>
        </w:rPr>
        <w:t xml:space="preserve"> </w:t>
      </w:r>
      <w:r>
        <w:rPr>
          <w:rFonts w:ascii="Arial" w:cs="Arial" w:eastAsia="Arial" w:hAnsi="Arial"/>
          <w:sz w:val="17"/>
          <w:szCs w:val="17"/>
          <w:color w:val="auto"/>
        </w:rPr>
        <w:t>in connection with preparing financial statements for each annual and interim reporting period, whether there are conditions or events, considered in the aggregate, that raise substantial doubt about an entity’s ability to continue as a going concern within one year after the date that the financial statements are issued (or within one year after the date that the financial statements are available to be issued when applicable) and provide related disclosures. ASU 2014-15 is effective for the annual period ending after December 15, 2016, and for annual and interim periods thereafter. Early adoption is permitted. We believe the adoption of this guidance will not have a material effect on our consolidated financial statements.</w:t>
      </w:r>
    </w:p>
    <w:p>
      <w:pPr>
        <w:spacing w:after="0" w:line="178" w:lineRule="exact"/>
        <w:rPr>
          <w:sz w:val="20"/>
          <w:szCs w:val="20"/>
          <w:color w:val="auto"/>
        </w:rPr>
      </w:pPr>
    </w:p>
    <w:p>
      <w:pPr>
        <w:jc w:val="both"/>
        <w:ind w:firstLine="518"/>
        <w:spacing w:after="0" w:line="257" w:lineRule="auto"/>
        <w:rPr>
          <w:sz w:val="20"/>
          <w:szCs w:val="20"/>
          <w:color w:val="auto"/>
        </w:rPr>
      </w:pPr>
      <w:r>
        <w:rPr>
          <w:rFonts w:ascii="Arial" w:cs="Arial" w:eastAsia="Arial" w:hAnsi="Arial"/>
          <w:sz w:val="18"/>
          <w:szCs w:val="18"/>
          <w:color w:val="auto"/>
        </w:rPr>
        <w:t xml:space="preserve">In February 2015, the FASB issued Accounting Standards Update No. 2015-02, (“ASU 2015-02”), </w:t>
      </w:r>
      <w:r>
        <w:rPr>
          <w:rFonts w:ascii="Arial" w:cs="Arial" w:eastAsia="Arial" w:hAnsi="Arial"/>
          <w:sz w:val="18"/>
          <w:szCs w:val="18"/>
          <w:i w:val="1"/>
          <w:iCs w:val="1"/>
          <w:color w:val="auto"/>
        </w:rPr>
        <w:t>Consolidation (Topic 810): Amendments to the</w:t>
      </w:r>
      <w:r>
        <w:rPr>
          <w:rFonts w:ascii="Arial" w:cs="Arial" w:eastAsia="Arial" w:hAnsi="Arial"/>
          <w:sz w:val="18"/>
          <w:szCs w:val="18"/>
          <w:color w:val="auto"/>
        </w:rPr>
        <w:t xml:space="preserve"> </w:t>
      </w:r>
      <w:r>
        <w:rPr>
          <w:rFonts w:ascii="Arial" w:cs="Arial" w:eastAsia="Arial" w:hAnsi="Arial"/>
          <w:sz w:val="18"/>
          <w:szCs w:val="18"/>
          <w:i w:val="1"/>
          <w:iCs w:val="1"/>
          <w:color w:val="auto"/>
        </w:rPr>
        <w:t xml:space="preserve">Consolidation Analysis”. </w:t>
      </w:r>
      <w:r>
        <w:rPr>
          <w:rFonts w:ascii="Arial" w:cs="Arial" w:eastAsia="Arial" w:hAnsi="Arial"/>
          <w:sz w:val="18"/>
          <w:szCs w:val="18"/>
          <w:color w:val="auto"/>
        </w:rPr>
        <w:t>ASU 2015-02 changes the analysis that a reporting entity must perform to determine whether it should consolidate certain types of</w:t>
      </w:r>
      <w:r>
        <w:rPr>
          <w:rFonts w:ascii="Arial" w:cs="Arial" w:eastAsia="Arial" w:hAnsi="Arial"/>
          <w:sz w:val="18"/>
          <w:szCs w:val="18"/>
          <w:i w:val="1"/>
          <w:iCs w:val="1"/>
          <w:color w:val="auto"/>
        </w:rPr>
        <w:t xml:space="preserve"> </w:t>
      </w:r>
      <w:r>
        <w:rPr>
          <w:rFonts w:ascii="Arial" w:cs="Arial" w:eastAsia="Arial" w:hAnsi="Arial"/>
          <w:sz w:val="18"/>
          <w:szCs w:val="18"/>
          <w:color w:val="auto"/>
        </w:rPr>
        <w:t>legal entities. ASU 2015-02 is effective for fiscal years, and interim periods within those years, beginning after December 15, 2015. Early adoption is permitted, including adoption in an interim period. We believe the adoption of ASU 2015-02 will not have a material effect on our consolidated financial statements.</w:t>
      </w:r>
    </w:p>
    <w:p>
      <w:pPr>
        <w:spacing w:after="0" w:line="188" w:lineRule="exact"/>
        <w:rPr>
          <w:sz w:val="20"/>
          <w:szCs w:val="20"/>
          <w:color w:val="auto"/>
        </w:rPr>
      </w:pPr>
    </w:p>
    <w:p>
      <w:pPr>
        <w:jc w:val="both"/>
        <w:ind w:firstLine="518"/>
        <w:spacing w:after="0" w:line="257" w:lineRule="auto"/>
        <w:rPr>
          <w:sz w:val="20"/>
          <w:szCs w:val="20"/>
          <w:color w:val="auto"/>
        </w:rPr>
      </w:pPr>
      <w:r>
        <w:rPr>
          <w:rFonts w:ascii="Arial" w:cs="Arial" w:eastAsia="Arial" w:hAnsi="Arial"/>
          <w:sz w:val="18"/>
          <w:szCs w:val="18"/>
          <w:color w:val="auto"/>
        </w:rPr>
        <w:t xml:space="preserve">In April 2015, the FASB issued Accounting Standards Update No. 2015-03, (“ASU 2015-03”), </w:t>
      </w:r>
      <w:r>
        <w:rPr>
          <w:rFonts w:ascii="Arial" w:cs="Arial" w:eastAsia="Arial" w:hAnsi="Arial"/>
          <w:sz w:val="18"/>
          <w:szCs w:val="18"/>
          <w:i w:val="1"/>
          <w:iCs w:val="1"/>
          <w:color w:val="auto"/>
        </w:rPr>
        <w:t xml:space="preserve">Interest - Imputation of Interest (Subtopic 835-30). </w:t>
      </w:r>
      <w:r>
        <w:rPr>
          <w:rFonts w:ascii="Arial" w:cs="Arial" w:eastAsia="Arial" w:hAnsi="Arial"/>
          <w:sz w:val="18"/>
          <w:szCs w:val="18"/>
          <w:color w:val="auto"/>
        </w:rPr>
        <w:t>ASU 2015-03 is effective for fiscal years, and interim periods within those years, beginning after December 15, 2015. Early adoption is permitted,</w:t>
      </w:r>
      <w:r>
        <w:rPr>
          <w:rFonts w:ascii="Arial" w:cs="Arial" w:eastAsia="Arial" w:hAnsi="Arial"/>
          <w:sz w:val="18"/>
          <w:szCs w:val="18"/>
          <w:i w:val="1"/>
          <w:iCs w:val="1"/>
          <w:color w:val="auto"/>
        </w:rPr>
        <w:t xml:space="preserve"> </w:t>
      </w:r>
      <w:r>
        <w:rPr>
          <w:rFonts w:ascii="Arial" w:cs="Arial" w:eastAsia="Arial" w:hAnsi="Arial"/>
          <w:sz w:val="18"/>
          <w:szCs w:val="18"/>
          <w:color w:val="auto"/>
        </w:rPr>
        <w:t>including adoption in an interim period. The impact of ASU 2015-03 for the periods ended March 31, 2015 and December 31, 2014 would be a balance sheet reclassification of $22.9 million and $23.7 million of deferred loan costs on Senior Notes, currently included in Other Assets, which would be reclassified as a reduction to Senior Notes in the liabilities section of the balance sheet.</w:t>
      </w:r>
    </w:p>
    <w:p>
      <w:pPr>
        <w:spacing w:after="0" w:line="319" w:lineRule="exact"/>
        <w:rPr>
          <w:sz w:val="20"/>
          <w:szCs w:val="20"/>
          <w:color w:val="auto"/>
        </w:rPr>
      </w:pPr>
    </w:p>
    <w:p>
      <w:pPr>
        <w:ind w:left="540" w:hanging="532"/>
        <w:spacing w:after="0"/>
        <w:tabs>
          <w:tab w:leader="none" w:pos="540" w:val="left"/>
        </w:tabs>
        <w:numPr>
          <w:ilvl w:val="0"/>
          <w:numId w:val="4"/>
        </w:numPr>
        <w:rPr>
          <w:rFonts w:ascii="Arial" w:cs="Arial" w:eastAsia="Arial" w:hAnsi="Arial"/>
          <w:sz w:val="18"/>
          <w:szCs w:val="18"/>
          <w:b w:val="1"/>
          <w:bCs w:val="1"/>
          <w:color w:val="auto"/>
        </w:rPr>
      </w:pPr>
      <w:r>
        <w:rPr>
          <w:rFonts w:ascii="Arial" w:cs="Arial" w:eastAsia="Arial" w:hAnsi="Arial"/>
          <w:sz w:val="18"/>
          <w:szCs w:val="18"/>
          <w:b w:val="1"/>
          <w:bCs w:val="1"/>
          <w:color w:val="auto"/>
        </w:rPr>
        <w:t>Merger with Weyerhaeuser Real Estate Company</w:t>
      </w:r>
    </w:p>
    <w:p>
      <w:pPr>
        <w:spacing w:after="0" w:line="121" w:lineRule="exact"/>
        <w:rPr>
          <w:sz w:val="20"/>
          <w:szCs w:val="20"/>
          <w:color w:val="auto"/>
        </w:rPr>
      </w:pPr>
    </w:p>
    <w:p>
      <w:pPr>
        <w:ind w:right="20" w:firstLine="518"/>
        <w:spacing w:after="0" w:line="293" w:lineRule="auto"/>
        <w:rPr>
          <w:sz w:val="20"/>
          <w:szCs w:val="20"/>
          <w:color w:val="auto"/>
        </w:rPr>
      </w:pPr>
      <w:r>
        <w:rPr>
          <w:rFonts w:ascii="Arial" w:cs="Arial" w:eastAsia="Arial" w:hAnsi="Arial"/>
          <w:sz w:val="16"/>
          <w:szCs w:val="16"/>
          <w:color w:val="auto"/>
        </w:rPr>
        <w:t>In the Merger, TRI Pointe issued 129,700,000 shares of TRI Pointe common stock to the former holders of WRECO common shares, together with cash in lieu of any fractional shares. On the Closing Date, WRECO became a wholly owned subsidiary of TRI Pointe. Immediately following the consummation of the Merger, the ownership of TRI Pointe common stock on a fully diluted basis was as follows: (i) the WRECO common shares held by former Weyerhaeuser shareholders were converted into the right to receive, in the aggregate, 79.6% of the then outstanding TRI Pointe common stock, (ii) the TRI Pointe common stock outstanding immediately prior to the consummation of the Merger represented 19.4% of the then outstanding TRI Pointe common stock, and (iii) the outstanding equity awards of WRECO and TRI Pointe employees represented the remaining 1.0% of the then outstanding TRI Pointe</w:t>
      </w:r>
    </w:p>
    <w:p>
      <w:pPr>
        <w:spacing w:after="0" w:line="200" w:lineRule="exact"/>
        <w:rPr>
          <w:sz w:val="20"/>
          <w:szCs w:val="20"/>
          <w:color w:val="auto"/>
        </w:rPr>
      </w:pPr>
    </w:p>
    <w:p>
      <w:pPr>
        <w:spacing w:after="0" w:line="20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- 8 -</w:t>
      </w:r>
    </w:p>
    <w:p>
      <w:pPr>
        <w:sectPr>
          <w:pgSz w:w="11900" w:h="16838" w:orient="portrait"/>
          <w:cols w:equalWidth="0" w:num="1">
            <w:col w:w="11420"/>
          </w:cols>
          <w:pgMar w:left="240" w:top="459" w:right="239" w:bottom="1440" w:gutter="0" w:footer="0" w:header="0"/>
        </w:sectPr>
      </w:pPr>
    </w:p>
    <w:bookmarkStart w:id="8" w:name="page9"/>
    <w:bookmarkEnd w:id="8"/>
    <w:p>
      <w:pPr>
        <w:ind w:right="300"/>
        <w:spacing w:after="0" w:line="277" w:lineRule="auto"/>
        <w:rPr>
          <w:sz w:val="20"/>
          <w:szCs w:val="20"/>
          <w:color w:val="auto"/>
        </w:rPr>
      </w:pPr>
      <w:r>
        <w:rPr>
          <w:rFonts w:ascii="Arial" w:cs="Arial" w:eastAsia="Arial" w:hAnsi="Arial"/>
          <w:sz w:val="18"/>
          <w:szCs w:val="18"/>
          <w:color w:val="auto"/>
        </w:rPr>
        <w:t>common stock. On the Closing Date, the former direct parent entity of WRECO paid TRI Pointe $31.5 million in cash in accordance with the Transaction Agreement. Following the Merger, WRECO changed its name to TRI Pointe Holdings, Inc.</w:t>
      </w:r>
    </w:p>
    <w:p>
      <w:pPr>
        <w:spacing w:after="0" w:line="279" w:lineRule="exact"/>
        <w:rPr>
          <w:sz w:val="20"/>
          <w:szCs w:val="20"/>
          <w:color w:val="auto"/>
        </w:rPr>
      </w:pPr>
    </w:p>
    <w:p>
      <w:pPr>
        <w:ind w:left="520"/>
        <w:spacing w:after="0"/>
        <w:rPr>
          <w:sz w:val="20"/>
          <w:szCs w:val="20"/>
          <w:color w:val="auto"/>
        </w:rPr>
      </w:pPr>
      <w:r>
        <w:rPr>
          <w:rFonts w:ascii="Arial" w:cs="Arial" w:eastAsia="Arial" w:hAnsi="Arial"/>
          <w:sz w:val="18"/>
          <w:szCs w:val="18"/>
          <w:b w:val="1"/>
          <w:bCs w:val="1"/>
          <w:i w:val="1"/>
          <w:iCs w:val="1"/>
          <w:color w:val="auto"/>
        </w:rPr>
        <w:t>Assumption of Senior Notes</w:t>
      </w:r>
    </w:p>
    <w:p>
      <w:pPr>
        <w:spacing w:after="0" w:line="117" w:lineRule="exact"/>
        <w:rPr>
          <w:sz w:val="20"/>
          <w:szCs w:val="20"/>
          <w:color w:val="auto"/>
        </w:rPr>
      </w:pPr>
    </w:p>
    <w:p>
      <w:pPr>
        <w:ind w:right="40" w:firstLine="518"/>
        <w:spacing w:after="0" w:line="290" w:lineRule="auto"/>
        <w:rPr>
          <w:sz w:val="20"/>
          <w:szCs w:val="20"/>
          <w:color w:val="auto"/>
        </w:rPr>
      </w:pPr>
      <w:r>
        <w:rPr>
          <w:rFonts w:ascii="Arial" w:cs="Arial" w:eastAsia="Arial" w:hAnsi="Arial"/>
          <w:sz w:val="16"/>
          <w:szCs w:val="16"/>
          <w:color w:val="auto"/>
        </w:rPr>
        <w:t>On the Closing Date, TRI Pointe assumed WRECO’s obligations as issuer of $450 million aggregate principal amount of its 4.375% Senior Notes due 2019 (the “2019 Notes”) and $450 million aggregate principal amount of its 5.875% Senior Notes due 2024 (the “2024 Notes” and together with the 2019 Notes, the “Senior Notes”). Additionally, WRECO and certain of its subsidiaries (collectively, the “Guarantors”) entered into supplemental indentures pursuant to which they guaranteed TRI Pointe’s obligations with respect to the Senior Notes. The Guarantors also entered into a joinder agreement to the Purchase Agreement, dated as of June 4, 2014, among WRECO, TRI Pointe, and the initial purchasers of the Senior Notes (collectively, the “Initial Purchasers”), pursuant to which the Guarantors became parties to the Purchase Agreement. Additionally, TRI Pointe and the Guarantors entered into joinder agreements to the Registration Rights Agreements, dated as of June 13, 2014, among WRECO and the Initial Purchasers with respect to the Senior Notes, pursuant to which TRI Pointe and the Guarantors were joined as parties to the Registration Rights Agreements.</w:t>
      </w:r>
    </w:p>
    <w:p>
      <w:pPr>
        <w:spacing w:after="0" w:line="166" w:lineRule="exact"/>
        <w:rPr>
          <w:sz w:val="20"/>
          <w:szCs w:val="20"/>
          <w:color w:val="auto"/>
        </w:rPr>
      </w:pPr>
    </w:p>
    <w:p>
      <w:pPr>
        <w:ind w:right="40" w:firstLine="518"/>
        <w:spacing w:after="0" w:line="255" w:lineRule="auto"/>
        <w:rPr>
          <w:sz w:val="20"/>
          <w:szCs w:val="20"/>
          <w:color w:val="auto"/>
        </w:rPr>
      </w:pPr>
      <w:r>
        <w:rPr>
          <w:rFonts w:ascii="Arial" w:cs="Arial" w:eastAsia="Arial" w:hAnsi="Arial"/>
          <w:sz w:val="18"/>
          <w:szCs w:val="18"/>
          <w:color w:val="auto"/>
        </w:rPr>
        <w:t>The net proceeds of $861.3 million from the offering of the Senior Notes were deposited into two separate escrow accounts following the closing of the offering on June 13, 2014. Upon release of the escrowed funds on the Closing Date and prior to the consummation of the Merger, WRECO paid $743.7 million in cash to its former direct parent, which cash was retained by Weyerhaeuser and its subsidiaries (other than WRECO and its subsidiaries). The payment consisted of the $739.0 million Payment Amount (as defined in the Transaction Agreement) as well as $4.7 million in payment of all unpaid interest on the debt payable to Weyerhaeuser that accrued from November 3, 2013 to the Closing Date. The remaining $117.6 million of proceeds was retained by TRI Pointe.</w:t>
      </w:r>
    </w:p>
    <w:p>
      <w:pPr>
        <w:spacing w:after="0" w:line="301" w:lineRule="exact"/>
        <w:rPr>
          <w:sz w:val="20"/>
          <w:szCs w:val="20"/>
          <w:color w:val="auto"/>
        </w:rPr>
      </w:pPr>
    </w:p>
    <w:p>
      <w:pPr>
        <w:ind w:left="520"/>
        <w:spacing w:after="0"/>
        <w:rPr>
          <w:sz w:val="20"/>
          <w:szCs w:val="20"/>
          <w:color w:val="auto"/>
        </w:rPr>
      </w:pPr>
      <w:r>
        <w:rPr>
          <w:rFonts w:ascii="Arial" w:cs="Arial" w:eastAsia="Arial" w:hAnsi="Arial"/>
          <w:sz w:val="18"/>
          <w:szCs w:val="18"/>
          <w:b w:val="1"/>
          <w:bCs w:val="1"/>
          <w:i w:val="1"/>
          <w:iCs w:val="1"/>
          <w:color w:val="auto"/>
        </w:rPr>
        <w:t>Fair Value of Assets Acquired and Liabilities Assumed</w:t>
      </w:r>
    </w:p>
    <w:p>
      <w:pPr>
        <w:spacing w:after="0" w:line="117" w:lineRule="exact"/>
        <w:rPr>
          <w:sz w:val="20"/>
          <w:szCs w:val="20"/>
          <w:color w:val="auto"/>
        </w:rPr>
      </w:pPr>
    </w:p>
    <w:p>
      <w:pPr>
        <w:ind w:left="520"/>
        <w:spacing w:after="0"/>
        <w:rPr>
          <w:sz w:val="20"/>
          <w:szCs w:val="20"/>
          <w:color w:val="auto"/>
        </w:rPr>
      </w:pPr>
      <w:r>
        <w:rPr>
          <w:rFonts w:ascii="Arial" w:cs="Arial" w:eastAsia="Arial" w:hAnsi="Arial"/>
          <w:sz w:val="16"/>
          <w:szCs w:val="16"/>
          <w:color w:val="auto"/>
        </w:rPr>
        <w:t>The following table summarizes the calculation of the fair value of the total consideration transferred and the provisional amounts recognized as of the</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Closing Date (in thousands, except shares and closing stock price):</w:t>
      </w:r>
    </w:p>
    <w:p>
      <w:pPr>
        <w:spacing w:after="0" w:line="225" w:lineRule="exact"/>
        <w:rPr>
          <w:sz w:val="20"/>
          <w:szCs w:val="20"/>
          <w:color w:val="auto"/>
        </w:rPr>
      </w:pPr>
    </w:p>
    <w:tbl>
      <w:tblPr>
        <w:tblLayout w:type="fixed"/>
        <w:tblInd w:w="2300" w:type="dxa"/>
        <w:tblCellMar>
          <w:top w:w="0" w:type="dxa"/>
          <w:left w:w="0" w:type="dxa"/>
          <w:bottom w:w="0" w:type="dxa"/>
          <w:right w:w="0" w:type="dxa"/>
        </w:tblCellMar>
      </w:tblPr>
      <w:tr>
        <w:trPr>
          <w:trHeight w:val="230"/>
        </w:trPr>
        <w:tc>
          <w:tcPr>
            <w:tcW w:w="5600" w:type="dxa"/>
            <w:vAlign w:val="bottom"/>
            <w:shd w:val="clear" w:color="auto" w:fill="CFF0FC"/>
          </w:tcPr>
          <w:p>
            <w:pPr>
              <w:spacing w:after="0"/>
              <w:rPr>
                <w:sz w:val="20"/>
                <w:szCs w:val="20"/>
                <w:color w:val="auto"/>
              </w:rPr>
            </w:pPr>
            <w:r>
              <w:rPr>
                <w:rFonts w:ascii="Arial" w:cs="Arial" w:eastAsia="Arial" w:hAnsi="Arial"/>
                <w:sz w:val="18"/>
                <w:szCs w:val="18"/>
                <w:b w:val="1"/>
                <w:bCs w:val="1"/>
                <w:color w:val="auto"/>
              </w:rPr>
              <w:t>Calculation of consideration transferred</w:t>
            </w:r>
          </w:p>
        </w:tc>
        <w:tc>
          <w:tcPr>
            <w:tcW w:w="220" w:type="dxa"/>
            <w:vAlign w:val="bottom"/>
            <w:shd w:val="clear" w:color="auto" w:fill="CFF0FC"/>
          </w:tcPr>
          <w:p>
            <w:pPr>
              <w:spacing w:after="0"/>
              <w:rPr>
                <w:sz w:val="19"/>
                <w:szCs w:val="19"/>
                <w:color w:val="auto"/>
              </w:rPr>
            </w:pPr>
          </w:p>
        </w:tc>
        <w:tc>
          <w:tcPr>
            <w:tcW w:w="94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r>
      <w:tr>
        <w:trPr>
          <w:trHeight w:val="230"/>
        </w:trPr>
        <w:tc>
          <w:tcPr>
            <w:tcW w:w="5600" w:type="dxa"/>
            <w:vAlign w:val="bottom"/>
          </w:tcPr>
          <w:p>
            <w:pPr>
              <w:ind w:left="240"/>
              <w:spacing w:after="0"/>
              <w:rPr>
                <w:sz w:val="20"/>
                <w:szCs w:val="20"/>
                <w:color w:val="auto"/>
              </w:rPr>
            </w:pPr>
            <w:r>
              <w:rPr>
                <w:rFonts w:ascii="Arial" w:cs="Arial" w:eastAsia="Arial" w:hAnsi="Arial"/>
                <w:sz w:val="18"/>
                <w:szCs w:val="18"/>
                <w:color w:val="auto"/>
              </w:rPr>
              <w:t>TRI Pointe shares outstanding</w:t>
            </w:r>
          </w:p>
        </w:tc>
        <w:tc>
          <w:tcPr>
            <w:tcW w:w="220" w:type="dxa"/>
            <w:vAlign w:val="bottom"/>
          </w:tcPr>
          <w:p>
            <w:pPr>
              <w:spacing w:after="0"/>
              <w:rPr>
                <w:sz w:val="19"/>
                <w:szCs w:val="19"/>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w w:val="99"/>
              </w:rPr>
              <w:t>31,632,533</w:t>
            </w:r>
          </w:p>
        </w:tc>
        <w:tc>
          <w:tcPr>
            <w:tcW w:w="80" w:type="dxa"/>
            <w:vAlign w:val="bottom"/>
          </w:tcPr>
          <w:p>
            <w:pPr>
              <w:spacing w:after="0"/>
              <w:rPr>
                <w:sz w:val="19"/>
                <w:szCs w:val="19"/>
                <w:color w:val="auto"/>
              </w:rPr>
            </w:pPr>
          </w:p>
        </w:tc>
      </w:tr>
      <w:tr>
        <w:trPr>
          <w:trHeight w:val="230"/>
        </w:trPr>
        <w:tc>
          <w:tcPr>
            <w:tcW w:w="5600" w:type="dxa"/>
            <w:vAlign w:val="bottom"/>
            <w:shd w:val="clear" w:color="auto" w:fill="CFF0FC"/>
          </w:tcPr>
          <w:p>
            <w:pPr>
              <w:ind w:left="240"/>
              <w:spacing w:after="0"/>
              <w:rPr>
                <w:sz w:val="20"/>
                <w:szCs w:val="20"/>
                <w:color w:val="auto"/>
              </w:rPr>
            </w:pPr>
            <w:r>
              <w:rPr>
                <w:rFonts w:ascii="Arial" w:cs="Arial" w:eastAsia="Arial" w:hAnsi="Arial"/>
                <w:sz w:val="18"/>
                <w:szCs w:val="18"/>
                <w:color w:val="auto"/>
              </w:rPr>
              <w:t>TRI Pointe closing stock price on July 7, 2014</w:t>
            </w:r>
          </w:p>
        </w:tc>
        <w:tc>
          <w:tcPr>
            <w:tcW w:w="220" w:type="dxa"/>
            <w:vAlign w:val="bottom"/>
            <w:tcBorders>
              <w:bottom w:val="single" w:sz="8" w:color="auto"/>
            </w:tcBorders>
            <w:shd w:val="clear" w:color="auto" w:fill="CFF0FC"/>
          </w:tcPr>
          <w:p>
            <w:pPr>
              <w:jc w:val="right"/>
              <w:ind w:right="30"/>
              <w:spacing w:after="0"/>
              <w:rPr>
                <w:sz w:val="20"/>
                <w:szCs w:val="20"/>
                <w:color w:val="auto"/>
              </w:rPr>
            </w:pPr>
            <w:r>
              <w:rPr>
                <w:rFonts w:ascii="Arial" w:cs="Arial" w:eastAsia="Arial" w:hAnsi="Arial"/>
                <w:sz w:val="18"/>
                <w:szCs w:val="18"/>
                <w:color w:val="auto"/>
                <w:w w:val="79"/>
              </w:rPr>
              <w:t>$</w:t>
            </w:r>
          </w:p>
        </w:tc>
        <w:tc>
          <w:tcPr>
            <w:tcW w:w="94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15.85</w:t>
            </w:r>
          </w:p>
        </w:tc>
        <w:tc>
          <w:tcPr>
            <w:tcW w:w="80" w:type="dxa"/>
            <w:vAlign w:val="bottom"/>
            <w:shd w:val="clear" w:color="auto" w:fill="CFF0FC"/>
          </w:tcPr>
          <w:p>
            <w:pPr>
              <w:spacing w:after="0"/>
              <w:rPr>
                <w:sz w:val="19"/>
                <w:szCs w:val="19"/>
                <w:color w:val="auto"/>
              </w:rPr>
            </w:pPr>
          </w:p>
        </w:tc>
      </w:tr>
      <w:tr>
        <w:trPr>
          <w:trHeight w:val="223"/>
        </w:trPr>
        <w:tc>
          <w:tcPr>
            <w:tcW w:w="5600" w:type="dxa"/>
            <w:vAlign w:val="bottom"/>
          </w:tcPr>
          <w:p>
            <w:pPr>
              <w:ind w:left="240"/>
              <w:spacing w:after="0"/>
              <w:rPr>
                <w:sz w:val="20"/>
                <w:szCs w:val="20"/>
                <w:color w:val="auto"/>
              </w:rPr>
            </w:pPr>
            <w:r>
              <w:rPr>
                <w:rFonts w:ascii="Arial" w:cs="Arial" w:eastAsia="Arial" w:hAnsi="Arial"/>
                <w:sz w:val="18"/>
                <w:szCs w:val="18"/>
                <w:color w:val="auto"/>
              </w:rPr>
              <w:t>Consideration attributable to common stock</w:t>
            </w:r>
          </w:p>
        </w:tc>
        <w:tc>
          <w:tcPr>
            <w:tcW w:w="220" w:type="dxa"/>
            <w:vAlign w:val="bottom"/>
          </w:tcPr>
          <w:p>
            <w:pPr>
              <w:jc w:val="right"/>
              <w:ind w:right="30"/>
              <w:spacing w:after="0"/>
              <w:rPr>
                <w:sz w:val="20"/>
                <w:szCs w:val="20"/>
                <w:color w:val="auto"/>
              </w:rPr>
            </w:pPr>
            <w:r>
              <w:rPr>
                <w:rFonts w:ascii="Arial" w:cs="Arial" w:eastAsia="Arial" w:hAnsi="Arial"/>
                <w:sz w:val="18"/>
                <w:szCs w:val="18"/>
                <w:color w:val="auto"/>
                <w:w w:val="79"/>
              </w:rPr>
              <w:t>$</w:t>
            </w:r>
          </w:p>
        </w:tc>
        <w:tc>
          <w:tcPr>
            <w:tcW w:w="940" w:type="dxa"/>
            <w:vAlign w:val="bottom"/>
          </w:tcPr>
          <w:p>
            <w:pPr>
              <w:jc w:val="right"/>
              <w:spacing w:after="0"/>
              <w:rPr>
                <w:sz w:val="20"/>
                <w:szCs w:val="20"/>
                <w:color w:val="auto"/>
              </w:rPr>
            </w:pPr>
            <w:r>
              <w:rPr>
                <w:rFonts w:ascii="Arial" w:cs="Arial" w:eastAsia="Arial" w:hAnsi="Arial"/>
                <w:sz w:val="18"/>
                <w:szCs w:val="18"/>
                <w:color w:val="auto"/>
              </w:rPr>
              <w:t>501,376</w:t>
            </w:r>
          </w:p>
        </w:tc>
        <w:tc>
          <w:tcPr>
            <w:tcW w:w="80" w:type="dxa"/>
            <w:vAlign w:val="bottom"/>
          </w:tcPr>
          <w:p>
            <w:pPr>
              <w:spacing w:after="0"/>
              <w:rPr>
                <w:sz w:val="19"/>
                <w:szCs w:val="19"/>
                <w:color w:val="auto"/>
              </w:rPr>
            </w:pPr>
          </w:p>
        </w:tc>
      </w:tr>
      <w:tr>
        <w:trPr>
          <w:trHeight w:val="230"/>
        </w:trPr>
        <w:tc>
          <w:tcPr>
            <w:tcW w:w="5600" w:type="dxa"/>
            <w:vAlign w:val="bottom"/>
            <w:shd w:val="clear" w:color="auto" w:fill="CFF0FC"/>
          </w:tcPr>
          <w:p>
            <w:pPr>
              <w:ind w:left="240"/>
              <w:spacing w:after="0"/>
              <w:rPr>
                <w:sz w:val="20"/>
                <w:szCs w:val="20"/>
                <w:color w:val="auto"/>
              </w:rPr>
            </w:pPr>
            <w:r>
              <w:rPr>
                <w:rFonts w:ascii="Arial" w:cs="Arial" w:eastAsia="Arial" w:hAnsi="Arial"/>
                <w:sz w:val="18"/>
                <w:szCs w:val="18"/>
                <w:color w:val="auto"/>
                <w:w w:val="99"/>
              </w:rPr>
              <w:t>Consideration attributable to TRI Pointe share-based equity awards</w:t>
            </w:r>
          </w:p>
        </w:tc>
        <w:tc>
          <w:tcPr>
            <w:tcW w:w="220" w:type="dxa"/>
            <w:vAlign w:val="bottom"/>
            <w:tcBorders>
              <w:bottom w:val="single" w:sz="8" w:color="auto"/>
            </w:tcBorders>
            <w:shd w:val="clear" w:color="auto" w:fill="CFF0FC"/>
          </w:tcPr>
          <w:p>
            <w:pPr>
              <w:spacing w:after="0"/>
              <w:rPr>
                <w:sz w:val="19"/>
                <w:szCs w:val="19"/>
                <w:color w:val="auto"/>
              </w:rPr>
            </w:pPr>
          </w:p>
        </w:tc>
        <w:tc>
          <w:tcPr>
            <w:tcW w:w="94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1,072</w:t>
            </w:r>
          </w:p>
        </w:tc>
        <w:tc>
          <w:tcPr>
            <w:tcW w:w="80" w:type="dxa"/>
            <w:vAlign w:val="bottom"/>
            <w:shd w:val="clear" w:color="auto" w:fill="CFF0FC"/>
          </w:tcPr>
          <w:p>
            <w:pPr>
              <w:spacing w:after="0"/>
              <w:rPr>
                <w:sz w:val="19"/>
                <w:szCs w:val="19"/>
                <w:color w:val="auto"/>
              </w:rPr>
            </w:pPr>
          </w:p>
        </w:tc>
      </w:tr>
      <w:tr>
        <w:trPr>
          <w:trHeight w:val="263"/>
        </w:trPr>
        <w:tc>
          <w:tcPr>
            <w:tcW w:w="5600" w:type="dxa"/>
            <w:vAlign w:val="bottom"/>
            <w:tcBorders>
              <w:bottom w:val="single" w:sz="8" w:color="CFF0FC"/>
            </w:tcBorders>
          </w:tcPr>
          <w:p>
            <w:pPr>
              <w:spacing w:after="0"/>
              <w:rPr>
                <w:sz w:val="20"/>
                <w:szCs w:val="20"/>
                <w:color w:val="auto"/>
              </w:rPr>
            </w:pPr>
            <w:r>
              <w:rPr>
                <w:rFonts w:ascii="Arial" w:cs="Arial" w:eastAsia="Arial" w:hAnsi="Arial"/>
                <w:sz w:val="18"/>
                <w:szCs w:val="18"/>
                <w:b w:val="1"/>
                <w:bCs w:val="1"/>
                <w:color w:val="auto"/>
              </w:rPr>
              <w:t>Total consideration transferred</w:t>
            </w:r>
          </w:p>
        </w:tc>
        <w:tc>
          <w:tcPr>
            <w:tcW w:w="22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w w:val="79"/>
              </w:rPr>
              <w:t>$</w:t>
            </w: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502,448</w:t>
            </w:r>
          </w:p>
        </w:tc>
        <w:tc>
          <w:tcPr>
            <w:tcW w:w="80" w:type="dxa"/>
            <w:vAlign w:val="bottom"/>
            <w:tcBorders>
              <w:bottom w:val="single" w:sz="8" w:color="CFF0FC"/>
            </w:tcBorders>
          </w:tcPr>
          <w:p>
            <w:pPr>
              <w:spacing w:after="0"/>
              <w:rPr>
                <w:sz w:val="22"/>
                <w:szCs w:val="22"/>
                <w:color w:val="auto"/>
              </w:rPr>
            </w:pPr>
          </w:p>
        </w:tc>
      </w:tr>
      <w:tr>
        <w:trPr>
          <w:trHeight w:val="210"/>
        </w:trPr>
        <w:tc>
          <w:tcPr>
            <w:tcW w:w="5600" w:type="dxa"/>
            <w:vAlign w:val="bottom"/>
            <w:shd w:val="clear" w:color="auto" w:fill="CFF0FC"/>
          </w:tcPr>
          <w:p>
            <w:pPr>
              <w:spacing w:after="0"/>
              <w:rPr>
                <w:sz w:val="20"/>
                <w:szCs w:val="20"/>
                <w:color w:val="auto"/>
              </w:rPr>
            </w:pPr>
            <w:r>
              <w:rPr>
                <w:rFonts w:ascii="Arial" w:cs="Arial" w:eastAsia="Arial" w:hAnsi="Arial"/>
                <w:sz w:val="18"/>
                <w:szCs w:val="18"/>
                <w:b w:val="1"/>
                <w:bCs w:val="1"/>
                <w:color w:val="auto"/>
              </w:rPr>
              <w:t>Assets acquired and liabilities assumed</w:t>
            </w:r>
          </w:p>
        </w:tc>
        <w:tc>
          <w:tcPr>
            <w:tcW w:w="220" w:type="dxa"/>
            <w:vAlign w:val="bottom"/>
            <w:shd w:val="clear" w:color="auto" w:fill="CFF0FC"/>
          </w:tcPr>
          <w:p>
            <w:pPr>
              <w:spacing w:after="0"/>
              <w:rPr>
                <w:sz w:val="18"/>
                <w:szCs w:val="18"/>
                <w:color w:val="auto"/>
              </w:rPr>
            </w:pPr>
          </w:p>
        </w:tc>
        <w:tc>
          <w:tcPr>
            <w:tcW w:w="940" w:type="dxa"/>
            <w:vAlign w:val="bottom"/>
            <w:shd w:val="clear" w:color="auto" w:fill="CFF0FC"/>
          </w:tcPr>
          <w:p>
            <w:pPr>
              <w:spacing w:after="0"/>
              <w:rPr>
                <w:sz w:val="18"/>
                <w:szCs w:val="18"/>
                <w:color w:val="auto"/>
              </w:rPr>
            </w:pPr>
          </w:p>
        </w:tc>
        <w:tc>
          <w:tcPr>
            <w:tcW w:w="80" w:type="dxa"/>
            <w:vAlign w:val="bottom"/>
            <w:shd w:val="clear" w:color="auto" w:fill="CFF0FC"/>
          </w:tcPr>
          <w:p>
            <w:pPr>
              <w:spacing w:after="0"/>
              <w:rPr>
                <w:sz w:val="18"/>
                <w:szCs w:val="18"/>
                <w:color w:val="auto"/>
              </w:rPr>
            </w:pPr>
          </w:p>
        </w:tc>
      </w:tr>
      <w:tr>
        <w:trPr>
          <w:trHeight w:val="230"/>
        </w:trPr>
        <w:tc>
          <w:tcPr>
            <w:tcW w:w="5600" w:type="dxa"/>
            <w:vAlign w:val="bottom"/>
          </w:tcPr>
          <w:p>
            <w:pPr>
              <w:ind w:left="240"/>
              <w:spacing w:after="0"/>
              <w:rPr>
                <w:sz w:val="20"/>
                <w:szCs w:val="20"/>
                <w:color w:val="auto"/>
              </w:rPr>
            </w:pPr>
            <w:r>
              <w:rPr>
                <w:rFonts w:ascii="Arial" w:cs="Arial" w:eastAsia="Arial" w:hAnsi="Arial"/>
                <w:sz w:val="18"/>
                <w:szCs w:val="18"/>
                <w:color w:val="auto"/>
              </w:rPr>
              <w:t>Cash and cash equivalents</w:t>
            </w:r>
          </w:p>
        </w:tc>
        <w:tc>
          <w:tcPr>
            <w:tcW w:w="220" w:type="dxa"/>
            <w:vAlign w:val="bottom"/>
          </w:tcPr>
          <w:p>
            <w:pPr>
              <w:jc w:val="right"/>
              <w:ind w:right="30"/>
              <w:spacing w:after="0"/>
              <w:rPr>
                <w:sz w:val="20"/>
                <w:szCs w:val="20"/>
                <w:color w:val="auto"/>
              </w:rPr>
            </w:pPr>
            <w:r>
              <w:rPr>
                <w:rFonts w:ascii="Arial" w:cs="Arial" w:eastAsia="Arial" w:hAnsi="Arial"/>
                <w:sz w:val="18"/>
                <w:szCs w:val="18"/>
                <w:color w:val="auto"/>
                <w:w w:val="79"/>
              </w:rPr>
              <w:t>$</w:t>
            </w:r>
          </w:p>
        </w:tc>
        <w:tc>
          <w:tcPr>
            <w:tcW w:w="940" w:type="dxa"/>
            <w:vAlign w:val="bottom"/>
          </w:tcPr>
          <w:p>
            <w:pPr>
              <w:jc w:val="right"/>
              <w:spacing w:after="0"/>
              <w:rPr>
                <w:sz w:val="20"/>
                <w:szCs w:val="20"/>
                <w:color w:val="auto"/>
              </w:rPr>
            </w:pPr>
            <w:r>
              <w:rPr>
                <w:rFonts w:ascii="Arial" w:cs="Arial" w:eastAsia="Arial" w:hAnsi="Arial"/>
                <w:sz w:val="18"/>
                <w:szCs w:val="18"/>
                <w:color w:val="auto"/>
              </w:rPr>
              <w:t>53,800</w:t>
            </w:r>
          </w:p>
        </w:tc>
        <w:tc>
          <w:tcPr>
            <w:tcW w:w="80" w:type="dxa"/>
            <w:vAlign w:val="bottom"/>
          </w:tcPr>
          <w:p>
            <w:pPr>
              <w:spacing w:after="0"/>
              <w:rPr>
                <w:sz w:val="19"/>
                <w:szCs w:val="19"/>
                <w:color w:val="auto"/>
              </w:rPr>
            </w:pPr>
          </w:p>
        </w:tc>
      </w:tr>
      <w:tr>
        <w:trPr>
          <w:trHeight w:val="230"/>
        </w:trPr>
        <w:tc>
          <w:tcPr>
            <w:tcW w:w="5600" w:type="dxa"/>
            <w:vAlign w:val="bottom"/>
            <w:shd w:val="clear" w:color="auto" w:fill="CFF0FC"/>
          </w:tcPr>
          <w:p>
            <w:pPr>
              <w:ind w:left="240"/>
              <w:spacing w:after="0"/>
              <w:rPr>
                <w:sz w:val="20"/>
                <w:szCs w:val="20"/>
                <w:color w:val="auto"/>
              </w:rPr>
            </w:pPr>
            <w:r>
              <w:rPr>
                <w:rFonts w:ascii="Arial" w:cs="Arial" w:eastAsia="Arial" w:hAnsi="Arial"/>
                <w:sz w:val="18"/>
                <w:szCs w:val="18"/>
                <w:color w:val="auto"/>
              </w:rPr>
              <w:t>Accounts receivable</w:t>
            </w:r>
          </w:p>
        </w:tc>
        <w:tc>
          <w:tcPr>
            <w:tcW w:w="220" w:type="dxa"/>
            <w:vAlign w:val="bottom"/>
            <w:shd w:val="clear" w:color="auto" w:fill="CFF0FC"/>
          </w:tcPr>
          <w:p>
            <w:pPr>
              <w:spacing w:after="0"/>
              <w:rPr>
                <w:sz w:val="19"/>
                <w:szCs w:val="19"/>
                <w:color w:val="auto"/>
              </w:rPr>
            </w:pPr>
          </w:p>
        </w:tc>
        <w:tc>
          <w:tcPr>
            <w:tcW w:w="9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654</w:t>
            </w:r>
          </w:p>
        </w:tc>
        <w:tc>
          <w:tcPr>
            <w:tcW w:w="80" w:type="dxa"/>
            <w:vAlign w:val="bottom"/>
            <w:shd w:val="clear" w:color="auto" w:fill="CFF0FC"/>
          </w:tcPr>
          <w:p>
            <w:pPr>
              <w:spacing w:after="0"/>
              <w:rPr>
                <w:sz w:val="19"/>
                <w:szCs w:val="19"/>
                <w:color w:val="auto"/>
              </w:rPr>
            </w:pPr>
          </w:p>
        </w:tc>
      </w:tr>
      <w:tr>
        <w:trPr>
          <w:trHeight w:val="230"/>
        </w:trPr>
        <w:tc>
          <w:tcPr>
            <w:tcW w:w="5600" w:type="dxa"/>
            <w:vAlign w:val="bottom"/>
          </w:tcPr>
          <w:p>
            <w:pPr>
              <w:ind w:left="240"/>
              <w:spacing w:after="0"/>
              <w:rPr>
                <w:sz w:val="20"/>
                <w:szCs w:val="20"/>
                <w:color w:val="auto"/>
              </w:rPr>
            </w:pPr>
            <w:r>
              <w:rPr>
                <w:rFonts w:ascii="Arial" w:cs="Arial" w:eastAsia="Arial" w:hAnsi="Arial"/>
                <w:sz w:val="18"/>
                <w:szCs w:val="18"/>
                <w:color w:val="auto"/>
              </w:rPr>
              <w:t>Real estate inventories</w:t>
            </w:r>
          </w:p>
        </w:tc>
        <w:tc>
          <w:tcPr>
            <w:tcW w:w="220" w:type="dxa"/>
            <w:vAlign w:val="bottom"/>
          </w:tcPr>
          <w:p>
            <w:pPr>
              <w:spacing w:after="0"/>
              <w:rPr>
                <w:sz w:val="19"/>
                <w:szCs w:val="19"/>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539,677</w:t>
            </w:r>
          </w:p>
        </w:tc>
        <w:tc>
          <w:tcPr>
            <w:tcW w:w="80" w:type="dxa"/>
            <w:vAlign w:val="bottom"/>
          </w:tcPr>
          <w:p>
            <w:pPr>
              <w:spacing w:after="0"/>
              <w:rPr>
                <w:sz w:val="19"/>
                <w:szCs w:val="19"/>
                <w:color w:val="auto"/>
              </w:rPr>
            </w:pPr>
          </w:p>
        </w:tc>
      </w:tr>
      <w:tr>
        <w:trPr>
          <w:trHeight w:val="230"/>
        </w:trPr>
        <w:tc>
          <w:tcPr>
            <w:tcW w:w="5600" w:type="dxa"/>
            <w:vAlign w:val="bottom"/>
            <w:shd w:val="clear" w:color="auto" w:fill="CFF0FC"/>
          </w:tcPr>
          <w:p>
            <w:pPr>
              <w:ind w:left="240"/>
              <w:spacing w:after="0"/>
              <w:rPr>
                <w:sz w:val="20"/>
                <w:szCs w:val="20"/>
                <w:color w:val="auto"/>
              </w:rPr>
            </w:pPr>
            <w:r>
              <w:rPr>
                <w:rFonts w:ascii="Arial" w:cs="Arial" w:eastAsia="Arial" w:hAnsi="Arial"/>
                <w:sz w:val="18"/>
                <w:szCs w:val="18"/>
                <w:color w:val="auto"/>
              </w:rPr>
              <w:t>Intangible asset</w:t>
            </w:r>
          </w:p>
        </w:tc>
        <w:tc>
          <w:tcPr>
            <w:tcW w:w="220" w:type="dxa"/>
            <w:vAlign w:val="bottom"/>
            <w:shd w:val="clear" w:color="auto" w:fill="CFF0FC"/>
          </w:tcPr>
          <w:p>
            <w:pPr>
              <w:spacing w:after="0"/>
              <w:rPr>
                <w:sz w:val="19"/>
                <w:szCs w:val="19"/>
                <w:color w:val="auto"/>
              </w:rPr>
            </w:pPr>
          </w:p>
        </w:tc>
        <w:tc>
          <w:tcPr>
            <w:tcW w:w="9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17,300</w:t>
            </w:r>
          </w:p>
        </w:tc>
        <w:tc>
          <w:tcPr>
            <w:tcW w:w="80" w:type="dxa"/>
            <w:vAlign w:val="bottom"/>
            <w:shd w:val="clear" w:color="auto" w:fill="CFF0FC"/>
          </w:tcPr>
          <w:p>
            <w:pPr>
              <w:spacing w:after="0"/>
              <w:rPr>
                <w:sz w:val="19"/>
                <w:szCs w:val="19"/>
                <w:color w:val="auto"/>
              </w:rPr>
            </w:pPr>
          </w:p>
        </w:tc>
      </w:tr>
      <w:tr>
        <w:trPr>
          <w:trHeight w:val="230"/>
        </w:trPr>
        <w:tc>
          <w:tcPr>
            <w:tcW w:w="5600" w:type="dxa"/>
            <w:vAlign w:val="bottom"/>
          </w:tcPr>
          <w:p>
            <w:pPr>
              <w:ind w:left="240"/>
              <w:spacing w:after="0"/>
              <w:rPr>
                <w:sz w:val="20"/>
                <w:szCs w:val="20"/>
                <w:color w:val="auto"/>
              </w:rPr>
            </w:pPr>
            <w:r>
              <w:rPr>
                <w:rFonts w:ascii="Arial" w:cs="Arial" w:eastAsia="Arial" w:hAnsi="Arial"/>
                <w:sz w:val="18"/>
                <w:szCs w:val="18"/>
                <w:color w:val="auto"/>
              </w:rPr>
              <w:t>Goodwill</w:t>
            </w:r>
          </w:p>
        </w:tc>
        <w:tc>
          <w:tcPr>
            <w:tcW w:w="220" w:type="dxa"/>
            <w:vAlign w:val="bottom"/>
          </w:tcPr>
          <w:p>
            <w:pPr>
              <w:spacing w:after="0"/>
              <w:rPr>
                <w:sz w:val="19"/>
                <w:szCs w:val="19"/>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139,304</w:t>
            </w:r>
          </w:p>
        </w:tc>
        <w:tc>
          <w:tcPr>
            <w:tcW w:w="80" w:type="dxa"/>
            <w:vAlign w:val="bottom"/>
          </w:tcPr>
          <w:p>
            <w:pPr>
              <w:spacing w:after="0"/>
              <w:rPr>
                <w:sz w:val="19"/>
                <w:szCs w:val="19"/>
                <w:color w:val="auto"/>
              </w:rPr>
            </w:pPr>
          </w:p>
        </w:tc>
      </w:tr>
      <w:tr>
        <w:trPr>
          <w:trHeight w:val="230"/>
        </w:trPr>
        <w:tc>
          <w:tcPr>
            <w:tcW w:w="5600" w:type="dxa"/>
            <w:vAlign w:val="bottom"/>
            <w:shd w:val="clear" w:color="auto" w:fill="CFF0FC"/>
          </w:tcPr>
          <w:p>
            <w:pPr>
              <w:ind w:left="240"/>
              <w:spacing w:after="0"/>
              <w:rPr>
                <w:sz w:val="20"/>
                <w:szCs w:val="20"/>
                <w:color w:val="auto"/>
              </w:rPr>
            </w:pPr>
            <w:r>
              <w:rPr>
                <w:rFonts w:ascii="Arial" w:cs="Arial" w:eastAsia="Arial" w:hAnsi="Arial"/>
                <w:sz w:val="18"/>
                <w:szCs w:val="18"/>
                <w:color w:val="auto"/>
              </w:rPr>
              <w:t>Other assets</w:t>
            </w:r>
          </w:p>
        </w:tc>
        <w:tc>
          <w:tcPr>
            <w:tcW w:w="220" w:type="dxa"/>
            <w:vAlign w:val="bottom"/>
            <w:tcBorders>
              <w:bottom w:val="single" w:sz="8" w:color="auto"/>
            </w:tcBorders>
            <w:shd w:val="clear" w:color="auto" w:fill="CFF0FC"/>
          </w:tcPr>
          <w:p>
            <w:pPr>
              <w:spacing w:after="0"/>
              <w:rPr>
                <w:sz w:val="19"/>
                <w:szCs w:val="19"/>
                <w:color w:val="auto"/>
              </w:rPr>
            </w:pPr>
          </w:p>
        </w:tc>
        <w:tc>
          <w:tcPr>
            <w:tcW w:w="94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28,060</w:t>
            </w:r>
          </w:p>
        </w:tc>
        <w:tc>
          <w:tcPr>
            <w:tcW w:w="80" w:type="dxa"/>
            <w:vAlign w:val="bottom"/>
            <w:shd w:val="clear" w:color="auto" w:fill="CFF0FC"/>
          </w:tcPr>
          <w:p>
            <w:pPr>
              <w:spacing w:after="0"/>
              <w:rPr>
                <w:sz w:val="19"/>
                <w:szCs w:val="19"/>
                <w:color w:val="auto"/>
              </w:rPr>
            </w:pPr>
          </w:p>
        </w:tc>
      </w:tr>
      <w:tr>
        <w:trPr>
          <w:trHeight w:val="223"/>
        </w:trPr>
        <w:tc>
          <w:tcPr>
            <w:tcW w:w="5600" w:type="dxa"/>
            <w:vAlign w:val="bottom"/>
            <w:tcBorders>
              <w:bottom w:val="single" w:sz="8" w:color="CFF0FC"/>
            </w:tcBorders>
          </w:tcPr>
          <w:p>
            <w:pPr>
              <w:ind w:left="480"/>
              <w:spacing w:after="0"/>
              <w:rPr>
                <w:sz w:val="20"/>
                <w:szCs w:val="20"/>
                <w:color w:val="auto"/>
              </w:rPr>
            </w:pPr>
            <w:r>
              <w:rPr>
                <w:rFonts w:ascii="Arial" w:cs="Arial" w:eastAsia="Arial" w:hAnsi="Arial"/>
                <w:sz w:val="18"/>
                <w:szCs w:val="18"/>
                <w:color w:val="auto"/>
              </w:rPr>
              <w:t>Total assets acquired</w:t>
            </w:r>
          </w:p>
        </w:tc>
        <w:tc>
          <w:tcPr>
            <w:tcW w:w="220" w:type="dxa"/>
            <w:vAlign w:val="bottom"/>
            <w:tcBorders>
              <w:bottom w:val="single" w:sz="8" w:color="auto"/>
            </w:tcBorders>
          </w:tcPr>
          <w:p>
            <w:pPr>
              <w:spacing w:after="0"/>
              <w:rPr>
                <w:sz w:val="19"/>
                <w:szCs w:val="19"/>
                <w:color w:val="auto"/>
              </w:rPr>
            </w:pP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778,795</w:t>
            </w:r>
          </w:p>
        </w:tc>
        <w:tc>
          <w:tcPr>
            <w:tcW w:w="80" w:type="dxa"/>
            <w:vAlign w:val="bottom"/>
            <w:tcBorders>
              <w:bottom w:val="single" w:sz="8" w:color="CFF0FC"/>
            </w:tcBorders>
          </w:tcPr>
          <w:p>
            <w:pPr>
              <w:spacing w:after="0"/>
              <w:rPr>
                <w:sz w:val="19"/>
                <w:szCs w:val="19"/>
                <w:color w:val="auto"/>
              </w:rPr>
            </w:pPr>
          </w:p>
        </w:tc>
      </w:tr>
      <w:tr>
        <w:trPr>
          <w:trHeight w:val="223"/>
        </w:trPr>
        <w:tc>
          <w:tcPr>
            <w:tcW w:w="5600" w:type="dxa"/>
            <w:vAlign w:val="bottom"/>
            <w:shd w:val="clear" w:color="auto" w:fill="CFF0FC"/>
          </w:tcPr>
          <w:p>
            <w:pPr>
              <w:ind w:left="240"/>
              <w:spacing w:after="0"/>
              <w:rPr>
                <w:sz w:val="20"/>
                <w:szCs w:val="20"/>
                <w:color w:val="auto"/>
              </w:rPr>
            </w:pPr>
            <w:r>
              <w:rPr>
                <w:rFonts w:ascii="Arial" w:cs="Arial" w:eastAsia="Arial" w:hAnsi="Arial"/>
                <w:sz w:val="18"/>
                <w:szCs w:val="18"/>
                <w:color w:val="auto"/>
              </w:rPr>
              <w:t>Accounts payable</w:t>
            </w:r>
          </w:p>
        </w:tc>
        <w:tc>
          <w:tcPr>
            <w:tcW w:w="220" w:type="dxa"/>
            <w:vAlign w:val="bottom"/>
            <w:shd w:val="clear" w:color="auto" w:fill="CFF0FC"/>
          </w:tcPr>
          <w:p>
            <w:pPr>
              <w:spacing w:after="0"/>
              <w:rPr>
                <w:sz w:val="19"/>
                <w:szCs w:val="19"/>
                <w:color w:val="auto"/>
              </w:rPr>
            </w:pPr>
          </w:p>
        </w:tc>
        <w:tc>
          <w:tcPr>
            <w:tcW w:w="9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26,105</w:t>
            </w:r>
          </w:p>
        </w:tc>
        <w:tc>
          <w:tcPr>
            <w:tcW w:w="80" w:type="dxa"/>
            <w:vAlign w:val="bottom"/>
            <w:shd w:val="clear" w:color="auto" w:fill="CFF0FC"/>
          </w:tcPr>
          <w:p>
            <w:pPr>
              <w:spacing w:after="0"/>
              <w:rPr>
                <w:sz w:val="19"/>
                <w:szCs w:val="19"/>
                <w:color w:val="auto"/>
              </w:rPr>
            </w:pPr>
          </w:p>
        </w:tc>
      </w:tr>
      <w:tr>
        <w:trPr>
          <w:trHeight w:val="230"/>
        </w:trPr>
        <w:tc>
          <w:tcPr>
            <w:tcW w:w="5600" w:type="dxa"/>
            <w:vAlign w:val="bottom"/>
          </w:tcPr>
          <w:p>
            <w:pPr>
              <w:ind w:left="240"/>
              <w:spacing w:after="0"/>
              <w:rPr>
                <w:sz w:val="20"/>
                <w:szCs w:val="20"/>
                <w:color w:val="auto"/>
              </w:rPr>
            </w:pPr>
            <w:r>
              <w:rPr>
                <w:rFonts w:ascii="Arial" w:cs="Arial" w:eastAsia="Arial" w:hAnsi="Arial"/>
                <w:sz w:val="18"/>
                <w:szCs w:val="18"/>
                <w:color w:val="auto"/>
              </w:rPr>
              <w:t>Accrued expenses and other liabilities</w:t>
            </w:r>
          </w:p>
        </w:tc>
        <w:tc>
          <w:tcPr>
            <w:tcW w:w="220" w:type="dxa"/>
            <w:vAlign w:val="bottom"/>
          </w:tcPr>
          <w:p>
            <w:pPr>
              <w:spacing w:after="0"/>
              <w:rPr>
                <w:sz w:val="19"/>
                <w:szCs w:val="19"/>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23,114</w:t>
            </w:r>
          </w:p>
        </w:tc>
        <w:tc>
          <w:tcPr>
            <w:tcW w:w="80" w:type="dxa"/>
            <w:vAlign w:val="bottom"/>
          </w:tcPr>
          <w:p>
            <w:pPr>
              <w:spacing w:after="0"/>
              <w:rPr>
                <w:sz w:val="19"/>
                <w:szCs w:val="19"/>
                <w:color w:val="auto"/>
              </w:rPr>
            </w:pPr>
          </w:p>
        </w:tc>
      </w:tr>
      <w:tr>
        <w:trPr>
          <w:trHeight w:val="230"/>
        </w:trPr>
        <w:tc>
          <w:tcPr>
            <w:tcW w:w="5600" w:type="dxa"/>
            <w:vAlign w:val="bottom"/>
            <w:shd w:val="clear" w:color="auto" w:fill="CFF0FC"/>
          </w:tcPr>
          <w:p>
            <w:pPr>
              <w:ind w:left="240"/>
              <w:spacing w:after="0"/>
              <w:rPr>
                <w:sz w:val="20"/>
                <w:szCs w:val="20"/>
                <w:color w:val="auto"/>
              </w:rPr>
            </w:pPr>
            <w:r>
              <w:rPr>
                <w:rFonts w:ascii="Arial" w:cs="Arial" w:eastAsia="Arial" w:hAnsi="Arial"/>
                <w:sz w:val="18"/>
                <w:szCs w:val="18"/>
                <w:color w:val="auto"/>
              </w:rPr>
              <w:t>Notes payable and other borrowings</w:t>
            </w:r>
          </w:p>
        </w:tc>
        <w:tc>
          <w:tcPr>
            <w:tcW w:w="220" w:type="dxa"/>
            <w:vAlign w:val="bottom"/>
            <w:tcBorders>
              <w:bottom w:val="single" w:sz="8" w:color="auto"/>
            </w:tcBorders>
            <w:shd w:val="clear" w:color="auto" w:fill="CFF0FC"/>
          </w:tcPr>
          <w:p>
            <w:pPr>
              <w:spacing w:after="0"/>
              <w:rPr>
                <w:sz w:val="19"/>
                <w:szCs w:val="19"/>
                <w:color w:val="auto"/>
              </w:rPr>
            </w:pPr>
          </w:p>
        </w:tc>
        <w:tc>
          <w:tcPr>
            <w:tcW w:w="94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227,128</w:t>
            </w:r>
          </w:p>
        </w:tc>
        <w:tc>
          <w:tcPr>
            <w:tcW w:w="80" w:type="dxa"/>
            <w:vAlign w:val="bottom"/>
            <w:shd w:val="clear" w:color="auto" w:fill="CFF0FC"/>
          </w:tcPr>
          <w:p>
            <w:pPr>
              <w:spacing w:after="0"/>
              <w:rPr>
                <w:sz w:val="19"/>
                <w:szCs w:val="19"/>
                <w:color w:val="auto"/>
              </w:rPr>
            </w:pPr>
          </w:p>
        </w:tc>
      </w:tr>
      <w:tr>
        <w:trPr>
          <w:trHeight w:val="223"/>
        </w:trPr>
        <w:tc>
          <w:tcPr>
            <w:tcW w:w="5600" w:type="dxa"/>
            <w:vAlign w:val="bottom"/>
            <w:tcBorders>
              <w:bottom w:val="single" w:sz="8" w:color="CFF0FC"/>
            </w:tcBorders>
          </w:tcPr>
          <w:p>
            <w:pPr>
              <w:ind w:left="480"/>
              <w:spacing w:after="0"/>
              <w:rPr>
                <w:sz w:val="20"/>
                <w:szCs w:val="20"/>
                <w:color w:val="auto"/>
              </w:rPr>
            </w:pPr>
            <w:r>
              <w:rPr>
                <w:rFonts w:ascii="Arial" w:cs="Arial" w:eastAsia="Arial" w:hAnsi="Arial"/>
                <w:sz w:val="18"/>
                <w:szCs w:val="18"/>
                <w:color w:val="auto"/>
              </w:rPr>
              <w:t>Total liabilities assumed</w:t>
            </w:r>
          </w:p>
        </w:tc>
        <w:tc>
          <w:tcPr>
            <w:tcW w:w="220" w:type="dxa"/>
            <w:vAlign w:val="bottom"/>
            <w:tcBorders>
              <w:bottom w:val="single" w:sz="8" w:color="auto"/>
            </w:tcBorders>
          </w:tcPr>
          <w:p>
            <w:pPr>
              <w:spacing w:after="0"/>
              <w:rPr>
                <w:sz w:val="19"/>
                <w:szCs w:val="19"/>
                <w:color w:val="auto"/>
              </w:rPr>
            </w:pP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276,347</w:t>
            </w:r>
          </w:p>
        </w:tc>
        <w:tc>
          <w:tcPr>
            <w:tcW w:w="80" w:type="dxa"/>
            <w:vAlign w:val="bottom"/>
            <w:tcBorders>
              <w:bottom w:val="single" w:sz="8" w:color="CFF0FC"/>
            </w:tcBorders>
          </w:tcPr>
          <w:p>
            <w:pPr>
              <w:spacing w:after="0"/>
              <w:rPr>
                <w:sz w:val="19"/>
                <w:szCs w:val="19"/>
                <w:color w:val="auto"/>
              </w:rPr>
            </w:pPr>
          </w:p>
        </w:tc>
      </w:tr>
      <w:tr>
        <w:trPr>
          <w:trHeight w:val="223"/>
        </w:trPr>
        <w:tc>
          <w:tcPr>
            <w:tcW w:w="5600" w:type="dxa"/>
            <w:vAlign w:val="bottom"/>
            <w:tcBorders>
              <w:bottom w:val="single" w:sz="8" w:color="CFF0FC"/>
            </w:tcBorders>
            <w:shd w:val="clear" w:color="auto" w:fill="CFF0FC"/>
          </w:tcPr>
          <w:p>
            <w:pPr>
              <w:spacing w:after="0"/>
              <w:rPr>
                <w:sz w:val="20"/>
                <w:szCs w:val="20"/>
                <w:color w:val="auto"/>
              </w:rPr>
            </w:pPr>
            <w:r>
              <w:rPr>
                <w:rFonts w:ascii="Arial" w:cs="Arial" w:eastAsia="Arial" w:hAnsi="Arial"/>
                <w:sz w:val="18"/>
                <w:szCs w:val="18"/>
                <w:b w:val="1"/>
                <w:bCs w:val="1"/>
                <w:color w:val="auto"/>
              </w:rPr>
              <w:t>Total net assets acquired</w:t>
            </w:r>
          </w:p>
        </w:tc>
        <w:tc>
          <w:tcPr>
            <w:tcW w:w="220" w:type="dxa"/>
            <w:vAlign w:val="bottom"/>
            <w:tcBorders>
              <w:bottom w:val="single" w:sz="8" w:color="auto"/>
            </w:tcBorders>
            <w:shd w:val="clear" w:color="auto" w:fill="CFF0FC"/>
          </w:tcPr>
          <w:p>
            <w:pPr>
              <w:jc w:val="right"/>
              <w:ind w:right="30"/>
              <w:spacing w:after="0"/>
              <w:rPr>
                <w:sz w:val="20"/>
                <w:szCs w:val="20"/>
                <w:color w:val="auto"/>
              </w:rPr>
            </w:pPr>
            <w:r>
              <w:rPr>
                <w:rFonts w:ascii="Arial" w:cs="Arial" w:eastAsia="Arial" w:hAnsi="Arial"/>
                <w:sz w:val="18"/>
                <w:szCs w:val="18"/>
                <w:color w:val="auto"/>
                <w:w w:val="79"/>
              </w:rPr>
              <w:t>$</w:t>
            </w:r>
          </w:p>
        </w:tc>
        <w:tc>
          <w:tcPr>
            <w:tcW w:w="94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502,448</w:t>
            </w:r>
          </w:p>
        </w:tc>
        <w:tc>
          <w:tcPr>
            <w:tcW w:w="80" w:type="dxa"/>
            <w:vAlign w:val="bottom"/>
            <w:tcBorders>
              <w:bottom w:val="single" w:sz="8" w:color="CFF0FC"/>
            </w:tcBorders>
            <w:shd w:val="clear" w:color="auto" w:fill="CFF0FC"/>
          </w:tcPr>
          <w:p>
            <w:pPr>
              <w:spacing w:after="0"/>
              <w:rPr>
                <w:sz w:val="19"/>
                <w:szCs w:val="19"/>
                <w:color w:val="auto"/>
              </w:rPr>
            </w:pPr>
          </w:p>
        </w:tc>
      </w:tr>
      <w:tr>
        <w:trPr>
          <w:trHeight w:val="20"/>
        </w:trPr>
        <w:tc>
          <w:tcPr>
            <w:tcW w:w="560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r>
    </w:tbl>
    <w:p>
      <w:pPr>
        <w:spacing w:after="0" w:line="202" w:lineRule="exact"/>
        <w:rPr>
          <w:sz w:val="20"/>
          <w:szCs w:val="20"/>
          <w:color w:val="auto"/>
        </w:rPr>
      </w:pPr>
    </w:p>
    <w:p>
      <w:pPr>
        <w:ind w:right="100" w:firstLine="518"/>
        <w:spacing w:after="0" w:line="312" w:lineRule="auto"/>
        <w:rPr>
          <w:sz w:val="20"/>
          <w:szCs w:val="20"/>
          <w:color w:val="auto"/>
        </w:rPr>
      </w:pPr>
      <w:r>
        <w:rPr>
          <w:rFonts w:ascii="Arial" w:cs="Arial" w:eastAsia="Arial" w:hAnsi="Arial"/>
          <w:sz w:val="16"/>
          <w:szCs w:val="16"/>
          <w:color w:val="auto"/>
        </w:rPr>
        <w:t>Cash and cash equivalents, accounts receivable, other assets, accounts payable, accrued payroll liabilities, and accrued expenses and other liabilities were generally stated at historical carrying values given the short-term nature of these assets and liabilities. Notes payable and other borrowings are stated at carrying value due to the limited amount of time since the notes payable and other borrowings were entered into prior to the Closing Date.</w:t>
      </w:r>
    </w:p>
    <w:p>
      <w:pPr>
        <w:spacing w:after="0" w:line="147" w:lineRule="exact"/>
        <w:rPr>
          <w:sz w:val="20"/>
          <w:szCs w:val="20"/>
          <w:color w:val="auto"/>
        </w:rPr>
      </w:pPr>
    </w:p>
    <w:p>
      <w:pPr>
        <w:ind w:right="80" w:firstLine="518"/>
        <w:spacing w:after="0" w:line="259" w:lineRule="auto"/>
        <w:rPr>
          <w:sz w:val="20"/>
          <w:szCs w:val="20"/>
          <w:color w:val="auto"/>
        </w:rPr>
      </w:pPr>
      <w:r>
        <w:rPr>
          <w:rFonts w:ascii="Arial" w:cs="Arial" w:eastAsia="Arial" w:hAnsi="Arial"/>
          <w:sz w:val="18"/>
          <w:szCs w:val="18"/>
          <w:color w:val="auto"/>
        </w:rPr>
        <w:t>The Company determined the fair value of real estate inventories on a community-by-community basis primarily using a combination of market-comparable land transactions, land residual analysis and discounted cash flow models. The estimated fair value is significantly impacted by estimates related to expected average selling prices, sales pace, cancellation rates and construction and overhead costs. Such estimates must be made for each individual community and may vary significantly between communities.</w:t>
      </w:r>
    </w:p>
    <w:p>
      <w:pPr>
        <w:spacing w:after="0" w:line="200" w:lineRule="exact"/>
        <w:rPr>
          <w:sz w:val="20"/>
          <w:szCs w:val="20"/>
          <w:color w:val="auto"/>
        </w:rPr>
      </w:pPr>
    </w:p>
    <w:p>
      <w:pPr>
        <w:spacing w:after="0" w:line="230"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- 9 -</w:t>
      </w:r>
    </w:p>
    <w:p>
      <w:pPr>
        <w:sectPr>
          <w:pgSz w:w="11900" w:h="16838" w:orient="portrait"/>
          <w:cols w:equalWidth="0" w:num="1">
            <w:col w:w="11380"/>
          </w:cols>
          <w:pgMar w:left="240" w:top="247" w:right="279" w:bottom="1440" w:gutter="0" w:footer="0" w:header="0"/>
        </w:sectPr>
      </w:pPr>
    </w:p>
    <w:bookmarkStart w:id="9" w:name="page10"/>
    <w:bookmarkEnd w:id="9"/>
    <w:p>
      <w:pPr>
        <w:ind w:right="460" w:firstLine="518"/>
        <w:spacing w:after="0" w:line="308" w:lineRule="auto"/>
        <w:rPr>
          <w:sz w:val="20"/>
          <w:szCs w:val="20"/>
          <w:color w:val="auto"/>
        </w:rPr>
      </w:pPr>
      <w:r>
        <w:rPr>
          <w:rFonts w:ascii="Arial" w:cs="Arial" w:eastAsia="Arial" w:hAnsi="Arial"/>
          <w:sz w:val="17"/>
          <w:szCs w:val="17"/>
          <w:color w:val="auto"/>
        </w:rPr>
        <w:t>The fair value of the acquired intangible asset was determined based on a valuation performed by an independent valuation specialist. The $17.3 million intangible asset is related to the TRI Pointe Homes trade name which is deemed to have an indefinite useful life.</w:t>
      </w:r>
    </w:p>
    <w:p>
      <w:pPr>
        <w:spacing w:after="0" w:line="147" w:lineRule="exact"/>
        <w:rPr>
          <w:sz w:val="20"/>
          <w:szCs w:val="20"/>
          <w:color w:val="auto"/>
        </w:rPr>
      </w:pPr>
    </w:p>
    <w:p>
      <w:pPr>
        <w:ind w:right="60" w:firstLine="518"/>
        <w:spacing w:after="0" w:line="273" w:lineRule="auto"/>
        <w:rPr>
          <w:sz w:val="20"/>
          <w:szCs w:val="20"/>
          <w:color w:val="auto"/>
        </w:rPr>
      </w:pPr>
      <w:r>
        <w:rPr>
          <w:rFonts w:ascii="Arial" w:cs="Arial" w:eastAsia="Arial" w:hAnsi="Arial"/>
          <w:sz w:val="17"/>
          <w:szCs w:val="17"/>
          <w:color w:val="auto"/>
        </w:rPr>
        <w:t>Goodwill is primarily attributed to expected synergies from combining WRECO’s and TRI Pointe’s existing businesses, including, but not limited to, expected cost synergies from overhead savings resulting from streamlining certain redundant corporate functions, improved operating efficiencies, including provision of certain corporate level administrative and support functions at a lower cost than was historically allocated to WRECO for such services by its former direct parent, and growth of ancillary operations in various markets as permitted under applicable law, including a mortgage business, a title company and other ancillary operations. The Company also anticipates opportunities for growth through expanded geographic and customer segment diversity and the ability to leverage additional brands. The acquired goodwill is not deductible for income tax purposes.</w:t>
      </w:r>
    </w:p>
    <w:p>
      <w:pPr>
        <w:spacing w:after="0" w:line="178" w:lineRule="exact"/>
        <w:rPr>
          <w:sz w:val="20"/>
          <w:szCs w:val="20"/>
          <w:color w:val="auto"/>
        </w:rPr>
      </w:pPr>
    </w:p>
    <w:p>
      <w:pPr>
        <w:ind w:left="520"/>
        <w:spacing w:after="0"/>
        <w:rPr>
          <w:sz w:val="20"/>
          <w:szCs w:val="20"/>
          <w:color w:val="auto"/>
        </w:rPr>
      </w:pPr>
      <w:r>
        <w:rPr>
          <w:rFonts w:ascii="Arial" w:cs="Arial" w:eastAsia="Arial" w:hAnsi="Arial"/>
          <w:sz w:val="18"/>
          <w:szCs w:val="18"/>
          <w:color w:val="auto"/>
        </w:rPr>
        <w:t>The Company has completed its business combination accounting as of March 31, 2015.</w:t>
      </w:r>
    </w:p>
    <w:p>
      <w:pPr>
        <w:spacing w:after="0" w:line="333" w:lineRule="exact"/>
        <w:rPr>
          <w:sz w:val="20"/>
          <w:szCs w:val="20"/>
          <w:color w:val="auto"/>
        </w:rPr>
      </w:pPr>
    </w:p>
    <w:p>
      <w:pPr>
        <w:ind w:left="520"/>
        <w:spacing w:after="0"/>
        <w:rPr>
          <w:sz w:val="20"/>
          <w:szCs w:val="20"/>
          <w:color w:val="auto"/>
        </w:rPr>
      </w:pPr>
      <w:r>
        <w:rPr>
          <w:rFonts w:ascii="Arial" w:cs="Arial" w:eastAsia="Arial" w:hAnsi="Arial"/>
          <w:sz w:val="18"/>
          <w:szCs w:val="18"/>
          <w:b w:val="1"/>
          <w:bCs w:val="1"/>
          <w:i w:val="1"/>
          <w:iCs w:val="1"/>
          <w:color w:val="auto"/>
        </w:rPr>
        <w:t>Supplemental Pro Forma Information (Unaudited)</w:t>
      </w:r>
    </w:p>
    <w:p>
      <w:pPr>
        <w:spacing w:after="0" w:line="117" w:lineRule="exact"/>
        <w:rPr>
          <w:sz w:val="20"/>
          <w:szCs w:val="20"/>
          <w:color w:val="auto"/>
        </w:rPr>
      </w:pPr>
    </w:p>
    <w:p>
      <w:pPr>
        <w:ind w:right="220" w:firstLine="518"/>
        <w:spacing w:after="0" w:line="277" w:lineRule="auto"/>
        <w:rPr>
          <w:sz w:val="20"/>
          <w:szCs w:val="20"/>
          <w:color w:val="auto"/>
        </w:rPr>
      </w:pPr>
      <w:r>
        <w:rPr>
          <w:rFonts w:ascii="Arial" w:cs="Arial" w:eastAsia="Arial" w:hAnsi="Arial"/>
          <w:sz w:val="18"/>
          <w:szCs w:val="18"/>
          <w:color w:val="auto"/>
        </w:rPr>
        <w:t>The following represents unaudited pro forma operating results as if the acquisition had been completed as of January 1, 2014 (in thousands, except per share amounts):</w:t>
      </w:r>
    </w:p>
    <w:p>
      <w:pPr>
        <w:spacing w:after="0" w:line="180" w:lineRule="exact"/>
        <w:rPr>
          <w:sz w:val="20"/>
          <w:szCs w:val="20"/>
          <w:color w:val="auto"/>
        </w:rPr>
      </w:pPr>
    </w:p>
    <w:p>
      <w:pPr>
        <w:jc w:val="center"/>
        <w:ind w:left="6260"/>
        <w:spacing w:after="0"/>
        <w:rPr>
          <w:sz w:val="20"/>
          <w:szCs w:val="20"/>
          <w:color w:val="auto"/>
        </w:rPr>
      </w:pPr>
      <w:r>
        <w:rPr>
          <w:rFonts w:ascii="Arial" w:cs="Arial" w:eastAsia="Arial" w:hAnsi="Arial"/>
          <w:sz w:val="18"/>
          <w:szCs w:val="18"/>
          <w:b w:val="1"/>
          <w:bCs w:val="1"/>
          <w:color w:val="auto"/>
        </w:rPr>
        <w:t>Three Months</w:t>
      </w:r>
    </w:p>
    <w:p>
      <w:pPr>
        <w:spacing w:after="0" w:line="27" w:lineRule="exact"/>
        <w:rPr>
          <w:sz w:val="20"/>
          <w:szCs w:val="20"/>
          <w:color w:val="auto"/>
        </w:rPr>
      </w:pPr>
    </w:p>
    <w:p>
      <w:pPr>
        <w:jc w:val="center"/>
        <w:ind w:left="6260"/>
        <w:spacing w:after="0"/>
        <w:rPr>
          <w:sz w:val="20"/>
          <w:szCs w:val="20"/>
          <w:color w:val="auto"/>
        </w:rPr>
      </w:pPr>
      <w:r>
        <w:rPr>
          <w:rFonts w:ascii="Arial" w:cs="Arial" w:eastAsia="Arial" w:hAnsi="Arial"/>
          <w:sz w:val="18"/>
          <w:szCs w:val="18"/>
          <w:b w:val="1"/>
          <w:bCs w:val="1"/>
          <w:color w:val="auto"/>
        </w:rPr>
        <w:t>Ended</w:t>
      </w:r>
    </w:p>
    <w:p>
      <w:pPr>
        <w:spacing w:after="0" w:line="9" w:lineRule="exact"/>
        <w:rPr>
          <w:sz w:val="20"/>
          <w:szCs w:val="20"/>
          <w:color w:val="auto"/>
        </w:rPr>
      </w:pPr>
    </w:p>
    <w:p>
      <w:pPr>
        <w:jc w:val="center"/>
        <w:ind w:left="6260"/>
        <w:spacing w:after="0"/>
        <w:rPr>
          <w:sz w:val="20"/>
          <w:szCs w:val="20"/>
          <w:color w:val="auto"/>
        </w:rPr>
      </w:pPr>
      <w:r>
        <w:rPr>
          <w:rFonts w:ascii="Arial" w:cs="Arial" w:eastAsia="Arial" w:hAnsi="Arial"/>
          <w:sz w:val="18"/>
          <w:szCs w:val="18"/>
          <w:b w:val="1"/>
          <w:bCs w:val="1"/>
          <w:color w:val="auto"/>
        </w:rPr>
        <w:t>March 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5125085</wp:posOffset>
            </wp:positionH>
            <wp:positionV relativeFrom="paragraph">
              <wp:posOffset>14605</wp:posOffset>
            </wp:positionV>
            <wp:extent cx="986155" cy="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986155" cy="8890"/>
                    </a:xfrm>
                    <a:prstGeom prst="rect">
                      <a:avLst/>
                    </a:prstGeom>
                    <a:noFill/>
                  </pic:spPr>
                </pic:pic>
              </a:graphicData>
            </a:graphic>
          </wp:anchor>
        </w:drawing>
      </w:r>
    </w:p>
    <w:p>
      <w:pPr>
        <w:spacing w:after="0" w:line="11" w:lineRule="exact"/>
        <w:rPr>
          <w:sz w:val="20"/>
          <w:szCs w:val="20"/>
          <w:color w:val="auto"/>
        </w:rPr>
      </w:pPr>
    </w:p>
    <w:p>
      <w:pPr>
        <w:jc w:val="center"/>
        <w:ind w:left="6260"/>
        <w:spacing w:after="0"/>
        <w:rPr>
          <w:sz w:val="20"/>
          <w:szCs w:val="20"/>
          <w:color w:val="auto"/>
        </w:rPr>
      </w:pPr>
      <w:r>
        <w:rPr>
          <w:rFonts w:ascii="Arial" w:cs="Arial" w:eastAsia="Arial" w:hAnsi="Arial"/>
          <w:sz w:val="18"/>
          <w:szCs w:val="18"/>
          <w:b w:val="1"/>
          <w:bCs w:val="1"/>
          <w:color w:val="auto"/>
        </w:rPr>
        <w:t>2014</w:t>
      </w:r>
    </w:p>
    <w:p>
      <w:pPr>
        <w:spacing w:after="0" w:line="47" w:lineRule="exact"/>
        <w:rPr>
          <w:sz w:val="20"/>
          <w:szCs w:val="20"/>
          <w:color w:val="auto"/>
        </w:rPr>
      </w:pPr>
    </w:p>
    <w:tbl>
      <w:tblPr>
        <w:tblLayout w:type="fixed"/>
        <w:tblInd w:w="1720" w:type="dxa"/>
        <w:tblCellMar>
          <w:top w:w="0" w:type="dxa"/>
          <w:left w:w="0" w:type="dxa"/>
          <w:bottom w:w="0" w:type="dxa"/>
          <w:right w:w="0" w:type="dxa"/>
        </w:tblCellMar>
      </w:tblPr>
      <w:tr>
        <w:trPr>
          <w:trHeight w:val="20"/>
        </w:trPr>
        <w:tc>
          <w:tcPr>
            <w:tcW w:w="4180" w:type="dxa"/>
            <w:vAlign w:val="bottom"/>
            <w:shd w:val="clear" w:color="auto" w:fill="CFF0FC"/>
          </w:tcPr>
          <w:p>
            <w:pPr>
              <w:spacing w:after="0" w:line="20" w:lineRule="exact"/>
              <w:rPr>
                <w:sz w:val="1"/>
                <w:szCs w:val="1"/>
                <w:color w:val="auto"/>
              </w:rPr>
            </w:pPr>
          </w:p>
        </w:tc>
        <w:tc>
          <w:tcPr>
            <w:tcW w:w="2180" w:type="dxa"/>
            <w:vAlign w:val="bottom"/>
            <w:shd w:val="clear" w:color="auto" w:fill="CFF0FC"/>
          </w:tcPr>
          <w:p>
            <w:pPr>
              <w:spacing w:after="0" w:line="20" w:lineRule="exact"/>
              <w:rPr>
                <w:sz w:val="1"/>
                <w:szCs w:val="1"/>
                <w:color w:val="auto"/>
              </w:rPr>
            </w:pPr>
          </w:p>
        </w:tc>
        <w:tc>
          <w:tcPr>
            <w:tcW w:w="520" w:type="dxa"/>
            <w:vAlign w:val="bottom"/>
            <w:shd w:val="clear" w:color="auto" w:fill="000000"/>
          </w:tcPr>
          <w:p>
            <w:pPr>
              <w:spacing w:after="0" w:line="20" w:lineRule="exact"/>
              <w:rPr>
                <w:sz w:val="1"/>
                <w:szCs w:val="1"/>
                <w:color w:val="auto"/>
              </w:rPr>
            </w:pPr>
          </w:p>
        </w:tc>
        <w:tc>
          <w:tcPr>
            <w:tcW w:w="1020" w:type="dxa"/>
            <w:vAlign w:val="bottom"/>
            <w:shd w:val="clear" w:color="auto" w:fill="000000"/>
          </w:tcPr>
          <w:p>
            <w:pPr>
              <w:spacing w:after="0" w:line="20" w:lineRule="exact"/>
              <w:rPr>
                <w:sz w:val="1"/>
                <w:szCs w:val="1"/>
                <w:color w:val="auto"/>
              </w:rPr>
            </w:pPr>
          </w:p>
        </w:tc>
        <w:tc>
          <w:tcPr>
            <w:tcW w:w="80" w:type="dxa"/>
            <w:vAlign w:val="bottom"/>
            <w:shd w:val="clear" w:color="auto" w:fill="CFF0FC"/>
          </w:tcPr>
          <w:p>
            <w:pPr>
              <w:spacing w:after="0" w:line="20" w:lineRule="exact"/>
              <w:rPr>
                <w:sz w:val="1"/>
                <w:szCs w:val="1"/>
                <w:color w:val="auto"/>
              </w:rPr>
            </w:pPr>
          </w:p>
        </w:tc>
      </w:tr>
      <w:tr>
        <w:trPr>
          <w:trHeight w:val="203"/>
        </w:trPr>
        <w:tc>
          <w:tcPr>
            <w:tcW w:w="4180" w:type="dxa"/>
            <w:vAlign w:val="bottom"/>
            <w:shd w:val="clear" w:color="auto" w:fill="CFF0FC"/>
          </w:tcPr>
          <w:p>
            <w:pPr>
              <w:spacing w:after="0" w:line="203" w:lineRule="exact"/>
              <w:rPr>
                <w:sz w:val="20"/>
                <w:szCs w:val="20"/>
                <w:color w:val="auto"/>
              </w:rPr>
            </w:pPr>
            <w:r>
              <w:rPr>
                <w:rFonts w:ascii="Arial" w:cs="Arial" w:eastAsia="Arial" w:hAnsi="Arial"/>
                <w:sz w:val="18"/>
                <w:szCs w:val="18"/>
                <w:color w:val="auto"/>
              </w:rPr>
              <w:t>Total revenues</w:t>
            </w:r>
          </w:p>
        </w:tc>
        <w:tc>
          <w:tcPr>
            <w:tcW w:w="2700" w:type="dxa"/>
            <w:vAlign w:val="bottom"/>
            <w:gridSpan w:val="2"/>
            <w:shd w:val="clear" w:color="auto" w:fill="CFF0FC"/>
          </w:tcPr>
          <w:p>
            <w:pPr>
              <w:jc w:val="right"/>
              <w:ind w:right="440"/>
              <w:spacing w:after="0" w:line="203" w:lineRule="exact"/>
              <w:rPr>
                <w:sz w:val="20"/>
                <w:szCs w:val="20"/>
                <w:color w:val="auto"/>
              </w:rPr>
            </w:pPr>
            <w:r>
              <w:rPr>
                <w:rFonts w:ascii="Arial" w:cs="Arial" w:eastAsia="Arial" w:hAnsi="Arial"/>
                <w:sz w:val="18"/>
                <w:szCs w:val="18"/>
                <w:color w:val="auto"/>
              </w:rPr>
              <w:t>$</w:t>
            </w:r>
          </w:p>
        </w:tc>
        <w:tc>
          <w:tcPr>
            <w:tcW w:w="1020" w:type="dxa"/>
            <w:vAlign w:val="bottom"/>
            <w:shd w:val="clear" w:color="auto" w:fill="CFF0FC"/>
          </w:tcPr>
          <w:p>
            <w:pPr>
              <w:jc w:val="right"/>
              <w:spacing w:after="0" w:line="203" w:lineRule="exact"/>
              <w:rPr>
                <w:sz w:val="20"/>
                <w:szCs w:val="20"/>
                <w:color w:val="auto"/>
              </w:rPr>
            </w:pPr>
            <w:r>
              <w:rPr>
                <w:rFonts w:ascii="Arial" w:cs="Arial" w:eastAsia="Arial" w:hAnsi="Arial"/>
                <w:sz w:val="18"/>
                <w:szCs w:val="18"/>
                <w:color w:val="auto"/>
              </w:rPr>
              <w:t>320,944</w:t>
            </w:r>
          </w:p>
        </w:tc>
        <w:tc>
          <w:tcPr>
            <w:tcW w:w="80" w:type="dxa"/>
            <w:vAlign w:val="bottom"/>
            <w:shd w:val="clear" w:color="auto" w:fill="CFF0FC"/>
          </w:tcPr>
          <w:p>
            <w:pPr>
              <w:spacing w:after="0"/>
              <w:rPr>
                <w:sz w:val="17"/>
                <w:szCs w:val="17"/>
                <w:color w:val="auto"/>
              </w:rPr>
            </w:pPr>
          </w:p>
        </w:tc>
      </w:tr>
      <w:tr>
        <w:trPr>
          <w:trHeight w:val="230"/>
        </w:trPr>
        <w:tc>
          <w:tcPr>
            <w:tcW w:w="4180" w:type="dxa"/>
            <w:vAlign w:val="bottom"/>
          </w:tcPr>
          <w:p>
            <w:pPr>
              <w:spacing w:after="0"/>
              <w:rPr>
                <w:sz w:val="20"/>
                <w:szCs w:val="20"/>
                <w:color w:val="auto"/>
              </w:rPr>
            </w:pPr>
            <w:r>
              <w:rPr>
                <w:rFonts w:ascii="Arial" w:cs="Arial" w:eastAsia="Arial" w:hAnsi="Arial"/>
                <w:sz w:val="18"/>
                <w:szCs w:val="18"/>
                <w:color w:val="auto"/>
              </w:rPr>
              <w:t>Net income</w:t>
            </w:r>
          </w:p>
        </w:tc>
        <w:tc>
          <w:tcPr>
            <w:tcW w:w="2700" w:type="dxa"/>
            <w:vAlign w:val="bottom"/>
            <w:gridSpan w:val="2"/>
          </w:tcPr>
          <w:p>
            <w:pPr>
              <w:jc w:val="right"/>
              <w:ind w:right="440"/>
              <w:spacing w:after="0"/>
              <w:rPr>
                <w:sz w:val="20"/>
                <w:szCs w:val="20"/>
                <w:color w:val="auto"/>
              </w:rPr>
            </w:pPr>
            <w:r>
              <w:rPr>
                <w:rFonts w:ascii="Arial" w:cs="Arial" w:eastAsia="Arial" w:hAnsi="Arial"/>
                <w:sz w:val="18"/>
                <w:szCs w:val="18"/>
                <w:color w:val="auto"/>
              </w:rPr>
              <w:t>$</w:t>
            </w:r>
          </w:p>
        </w:tc>
        <w:tc>
          <w:tcPr>
            <w:tcW w:w="1020" w:type="dxa"/>
            <w:vAlign w:val="bottom"/>
          </w:tcPr>
          <w:p>
            <w:pPr>
              <w:jc w:val="right"/>
              <w:spacing w:after="0"/>
              <w:rPr>
                <w:sz w:val="20"/>
                <w:szCs w:val="20"/>
                <w:color w:val="auto"/>
              </w:rPr>
            </w:pPr>
            <w:r>
              <w:rPr>
                <w:rFonts w:ascii="Arial" w:cs="Arial" w:eastAsia="Arial" w:hAnsi="Arial"/>
                <w:sz w:val="18"/>
                <w:szCs w:val="18"/>
                <w:color w:val="auto"/>
              </w:rPr>
              <w:t>13,421</w:t>
            </w:r>
          </w:p>
        </w:tc>
        <w:tc>
          <w:tcPr>
            <w:tcW w:w="80" w:type="dxa"/>
            <w:vAlign w:val="bottom"/>
          </w:tcPr>
          <w:p>
            <w:pPr>
              <w:spacing w:after="0"/>
              <w:rPr>
                <w:sz w:val="19"/>
                <w:szCs w:val="19"/>
                <w:color w:val="auto"/>
              </w:rPr>
            </w:pPr>
          </w:p>
        </w:tc>
      </w:tr>
      <w:tr>
        <w:trPr>
          <w:trHeight w:val="230"/>
        </w:trPr>
        <w:tc>
          <w:tcPr>
            <w:tcW w:w="4180" w:type="dxa"/>
            <w:vAlign w:val="bottom"/>
            <w:shd w:val="clear" w:color="auto" w:fill="CFF0FC"/>
          </w:tcPr>
          <w:p>
            <w:pPr>
              <w:spacing w:after="0"/>
              <w:rPr>
                <w:sz w:val="20"/>
                <w:szCs w:val="20"/>
                <w:color w:val="auto"/>
              </w:rPr>
            </w:pPr>
            <w:r>
              <w:rPr>
                <w:rFonts w:ascii="Arial" w:cs="Arial" w:eastAsia="Arial" w:hAnsi="Arial"/>
                <w:sz w:val="18"/>
                <w:szCs w:val="18"/>
                <w:color w:val="auto"/>
              </w:rPr>
              <w:t>Earnings per share - basic</w:t>
            </w:r>
          </w:p>
        </w:tc>
        <w:tc>
          <w:tcPr>
            <w:tcW w:w="2700" w:type="dxa"/>
            <w:vAlign w:val="bottom"/>
            <w:gridSpan w:val="2"/>
            <w:shd w:val="clear" w:color="auto" w:fill="CFF0FC"/>
          </w:tcPr>
          <w:p>
            <w:pPr>
              <w:jc w:val="right"/>
              <w:ind w:right="440"/>
              <w:spacing w:after="0"/>
              <w:rPr>
                <w:sz w:val="20"/>
                <w:szCs w:val="20"/>
                <w:color w:val="auto"/>
              </w:rPr>
            </w:pPr>
            <w:r>
              <w:rPr>
                <w:rFonts w:ascii="Arial" w:cs="Arial" w:eastAsia="Arial" w:hAnsi="Arial"/>
                <w:sz w:val="18"/>
                <w:szCs w:val="18"/>
                <w:color w:val="auto"/>
              </w:rPr>
              <w:t>$</w:t>
            </w:r>
          </w:p>
        </w:tc>
        <w:tc>
          <w:tcPr>
            <w:tcW w:w="10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0.10</w:t>
            </w:r>
          </w:p>
        </w:tc>
        <w:tc>
          <w:tcPr>
            <w:tcW w:w="80" w:type="dxa"/>
            <w:vAlign w:val="bottom"/>
            <w:shd w:val="clear" w:color="auto" w:fill="CFF0FC"/>
          </w:tcPr>
          <w:p>
            <w:pPr>
              <w:spacing w:after="0"/>
              <w:rPr>
                <w:sz w:val="19"/>
                <w:szCs w:val="19"/>
                <w:color w:val="auto"/>
              </w:rPr>
            </w:pPr>
          </w:p>
        </w:tc>
      </w:tr>
      <w:tr>
        <w:trPr>
          <w:trHeight w:val="230"/>
        </w:trPr>
        <w:tc>
          <w:tcPr>
            <w:tcW w:w="4180" w:type="dxa"/>
            <w:vAlign w:val="bottom"/>
          </w:tcPr>
          <w:p>
            <w:pPr>
              <w:spacing w:after="0"/>
              <w:rPr>
                <w:sz w:val="20"/>
                <w:szCs w:val="20"/>
                <w:color w:val="auto"/>
              </w:rPr>
            </w:pPr>
            <w:r>
              <w:rPr>
                <w:rFonts w:ascii="Arial" w:cs="Arial" w:eastAsia="Arial" w:hAnsi="Arial"/>
                <w:sz w:val="18"/>
                <w:szCs w:val="18"/>
                <w:color w:val="auto"/>
              </w:rPr>
              <w:t>Earnings per share - diluted</w:t>
            </w:r>
          </w:p>
        </w:tc>
        <w:tc>
          <w:tcPr>
            <w:tcW w:w="2700" w:type="dxa"/>
            <w:vAlign w:val="bottom"/>
            <w:gridSpan w:val="2"/>
          </w:tcPr>
          <w:p>
            <w:pPr>
              <w:jc w:val="right"/>
              <w:ind w:right="440"/>
              <w:spacing w:after="0"/>
              <w:rPr>
                <w:sz w:val="20"/>
                <w:szCs w:val="20"/>
                <w:color w:val="auto"/>
              </w:rPr>
            </w:pPr>
            <w:r>
              <w:rPr>
                <w:rFonts w:ascii="Arial" w:cs="Arial" w:eastAsia="Arial" w:hAnsi="Arial"/>
                <w:sz w:val="18"/>
                <w:szCs w:val="18"/>
                <w:color w:val="auto"/>
              </w:rPr>
              <w:t>$</w:t>
            </w:r>
          </w:p>
        </w:tc>
        <w:tc>
          <w:tcPr>
            <w:tcW w:w="1020" w:type="dxa"/>
            <w:vAlign w:val="bottom"/>
          </w:tcPr>
          <w:p>
            <w:pPr>
              <w:jc w:val="right"/>
              <w:spacing w:after="0"/>
              <w:rPr>
                <w:sz w:val="20"/>
                <w:szCs w:val="20"/>
                <w:color w:val="auto"/>
              </w:rPr>
            </w:pPr>
            <w:r>
              <w:rPr>
                <w:rFonts w:ascii="Arial" w:cs="Arial" w:eastAsia="Arial" w:hAnsi="Arial"/>
                <w:sz w:val="18"/>
                <w:szCs w:val="18"/>
                <w:color w:val="auto"/>
              </w:rPr>
              <w:t>0.10</w:t>
            </w:r>
          </w:p>
        </w:tc>
        <w:tc>
          <w:tcPr>
            <w:tcW w:w="80" w:type="dxa"/>
            <w:vAlign w:val="bottom"/>
          </w:tcPr>
          <w:p>
            <w:pPr>
              <w:spacing w:after="0"/>
              <w:rPr>
                <w:sz w:val="20"/>
                <w:szCs w:val="20"/>
                <w:color w:val="auto"/>
              </w:rPr>
            </w:pPr>
          </w:p>
        </w:tc>
      </w:tr>
    </w:tbl>
    <w:p>
      <w:pPr>
        <w:spacing w:after="0" w:line="201" w:lineRule="exact"/>
        <w:rPr>
          <w:sz w:val="20"/>
          <w:szCs w:val="20"/>
          <w:color w:val="auto"/>
        </w:rPr>
      </w:pPr>
    </w:p>
    <w:p>
      <w:pPr>
        <w:ind w:firstLine="518"/>
        <w:spacing w:after="0" w:line="255" w:lineRule="auto"/>
        <w:rPr>
          <w:sz w:val="20"/>
          <w:szCs w:val="20"/>
          <w:color w:val="auto"/>
        </w:rPr>
      </w:pPr>
      <w:r>
        <w:rPr>
          <w:rFonts w:ascii="Arial" w:cs="Arial" w:eastAsia="Arial" w:hAnsi="Arial"/>
          <w:sz w:val="18"/>
          <w:szCs w:val="18"/>
          <w:color w:val="auto"/>
        </w:rPr>
        <w:t>The unaudited pro forma operating results have been determined after adjusting the operating results of TRI Pointe to reflect the purchase accounting and other acquisition adjustments including interest expense associated with the debt used to fund a portion of the Merger. The unaudited pro forma results do not reflect any cost savings, operating synergies or other enhancements that we may achieve as a result of the Merger or the costs necessary to integrate the operations to achieve these cost savings and synergies. Accordingly, the unaudited pro forma amounts are for comparative purposes only and may not necessarily reflect the results of operations had the Merger been completed at the beginning of the period or be indicative of the results we will achieve in the future.</w:t>
      </w:r>
    </w:p>
    <w:p>
      <w:pPr>
        <w:spacing w:after="0" w:line="378" w:lineRule="exact"/>
        <w:rPr>
          <w:sz w:val="20"/>
          <w:szCs w:val="20"/>
          <w:color w:val="auto"/>
        </w:rPr>
      </w:pPr>
    </w:p>
    <w:p>
      <w:pPr>
        <w:ind w:left="540" w:hanging="532"/>
        <w:spacing w:after="0"/>
        <w:tabs>
          <w:tab w:leader="none" w:pos="540" w:val="left"/>
        </w:tabs>
        <w:numPr>
          <w:ilvl w:val="0"/>
          <w:numId w:val="5"/>
        </w:numPr>
        <w:rPr>
          <w:rFonts w:ascii="Arial" w:cs="Arial" w:eastAsia="Arial" w:hAnsi="Arial"/>
          <w:sz w:val="18"/>
          <w:szCs w:val="18"/>
          <w:b w:val="1"/>
          <w:bCs w:val="1"/>
          <w:color w:val="auto"/>
        </w:rPr>
      </w:pPr>
      <w:r>
        <w:rPr>
          <w:rFonts w:ascii="Arial" w:cs="Arial" w:eastAsia="Arial" w:hAnsi="Arial"/>
          <w:sz w:val="18"/>
          <w:szCs w:val="18"/>
          <w:b w:val="1"/>
          <w:bCs w:val="1"/>
          <w:color w:val="auto"/>
        </w:rPr>
        <w:t>Restructuring</w:t>
      </w:r>
    </w:p>
    <w:p>
      <w:pPr>
        <w:spacing w:after="0" w:line="121" w:lineRule="exact"/>
        <w:rPr>
          <w:sz w:val="20"/>
          <w:szCs w:val="20"/>
          <w:color w:val="auto"/>
        </w:rPr>
      </w:pPr>
    </w:p>
    <w:p>
      <w:pPr>
        <w:ind w:firstLine="518"/>
        <w:spacing w:after="0" w:line="264" w:lineRule="auto"/>
        <w:rPr>
          <w:sz w:val="20"/>
          <w:szCs w:val="20"/>
          <w:color w:val="auto"/>
        </w:rPr>
      </w:pPr>
      <w:r>
        <w:rPr>
          <w:rFonts w:ascii="Arial" w:cs="Arial" w:eastAsia="Arial" w:hAnsi="Arial"/>
          <w:sz w:val="18"/>
          <w:szCs w:val="18"/>
          <w:color w:val="auto"/>
        </w:rPr>
        <w:t>In connection with the Merger, the Company initiated a restructuring plan to reduce duplicate corporate and divisional overhead costs and expenses. In addition, WRECO previously recognized restructuring expenses related to general cost reduction initiatives. Restructuring costs were comprised of the following (in thousands):</w:t>
      </w:r>
    </w:p>
    <w:p>
      <w:pPr>
        <w:spacing w:after="0" w:line="186" w:lineRule="exact"/>
        <w:rPr>
          <w:sz w:val="20"/>
          <w:szCs w:val="20"/>
          <w:color w:val="auto"/>
        </w:rPr>
      </w:pPr>
    </w:p>
    <w:tbl>
      <w:tblPr>
        <w:tblLayout w:type="fixed"/>
        <w:tblInd w:w="1720" w:type="dxa"/>
        <w:tblCellMar>
          <w:top w:w="0" w:type="dxa"/>
          <w:left w:w="0" w:type="dxa"/>
          <w:bottom w:w="0" w:type="dxa"/>
          <w:right w:w="0" w:type="dxa"/>
        </w:tblCellMar>
      </w:tblPr>
      <w:tr>
        <w:trPr>
          <w:trHeight w:val="171"/>
        </w:trPr>
        <w:tc>
          <w:tcPr>
            <w:tcW w:w="3640" w:type="dxa"/>
            <w:vAlign w:val="bottom"/>
          </w:tcPr>
          <w:p>
            <w:pPr>
              <w:spacing w:after="0"/>
              <w:rPr>
                <w:sz w:val="14"/>
                <w:szCs w:val="14"/>
                <w:color w:val="auto"/>
              </w:rPr>
            </w:pPr>
          </w:p>
        </w:tc>
        <w:tc>
          <w:tcPr>
            <w:tcW w:w="1940" w:type="dxa"/>
            <w:vAlign w:val="bottom"/>
          </w:tcPr>
          <w:p>
            <w:pPr>
              <w:spacing w:after="0"/>
              <w:rPr>
                <w:sz w:val="14"/>
                <w:szCs w:val="14"/>
                <w:color w:val="auto"/>
              </w:rPr>
            </w:pPr>
          </w:p>
        </w:tc>
        <w:tc>
          <w:tcPr>
            <w:tcW w:w="2400" w:type="dxa"/>
            <w:vAlign w:val="bottom"/>
            <w:gridSpan w:val="7"/>
          </w:tcPr>
          <w:p>
            <w:pPr>
              <w:ind w:left="160"/>
              <w:spacing w:after="0"/>
              <w:rPr>
                <w:sz w:val="20"/>
                <w:szCs w:val="20"/>
                <w:color w:val="auto"/>
              </w:rPr>
            </w:pPr>
            <w:r>
              <w:rPr>
                <w:rFonts w:ascii="Arial" w:cs="Arial" w:eastAsia="Arial" w:hAnsi="Arial"/>
                <w:sz w:val="14"/>
                <w:szCs w:val="14"/>
                <w:b w:val="1"/>
                <w:bCs w:val="1"/>
                <w:color w:val="auto"/>
              </w:rPr>
              <w:t>Three Months Ended March 31,</w:t>
            </w:r>
          </w:p>
        </w:tc>
      </w:tr>
      <w:tr>
        <w:trPr>
          <w:trHeight w:val="156"/>
        </w:trPr>
        <w:tc>
          <w:tcPr>
            <w:tcW w:w="3640" w:type="dxa"/>
            <w:vAlign w:val="bottom"/>
            <w:tcBorders>
              <w:bottom w:val="single" w:sz="8" w:color="CFF0FC"/>
            </w:tcBorders>
          </w:tcPr>
          <w:p>
            <w:pPr>
              <w:spacing w:after="0"/>
              <w:rPr>
                <w:sz w:val="13"/>
                <w:szCs w:val="13"/>
                <w:color w:val="auto"/>
              </w:rPr>
            </w:pPr>
          </w:p>
        </w:tc>
        <w:tc>
          <w:tcPr>
            <w:tcW w:w="1940" w:type="dxa"/>
            <w:vAlign w:val="bottom"/>
            <w:tcBorders>
              <w:bottom w:val="single" w:sz="8" w:color="CFF0FC"/>
            </w:tcBorders>
          </w:tcPr>
          <w:p>
            <w:pPr>
              <w:spacing w:after="0"/>
              <w:rPr>
                <w:sz w:val="13"/>
                <w:szCs w:val="13"/>
                <w:color w:val="auto"/>
              </w:rPr>
            </w:pPr>
          </w:p>
        </w:tc>
        <w:tc>
          <w:tcPr>
            <w:tcW w:w="740" w:type="dxa"/>
            <w:vAlign w:val="bottom"/>
            <w:tcBorders>
              <w:top w:val="single" w:sz="8" w:color="auto"/>
              <w:bottom w:val="single" w:sz="8" w:color="auto"/>
            </w:tcBorders>
          </w:tcPr>
          <w:p>
            <w:pPr>
              <w:jc w:val="right"/>
              <w:spacing w:after="0" w:line="155" w:lineRule="exact"/>
              <w:rPr>
                <w:sz w:val="20"/>
                <w:szCs w:val="20"/>
                <w:color w:val="auto"/>
              </w:rPr>
            </w:pPr>
            <w:r>
              <w:rPr>
                <w:rFonts w:ascii="Arial" w:cs="Arial" w:eastAsia="Arial" w:hAnsi="Arial"/>
                <w:sz w:val="14"/>
                <w:szCs w:val="14"/>
                <w:b w:val="1"/>
                <w:bCs w:val="1"/>
                <w:color w:val="auto"/>
              </w:rPr>
              <w:t>2015</w:t>
            </w:r>
          </w:p>
        </w:tc>
        <w:tc>
          <w:tcPr>
            <w:tcW w:w="360" w:type="dxa"/>
            <w:vAlign w:val="bottom"/>
            <w:tcBorders>
              <w:top w:val="single" w:sz="8" w:color="auto"/>
              <w:bottom w:val="single" w:sz="8" w:color="auto"/>
            </w:tcBorders>
          </w:tcPr>
          <w:p>
            <w:pPr>
              <w:spacing w:after="0"/>
              <w:rPr>
                <w:sz w:val="13"/>
                <w:szCs w:val="13"/>
                <w:color w:val="auto"/>
              </w:rPr>
            </w:pPr>
          </w:p>
        </w:tc>
        <w:tc>
          <w:tcPr>
            <w:tcW w:w="120" w:type="dxa"/>
            <w:vAlign w:val="bottom"/>
            <w:tcBorders>
              <w:top w:val="single" w:sz="8" w:color="auto"/>
              <w:bottom w:val="single" w:sz="8" w:color="CFF0FC"/>
            </w:tcBorders>
          </w:tcPr>
          <w:p>
            <w:pPr>
              <w:spacing w:after="0"/>
              <w:rPr>
                <w:sz w:val="13"/>
                <w:szCs w:val="13"/>
                <w:color w:val="auto"/>
              </w:rPr>
            </w:pPr>
          </w:p>
        </w:tc>
        <w:tc>
          <w:tcPr>
            <w:tcW w:w="20" w:type="dxa"/>
            <w:vAlign w:val="bottom"/>
            <w:tcBorders>
              <w:top w:val="single" w:sz="8" w:color="auto"/>
              <w:bottom w:val="single" w:sz="8" w:color="CFF0FC"/>
            </w:tcBorders>
          </w:tcPr>
          <w:p>
            <w:pPr>
              <w:spacing w:after="0"/>
              <w:rPr>
                <w:sz w:val="13"/>
                <w:szCs w:val="13"/>
                <w:color w:val="auto"/>
              </w:rPr>
            </w:pPr>
          </w:p>
        </w:tc>
        <w:tc>
          <w:tcPr>
            <w:tcW w:w="240" w:type="dxa"/>
            <w:vAlign w:val="bottom"/>
            <w:tcBorders>
              <w:top w:val="single" w:sz="8" w:color="auto"/>
              <w:bottom w:val="single" w:sz="8" w:color="auto"/>
            </w:tcBorders>
          </w:tcPr>
          <w:p>
            <w:pPr>
              <w:spacing w:after="0"/>
              <w:rPr>
                <w:sz w:val="13"/>
                <w:szCs w:val="13"/>
                <w:color w:val="auto"/>
              </w:rPr>
            </w:pPr>
          </w:p>
        </w:tc>
        <w:tc>
          <w:tcPr>
            <w:tcW w:w="840" w:type="dxa"/>
            <w:vAlign w:val="bottom"/>
            <w:tcBorders>
              <w:top w:val="single" w:sz="8" w:color="auto"/>
              <w:bottom w:val="single" w:sz="8" w:color="auto"/>
            </w:tcBorders>
          </w:tcPr>
          <w:p>
            <w:pPr>
              <w:jc w:val="right"/>
              <w:ind w:right="314"/>
              <w:spacing w:after="0" w:line="155" w:lineRule="exact"/>
              <w:rPr>
                <w:sz w:val="20"/>
                <w:szCs w:val="20"/>
                <w:color w:val="auto"/>
              </w:rPr>
            </w:pPr>
            <w:r>
              <w:rPr>
                <w:rFonts w:ascii="Arial" w:cs="Arial" w:eastAsia="Arial" w:hAnsi="Arial"/>
                <w:sz w:val="14"/>
                <w:szCs w:val="14"/>
                <w:b w:val="1"/>
                <w:bCs w:val="1"/>
                <w:color w:val="auto"/>
              </w:rPr>
              <w:t>2014</w:t>
            </w:r>
          </w:p>
        </w:tc>
        <w:tc>
          <w:tcPr>
            <w:tcW w:w="80" w:type="dxa"/>
            <w:vAlign w:val="bottom"/>
            <w:tcBorders>
              <w:bottom w:val="single" w:sz="8" w:color="CFF0FC"/>
            </w:tcBorders>
          </w:tcPr>
          <w:p>
            <w:pPr>
              <w:spacing w:after="0"/>
              <w:rPr>
                <w:sz w:val="13"/>
                <w:szCs w:val="13"/>
                <w:color w:val="auto"/>
              </w:rPr>
            </w:pPr>
          </w:p>
        </w:tc>
      </w:tr>
      <w:tr>
        <w:trPr>
          <w:trHeight w:val="223"/>
        </w:trPr>
        <w:tc>
          <w:tcPr>
            <w:tcW w:w="3640" w:type="dxa"/>
            <w:vAlign w:val="bottom"/>
            <w:shd w:val="clear" w:color="auto" w:fill="CFF0FC"/>
          </w:tcPr>
          <w:p>
            <w:pPr>
              <w:spacing w:after="0"/>
              <w:rPr>
                <w:sz w:val="20"/>
                <w:szCs w:val="20"/>
                <w:color w:val="auto"/>
              </w:rPr>
            </w:pPr>
            <w:r>
              <w:rPr>
                <w:rFonts w:ascii="Arial" w:cs="Arial" w:eastAsia="Arial" w:hAnsi="Arial"/>
                <w:sz w:val="18"/>
                <w:szCs w:val="18"/>
                <w:color w:val="auto"/>
              </w:rPr>
              <w:t>Employee-related costs</w:t>
            </w:r>
          </w:p>
        </w:tc>
        <w:tc>
          <w:tcPr>
            <w:tcW w:w="1940" w:type="dxa"/>
            <w:vAlign w:val="bottom"/>
            <w:shd w:val="clear" w:color="auto" w:fill="CFF0FC"/>
          </w:tcPr>
          <w:p>
            <w:pPr>
              <w:spacing w:after="0"/>
              <w:rPr>
                <w:sz w:val="19"/>
                <w:szCs w:val="19"/>
                <w:color w:val="auto"/>
              </w:rPr>
            </w:pPr>
          </w:p>
        </w:tc>
        <w:tc>
          <w:tcPr>
            <w:tcW w:w="740" w:type="dxa"/>
            <w:vAlign w:val="bottom"/>
            <w:shd w:val="clear" w:color="auto" w:fill="CFF0FC"/>
          </w:tcPr>
          <w:p>
            <w:pPr>
              <w:jc w:val="right"/>
              <w:ind w:right="559"/>
              <w:spacing w:after="0"/>
              <w:rPr>
                <w:sz w:val="20"/>
                <w:szCs w:val="20"/>
                <w:color w:val="auto"/>
              </w:rPr>
            </w:pPr>
            <w:r>
              <w:rPr>
                <w:rFonts w:ascii="Arial" w:cs="Arial" w:eastAsia="Arial" w:hAnsi="Arial"/>
                <w:sz w:val="18"/>
                <w:szCs w:val="18"/>
                <w:color w:val="auto"/>
                <w:w w:val="79"/>
              </w:rPr>
              <w:t>$</w:t>
            </w:r>
          </w:p>
        </w:tc>
        <w:tc>
          <w:tcPr>
            <w:tcW w:w="3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112</w:t>
            </w:r>
          </w:p>
        </w:tc>
        <w:tc>
          <w:tcPr>
            <w:tcW w:w="12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240" w:type="dxa"/>
            <w:vAlign w:val="bottom"/>
            <w:shd w:val="clear" w:color="auto" w:fill="CFF0FC"/>
          </w:tcPr>
          <w:p>
            <w:pPr>
              <w:jc w:val="right"/>
              <w:ind w:right="85"/>
              <w:spacing w:after="0"/>
              <w:rPr>
                <w:sz w:val="20"/>
                <w:szCs w:val="20"/>
                <w:color w:val="auto"/>
              </w:rPr>
            </w:pPr>
            <w:r>
              <w:rPr>
                <w:rFonts w:ascii="Arial" w:cs="Arial" w:eastAsia="Arial" w:hAnsi="Arial"/>
                <w:sz w:val="15"/>
                <w:szCs w:val="15"/>
                <w:color w:val="auto"/>
                <w:w w:val="71"/>
              </w:rPr>
              <w:t>$</w:t>
            </w:r>
          </w:p>
        </w:tc>
        <w:tc>
          <w:tcPr>
            <w:tcW w:w="8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1,247</w:t>
            </w:r>
          </w:p>
        </w:tc>
        <w:tc>
          <w:tcPr>
            <w:tcW w:w="80" w:type="dxa"/>
            <w:vAlign w:val="bottom"/>
            <w:shd w:val="clear" w:color="auto" w:fill="CFF0FC"/>
          </w:tcPr>
          <w:p>
            <w:pPr>
              <w:spacing w:after="0"/>
              <w:rPr>
                <w:sz w:val="19"/>
                <w:szCs w:val="19"/>
                <w:color w:val="auto"/>
              </w:rPr>
            </w:pPr>
          </w:p>
        </w:tc>
      </w:tr>
      <w:tr>
        <w:trPr>
          <w:trHeight w:val="230"/>
        </w:trPr>
        <w:tc>
          <w:tcPr>
            <w:tcW w:w="3640" w:type="dxa"/>
            <w:vAlign w:val="bottom"/>
          </w:tcPr>
          <w:p>
            <w:pPr>
              <w:spacing w:after="0"/>
              <w:rPr>
                <w:sz w:val="20"/>
                <w:szCs w:val="20"/>
                <w:color w:val="auto"/>
              </w:rPr>
            </w:pPr>
            <w:r>
              <w:rPr>
                <w:rFonts w:ascii="Arial" w:cs="Arial" w:eastAsia="Arial" w:hAnsi="Arial"/>
                <w:sz w:val="18"/>
                <w:szCs w:val="18"/>
                <w:color w:val="auto"/>
              </w:rPr>
              <w:t>Lease termination costs</w:t>
            </w:r>
          </w:p>
        </w:tc>
        <w:tc>
          <w:tcPr>
            <w:tcW w:w="194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360" w:type="dxa"/>
            <w:vAlign w:val="bottom"/>
          </w:tcPr>
          <w:p>
            <w:pPr>
              <w:jc w:val="right"/>
              <w:spacing w:after="0"/>
              <w:rPr>
                <w:sz w:val="20"/>
                <w:szCs w:val="20"/>
                <w:color w:val="auto"/>
              </w:rPr>
            </w:pPr>
            <w:r>
              <w:rPr>
                <w:rFonts w:ascii="Arial" w:cs="Arial" w:eastAsia="Arial" w:hAnsi="Arial"/>
                <w:sz w:val="18"/>
                <w:szCs w:val="18"/>
                <w:color w:val="auto"/>
              </w:rPr>
              <w:t>110</w:t>
            </w:r>
          </w:p>
        </w:tc>
        <w:tc>
          <w:tcPr>
            <w:tcW w:w="1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rPr>
              <w:t>411</w:t>
            </w:r>
          </w:p>
        </w:tc>
        <w:tc>
          <w:tcPr>
            <w:tcW w:w="80" w:type="dxa"/>
            <w:vAlign w:val="bottom"/>
          </w:tcPr>
          <w:p>
            <w:pPr>
              <w:spacing w:after="0"/>
              <w:rPr>
                <w:sz w:val="19"/>
                <w:szCs w:val="19"/>
                <w:color w:val="auto"/>
              </w:rPr>
            </w:pPr>
          </w:p>
        </w:tc>
      </w:tr>
      <w:tr>
        <w:trPr>
          <w:trHeight w:val="230"/>
        </w:trPr>
        <w:tc>
          <w:tcPr>
            <w:tcW w:w="3640" w:type="dxa"/>
            <w:vAlign w:val="bottom"/>
            <w:shd w:val="clear" w:color="auto" w:fill="CFF0FC"/>
          </w:tcPr>
          <w:p>
            <w:pPr>
              <w:spacing w:after="0"/>
              <w:rPr>
                <w:sz w:val="20"/>
                <w:szCs w:val="20"/>
                <w:color w:val="auto"/>
              </w:rPr>
            </w:pPr>
            <w:r>
              <w:rPr>
                <w:rFonts w:ascii="Arial" w:cs="Arial" w:eastAsia="Arial" w:hAnsi="Arial"/>
                <w:sz w:val="18"/>
                <w:szCs w:val="18"/>
                <w:color w:val="auto"/>
              </w:rPr>
              <w:t>Other costs</w:t>
            </w:r>
          </w:p>
        </w:tc>
        <w:tc>
          <w:tcPr>
            <w:tcW w:w="1940" w:type="dxa"/>
            <w:vAlign w:val="bottom"/>
            <w:shd w:val="clear" w:color="auto" w:fill="CFF0FC"/>
          </w:tcPr>
          <w:p>
            <w:pPr>
              <w:spacing w:after="0"/>
              <w:rPr>
                <w:sz w:val="19"/>
                <w:szCs w:val="19"/>
                <w:color w:val="auto"/>
              </w:rPr>
            </w:pPr>
          </w:p>
        </w:tc>
        <w:tc>
          <w:tcPr>
            <w:tcW w:w="740" w:type="dxa"/>
            <w:vAlign w:val="bottom"/>
            <w:shd w:val="clear" w:color="auto" w:fill="CFF0FC"/>
          </w:tcPr>
          <w:p>
            <w:pPr>
              <w:spacing w:after="0"/>
              <w:rPr>
                <w:sz w:val="19"/>
                <w:szCs w:val="19"/>
                <w:color w:val="auto"/>
              </w:rPr>
            </w:pPr>
          </w:p>
        </w:tc>
        <w:tc>
          <w:tcPr>
            <w:tcW w:w="480" w:type="dxa"/>
            <w:vAlign w:val="bottom"/>
            <w:gridSpan w:val="2"/>
            <w:shd w:val="clear" w:color="auto" w:fill="CFF0FC"/>
          </w:tcPr>
          <w:p>
            <w:pPr>
              <w:jc w:val="right"/>
              <w:ind w:right="140"/>
              <w:spacing w:after="0"/>
              <w:rPr>
                <w:sz w:val="20"/>
                <w:szCs w:val="20"/>
                <w:color w:val="auto"/>
              </w:rPr>
            </w:pPr>
            <w:r>
              <w:rPr>
                <w:rFonts w:ascii="Arial" w:cs="Arial" w:eastAsia="Arial" w:hAnsi="Arial"/>
                <w:sz w:val="18"/>
                <w:szCs w:val="18"/>
                <w:color w:val="auto"/>
              </w:rPr>
              <w:t>—</w:t>
            </w:r>
          </w:p>
        </w:tc>
        <w:tc>
          <w:tcPr>
            <w:tcW w:w="2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8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58</w:t>
            </w:r>
          </w:p>
        </w:tc>
        <w:tc>
          <w:tcPr>
            <w:tcW w:w="80" w:type="dxa"/>
            <w:vAlign w:val="bottom"/>
            <w:shd w:val="clear" w:color="auto" w:fill="CFF0FC"/>
          </w:tcPr>
          <w:p>
            <w:pPr>
              <w:spacing w:after="0"/>
              <w:rPr>
                <w:sz w:val="19"/>
                <w:szCs w:val="19"/>
                <w:color w:val="auto"/>
              </w:rPr>
            </w:pPr>
          </w:p>
        </w:tc>
      </w:tr>
      <w:tr>
        <w:trPr>
          <w:trHeight w:val="223"/>
        </w:trPr>
        <w:tc>
          <w:tcPr>
            <w:tcW w:w="3640" w:type="dxa"/>
            <w:vAlign w:val="bottom"/>
          </w:tcPr>
          <w:p>
            <w:pPr>
              <w:spacing w:after="0"/>
              <w:rPr>
                <w:sz w:val="20"/>
                <w:szCs w:val="20"/>
                <w:color w:val="auto"/>
              </w:rPr>
            </w:pPr>
            <w:r>
              <w:rPr>
                <w:rFonts w:ascii="Arial" w:cs="Arial" w:eastAsia="Arial" w:hAnsi="Arial"/>
                <w:sz w:val="18"/>
                <w:szCs w:val="18"/>
                <w:color w:val="auto"/>
              </w:rPr>
              <w:t>Total</w:t>
            </w:r>
          </w:p>
        </w:tc>
        <w:tc>
          <w:tcPr>
            <w:tcW w:w="1940" w:type="dxa"/>
            <w:vAlign w:val="bottom"/>
          </w:tcPr>
          <w:p>
            <w:pPr>
              <w:spacing w:after="0"/>
              <w:rPr>
                <w:sz w:val="19"/>
                <w:szCs w:val="19"/>
                <w:color w:val="auto"/>
              </w:rPr>
            </w:pPr>
          </w:p>
        </w:tc>
        <w:tc>
          <w:tcPr>
            <w:tcW w:w="740" w:type="dxa"/>
            <w:vAlign w:val="bottom"/>
            <w:tcBorders>
              <w:top w:val="single" w:sz="8" w:color="auto"/>
              <w:bottom w:val="single" w:sz="8" w:color="auto"/>
            </w:tcBorders>
          </w:tcPr>
          <w:p>
            <w:pPr>
              <w:jc w:val="right"/>
              <w:ind w:right="559"/>
              <w:spacing w:after="0"/>
              <w:rPr>
                <w:sz w:val="20"/>
                <w:szCs w:val="20"/>
                <w:color w:val="auto"/>
              </w:rPr>
            </w:pPr>
            <w:r>
              <w:rPr>
                <w:rFonts w:ascii="Arial" w:cs="Arial" w:eastAsia="Arial" w:hAnsi="Arial"/>
                <w:sz w:val="18"/>
                <w:szCs w:val="18"/>
                <w:color w:val="auto"/>
                <w:w w:val="79"/>
              </w:rPr>
              <w:t>$</w:t>
            </w:r>
          </w:p>
        </w:tc>
        <w:tc>
          <w:tcPr>
            <w:tcW w:w="3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222</w:t>
            </w:r>
          </w:p>
        </w:tc>
        <w:tc>
          <w:tcPr>
            <w:tcW w:w="120" w:type="dxa"/>
            <w:vAlign w:val="bottom"/>
          </w:tcPr>
          <w:p>
            <w:pPr>
              <w:spacing w:after="0"/>
              <w:rPr>
                <w:sz w:val="19"/>
                <w:szCs w:val="19"/>
                <w:color w:val="auto"/>
              </w:rPr>
            </w:pPr>
          </w:p>
        </w:tc>
        <w:tc>
          <w:tcPr>
            <w:tcW w:w="20" w:type="dxa"/>
            <w:vAlign w:val="bottom"/>
            <w:tcBorders>
              <w:bottom w:val="single" w:sz="8" w:color="auto"/>
            </w:tcBorders>
          </w:tcPr>
          <w:p>
            <w:pPr>
              <w:spacing w:after="0"/>
              <w:rPr>
                <w:sz w:val="19"/>
                <w:szCs w:val="19"/>
                <w:color w:val="auto"/>
              </w:rPr>
            </w:pPr>
          </w:p>
        </w:tc>
        <w:tc>
          <w:tcPr>
            <w:tcW w:w="240" w:type="dxa"/>
            <w:vAlign w:val="bottom"/>
            <w:tcBorders>
              <w:top w:val="single" w:sz="8" w:color="auto"/>
              <w:bottom w:val="single" w:sz="8" w:color="auto"/>
            </w:tcBorders>
          </w:tcPr>
          <w:p>
            <w:pPr>
              <w:jc w:val="right"/>
              <w:ind w:right="85"/>
              <w:spacing w:after="0"/>
              <w:rPr>
                <w:sz w:val="20"/>
                <w:szCs w:val="20"/>
                <w:color w:val="auto"/>
              </w:rPr>
            </w:pPr>
            <w:r>
              <w:rPr>
                <w:rFonts w:ascii="Arial" w:cs="Arial" w:eastAsia="Arial" w:hAnsi="Arial"/>
                <w:sz w:val="15"/>
                <w:szCs w:val="15"/>
                <w:color w:val="auto"/>
                <w:w w:val="71"/>
              </w:rPr>
              <w:t>$</w:t>
            </w:r>
          </w:p>
        </w:tc>
        <w:tc>
          <w:tcPr>
            <w:tcW w:w="8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1,716</w:t>
            </w:r>
          </w:p>
        </w:tc>
        <w:tc>
          <w:tcPr>
            <w:tcW w:w="80" w:type="dxa"/>
            <w:vAlign w:val="bottom"/>
          </w:tcPr>
          <w:p>
            <w:pPr>
              <w:spacing w:after="0"/>
              <w:rPr>
                <w:sz w:val="19"/>
                <w:szCs w:val="19"/>
                <w:color w:val="auto"/>
              </w:rPr>
            </w:pPr>
          </w:p>
        </w:tc>
      </w:tr>
      <w:tr>
        <w:trPr>
          <w:trHeight w:val="20"/>
        </w:trPr>
        <w:tc>
          <w:tcPr>
            <w:tcW w:w="3640" w:type="dxa"/>
            <w:vAlign w:val="bottom"/>
          </w:tcPr>
          <w:p>
            <w:pPr>
              <w:spacing w:after="0" w:line="20" w:lineRule="exact"/>
              <w:rPr>
                <w:sz w:val="1"/>
                <w:szCs w:val="1"/>
                <w:color w:val="auto"/>
              </w:rPr>
            </w:pPr>
          </w:p>
        </w:tc>
        <w:tc>
          <w:tcPr>
            <w:tcW w:w="1940" w:type="dxa"/>
            <w:vAlign w:val="bottom"/>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r>
    </w:tbl>
    <w:p>
      <w:pPr>
        <w:spacing w:after="0" w:line="202" w:lineRule="exact"/>
        <w:rPr>
          <w:sz w:val="20"/>
          <w:szCs w:val="20"/>
          <w:color w:val="auto"/>
        </w:rPr>
      </w:pPr>
    </w:p>
    <w:p>
      <w:pPr>
        <w:ind w:right="120" w:firstLine="518"/>
        <w:spacing w:after="0" w:line="264" w:lineRule="auto"/>
        <w:rPr>
          <w:sz w:val="20"/>
          <w:szCs w:val="20"/>
          <w:color w:val="auto"/>
        </w:rPr>
      </w:pPr>
      <w:r>
        <w:rPr>
          <w:rFonts w:ascii="Arial" w:cs="Arial" w:eastAsia="Arial" w:hAnsi="Arial"/>
          <w:sz w:val="18"/>
          <w:szCs w:val="18"/>
          <w:color w:val="auto"/>
        </w:rPr>
        <w:t>Employee retention and severance-related expenses were $112,000 and $1.2 million for the three months ended March 31, 2015 and 2014, respectively. Lease termination costs were $110,000 and $411,000 for the three months ended March 31, 2015, and 2014, respectively, and relate to contract terminations as a result of general cost reduction initiatives.</w:t>
      </w:r>
    </w:p>
    <w:p>
      <w:pPr>
        <w:spacing w:after="0" w:line="208" w:lineRule="exact"/>
        <w:rPr>
          <w:sz w:val="20"/>
          <w:szCs w:val="20"/>
          <w:color w:val="auto"/>
        </w:rPr>
      </w:pPr>
    </w:p>
    <w:p>
      <w:pPr>
        <w:ind w:left="520"/>
        <w:spacing w:after="0"/>
        <w:rPr>
          <w:sz w:val="20"/>
          <w:szCs w:val="20"/>
          <w:color w:val="auto"/>
        </w:rPr>
      </w:pPr>
      <w:r>
        <w:rPr>
          <w:rFonts w:ascii="Arial" w:cs="Arial" w:eastAsia="Arial" w:hAnsi="Arial"/>
          <w:sz w:val="18"/>
          <w:szCs w:val="18"/>
          <w:color w:val="auto"/>
        </w:rPr>
        <w:t>Other costs are primarily comprised of one-time charges incurred to prepare for the integration of WRECO and TRI Pointe.</w:t>
      </w:r>
    </w:p>
    <w:p>
      <w:pPr>
        <w:spacing w:after="0" w:line="200" w:lineRule="exact"/>
        <w:rPr>
          <w:sz w:val="20"/>
          <w:szCs w:val="20"/>
          <w:color w:val="auto"/>
        </w:rPr>
      </w:pPr>
    </w:p>
    <w:p>
      <w:pPr>
        <w:spacing w:after="0" w:line="268"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- 10 -</w:t>
      </w:r>
    </w:p>
    <w:p>
      <w:pPr>
        <w:sectPr>
          <w:pgSz w:w="11900" w:h="16838" w:orient="portrait"/>
          <w:cols w:equalWidth="0" w:num="1">
            <w:col w:w="11380"/>
          </w:cols>
          <w:pgMar w:left="240" w:top="355" w:right="279" w:bottom="1440" w:gutter="0" w:footer="0" w:header="0"/>
        </w:sectPr>
      </w:pPr>
    </w:p>
    <w:bookmarkStart w:id="10" w:name="page11"/>
    <w:bookmarkEnd w:id="10"/>
    <w:p>
      <w:pPr>
        <w:ind w:left="520"/>
        <w:spacing w:after="0"/>
        <w:rPr>
          <w:sz w:val="20"/>
          <w:szCs w:val="20"/>
          <w:color w:val="auto"/>
        </w:rPr>
      </w:pPr>
      <w:r>
        <w:rPr>
          <w:rFonts w:ascii="Arial" w:cs="Arial" w:eastAsia="Arial" w:hAnsi="Arial"/>
          <w:sz w:val="18"/>
          <w:szCs w:val="18"/>
          <w:color w:val="auto"/>
        </w:rPr>
        <w:t>Changes in employee-related restructuring reserves were as follows (in thousands):</w:t>
      </w:r>
    </w:p>
    <w:p>
      <w:pPr>
        <w:spacing w:after="0" w:line="298" w:lineRule="exact"/>
        <w:rPr>
          <w:sz w:val="20"/>
          <w:szCs w:val="20"/>
          <w:color w:val="auto"/>
        </w:rPr>
      </w:pPr>
    </w:p>
    <w:tbl>
      <w:tblPr>
        <w:tblLayout w:type="fixed"/>
        <w:tblInd w:w="520" w:type="dxa"/>
        <w:tblCellMar>
          <w:top w:w="0" w:type="dxa"/>
          <w:left w:w="0" w:type="dxa"/>
          <w:bottom w:w="0" w:type="dxa"/>
          <w:right w:w="0" w:type="dxa"/>
        </w:tblCellMar>
      </w:tblPr>
      <w:tr>
        <w:trPr>
          <w:trHeight w:val="171"/>
        </w:trPr>
        <w:tc>
          <w:tcPr>
            <w:tcW w:w="1200" w:type="dxa"/>
            <w:vAlign w:val="bottom"/>
          </w:tcPr>
          <w:p>
            <w:pPr>
              <w:spacing w:after="0"/>
              <w:rPr>
                <w:sz w:val="14"/>
                <w:szCs w:val="14"/>
                <w:color w:val="auto"/>
              </w:rPr>
            </w:pPr>
          </w:p>
        </w:tc>
        <w:tc>
          <w:tcPr>
            <w:tcW w:w="55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2280" w:type="dxa"/>
            <w:vAlign w:val="bottom"/>
            <w:gridSpan w:val="5"/>
          </w:tcPr>
          <w:p>
            <w:pPr>
              <w:jc w:val="right"/>
              <w:ind w:right="280"/>
              <w:spacing w:after="0"/>
              <w:rPr>
                <w:sz w:val="20"/>
                <w:szCs w:val="20"/>
                <w:color w:val="auto"/>
              </w:rPr>
            </w:pPr>
            <w:r>
              <w:rPr>
                <w:rFonts w:ascii="Arial" w:cs="Arial" w:eastAsia="Arial" w:hAnsi="Arial"/>
                <w:sz w:val="14"/>
                <w:szCs w:val="14"/>
                <w:b w:val="1"/>
                <w:bCs w:val="1"/>
                <w:color w:val="auto"/>
                <w:w w:val="95"/>
              </w:rPr>
              <w:t>Three Months Ended March 31,</w:t>
            </w:r>
          </w:p>
        </w:tc>
        <w:tc>
          <w:tcPr>
            <w:tcW w:w="0" w:type="dxa"/>
            <w:vAlign w:val="bottom"/>
          </w:tcPr>
          <w:p>
            <w:pPr>
              <w:spacing w:after="0"/>
              <w:rPr>
                <w:sz w:val="1"/>
                <w:szCs w:val="1"/>
                <w:color w:val="auto"/>
              </w:rPr>
            </w:pPr>
          </w:p>
        </w:tc>
      </w:tr>
      <w:tr>
        <w:trPr>
          <w:trHeight w:val="156"/>
        </w:trPr>
        <w:tc>
          <w:tcPr>
            <w:tcW w:w="1200" w:type="dxa"/>
            <w:vAlign w:val="bottom"/>
          </w:tcPr>
          <w:p>
            <w:pPr>
              <w:spacing w:after="0"/>
              <w:rPr>
                <w:sz w:val="13"/>
                <w:szCs w:val="13"/>
                <w:color w:val="auto"/>
              </w:rPr>
            </w:pPr>
          </w:p>
        </w:tc>
        <w:tc>
          <w:tcPr>
            <w:tcW w:w="5560" w:type="dxa"/>
            <w:vAlign w:val="bottom"/>
            <w:tcBorders>
              <w:bottom w:val="single" w:sz="8" w:color="CFF0FC"/>
            </w:tcBorders>
          </w:tcPr>
          <w:p>
            <w:pPr>
              <w:spacing w:after="0"/>
              <w:rPr>
                <w:sz w:val="13"/>
                <w:szCs w:val="13"/>
                <w:color w:val="auto"/>
              </w:rPr>
            </w:pPr>
          </w:p>
        </w:tc>
        <w:tc>
          <w:tcPr>
            <w:tcW w:w="140" w:type="dxa"/>
            <w:vAlign w:val="bottom"/>
            <w:tcBorders>
              <w:top w:val="single" w:sz="8" w:color="auto"/>
              <w:bottom w:val="single" w:sz="8" w:color="auto"/>
            </w:tcBorders>
          </w:tcPr>
          <w:p>
            <w:pPr>
              <w:spacing w:after="0"/>
              <w:rPr>
                <w:sz w:val="13"/>
                <w:szCs w:val="13"/>
                <w:color w:val="auto"/>
              </w:rPr>
            </w:pPr>
          </w:p>
        </w:tc>
        <w:tc>
          <w:tcPr>
            <w:tcW w:w="940" w:type="dxa"/>
            <w:vAlign w:val="bottom"/>
            <w:tcBorders>
              <w:top w:val="single" w:sz="8" w:color="auto"/>
              <w:bottom w:val="single" w:sz="8" w:color="auto"/>
            </w:tcBorders>
          </w:tcPr>
          <w:p>
            <w:pPr>
              <w:jc w:val="right"/>
              <w:ind w:right="316"/>
              <w:spacing w:after="0" w:line="155" w:lineRule="exact"/>
              <w:rPr>
                <w:sz w:val="20"/>
                <w:szCs w:val="20"/>
                <w:color w:val="auto"/>
              </w:rPr>
            </w:pPr>
            <w:r>
              <w:rPr>
                <w:rFonts w:ascii="Arial" w:cs="Arial" w:eastAsia="Arial" w:hAnsi="Arial"/>
                <w:sz w:val="14"/>
                <w:szCs w:val="14"/>
                <w:b w:val="1"/>
                <w:bCs w:val="1"/>
                <w:color w:val="auto"/>
              </w:rPr>
              <w:t>2015</w:t>
            </w:r>
          </w:p>
        </w:tc>
        <w:tc>
          <w:tcPr>
            <w:tcW w:w="160" w:type="dxa"/>
            <w:vAlign w:val="bottom"/>
            <w:tcBorders>
              <w:top w:val="single" w:sz="8" w:color="auto"/>
              <w:bottom w:val="single" w:sz="8" w:color="CFF0FC"/>
            </w:tcBorders>
          </w:tcPr>
          <w:p>
            <w:pPr>
              <w:spacing w:after="0"/>
              <w:rPr>
                <w:sz w:val="13"/>
                <w:szCs w:val="13"/>
                <w:color w:val="auto"/>
              </w:rPr>
            </w:pPr>
          </w:p>
        </w:tc>
        <w:tc>
          <w:tcPr>
            <w:tcW w:w="240" w:type="dxa"/>
            <w:vAlign w:val="bottom"/>
            <w:tcBorders>
              <w:top w:val="single" w:sz="8" w:color="auto"/>
              <w:bottom w:val="single" w:sz="8" w:color="auto"/>
            </w:tcBorders>
          </w:tcPr>
          <w:p>
            <w:pPr>
              <w:spacing w:after="0"/>
              <w:rPr>
                <w:sz w:val="13"/>
                <w:szCs w:val="13"/>
                <w:color w:val="auto"/>
              </w:rPr>
            </w:pPr>
          </w:p>
        </w:tc>
        <w:tc>
          <w:tcPr>
            <w:tcW w:w="860" w:type="dxa"/>
            <w:vAlign w:val="bottom"/>
            <w:tcBorders>
              <w:top w:val="single" w:sz="8" w:color="auto"/>
              <w:bottom w:val="single" w:sz="8" w:color="auto"/>
            </w:tcBorders>
          </w:tcPr>
          <w:p>
            <w:pPr>
              <w:jc w:val="right"/>
              <w:ind w:right="334"/>
              <w:spacing w:after="0" w:line="155" w:lineRule="exact"/>
              <w:rPr>
                <w:sz w:val="20"/>
                <w:szCs w:val="20"/>
                <w:color w:val="auto"/>
              </w:rPr>
            </w:pPr>
            <w:r>
              <w:rPr>
                <w:rFonts w:ascii="Arial" w:cs="Arial" w:eastAsia="Arial" w:hAnsi="Arial"/>
                <w:sz w:val="14"/>
                <w:szCs w:val="14"/>
                <w:b w:val="1"/>
                <w:bCs w:val="1"/>
                <w:color w:val="auto"/>
              </w:rPr>
              <w:t>2014</w:t>
            </w:r>
          </w:p>
        </w:tc>
        <w:tc>
          <w:tcPr>
            <w:tcW w:w="80" w:type="dxa"/>
            <w:vAlign w:val="bottom"/>
            <w:tcBorders>
              <w:bottom w:val="single" w:sz="8" w:color="CFF0FC"/>
            </w:tcBorders>
          </w:tcPr>
          <w:p>
            <w:pPr>
              <w:spacing w:after="0"/>
              <w:rPr>
                <w:sz w:val="13"/>
                <w:szCs w:val="13"/>
                <w:color w:val="auto"/>
              </w:rPr>
            </w:pPr>
          </w:p>
        </w:tc>
        <w:tc>
          <w:tcPr>
            <w:tcW w:w="0" w:type="dxa"/>
            <w:vAlign w:val="bottom"/>
          </w:tcPr>
          <w:p>
            <w:pPr>
              <w:spacing w:after="0"/>
              <w:rPr>
                <w:sz w:val="1"/>
                <w:szCs w:val="1"/>
                <w:color w:val="auto"/>
              </w:rPr>
            </w:pPr>
          </w:p>
        </w:tc>
      </w:tr>
      <w:tr>
        <w:trPr>
          <w:trHeight w:val="223"/>
        </w:trPr>
        <w:tc>
          <w:tcPr>
            <w:tcW w:w="1200" w:type="dxa"/>
            <w:vAlign w:val="bottom"/>
          </w:tcPr>
          <w:p>
            <w:pPr>
              <w:spacing w:after="0"/>
              <w:rPr>
                <w:sz w:val="19"/>
                <w:szCs w:val="19"/>
                <w:color w:val="auto"/>
              </w:rPr>
            </w:pPr>
          </w:p>
        </w:tc>
        <w:tc>
          <w:tcPr>
            <w:tcW w:w="5560" w:type="dxa"/>
            <w:vAlign w:val="bottom"/>
            <w:shd w:val="clear" w:color="auto" w:fill="CFF0FC"/>
          </w:tcPr>
          <w:p>
            <w:pPr>
              <w:spacing w:after="0"/>
              <w:rPr>
                <w:sz w:val="20"/>
                <w:szCs w:val="20"/>
                <w:color w:val="auto"/>
              </w:rPr>
            </w:pPr>
            <w:r>
              <w:rPr>
                <w:rFonts w:ascii="Arial" w:cs="Arial" w:eastAsia="Arial" w:hAnsi="Arial"/>
                <w:sz w:val="18"/>
                <w:szCs w:val="18"/>
                <w:color w:val="auto"/>
              </w:rPr>
              <w:t>Accrued employee-related costs, beginning of period</w:t>
            </w:r>
          </w:p>
        </w:tc>
        <w:tc>
          <w:tcPr>
            <w:tcW w:w="140" w:type="dxa"/>
            <w:vAlign w:val="bottom"/>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9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3,844</w:t>
            </w:r>
          </w:p>
        </w:tc>
        <w:tc>
          <w:tcPr>
            <w:tcW w:w="160" w:type="dxa"/>
            <w:vAlign w:val="bottom"/>
            <w:shd w:val="clear" w:color="auto" w:fill="CFF0FC"/>
          </w:tcPr>
          <w:p>
            <w:pPr>
              <w:spacing w:after="0"/>
              <w:rPr>
                <w:sz w:val="19"/>
                <w:szCs w:val="19"/>
                <w:color w:val="auto"/>
              </w:rPr>
            </w:pPr>
          </w:p>
        </w:tc>
        <w:tc>
          <w:tcPr>
            <w:tcW w:w="240" w:type="dxa"/>
            <w:vAlign w:val="bottom"/>
            <w:shd w:val="clear" w:color="auto" w:fill="CFF0FC"/>
          </w:tcPr>
          <w:p>
            <w:pPr>
              <w:jc w:val="right"/>
              <w:ind w:right="85"/>
              <w:spacing w:after="0"/>
              <w:rPr>
                <w:sz w:val="20"/>
                <w:szCs w:val="20"/>
                <w:color w:val="auto"/>
              </w:rPr>
            </w:pPr>
            <w:r>
              <w:rPr>
                <w:rFonts w:ascii="Arial" w:cs="Arial" w:eastAsia="Arial" w:hAnsi="Arial"/>
                <w:sz w:val="15"/>
                <w:szCs w:val="15"/>
                <w:color w:val="auto"/>
                <w:w w:val="71"/>
              </w:rPr>
              <w:t>$</w:t>
            </w:r>
          </w:p>
        </w:tc>
        <w:tc>
          <w:tcPr>
            <w:tcW w:w="8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4,336</w:t>
            </w:r>
          </w:p>
        </w:tc>
        <w:tc>
          <w:tcPr>
            <w:tcW w:w="8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1200" w:type="dxa"/>
            <w:vAlign w:val="bottom"/>
          </w:tcPr>
          <w:p>
            <w:pPr>
              <w:spacing w:after="0"/>
              <w:rPr>
                <w:sz w:val="19"/>
                <w:szCs w:val="19"/>
                <w:color w:val="auto"/>
              </w:rPr>
            </w:pPr>
          </w:p>
        </w:tc>
        <w:tc>
          <w:tcPr>
            <w:tcW w:w="5560" w:type="dxa"/>
            <w:vAlign w:val="bottom"/>
          </w:tcPr>
          <w:p>
            <w:pPr>
              <w:spacing w:after="0"/>
              <w:rPr>
                <w:sz w:val="20"/>
                <w:szCs w:val="20"/>
                <w:color w:val="auto"/>
              </w:rPr>
            </w:pPr>
            <w:r>
              <w:rPr>
                <w:rFonts w:ascii="Arial" w:cs="Arial" w:eastAsia="Arial" w:hAnsi="Arial"/>
                <w:sz w:val="18"/>
                <w:szCs w:val="18"/>
                <w:color w:val="auto"/>
              </w:rPr>
              <w:t>Current year charges</w:t>
            </w:r>
          </w:p>
        </w:tc>
        <w:tc>
          <w:tcPr>
            <w:tcW w:w="140" w:type="dxa"/>
            <w:vAlign w:val="bottom"/>
          </w:tcPr>
          <w:p>
            <w:pPr>
              <w:spacing w:after="0"/>
              <w:rPr>
                <w:sz w:val="19"/>
                <w:szCs w:val="19"/>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112</w:t>
            </w:r>
          </w:p>
        </w:tc>
        <w:tc>
          <w:tcPr>
            <w:tcW w:w="16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1,247</w:t>
            </w:r>
          </w:p>
        </w:tc>
        <w:tc>
          <w:tcPr>
            <w:tcW w:w="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1200" w:type="dxa"/>
            <w:vAlign w:val="bottom"/>
          </w:tcPr>
          <w:p>
            <w:pPr>
              <w:spacing w:after="0"/>
              <w:rPr>
                <w:sz w:val="19"/>
                <w:szCs w:val="19"/>
                <w:color w:val="auto"/>
              </w:rPr>
            </w:pPr>
          </w:p>
        </w:tc>
        <w:tc>
          <w:tcPr>
            <w:tcW w:w="5560" w:type="dxa"/>
            <w:vAlign w:val="bottom"/>
            <w:shd w:val="clear" w:color="auto" w:fill="CFF0FC"/>
          </w:tcPr>
          <w:p>
            <w:pPr>
              <w:spacing w:after="0"/>
              <w:rPr>
                <w:sz w:val="20"/>
                <w:szCs w:val="20"/>
                <w:color w:val="auto"/>
              </w:rPr>
            </w:pPr>
            <w:r>
              <w:rPr>
                <w:rFonts w:ascii="Arial" w:cs="Arial" w:eastAsia="Arial" w:hAnsi="Arial"/>
                <w:sz w:val="18"/>
                <w:szCs w:val="18"/>
                <w:color w:val="auto"/>
              </w:rPr>
              <w:t>Payments</w:t>
            </w:r>
          </w:p>
        </w:tc>
        <w:tc>
          <w:tcPr>
            <w:tcW w:w="140" w:type="dxa"/>
            <w:vAlign w:val="bottom"/>
            <w:shd w:val="clear" w:color="auto" w:fill="CFF0FC"/>
          </w:tcPr>
          <w:p>
            <w:pPr>
              <w:spacing w:after="0"/>
              <w:rPr>
                <w:sz w:val="19"/>
                <w:szCs w:val="19"/>
                <w:color w:val="auto"/>
              </w:rPr>
            </w:pPr>
          </w:p>
        </w:tc>
        <w:tc>
          <w:tcPr>
            <w:tcW w:w="1100" w:type="dxa"/>
            <w:vAlign w:val="bottom"/>
            <w:gridSpan w:val="2"/>
            <w:shd w:val="clear" w:color="auto" w:fill="CFF0FC"/>
          </w:tcPr>
          <w:p>
            <w:pPr>
              <w:jc w:val="right"/>
              <w:ind w:right="100"/>
              <w:spacing w:after="0"/>
              <w:rPr>
                <w:sz w:val="20"/>
                <w:szCs w:val="20"/>
                <w:color w:val="auto"/>
              </w:rPr>
            </w:pPr>
            <w:r>
              <w:rPr>
                <w:rFonts w:ascii="Arial" w:cs="Arial" w:eastAsia="Arial" w:hAnsi="Arial"/>
                <w:sz w:val="18"/>
                <w:szCs w:val="18"/>
                <w:color w:val="auto"/>
              </w:rPr>
              <w:t>(3,423)</w:t>
            </w:r>
          </w:p>
        </w:tc>
        <w:tc>
          <w:tcPr>
            <w:tcW w:w="240" w:type="dxa"/>
            <w:vAlign w:val="bottom"/>
            <w:shd w:val="clear" w:color="auto" w:fill="CFF0FC"/>
          </w:tcPr>
          <w:p>
            <w:pPr>
              <w:spacing w:after="0"/>
              <w:rPr>
                <w:sz w:val="19"/>
                <w:szCs w:val="19"/>
                <w:color w:val="auto"/>
              </w:rPr>
            </w:pPr>
          </w:p>
        </w:tc>
        <w:tc>
          <w:tcPr>
            <w:tcW w:w="940" w:type="dxa"/>
            <w:vAlign w:val="bottom"/>
            <w:gridSpan w:val="2"/>
            <w:shd w:val="clear" w:color="auto" w:fill="CFF0FC"/>
          </w:tcPr>
          <w:p>
            <w:pPr>
              <w:jc w:val="right"/>
              <w:ind w:right="20"/>
              <w:spacing w:after="0"/>
              <w:rPr>
                <w:sz w:val="20"/>
                <w:szCs w:val="20"/>
                <w:color w:val="auto"/>
              </w:rPr>
            </w:pPr>
            <w:r>
              <w:rPr>
                <w:rFonts w:ascii="Arial" w:cs="Arial" w:eastAsia="Arial" w:hAnsi="Arial"/>
                <w:sz w:val="18"/>
                <w:szCs w:val="18"/>
                <w:color w:val="auto"/>
              </w:rPr>
              <w:t>(5,583)</w:t>
            </w:r>
          </w:p>
        </w:tc>
        <w:tc>
          <w:tcPr>
            <w:tcW w:w="0" w:type="dxa"/>
            <w:vAlign w:val="bottom"/>
          </w:tcPr>
          <w:p>
            <w:pPr>
              <w:spacing w:after="0"/>
              <w:rPr>
                <w:sz w:val="1"/>
                <w:szCs w:val="1"/>
                <w:color w:val="auto"/>
              </w:rPr>
            </w:pPr>
          </w:p>
        </w:tc>
      </w:tr>
      <w:tr>
        <w:trPr>
          <w:trHeight w:val="223"/>
        </w:trPr>
        <w:tc>
          <w:tcPr>
            <w:tcW w:w="6760" w:type="dxa"/>
            <w:vAlign w:val="bottom"/>
            <w:gridSpan w:val="2"/>
          </w:tcPr>
          <w:p>
            <w:pPr>
              <w:ind w:left="1200"/>
              <w:spacing w:after="0"/>
              <w:rPr>
                <w:sz w:val="20"/>
                <w:szCs w:val="20"/>
                <w:color w:val="auto"/>
              </w:rPr>
            </w:pPr>
            <w:r>
              <w:rPr>
                <w:rFonts w:ascii="Arial" w:cs="Arial" w:eastAsia="Arial" w:hAnsi="Arial"/>
                <w:sz w:val="18"/>
                <w:szCs w:val="18"/>
                <w:color w:val="auto"/>
              </w:rPr>
              <w:t>Accrued employee-related costs, end of period</w:t>
            </w: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9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533</w:t>
            </w:r>
          </w:p>
        </w:tc>
        <w:tc>
          <w:tcPr>
            <w:tcW w:w="160" w:type="dxa"/>
            <w:vAlign w:val="bottom"/>
          </w:tcPr>
          <w:p>
            <w:pPr>
              <w:spacing w:after="0"/>
              <w:rPr>
                <w:sz w:val="19"/>
                <w:szCs w:val="19"/>
                <w:color w:val="auto"/>
              </w:rPr>
            </w:pPr>
          </w:p>
        </w:tc>
        <w:tc>
          <w:tcPr>
            <w:tcW w:w="240" w:type="dxa"/>
            <w:vAlign w:val="bottom"/>
            <w:tcBorders>
              <w:top w:val="single" w:sz="8" w:color="auto"/>
              <w:bottom w:val="single" w:sz="8" w:color="auto"/>
            </w:tcBorders>
          </w:tcPr>
          <w:p>
            <w:pPr>
              <w:jc w:val="right"/>
              <w:ind w:right="85"/>
              <w:spacing w:after="0"/>
              <w:rPr>
                <w:sz w:val="20"/>
                <w:szCs w:val="20"/>
                <w:color w:val="auto"/>
              </w:rPr>
            </w:pPr>
            <w:r>
              <w:rPr>
                <w:rFonts w:ascii="Arial" w:cs="Arial" w:eastAsia="Arial" w:hAnsi="Arial"/>
                <w:sz w:val="15"/>
                <w:szCs w:val="15"/>
                <w:color w:val="auto"/>
                <w:w w:val="71"/>
              </w:rPr>
              <w:t>$</w:t>
            </w:r>
          </w:p>
        </w:tc>
        <w:tc>
          <w:tcPr>
            <w:tcW w:w="8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6760" w:type="dxa"/>
            <w:vAlign w:val="bottom"/>
            <w:gridSpan w:val="2"/>
            <w:vMerge w:val="restart"/>
          </w:tcPr>
          <w:p>
            <w:pPr>
              <w:spacing w:after="0"/>
              <w:rPr>
                <w:sz w:val="20"/>
                <w:szCs w:val="20"/>
                <w:color w:val="auto"/>
              </w:rPr>
            </w:pPr>
            <w:r>
              <w:rPr>
                <w:rFonts w:ascii="Arial" w:cs="Arial" w:eastAsia="Arial" w:hAnsi="Arial"/>
                <w:sz w:val="18"/>
                <w:szCs w:val="18"/>
                <w:color w:val="auto"/>
                <w:w w:val="93"/>
              </w:rPr>
              <w:t>Changes in lease termination related restructuring reserves were as follows (in thousands):</w:t>
            </w:r>
          </w:p>
        </w:tc>
        <w:tc>
          <w:tcPr>
            <w:tcW w:w="14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13"/>
        </w:trPr>
        <w:tc>
          <w:tcPr>
            <w:tcW w:w="6760" w:type="dxa"/>
            <w:vAlign w:val="bottom"/>
            <w:gridSpan w:val="2"/>
            <w:vMerge w:val="continue"/>
          </w:tcPr>
          <w:p>
            <w:pPr>
              <w:spacing w:after="0"/>
              <w:rPr>
                <w:sz w:val="24"/>
                <w:szCs w:val="24"/>
                <w:color w:val="auto"/>
              </w:rPr>
            </w:pPr>
          </w:p>
        </w:tc>
        <w:tc>
          <w:tcPr>
            <w:tcW w:w="14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46"/>
        </w:trPr>
        <w:tc>
          <w:tcPr>
            <w:tcW w:w="1200" w:type="dxa"/>
            <w:vAlign w:val="bottom"/>
          </w:tcPr>
          <w:p>
            <w:pPr>
              <w:spacing w:after="0"/>
              <w:rPr>
                <w:sz w:val="24"/>
                <w:szCs w:val="24"/>
                <w:color w:val="auto"/>
              </w:rPr>
            </w:pPr>
          </w:p>
        </w:tc>
        <w:tc>
          <w:tcPr>
            <w:tcW w:w="55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2280" w:type="dxa"/>
            <w:vAlign w:val="bottom"/>
            <w:gridSpan w:val="5"/>
          </w:tcPr>
          <w:p>
            <w:pPr>
              <w:jc w:val="right"/>
              <w:ind w:right="280"/>
              <w:spacing w:after="0"/>
              <w:rPr>
                <w:sz w:val="20"/>
                <w:szCs w:val="20"/>
                <w:color w:val="auto"/>
              </w:rPr>
            </w:pPr>
            <w:r>
              <w:rPr>
                <w:rFonts w:ascii="Arial" w:cs="Arial" w:eastAsia="Arial" w:hAnsi="Arial"/>
                <w:sz w:val="14"/>
                <w:szCs w:val="14"/>
                <w:b w:val="1"/>
                <w:bCs w:val="1"/>
                <w:color w:val="auto"/>
                <w:w w:val="95"/>
              </w:rPr>
              <w:t>Three Months Ended March 31,</w:t>
            </w:r>
          </w:p>
        </w:tc>
        <w:tc>
          <w:tcPr>
            <w:tcW w:w="0" w:type="dxa"/>
            <w:vAlign w:val="bottom"/>
          </w:tcPr>
          <w:p>
            <w:pPr>
              <w:spacing w:after="0"/>
              <w:rPr>
                <w:sz w:val="1"/>
                <w:szCs w:val="1"/>
                <w:color w:val="auto"/>
              </w:rPr>
            </w:pPr>
          </w:p>
        </w:tc>
      </w:tr>
      <w:tr>
        <w:trPr>
          <w:trHeight w:val="156"/>
        </w:trPr>
        <w:tc>
          <w:tcPr>
            <w:tcW w:w="1200" w:type="dxa"/>
            <w:vAlign w:val="bottom"/>
          </w:tcPr>
          <w:p>
            <w:pPr>
              <w:spacing w:after="0"/>
              <w:rPr>
                <w:sz w:val="13"/>
                <w:szCs w:val="13"/>
                <w:color w:val="auto"/>
              </w:rPr>
            </w:pPr>
          </w:p>
        </w:tc>
        <w:tc>
          <w:tcPr>
            <w:tcW w:w="5560" w:type="dxa"/>
            <w:vAlign w:val="bottom"/>
            <w:tcBorders>
              <w:bottom w:val="single" w:sz="8" w:color="CFF0FC"/>
            </w:tcBorders>
          </w:tcPr>
          <w:p>
            <w:pPr>
              <w:spacing w:after="0"/>
              <w:rPr>
                <w:sz w:val="13"/>
                <w:szCs w:val="13"/>
                <w:color w:val="auto"/>
              </w:rPr>
            </w:pPr>
          </w:p>
        </w:tc>
        <w:tc>
          <w:tcPr>
            <w:tcW w:w="140" w:type="dxa"/>
            <w:vAlign w:val="bottom"/>
            <w:tcBorders>
              <w:top w:val="single" w:sz="8" w:color="auto"/>
              <w:bottom w:val="single" w:sz="8" w:color="auto"/>
            </w:tcBorders>
          </w:tcPr>
          <w:p>
            <w:pPr>
              <w:spacing w:after="0"/>
              <w:rPr>
                <w:sz w:val="13"/>
                <w:szCs w:val="13"/>
                <w:color w:val="auto"/>
              </w:rPr>
            </w:pPr>
          </w:p>
        </w:tc>
        <w:tc>
          <w:tcPr>
            <w:tcW w:w="940" w:type="dxa"/>
            <w:vAlign w:val="bottom"/>
            <w:tcBorders>
              <w:top w:val="single" w:sz="8" w:color="auto"/>
              <w:bottom w:val="single" w:sz="8" w:color="auto"/>
            </w:tcBorders>
          </w:tcPr>
          <w:p>
            <w:pPr>
              <w:jc w:val="right"/>
              <w:ind w:right="316"/>
              <w:spacing w:after="0" w:line="155" w:lineRule="exact"/>
              <w:rPr>
                <w:sz w:val="20"/>
                <w:szCs w:val="20"/>
                <w:color w:val="auto"/>
              </w:rPr>
            </w:pPr>
            <w:r>
              <w:rPr>
                <w:rFonts w:ascii="Arial" w:cs="Arial" w:eastAsia="Arial" w:hAnsi="Arial"/>
                <w:sz w:val="14"/>
                <w:szCs w:val="14"/>
                <w:b w:val="1"/>
                <w:bCs w:val="1"/>
                <w:color w:val="auto"/>
              </w:rPr>
              <w:t>2015</w:t>
            </w:r>
          </w:p>
        </w:tc>
        <w:tc>
          <w:tcPr>
            <w:tcW w:w="160" w:type="dxa"/>
            <w:vAlign w:val="bottom"/>
            <w:tcBorders>
              <w:top w:val="single" w:sz="8" w:color="auto"/>
              <w:bottom w:val="single" w:sz="8" w:color="CFF0FC"/>
            </w:tcBorders>
          </w:tcPr>
          <w:p>
            <w:pPr>
              <w:spacing w:after="0"/>
              <w:rPr>
                <w:sz w:val="13"/>
                <w:szCs w:val="13"/>
                <w:color w:val="auto"/>
              </w:rPr>
            </w:pPr>
          </w:p>
        </w:tc>
        <w:tc>
          <w:tcPr>
            <w:tcW w:w="240" w:type="dxa"/>
            <w:vAlign w:val="bottom"/>
            <w:tcBorders>
              <w:top w:val="single" w:sz="8" w:color="auto"/>
              <w:bottom w:val="single" w:sz="8" w:color="auto"/>
            </w:tcBorders>
          </w:tcPr>
          <w:p>
            <w:pPr>
              <w:spacing w:after="0"/>
              <w:rPr>
                <w:sz w:val="13"/>
                <w:szCs w:val="13"/>
                <w:color w:val="auto"/>
              </w:rPr>
            </w:pPr>
          </w:p>
        </w:tc>
        <w:tc>
          <w:tcPr>
            <w:tcW w:w="860" w:type="dxa"/>
            <w:vAlign w:val="bottom"/>
            <w:tcBorders>
              <w:top w:val="single" w:sz="8" w:color="auto"/>
              <w:bottom w:val="single" w:sz="8" w:color="auto"/>
            </w:tcBorders>
          </w:tcPr>
          <w:p>
            <w:pPr>
              <w:jc w:val="right"/>
              <w:ind w:right="334"/>
              <w:spacing w:after="0" w:line="155" w:lineRule="exact"/>
              <w:rPr>
                <w:sz w:val="20"/>
                <w:szCs w:val="20"/>
                <w:color w:val="auto"/>
              </w:rPr>
            </w:pPr>
            <w:r>
              <w:rPr>
                <w:rFonts w:ascii="Arial" w:cs="Arial" w:eastAsia="Arial" w:hAnsi="Arial"/>
                <w:sz w:val="14"/>
                <w:szCs w:val="14"/>
                <w:b w:val="1"/>
                <w:bCs w:val="1"/>
                <w:color w:val="auto"/>
              </w:rPr>
              <w:t>2014</w:t>
            </w:r>
          </w:p>
        </w:tc>
        <w:tc>
          <w:tcPr>
            <w:tcW w:w="80" w:type="dxa"/>
            <w:vAlign w:val="bottom"/>
            <w:tcBorders>
              <w:bottom w:val="single" w:sz="8" w:color="CFF0FC"/>
            </w:tcBorders>
          </w:tcPr>
          <w:p>
            <w:pPr>
              <w:spacing w:after="0"/>
              <w:rPr>
                <w:sz w:val="13"/>
                <w:szCs w:val="13"/>
                <w:color w:val="auto"/>
              </w:rPr>
            </w:pPr>
          </w:p>
        </w:tc>
        <w:tc>
          <w:tcPr>
            <w:tcW w:w="0" w:type="dxa"/>
            <w:vAlign w:val="bottom"/>
          </w:tcPr>
          <w:p>
            <w:pPr>
              <w:spacing w:after="0"/>
              <w:rPr>
                <w:sz w:val="1"/>
                <w:szCs w:val="1"/>
                <w:color w:val="auto"/>
              </w:rPr>
            </w:pPr>
          </w:p>
        </w:tc>
      </w:tr>
      <w:tr>
        <w:trPr>
          <w:trHeight w:val="223"/>
        </w:trPr>
        <w:tc>
          <w:tcPr>
            <w:tcW w:w="1200" w:type="dxa"/>
            <w:vAlign w:val="bottom"/>
          </w:tcPr>
          <w:p>
            <w:pPr>
              <w:spacing w:after="0"/>
              <w:rPr>
                <w:sz w:val="19"/>
                <w:szCs w:val="19"/>
                <w:color w:val="auto"/>
              </w:rPr>
            </w:pPr>
          </w:p>
        </w:tc>
        <w:tc>
          <w:tcPr>
            <w:tcW w:w="5560" w:type="dxa"/>
            <w:vAlign w:val="bottom"/>
            <w:shd w:val="clear" w:color="auto" w:fill="CFF0FC"/>
          </w:tcPr>
          <w:p>
            <w:pPr>
              <w:spacing w:after="0"/>
              <w:rPr>
                <w:sz w:val="20"/>
                <w:szCs w:val="20"/>
                <w:color w:val="auto"/>
              </w:rPr>
            </w:pPr>
            <w:r>
              <w:rPr>
                <w:rFonts w:ascii="Arial" w:cs="Arial" w:eastAsia="Arial" w:hAnsi="Arial"/>
                <w:sz w:val="18"/>
                <w:szCs w:val="18"/>
                <w:color w:val="auto"/>
              </w:rPr>
              <w:t>Accrued lease termination costs, beginning of period</w:t>
            </w:r>
          </w:p>
        </w:tc>
        <w:tc>
          <w:tcPr>
            <w:tcW w:w="140" w:type="dxa"/>
            <w:vAlign w:val="bottom"/>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9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1,394</w:t>
            </w:r>
          </w:p>
        </w:tc>
        <w:tc>
          <w:tcPr>
            <w:tcW w:w="160" w:type="dxa"/>
            <w:vAlign w:val="bottom"/>
            <w:shd w:val="clear" w:color="auto" w:fill="CFF0FC"/>
          </w:tcPr>
          <w:p>
            <w:pPr>
              <w:spacing w:after="0"/>
              <w:rPr>
                <w:sz w:val="19"/>
                <w:szCs w:val="19"/>
                <w:color w:val="auto"/>
              </w:rPr>
            </w:pPr>
          </w:p>
        </w:tc>
        <w:tc>
          <w:tcPr>
            <w:tcW w:w="240" w:type="dxa"/>
            <w:vAlign w:val="bottom"/>
            <w:shd w:val="clear" w:color="auto" w:fill="CFF0FC"/>
          </w:tcPr>
          <w:p>
            <w:pPr>
              <w:jc w:val="right"/>
              <w:ind w:right="85"/>
              <w:spacing w:after="0"/>
              <w:rPr>
                <w:sz w:val="20"/>
                <w:szCs w:val="20"/>
                <w:color w:val="auto"/>
              </w:rPr>
            </w:pPr>
            <w:r>
              <w:rPr>
                <w:rFonts w:ascii="Arial" w:cs="Arial" w:eastAsia="Arial" w:hAnsi="Arial"/>
                <w:sz w:val="15"/>
                <w:szCs w:val="15"/>
                <w:color w:val="auto"/>
                <w:w w:val="71"/>
              </w:rPr>
              <w:t>$</w:t>
            </w:r>
          </w:p>
        </w:tc>
        <w:tc>
          <w:tcPr>
            <w:tcW w:w="8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3,506</w:t>
            </w:r>
          </w:p>
        </w:tc>
        <w:tc>
          <w:tcPr>
            <w:tcW w:w="8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1200" w:type="dxa"/>
            <w:vAlign w:val="bottom"/>
          </w:tcPr>
          <w:p>
            <w:pPr>
              <w:spacing w:after="0"/>
              <w:rPr>
                <w:sz w:val="19"/>
                <w:szCs w:val="19"/>
                <w:color w:val="auto"/>
              </w:rPr>
            </w:pPr>
          </w:p>
        </w:tc>
        <w:tc>
          <w:tcPr>
            <w:tcW w:w="5560" w:type="dxa"/>
            <w:vAlign w:val="bottom"/>
          </w:tcPr>
          <w:p>
            <w:pPr>
              <w:spacing w:after="0"/>
              <w:rPr>
                <w:sz w:val="20"/>
                <w:szCs w:val="20"/>
                <w:color w:val="auto"/>
              </w:rPr>
            </w:pPr>
            <w:r>
              <w:rPr>
                <w:rFonts w:ascii="Arial" w:cs="Arial" w:eastAsia="Arial" w:hAnsi="Arial"/>
                <w:sz w:val="18"/>
                <w:szCs w:val="18"/>
                <w:color w:val="auto"/>
              </w:rPr>
              <w:t>Current year charges</w:t>
            </w:r>
          </w:p>
        </w:tc>
        <w:tc>
          <w:tcPr>
            <w:tcW w:w="140" w:type="dxa"/>
            <w:vAlign w:val="bottom"/>
          </w:tcPr>
          <w:p>
            <w:pPr>
              <w:spacing w:after="0"/>
              <w:rPr>
                <w:sz w:val="19"/>
                <w:szCs w:val="19"/>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110</w:t>
            </w:r>
          </w:p>
        </w:tc>
        <w:tc>
          <w:tcPr>
            <w:tcW w:w="16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411</w:t>
            </w:r>
          </w:p>
        </w:tc>
        <w:tc>
          <w:tcPr>
            <w:tcW w:w="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1200" w:type="dxa"/>
            <w:vAlign w:val="bottom"/>
          </w:tcPr>
          <w:p>
            <w:pPr>
              <w:spacing w:after="0"/>
              <w:rPr>
                <w:sz w:val="19"/>
                <w:szCs w:val="19"/>
                <w:color w:val="auto"/>
              </w:rPr>
            </w:pPr>
          </w:p>
        </w:tc>
        <w:tc>
          <w:tcPr>
            <w:tcW w:w="5560" w:type="dxa"/>
            <w:vAlign w:val="bottom"/>
            <w:shd w:val="clear" w:color="auto" w:fill="CFF0FC"/>
          </w:tcPr>
          <w:p>
            <w:pPr>
              <w:spacing w:after="0"/>
              <w:rPr>
                <w:sz w:val="20"/>
                <w:szCs w:val="20"/>
                <w:color w:val="auto"/>
              </w:rPr>
            </w:pPr>
            <w:r>
              <w:rPr>
                <w:rFonts w:ascii="Arial" w:cs="Arial" w:eastAsia="Arial" w:hAnsi="Arial"/>
                <w:sz w:val="18"/>
                <w:szCs w:val="18"/>
                <w:color w:val="auto"/>
              </w:rPr>
              <w:t>Payments</w:t>
            </w:r>
          </w:p>
        </w:tc>
        <w:tc>
          <w:tcPr>
            <w:tcW w:w="140" w:type="dxa"/>
            <w:vAlign w:val="bottom"/>
            <w:shd w:val="clear" w:color="auto" w:fill="CFF0FC"/>
          </w:tcPr>
          <w:p>
            <w:pPr>
              <w:spacing w:after="0"/>
              <w:rPr>
                <w:sz w:val="19"/>
                <w:szCs w:val="19"/>
                <w:color w:val="auto"/>
              </w:rPr>
            </w:pPr>
          </w:p>
        </w:tc>
        <w:tc>
          <w:tcPr>
            <w:tcW w:w="1100" w:type="dxa"/>
            <w:vAlign w:val="bottom"/>
            <w:gridSpan w:val="2"/>
            <w:shd w:val="clear" w:color="auto" w:fill="CFF0FC"/>
          </w:tcPr>
          <w:p>
            <w:pPr>
              <w:jc w:val="right"/>
              <w:ind w:right="100"/>
              <w:spacing w:after="0"/>
              <w:rPr>
                <w:sz w:val="20"/>
                <w:szCs w:val="20"/>
                <w:color w:val="auto"/>
              </w:rPr>
            </w:pPr>
            <w:r>
              <w:rPr>
                <w:rFonts w:ascii="Arial" w:cs="Arial" w:eastAsia="Arial" w:hAnsi="Arial"/>
                <w:sz w:val="18"/>
                <w:szCs w:val="18"/>
                <w:color w:val="auto"/>
              </w:rPr>
              <w:t>(578)</w:t>
            </w:r>
          </w:p>
        </w:tc>
        <w:tc>
          <w:tcPr>
            <w:tcW w:w="240" w:type="dxa"/>
            <w:vAlign w:val="bottom"/>
            <w:shd w:val="clear" w:color="auto" w:fill="CFF0FC"/>
          </w:tcPr>
          <w:p>
            <w:pPr>
              <w:spacing w:after="0"/>
              <w:rPr>
                <w:sz w:val="19"/>
                <w:szCs w:val="19"/>
                <w:color w:val="auto"/>
              </w:rPr>
            </w:pPr>
          </w:p>
        </w:tc>
        <w:tc>
          <w:tcPr>
            <w:tcW w:w="940" w:type="dxa"/>
            <w:vAlign w:val="bottom"/>
            <w:gridSpan w:val="2"/>
            <w:shd w:val="clear" w:color="auto" w:fill="CFF0FC"/>
          </w:tcPr>
          <w:p>
            <w:pPr>
              <w:jc w:val="right"/>
              <w:ind w:right="20"/>
              <w:spacing w:after="0"/>
              <w:rPr>
                <w:sz w:val="20"/>
                <w:szCs w:val="20"/>
                <w:color w:val="auto"/>
              </w:rPr>
            </w:pPr>
            <w:r>
              <w:rPr>
                <w:rFonts w:ascii="Arial" w:cs="Arial" w:eastAsia="Arial" w:hAnsi="Arial"/>
                <w:sz w:val="18"/>
                <w:szCs w:val="18"/>
                <w:color w:val="auto"/>
              </w:rPr>
              <w:t>(1,159)</w:t>
            </w:r>
          </w:p>
        </w:tc>
        <w:tc>
          <w:tcPr>
            <w:tcW w:w="0" w:type="dxa"/>
            <w:vAlign w:val="bottom"/>
          </w:tcPr>
          <w:p>
            <w:pPr>
              <w:spacing w:after="0"/>
              <w:rPr>
                <w:sz w:val="1"/>
                <w:szCs w:val="1"/>
                <w:color w:val="auto"/>
              </w:rPr>
            </w:pPr>
          </w:p>
        </w:tc>
      </w:tr>
      <w:tr>
        <w:trPr>
          <w:trHeight w:val="223"/>
        </w:trPr>
        <w:tc>
          <w:tcPr>
            <w:tcW w:w="6760" w:type="dxa"/>
            <w:vAlign w:val="bottom"/>
            <w:gridSpan w:val="2"/>
          </w:tcPr>
          <w:p>
            <w:pPr>
              <w:ind w:left="1200"/>
              <w:spacing w:after="0"/>
              <w:rPr>
                <w:sz w:val="20"/>
                <w:szCs w:val="20"/>
                <w:color w:val="auto"/>
              </w:rPr>
            </w:pPr>
            <w:r>
              <w:rPr>
                <w:rFonts w:ascii="Arial" w:cs="Arial" w:eastAsia="Arial" w:hAnsi="Arial"/>
                <w:sz w:val="18"/>
                <w:szCs w:val="18"/>
                <w:color w:val="auto"/>
              </w:rPr>
              <w:t>Accrued lease termination costs, end of period</w:t>
            </w: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9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926</w:t>
            </w:r>
          </w:p>
        </w:tc>
        <w:tc>
          <w:tcPr>
            <w:tcW w:w="160" w:type="dxa"/>
            <w:vAlign w:val="bottom"/>
          </w:tcPr>
          <w:p>
            <w:pPr>
              <w:spacing w:after="0"/>
              <w:rPr>
                <w:sz w:val="19"/>
                <w:szCs w:val="19"/>
                <w:color w:val="auto"/>
              </w:rPr>
            </w:pPr>
          </w:p>
        </w:tc>
        <w:tc>
          <w:tcPr>
            <w:tcW w:w="240" w:type="dxa"/>
            <w:vAlign w:val="bottom"/>
            <w:tcBorders>
              <w:top w:val="single" w:sz="8" w:color="auto"/>
              <w:bottom w:val="single" w:sz="8" w:color="auto"/>
            </w:tcBorders>
          </w:tcPr>
          <w:p>
            <w:pPr>
              <w:jc w:val="right"/>
              <w:ind w:right="85"/>
              <w:spacing w:after="0"/>
              <w:rPr>
                <w:sz w:val="20"/>
                <w:szCs w:val="20"/>
                <w:color w:val="auto"/>
              </w:rPr>
            </w:pPr>
            <w:r>
              <w:rPr>
                <w:rFonts w:ascii="Arial" w:cs="Arial" w:eastAsia="Arial" w:hAnsi="Arial"/>
                <w:sz w:val="15"/>
                <w:szCs w:val="15"/>
                <w:color w:val="auto"/>
                <w:w w:val="71"/>
              </w:rPr>
              <w:t>$</w:t>
            </w:r>
          </w:p>
        </w:tc>
        <w:tc>
          <w:tcPr>
            <w:tcW w:w="8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2,758</w:t>
            </w:r>
          </w:p>
        </w:tc>
        <w:tc>
          <w:tcPr>
            <w:tcW w:w="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1200" w:type="dxa"/>
            <w:vAlign w:val="bottom"/>
          </w:tcPr>
          <w:p>
            <w:pPr>
              <w:spacing w:after="0" w:line="20" w:lineRule="exact"/>
              <w:rPr>
                <w:sz w:val="1"/>
                <w:szCs w:val="1"/>
                <w:color w:val="auto"/>
              </w:rPr>
            </w:pPr>
          </w:p>
        </w:tc>
        <w:tc>
          <w:tcPr>
            <w:tcW w:w="55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2" w:lineRule="exact"/>
        <w:rPr>
          <w:sz w:val="20"/>
          <w:szCs w:val="20"/>
          <w:color w:val="auto"/>
        </w:rPr>
      </w:pPr>
    </w:p>
    <w:p>
      <w:pPr>
        <w:ind w:left="520"/>
        <w:spacing w:after="0"/>
        <w:rPr>
          <w:sz w:val="20"/>
          <w:szCs w:val="20"/>
          <w:color w:val="auto"/>
        </w:rPr>
      </w:pPr>
      <w:r>
        <w:rPr>
          <w:rFonts w:ascii="Arial" w:cs="Arial" w:eastAsia="Arial" w:hAnsi="Arial"/>
          <w:sz w:val="16"/>
          <w:szCs w:val="16"/>
          <w:color w:val="auto"/>
        </w:rPr>
        <w:t>Employee and lease termination restructuring reserves are included in accrued expenses and other liabilities on our consolidated balance sheets.</w:t>
      </w:r>
    </w:p>
    <w:p>
      <w:pPr>
        <w:spacing w:after="0" w:line="200" w:lineRule="exact"/>
        <w:rPr>
          <w:sz w:val="20"/>
          <w:szCs w:val="20"/>
          <w:color w:val="auto"/>
        </w:rPr>
      </w:pPr>
    </w:p>
    <w:p>
      <w:pPr>
        <w:spacing w:after="0" w:line="233" w:lineRule="exact"/>
        <w:rPr>
          <w:sz w:val="20"/>
          <w:szCs w:val="20"/>
          <w:color w:val="auto"/>
        </w:rPr>
      </w:pPr>
    </w:p>
    <w:p>
      <w:pPr>
        <w:ind w:left="540" w:hanging="532"/>
        <w:spacing w:after="0"/>
        <w:tabs>
          <w:tab w:leader="none" w:pos="540" w:val="left"/>
        </w:tabs>
        <w:numPr>
          <w:ilvl w:val="0"/>
          <w:numId w:val="6"/>
        </w:numPr>
        <w:rPr>
          <w:rFonts w:ascii="Arial" w:cs="Arial" w:eastAsia="Arial" w:hAnsi="Arial"/>
          <w:sz w:val="18"/>
          <w:szCs w:val="18"/>
          <w:b w:val="1"/>
          <w:bCs w:val="1"/>
          <w:color w:val="auto"/>
        </w:rPr>
      </w:pPr>
      <w:r>
        <w:rPr>
          <w:rFonts w:ascii="Arial" w:cs="Arial" w:eastAsia="Arial" w:hAnsi="Arial"/>
          <w:sz w:val="18"/>
          <w:szCs w:val="18"/>
          <w:b w:val="1"/>
          <w:bCs w:val="1"/>
          <w:color w:val="auto"/>
        </w:rPr>
        <w:t>Segment Information</w:t>
      </w:r>
    </w:p>
    <w:p>
      <w:pPr>
        <w:spacing w:after="0" w:line="121" w:lineRule="exact"/>
        <w:rPr>
          <w:sz w:val="20"/>
          <w:szCs w:val="20"/>
          <w:color w:val="auto"/>
        </w:rPr>
      </w:pPr>
    </w:p>
    <w:p>
      <w:pPr>
        <w:ind w:right="20" w:firstLine="518"/>
        <w:spacing w:after="0" w:line="272" w:lineRule="auto"/>
        <w:rPr>
          <w:sz w:val="20"/>
          <w:szCs w:val="20"/>
          <w:color w:val="auto"/>
        </w:rPr>
      </w:pPr>
      <w:r>
        <w:rPr>
          <w:rFonts w:ascii="Arial" w:cs="Arial" w:eastAsia="Arial" w:hAnsi="Arial"/>
          <w:sz w:val="17"/>
          <w:szCs w:val="17"/>
          <w:color w:val="auto"/>
        </w:rPr>
        <w:t xml:space="preserve">Our operations consist of six homebuilding companies that acquire and develop land and construct and sell single-family homes. In accordance with ASC Topic 280, </w:t>
      </w:r>
      <w:r>
        <w:rPr>
          <w:rFonts w:ascii="Arial" w:cs="Arial" w:eastAsia="Arial" w:hAnsi="Arial"/>
          <w:sz w:val="17"/>
          <w:szCs w:val="17"/>
          <w:i w:val="1"/>
          <w:iCs w:val="1"/>
          <w:color w:val="auto"/>
        </w:rPr>
        <w:t>Segment Reporting</w:t>
      </w:r>
      <w:r>
        <w:rPr>
          <w:rFonts w:ascii="Arial" w:cs="Arial" w:eastAsia="Arial" w:hAnsi="Arial"/>
          <w:sz w:val="17"/>
          <w:szCs w:val="17"/>
          <w:color w:val="auto"/>
        </w:rPr>
        <w:t>, in determining the most appropriate reportable segments, we considered similar economic and other characteristics, including product types, average selling prices, gross profits, production processes, suppliers, subcontractors, regulatory environments, land acquisition results, and underlying demand and supply. Based on our aggregation analysis, we have not exercised any aggregation of our operating segments, which are represented by the following six reportable segments: Maracay, consisting of operations in Arizona; Pardee, consisting of operations in California and Nevada; Quadrant, consisting of operations in Washington; Trendmaker, consisting of operations in Texas; TRI Pointe, consisting of operations in California and Colorado; and Winchester, consisting of operations in Maryland and Virginia.</w:t>
      </w:r>
    </w:p>
    <w:p>
      <w:pPr>
        <w:spacing w:after="0" w:line="178" w:lineRule="exact"/>
        <w:rPr>
          <w:sz w:val="20"/>
          <w:szCs w:val="20"/>
          <w:color w:val="auto"/>
        </w:rPr>
      </w:pPr>
    </w:p>
    <w:p>
      <w:pPr>
        <w:ind w:right="240" w:firstLine="518"/>
        <w:spacing w:after="0" w:line="257" w:lineRule="auto"/>
        <w:rPr>
          <w:sz w:val="20"/>
          <w:szCs w:val="20"/>
          <w:color w:val="auto"/>
        </w:rPr>
      </w:pPr>
      <w:r>
        <w:rPr>
          <w:rFonts w:ascii="Arial" w:cs="Arial" w:eastAsia="Arial" w:hAnsi="Arial"/>
          <w:sz w:val="18"/>
          <w:szCs w:val="18"/>
          <w:color w:val="auto"/>
        </w:rPr>
        <w:t>Corporate is a non-operating segment that develops and implements company-wide strategic initiatives and provides support to our homebuilding reporting segments by centralizing certain administrative functions, such as marketing, legal, accounting, treasury, insurance and risk management, information technology and human resources, to benefit from economies of scale. Our Corporate non-operating segment also includes general and administrative expenses related to operating our corporate headquarters. A portion of the expenses incurred by Corporate is allocated to the homebuilding reporting segments.</w:t>
      </w:r>
    </w:p>
    <w:p>
      <w:pPr>
        <w:spacing w:after="0" w:line="188" w:lineRule="exact"/>
        <w:rPr>
          <w:sz w:val="20"/>
          <w:szCs w:val="20"/>
          <w:color w:val="auto"/>
        </w:rPr>
      </w:pPr>
    </w:p>
    <w:p>
      <w:pPr>
        <w:ind w:firstLine="518"/>
        <w:spacing w:after="0" w:line="264" w:lineRule="auto"/>
        <w:rPr>
          <w:sz w:val="20"/>
          <w:szCs w:val="20"/>
          <w:color w:val="auto"/>
        </w:rPr>
      </w:pPr>
      <w:r>
        <w:rPr>
          <w:rFonts w:ascii="Arial" w:cs="Arial" w:eastAsia="Arial" w:hAnsi="Arial"/>
          <w:sz w:val="18"/>
          <w:szCs w:val="18"/>
          <w:color w:val="auto"/>
        </w:rPr>
        <w:t>The reportable segments follow the same accounting policies as our consolidated financial statements described in Note 1. Operational results of each reportable segment are not necessarily indicative of the results that would have been achieved had the reportable segment been an independent, stand-alone entity during the periods presented.</w:t>
      </w:r>
    </w:p>
    <w:p>
      <w:pPr>
        <w:spacing w:after="0" w:line="200" w:lineRule="exact"/>
        <w:rPr>
          <w:sz w:val="20"/>
          <w:szCs w:val="20"/>
          <w:color w:val="auto"/>
        </w:rPr>
      </w:pPr>
    </w:p>
    <w:p>
      <w:pPr>
        <w:spacing w:after="0" w:line="224" w:lineRule="exact"/>
        <w:rPr>
          <w:sz w:val="20"/>
          <w:szCs w:val="20"/>
          <w:color w:val="auto"/>
        </w:rPr>
      </w:pPr>
    </w:p>
    <w:p>
      <w:pPr>
        <w:jc w:val="center"/>
        <w:ind w:right="-119"/>
        <w:spacing w:after="0"/>
        <w:rPr>
          <w:sz w:val="20"/>
          <w:szCs w:val="20"/>
          <w:color w:val="auto"/>
        </w:rPr>
      </w:pPr>
      <w:r>
        <w:rPr>
          <w:rFonts w:ascii="Arial" w:cs="Arial" w:eastAsia="Arial" w:hAnsi="Arial"/>
          <w:sz w:val="18"/>
          <w:szCs w:val="18"/>
          <w:color w:val="auto"/>
        </w:rPr>
        <w:t>- 11 -</w:t>
      </w:r>
    </w:p>
    <w:p>
      <w:pPr>
        <w:sectPr>
          <w:pgSz w:w="11900" w:h="16838" w:orient="portrait"/>
          <w:cols w:equalWidth="0" w:num="1">
            <w:col w:w="11320"/>
          </w:cols>
          <w:pgMar w:left="240" w:top="355" w:right="339" w:bottom="1440" w:gutter="0" w:footer="0" w:header="0"/>
        </w:sectPr>
      </w:pPr>
    </w:p>
    <w:bookmarkStart w:id="11" w:name="page12"/>
    <w:bookmarkEnd w:id="11"/>
    <w:p>
      <w:pPr>
        <w:spacing w:after="0"/>
        <w:rPr>
          <w:sz w:val="20"/>
          <w:szCs w:val="20"/>
          <w:color w:val="auto"/>
        </w:rPr>
      </w:pPr>
      <w:r>
        <w:rPr>
          <w:rFonts w:ascii="Arial" w:cs="Arial" w:eastAsia="Arial" w:hAnsi="Arial"/>
          <w:sz w:val="18"/>
          <w:szCs w:val="18"/>
          <w:color w:val="auto"/>
        </w:rPr>
        <w:t>Total revenues and income before taxes for each of our reportable segments were as follows (in thousands):</w:t>
      </w:r>
    </w:p>
    <w:p>
      <w:pPr>
        <w:spacing w:after="0" w:line="230" w:lineRule="exact"/>
        <w:rPr>
          <w:sz w:val="20"/>
          <w:szCs w:val="20"/>
          <w:color w:val="auto"/>
        </w:rPr>
      </w:pPr>
    </w:p>
    <w:tbl>
      <w:tblPr>
        <w:tblLayout w:type="fixed"/>
        <w:tblInd w:w="1200" w:type="dxa"/>
        <w:tblCellMar>
          <w:top w:w="0" w:type="dxa"/>
          <w:left w:w="0" w:type="dxa"/>
          <w:bottom w:w="0" w:type="dxa"/>
          <w:right w:w="0" w:type="dxa"/>
        </w:tblCellMar>
      </w:tblPr>
      <w:tr>
        <w:trPr>
          <w:trHeight w:val="171"/>
        </w:trPr>
        <w:tc>
          <w:tcPr>
            <w:tcW w:w="20" w:type="dxa"/>
            <w:vAlign w:val="bottom"/>
          </w:tcPr>
          <w:p>
            <w:pPr>
              <w:spacing w:after="0"/>
              <w:rPr>
                <w:sz w:val="14"/>
                <w:szCs w:val="14"/>
                <w:color w:val="auto"/>
              </w:rPr>
            </w:pPr>
          </w:p>
        </w:tc>
        <w:tc>
          <w:tcPr>
            <w:tcW w:w="55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2280" w:type="dxa"/>
            <w:vAlign w:val="bottom"/>
            <w:gridSpan w:val="5"/>
          </w:tcPr>
          <w:p>
            <w:pPr>
              <w:jc w:val="right"/>
              <w:ind w:right="280"/>
              <w:spacing w:after="0"/>
              <w:rPr>
                <w:sz w:val="20"/>
                <w:szCs w:val="20"/>
                <w:color w:val="auto"/>
              </w:rPr>
            </w:pPr>
            <w:r>
              <w:rPr>
                <w:rFonts w:ascii="Arial" w:cs="Arial" w:eastAsia="Arial" w:hAnsi="Arial"/>
                <w:sz w:val="14"/>
                <w:szCs w:val="14"/>
                <w:b w:val="1"/>
                <w:bCs w:val="1"/>
                <w:color w:val="auto"/>
                <w:w w:val="95"/>
              </w:rPr>
              <w:t>Three Months Ended March 31,</w:t>
            </w:r>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5540" w:type="dxa"/>
            <w:vAlign w:val="bottom"/>
            <w:tcBorders>
              <w:bottom w:val="single" w:sz="8" w:color="CFF0FC"/>
            </w:tcBorders>
          </w:tcPr>
          <w:p>
            <w:pPr>
              <w:spacing w:after="0"/>
              <w:rPr>
                <w:sz w:val="13"/>
                <w:szCs w:val="13"/>
                <w:color w:val="auto"/>
              </w:rPr>
            </w:pPr>
          </w:p>
        </w:tc>
        <w:tc>
          <w:tcPr>
            <w:tcW w:w="140" w:type="dxa"/>
            <w:vAlign w:val="bottom"/>
            <w:tcBorders>
              <w:top w:val="single" w:sz="8" w:color="auto"/>
              <w:bottom w:val="single" w:sz="8" w:color="auto"/>
            </w:tcBorders>
          </w:tcPr>
          <w:p>
            <w:pPr>
              <w:spacing w:after="0"/>
              <w:rPr>
                <w:sz w:val="13"/>
                <w:szCs w:val="13"/>
                <w:color w:val="auto"/>
              </w:rPr>
            </w:pPr>
          </w:p>
        </w:tc>
        <w:tc>
          <w:tcPr>
            <w:tcW w:w="940" w:type="dxa"/>
            <w:vAlign w:val="bottom"/>
            <w:tcBorders>
              <w:top w:val="single" w:sz="8" w:color="auto"/>
              <w:bottom w:val="single" w:sz="8" w:color="auto"/>
            </w:tcBorders>
          </w:tcPr>
          <w:p>
            <w:pPr>
              <w:jc w:val="right"/>
              <w:ind w:right="312"/>
              <w:spacing w:after="0" w:line="155" w:lineRule="exact"/>
              <w:rPr>
                <w:sz w:val="20"/>
                <w:szCs w:val="20"/>
                <w:color w:val="auto"/>
              </w:rPr>
            </w:pPr>
            <w:r>
              <w:rPr>
                <w:rFonts w:ascii="Arial" w:cs="Arial" w:eastAsia="Arial" w:hAnsi="Arial"/>
                <w:sz w:val="14"/>
                <w:szCs w:val="14"/>
                <w:b w:val="1"/>
                <w:bCs w:val="1"/>
                <w:color w:val="auto"/>
              </w:rPr>
              <w:t>2015</w:t>
            </w:r>
          </w:p>
        </w:tc>
        <w:tc>
          <w:tcPr>
            <w:tcW w:w="160" w:type="dxa"/>
            <w:vAlign w:val="bottom"/>
            <w:tcBorders>
              <w:top w:val="single" w:sz="8" w:color="auto"/>
              <w:bottom w:val="single" w:sz="8" w:color="CFF0FC"/>
            </w:tcBorders>
          </w:tcPr>
          <w:p>
            <w:pPr>
              <w:spacing w:after="0"/>
              <w:rPr>
                <w:sz w:val="13"/>
                <w:szCs w:val="13"/>
                <w:color w:val="auto"/>
              </w:rPr>
            </w:pPr>
          </w:p>
        </w:tc>
        <w:tc>
          <w:tcPr>
            <w:tcW w:w="240" w:type="dxa"/>
            <w:vAlign w:val="bottom"/>
            <w:tcBorders>
              <w:top w:val="single" w:sz="8" w:color="auto"/>
              <w:bottom w:val="single" w:sz="8" w:color="auto"/>
            </w:tcBorders>
          </w:tcPr>
          <w:p>
            <w:pPr>
              <w:spacing w:after="0"/>
              <w:rPr>
                <w:sz w:val="13"/>
                <w:szCs w:val="13"/>
                <w:color w:val="auto"/>
              </w:rPr>
            </w:pPr>
          </w:p>
        </w:tc>
        <w:tc>
          <w:tcPr>
            <w:tcW w:w="860" w:type="dxa"/>
            <w:vAlign w:val="bottom"/>
            <w:tcBorders>
              <w:top w:val="single" w:sz="8" w:color="auto"/>
              <w:bottom w:val="single" w:sz="8" w:color="auto"/>
            </w:tcBorders>
          </w:tcPr>
          <w:p>
            <w:pPr>
              <w:jc w:val="right"/>
              <w:ind w:right="331"/>
              <w:spacing w:after="0" w:line="155" w:lineRule="exact"/>
              <w:rPr>
                <w:sz w:val="20"/>
                <w:szCs w:val="20"/>
                <w:color w:val="auto"/>
              </w:rPr>
            </w:pPr>
            <w:r>
              <w:rPr>
                <w:rFonts w:ascii="Arial" w:cs="Arial" w:eastAsia="Arial" w:hAnsi="Arial"/>
                <w:sz w:val="14"/>
                <w:szCs w:val="14"/>
                <w:b w:val="1"/>
                <w:bCs w:val="1"/>
                <w:color w:val="auto"/>
              </w:rPr>
              <w:t>2014</w:t>
            </w:r>
          </w:p>
        </w:tc>
        <w:tc>
          <w:tcPr>
            <w:tcW w:w="80" w:type="dxa"/>
            <w:vAlign w:val="bottom"/>
            <w:tcBorders>
              <w:bottom w:val="single" w:sz="8" w:color="CFF0FC"/>
            </w:tcBorders>
          </w:tcPr>
          <w:p>
            <w:pPr>
              <w:spacing w:after="0"/>
              <w:rPr>
                <w:sz w:val="13"/>
                <w:szCs w:val="13"/>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5540" w:type="dxa"/>
            <w:vAlign w:val="bottom"/>
            <w:shd w:val="clear" w:color="auto" w:fill="CFF0FC"/>
          </w:tcPr>
          <w:p>
            <w:pPr>
              <w:spacing w:after="0"/>
              <w:rPr>
                <w:sz w:val="20"/>
                <w:szCs w:val="20"/>
                <w:color w:val="auto"/>
              </w:rPr>
            </w:pPr>
            <w:r>
              <w:rPr>
                <w:rFonts w:ascii="Arial" w:cs="Arial" w:eastAsia="Arial" w:hAnsi="Arial"/>
                <w:sz w:val="18"/>
                <w:szCs w:val="18"/>
                <w:color w:val="auto"/>
              </w:rPr>
              <w:t>Total revenues</w:t>
            </w:r>
          </w:p>
        </w:tc>
        <w:tc>
          <w:tcPr>
            <w:tcW w:w="140" w:type="dxa"/>
            <w:vAlign w:val="bottom"/>
            <w:shd w:val="clear" w:color="auto" w:fill="CFF0FC"/>
          </w:tcPr>
          <w:p>
            <w:pPr>
              <w:spacing w:after="0"/>
              <w:rPr>
                <w:sz w:val="19"/>
                <w:szCs w:val="19"/>
                <w:color w:val="auto"/>
              </w:rPr>
            </w:pPr>
          </w:p>
        </w:tc>
        <w:tc>
          <w:tcPr>
            <w:tcW w:w="94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86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5540" w:type="dxa"/>
            <w:vAlign w:val="bottom"/>
          </w:tcPr>
          <w:p>
            <w:pPr>
              <w:ind w:left="220"/>
              <w:spacing w:after="0"/>
              <w:rPr>
                <w:sz w:val="20"/>
                <w:szCs w:val="20"/>
                <w:color w:val="auto"/>
              </w:rPr>
            </w:pPr>
            <w:r>
              <w:rPr>
                <w:rFonts w:ascii="Arial" w:cs="Arial" w:eastAsia="Arial" w:hAnsi="Arial"/>
                <w:sz w:val="18"/>
                <w:szCs w:val="18"/>
                <w:color w:val="auto"/>
              </w:rPr>
              <w:t>Maracay</w:t>
            </w:r>
          </w:p>
        </w:tc>
        <w:tc>
          <w:tcPr>
            <w:tcW w:w="14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940" w:type="dxa"/>
            <w:vAlign w:val="bottom"/>
          </w:tcPr>
          <w:p>
            <w:pPr>
              <w:jc w:val="right"/>
              <w:spacing w:after="0"/>
              <w:rPr>
                <w:sz w:val="20"/>
                <w:szCs w:val="20"/>
                <w:color w:val="auto"/>
              </w:rPr>
            </w:pPr>
            <w:r>
              <w:rPr>
                <w:rFonts w:ascii="Arial" w:cs="Arial" w:eastAsia="Arial" w:hAnsi="Arial"/>
                <w:sz w:val="18"/>
                <w:szCs w:val="18"/>
                <w:color w:val="auto"/>
              </w:rPr>
              <w:t>32,477</w:t>
            </w:r>
          </w:p>
        </w:tc>
        <w:tc>
          <w:tcPr>
            <w:tcW w:w="160" w:type="dxa"/>
            <w:vAlign w:val="bottom"/>
          </w:tcPr>
          <w:p>
            <w:pPr>
              <w:spacing w:after="0"/>
              <w:rPr>
                <w:sz w:val="19"/>
                <w:szCs w:val="19"/>
                <w:color w:val="auto"/>
              </w:rPr>
            </w:pPr>
          </w:p>
        </w:tc>
        <w:tc>
          <w:tcPr>
            <w:tcW w:w="240" w:type="dxa"/>
            <w:vAlign w:val="bottom"/>
          </w:tcPr>
          <w:p>
            <w:pPr>
              <w:jc w:val="right"/>
              <w:ind w:right="85"/>
              <w:spacing w:after="0"/>
              <w:rPr>
                <w:sz w:val="20"/>
                <w:szCs w:val="20"/>
                <w:color w:val="auto"/>
              </w:rPr>
            </w:pPr>
            <w:r>
              <w:rPr>
                <w:rFonts w:ascii="Arial" w:cs="Arial" w:eastAsia="Arial" w:hAnsi="Arial"/>
                <w:sz w:val="15"/>
                <w:szCs w:val="15"/>
                <w:color w:val="auto"/>
                <w:w w:val="71"/>
              </w:rPr>
              <w:t>$</w:t>
            </w:r>
          </w:p>
        </w:tc>
        <w:tc>
          <w:tcPr>
            <w:tcW w:w="860" w:type="dxa"/>
            <w:vAlign w:val="bottom"/>
          </w:tcPr>
          <w:p>
            <w:pPr>
              <w:jc w:val="right"/>
              <w:spacing w:after="0"/>
              <w:rPr>
                <w:sz w:val="20"/>
                <w:szCs w:val="20"/>
                <w:color w:val="auto"/>
              </w:rPr>
            </w:pPr>
            <w:r>
              <w:rPr>
                <w:rFonts w:ascii="Arial" w:cs="Arial" w:eastAsia="Arial" w:hAnsi="Arial"/>
                <w:sz w:val="18"/>
                <w:szCs w:val="18"/>
                <w:color w:val="auto"/>
              </w:rPr>
              <w:t>35,230</w:t>
            </w:r>
          </w:p>
        </w:tc>
        <w:tc>
          <w:tcPr>
            <w:tcW w:w="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5540" w:type="dxa"/>
            <w:vAlign w:val="bottom"/>
            <w:shd w:val="clear" w:color="auto" w:fill="CFF0FC"/>
          </w:tcPr>
          <w:p>
            <w:pPr>
              <w:ind w:left="220"/>
              <w:spacing w:after="0"/>
              <w:rPr>
                <w:sz w:val="20"/>
                <w:szCs w:val="20"/>
                <w:color w:val="auto"/>
              </w:rPr>
            </w:pPr>
            <w:r>
              <w:rPr>
                <w:rFonts w:ascii="Arial" w:cs="Arial" w:eastAsia="Arial" w:hAnsi="Arial"/>
                <w:sz w:val="18"/>
                <w:szCs w:val="18"/>
                <w:color w:val="auto"/>
              </w:rPr>
              <w:t>Pardee</w:t>
            </w:r>
          </w:p>
        </w:tc>
        <w:tc>
          <w:tcPr>
            <w:tcW w:w="140" w:type="dxa"/>
            <w:vAlign w:val="bottom"/>
            <w:shd w:val="clear" w:color="auto" w:fill="CFF0FC"/>
          </w:tcPr>
          <w:p>
            <w:pPr>
              <w:spacing w:after="0"/>
              <w:rPr>
                <w:sz w:val="19"/>
                <w:szCs w:val="19"/>
                <w:color w:val="auto"/>
              </w:rPr>
            </w:pPr>
          </w:p>
        </w:tc>
        <w:tc>
          <w:tcPr>
            <w:tcW w:w="9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85,658</w:t>
            </w:r>
          </w:p>
        </w:tc>
        <w:tc>
          <w:tcPr>
            <w:tcW w:w="16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8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72,462</w:t>
            </w:r>
          </w:p>
        </w:tc>
        <w:tc>
          <w:tcPr>
            <w:tcW w:w="8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5540" w:type="dxa"/>
            <w:vAlign w:val="bottom"/>
          </w:tcPr>
          <w:p>
            <w:pPr>
              <w:ind w:left="220"/>
              <w:spacing w:after="0"/>
              <w:rPr>
                <w:sz w:val="20"/>
                <w:szCs w:val="20"/>
                <w:color w:val="auto"/>
              </w:rPr>
            </w:pPr>
            <w:r>
              <w:rPr>
                <w:rFonts w:ascii="Arial" w:cs="Arial" w:eastAsia="Arial" w:hAnsi="Arial"/>
                <w:sz w:val="18"/>
                <w:szCs w:val="18"/>
                <w:color w:val="auto"/>
              </w:rPr>
              <w:t>Quadrant</w:t>
            </w:r>
          </w:p>
        </w:tc>
        <w:tc>
          <w:tcPr>
            <w:tcW w:w="140" w:type="dxa"/>
            <w:vAlign w:val="bottom"/>
          </w:tcPr>
          <w:p>
            <w:pPr>
              <w:spacing w:after="0"/>
              <w:rPr>
                <w:sz w:val="19"/>
                <w:szCs w:val="19"/>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45,629</w:t>
            </w:r>
          </w:p>
        </w:tc>
        <w:tc>
          <w:tcPr>
            <w:tcW w:w="16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32,254</w:t>
            </w:r>
          </w:p>
        </w:tc>
        <w:tc>
          <w:tcPr>
            <w:tcW w:w="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5540" w:type="dxa"/>
            <w:vAlign w:val="bottom"/>
            <w:shd w:val="clear" w:color="auto" w:fill="CFF0FC"/>
          </w:tcPr>
          <w:p>
            <w:pPr>
              <w:ind w:left="220"/>
              <w:spacing w:after="0"/>
              <w:rPr>
                <w:sz w:val="20"/>
                <w:szCs w:val="20"/>
                <w:color w:val="auto"/>
              </w:rPr>
            </w:pPr>
            <w:r>
              <w:rPr>
                <w:rFonts w:ascii="Arial" w:cs="Arial" w:eastAsia="Arial" w:hAnsi="Arial"/>
                <w:sz w:val="18"/>
                <w:szCs w:val="18"/>
                <w:color w:val="auto"/>
              </w:rPr>
              <w:t>Trendmaker</w:t>
            </w:r>
          </w:p>
        </w:tc>
        <w:tc>
          <w:tcPr>
            <w:tcW w:w="140" w:type="dxa"/>
            <w:vAlign w:val="bottom"/>
            <w:shd w:val="clear" w:color="auto" w:fill="CFF0FC"/>
          </w:tcPr>
          <w:p>
            <w:pPr>
              <w:spacing w:after="0"/>
              <w:rPr>
                <w:sz w:val="19"/>
                <w:szCs w:val="19"/>
                <w:color w:val="auto"/>
              </w:rPr>
            </w:pPr>
          </w:p>
        </w:tc>
        <w:tc>
          <w:tcPr>
            <w:tcW w:w="9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56,208</w:t>
            </w:r>
          </w:p>
        </w:tc>
        <w:tc>
          <w:tcPr>
            <w:tcW w:w="16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8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61,400</w:t>
            </w:r>
          </w:p>
        </w:tc>
        <w:tc>
          <w:tcPr>
            <w:tcW w:w="8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5540" w:type="dxa"/>
            <w:vAlign w:val="bottom"/>
          </w:tcPr>
          <w:p>
            <w:pPr>
              <w:ind w:left="220"/>
              <w:spacing w:after="0"/>
              <w:rPr>
                <w:sz w:val="20"/>
                <w:szCs w:val="20"/>
                <w:color w:val="auto"/>
              </w:rPr>
            </w:pPr>
            <w:r>
              <w:rPr>
                <w:rFonts w:ascii="Arial" w:cs="Arial" w:eastAsia="Arial" w:hAnsi="Arial"/>
                <w:sz w:val="18"/>
                <w:szCs w:val="18"/>
                <w:color w:val="auto"/>
              </w:rPr>
              <w:t>TRI Pointe</w:t>
            </w:r>
          </w:p>
        </w:tc>
        <w:tc>
          <w:tcPr>
            <w:tcW w:w="140" w:type="dxa"/>
            <w:vAlign w:val="bottom"/>
          </w:tcPr>
          <w:p>
            <w:pPr>
              <w:spacing w:after="0"/>
              <w:rPr>
                <w:sz w:val="19"/>
                <w:szCs w:val="19"/>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106,858</w:t>
            </w:r>
          </w:p>
        </w:tc>
        <w:tc>
          <w:tcPr>
            <w:tcW w:w="16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94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5540" w:type="dxa"/>
            <w:vAlign w:val="bottom"/>
            <w:shd w:val="clear" w:color="auto" w:fill="CFF0FC"/>
          </w:tcPr>
          <w:p>
            <w:pPr>
              <w:ind w:left="220"/>
              <w:spacing w:after="0"/>
              <w:rPr>
                <w:sz w:val="20"/>
                <w:szCs w:val="20"/>
                <w:color w:val="auto"/>
              </w:rPr>
            </w:pPr>
            <w:r>
              <w:rPr>
                <w:rFonts w:ascii="Arial" w:cs="Arial" w:eastAsia="Arial" w:hAnsi="Arial"/>
                <w:sz w:val="18"/>
                <w:szCs w:val="18"/>
                <w:color w:val="auto"/>
              </w:rPr>
              <w:t>Winchester</w:t>
            </w:r>
          </w:p>
        </w:tc>
        <w:tc>
          <w:tcPr>
            <w:tcW w:w="140" w:type="dxa"/>
            <w:vAlign w:val="bottom"/>
            <w:tcBorders>
              <w:bottom w:val="single" w:sz="8" w:color="auto"/>
            </w:tcBorders>
            <w:shd w:val="clear" w:color="auto" w:fill="CFF0FC"/>
          </w:tcPr>
          <w:p>
            <w:pPr>
              <w:spacing w:after="0"/>
              <w:rPr>
                <w:sz w:val="19"/>
                <w:szCs w:val="19"/>
                <w:color w:val="auto"/>
              </w:rPr>
            </w:pPr>
          </w:p>
        </w:tc>
        <w:tc>
          <w:tcPr>
            <w:tcW w:w="94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50,428</w:t>
            </w:r>
          </w:p>
        </w:tc>
        <w:tc>
          <w:tcPr>
            <w:tcW w:w="160" w:type="dxa"/>
            <w:vAlign w:val="bottom"/>
            <w:shd w:val="clear" w:color="auto" w:fill="CFF0FC"/>
          </w:tcPr>
          <w:p>
            <w:pPr>
              <w:spacing w:after="0"/>
              <w:rPr>
                <w:sz w:val="19"/>
                <w:szCs w:val="19"/>
                <w:color w:val="auto"/>
              </w:rPr>
            </w:pPr>
          </w:p>
        </w:tc>
        <w:tc>
          <w:tcPr>
            <w:tcW w:w="240" w:type="dxa"/>
            <w:vAlign w:val="bottom"/>
            <w:tcBorders>
              <w:bottom w:val="single" w:sz="8" w:color="auto"/>
            </w:tcBorders>
            <w:shd w:val="clear" w:color="auto" w:fill="CFF0FC"/>
          </w:tcPr>
          <w:p>
            <w:pPr>
              <w:spacing w:after="0"/>
              <w:rPr>
                <w:sz w:val="19"/>
                <w:szCs w:val="19"/>
                <w:color w:val="auto"/>
              </w:rPr>
            </w:pPr>
          </w:p>
        </w:tc>
        <w:tc>
          <w:tcPr>
            <w:tcW w:w="86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46,786</w:t>
            </w:r>
          </w:p>
        </w:tc>
        <w:tc>
          <w:tcPr>
            <w:tcW w:w="8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5560" w:type="dxa"/>
            <w:vAlign w:val="bottom"/>
            <w:gridSpan w:val="2"/>
          </w:tcPr>
          <w:p>
            <w:pPr>
              <w:spacing w:after="0"/>
              <w:rPr>
                <w:sz w:val="20"/>
                <w:szCs w:val="20"/>
                <w:color w:val="auto"/>
              </w:rPr>
            </w:pPr>
            <w:r>
              <w:rPr>
                <w:rFonts w:ascii="Arial" w:cs="Arial" w:eastAsia="Arial" w:hAnsi="Arial"/>
                <w:sz w:val="18"/>
                <w:szCs w:val="18"/>
                <w:color w:val="auto"/>
              </w:rPr>
              <w:t>Total</w:t>
            </w:r>
          </w:p>
        </w:tc>
        <w:tc>
          <w:tcPr>
            <w:tcW w:w="1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377,258</w:t>
            </w:r>
          </w:p>
        </w:tc>
        <w:tc>
          <w:tcPr>
            <w:tcW w:w="160" w:type="dxa"/>
            <w:vAlign w:val="bottom"/>
          </w:tcPr>
          <w:p>
            <w:pPr>
              <w:spacing w:after="0"/>
              <w:rPr>
                <w:sz w:val="19"/>
                <w:szCs w:val="19"/>
                <w:color w:val="auto"/>
              </w:rPr>
            </w:pPr>
          </w:p>
        </w:tc>
        <w:tc>
          <w:tcPr>
            <w:tcW w:w="240" w:type="dxa"/>
            <w:vAlign w:val="bottom"/>
            <w:tcBorders>
              <w:bottom w:val="single" w:sz="8" w:color="auto"/>
            </w:tcBorders>
          </w:tcPr>
          <w:p>
            <w:pPr>
              <w:jc w:val="right"/>
              <w:ind w:right="85"/>
              <w:spacing w:after="0"/>
              <w:rPr>
                <w:sz w:val="20"/>
                <w:szCs w:val="20"/>
                <w:color w:val="auto"/>
              </w:rPr>
            </w:pPr>
            <w:r>
              <w:rPr>
                <w:rFonts w:ascii="Arial" w:cs="Arial" w:eastAsia="Arial" w:hAnsi="Arial"/>
                <w:sz w:val="15"/>
                <w:szCs w:val="15"/>
                <w:color w:val="auto"/>
                <w:w w:val="71"/>
              </w:rPr>
              <w:t>$</w:t>
            </w:r>
          </w:p>
        </w:tc>
        <w:tc>
          <w:tcPr>
            <w:tcW w:w="8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248,132</w:t>
            </w:r>
          </w:p>
        </w:tc>
        <w:tc>
          <w:tcPr>
            <w:tcW w:w="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554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vMerge w:val="restart"/>
          </w:tcPr>
          <w:p>
            <w:pPr>
              <w:spacing w:after="0"/>
              <w:rPr>
                <w:sz w:val="18"/>
                <w:szCs w:val="18"/>
                <w:color w:val="auto"/>
              </w:rPr>
            </w:pPr>
          </w:p>
        </w:tc>
        <w:tc>
          <w:tcPr>
            <w:tcW w:w="55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20" w:type="dxa"/>
            <w:vAlign w:val="bottom"/>
            <w:vMerge w:val="continue"/>
          </w:tcPr>
          <w:p>
            <w:pPr>
              <w:spacing w:after="0"/>
              <w:rPr>
                <w:sz w:val="19"/>
                <w:szCs w:val="19"/>
                <w:color w:val="auto"/>
              </w:rPr>
            </w:pPr>
          </w:p>
        </w:tc>
        <w:tc>
          <w:tcPr>
            <w:tcW w:w="5540" w:type="dxa"/>
            <w:vAlign w:val="bottom"/>
            <w:shd w:val="clear" w:color="auto" w:fill="CFF0FC"/>
          </w:tcPr>
          <w:p>
            <w:pPr>
              <w:spacing w:after="0"/>
              <w:rPr>
                <w:sz w:val="20"/>
                <w:szCs w:val="20"/>
                <w:color w:val="auto"/>
              </w:rPr>
            </w:pPr>
            <w:r>
              <w:rPr>
                <w:rFonts w:ascii="Arial" w:cs="Arial" w:eastAsia="Arial" w:hAnsi="Arial"/>
                <w:sz w:val="18"/>
                <w:szCs w:val="18"/>
                <w:color w:val="auto"/>
              </w:rPr>
              <w:t>Income before taxes</w:t>
            </w:r>
          </w:p>
        </w:tc>
        <w:tc>
          <w:tcPr>
            <w:tcW w:w="140" w:type="dxa"/>
            <w:vAlign w:val="bottom"/>
            <w:shd w:val="clear" w:color="auto" w:fill="CFF0FC"/>
          </w:tcPr>
          <w:p>
            <w:pPr>
              <w:spacing w:after="0"/>
              <w:rPr>
                <w:sz w:val="19"/>
                <w:szCs w:val="19"/>
                <w:color w:val="auto"/>
              </w:rPr>
            </w:pPr>
          </w:p>
        </w:tc>
        <w:tc>
          <w:tcPr>
            <w:tcW w:w="94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86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5540" w:type="dxa"/>
            <w:vAlign w:val="bottom"/>
          </w:tcPr>
          <w:p>
            <w:pPr>
              <w:ind w:left="220"/>
              <w:spacing w:after="0"/>
              <w:rPr>
                <w:sz w:val="20"/>
                <w:szCs w:val="20"/>
                <w:color w:val="auto"/>
              </w:rPr>
            </w:pPr>
            <w:r>
              <w:rPr>
                <w:rFonts w:ascii="Arial" w:cs="Arial" w:eastAsia="Arial" w:hAnsi="Arial"/>
                <w:sz w:val="18"/>
                <w:szCs w:val="18"/>
                <w:color w:val="auto"/>
              </w:rPr>
              <w:t>Maracay</w:t>
            </w:r>
          </w:p>
        </w:tc>
        <w:tc>
          <w:tcPr>
            <w:tcW w:w="14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940" w:type="dxa"/>
            <w:vAlign w:val="bottom"/>
          </w:tcPr>
          <w:p>
            <w:pPr>
              <w:jc w:val="right"/>
              <w:spacing w:after="0"/>
              <w:rPr>
                <w:sz w:val="20"/>
                <w:szCs w:val="20"/>
                <w:color w:val="auto"/>
              </w:rPr>
            </w:pPr>
            <w:r>
              <w:rPr>
                <w:rFonts w:ascii="Arial" w:cs="Arial" w:eastAsia="Arial" w:hAnsi="Arial"/>
                <w:sz w:val="18"/>
                <w:szCs w:val="18"/>
                <w:color w:val="auto"/>
              </w:rPr>
              <w:t>1,040</w:t>
            </w:r>
          </w:p>
        </w:tc>
        <w:tc>
          <w:tcPr>
            <w:tcW w:w="160" w:type="dxa"/>
            <w:vAlign w:val="bottom"/>
          </w:tcPr>
          <w:p>
            <w:pPr>
              <w:spacing w:after="0"/>
              <w:rPr>
                <w:sz w:val="19"/>
                <w:szCs w:val="19"/>
                <w:color w:val="auto"/>
              </w:rPr>
            </w:pPr>
          </w:p>
        </w:tc>
        <w:tc>
          <w:tcPr>
            <w:tcW w:w="240" w:type="dxa"/>
            <w:vAlign w:val="bottom"/>
          </w:tcPr>
          <w:p>
            <w:pPr>
              <w:jc w:val="right"/>
              <w:ind w:right="85"/>
              <w:spacing w:after="0"/>
              <w:rPr>
                <w:sz w:val="20"/>
                <w:szCs w:val="20"/>
                <w:color w:val="auto"/>
              </w:rPr>
            </w:pPr>
            <w:r>
              <w:rPr>
                <w:rFonts w:ascii="Arial" w:cs="Arial" w:eastAsia="Arial" w:hAnsi="Arial"/>
                <w:sz w:val="15"/>
                <w:szCs w:val="15"/>
                <w:color w:val="auto"/>
                <w:w w:val="71"/>
              </w:rPr>
              <w:t>$</w:t>
            </w:r>
          </w:p>
        </w:tc>
        <w:tc>
          <w:tcPr>
            <w:tcW w:w="860" w:type="dxa"/>
            <w:vAlign w:val="bottom"/>
          </w:tcPr>
          <w:p>
            <w:pPr>
              <w:jc w:val="right"/>
              <w:spacing w:after="0"/>
              <w:rPr>
                <w:sz w:val="20"/>
                <w:szCs w:val="20"/>
                <w:color w:val="auto"/>
              </w:rPr>
            </w:pPr>
            <w:r>
              <w:rPr>
                <w:rFonts w:ascii="Arial" w:cs="Arial" w:eastAsia="Arial" w:hAnsi="Arial"/>
                <w:sz w:val="18"/>
                <w:szCs w:val="18"/>
                <w:color w:val="auto"/>
              </w:rPr>
              <w:t>3,623</w:t>
            </w:r>
          </w:p>
        </w:tc>
        <w:tc>
          <w:tcPr>
            <w:tcW w:w="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5540" w:type="dxa"/>
            <w:vAlign w:val="bottom"/>
            <w:shd w:val="clear" w:color="auto" w:fill="CFF0FC"/>
          </w:tcPr>
          <w:p>
            <w:pPr>
              <w:ind w:left="220"/>
              <w:spacing w:after="0"/>
              <w:rPr>
                <w:sz w:val="20"/>
                <w:szCs w:val="20"/>
                <w:color w:val="auto"/>
              </w:rPr>
            </w:pPr>
            <w:r>
              <w:rPr>
                <w:rFonts w:ascii="Arial" w:cs="Arial" w:eastAsia="Arial" w:hAnsi="Arial"/>
                <w:sz w:val="18"/>
                <w:szCs w:val="18"/>
                <w:color w:val="auto"/>
              </w:rPr>
              <w:t>Pardee</w:t>
            </w:r>
          </w:p>
        </w:tc>
        <w:tc>
          <w:tcPr>
            <w:tcW w:w="140" w:type="dxa"/>
            <w:vAlign w:val="bottom"/>
            <w:shd w:val="clear" w:color="auto" w:fill="CFF0FC"/>
          </w:tcPr>
          <w:p>
            <w:pPr>
              <w:spacing w:after="0"/>
              <w:rPr>
                <w:sz w:val="19"/>
                <w:szCs w:val="19"/>
                <w:color w:val="auto"/>
              </w:rPr>
            </w:pPr>
          </w:p>
        </w:tc>
        <w:tc>
          <w:tcPr>
            <w:tcW w:w="9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13,559</w:t>
            </w:r>
          </w:p>
        </w:tc>
        <w:tc>
          <w:tcPr>
            <w:tcW w:w="16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8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7,137</w:t>
            </w:r>
          </w:p>
        </w:tc>
        <w:tc>
          <w:tcPr>
            <w:tcW w:w="8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5540" w:type="dxa"/>
            <w:vAlign w:val="bottom"/>
          </w:tcPr>
          <w:p>
            <w:pPr>
              <w:ind w:left="220"/>
              <w:spacing w:after="0"/>
              <w:rPr>
                <w:sz w:val="20"/>
                <w:szCs w:val="20"/>
                <w:color w:val="auto"/>
              </w:rPr>
            </w:pPr>
            <w:r>
              <w:rPr>
                <w:rFonts w:ascii="Arial" w:cs="Arial" w:eastAsia="Arial" w:hAnsi="Arial"/>
                <w:sz w:val="18"/>
                <w:szCs w:val="18"/>
                <w:color w:val="auto"/>
              </w:rPr>
              <w:t>Quadrant</w:t>
            </w:r>
          </w:p>
        </w:tc>
        <w:tc>
          <w:tcPr>
            <w:tcW w:w="140" w:type="dxa"/>
            <w:vAlign w:val="bottom"/>
          </w:tcPr>
          <w:p>
            <w:pPr>
              <w:spacing w:after="0"/>
              <w:rPr>
                <w:sz w:val="19"/>
                <w:szCs w:val="19"/>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1,580</w:t>
            </w:r>
          </w:p>
        </w:tc>
        <w:tc>
          <w:tcPr>
            <w:tcW w:w="16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781</w:t>
            </w:r>
          </w:p>
        </w:tc>
        <w:tc>
          <w:tcPr>
            <w:tcW w:w="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5540" w:type="dxa"/>
            <w:vAlign w:val="bottom"/>
            <w:shd w:val="clear" w:color="auto" w:fill="CFF0FC"/>
          </w:tcPr>
          <w:p>
            <w:pPr>
              <w:ind w:left="220"/>
              <w:spacing w:after="0"/>
              <w:rPr>
                <w:sz w:val="20"/>
                <w:szCs w:val="20"/>
                <w:color w:val="auto"/>
              </w:rPr>
            </w:pPr>
            <w:r>
              <w:rPr>
                <w:rFonts w:ascii="Arial" w:cs="Arial" w:eastAsia="Arial" w:hAnsi="Arial"/>
                <w:sz w:val="18"/>
                <w:szCs w:val="18"/>
                <w:color w:val="auto"/>
              </w:rPr>
              <w:t>Trendmaker</w:t>
            </w:r>
          </w:p>
        </w:tc>
        <w:tc>
          <w:tcPr>
            <w:tcW w:w="140" w:type="dxa"/>
            <w:vAlign w:val="bottom"/>
            <w:shd w:val="clear" w:color="auto" w:fill="CFF0FC"/>
          </w:tcPr>
          <w:p>
            <w:pPr>
              <w:spacing w:after="0"/>
              <w:rPr>
                <w:sz w:val="19"/>
                <w:szCs w:val="19"/>
                <w:color w:val="auto"/>
              </w:rPr>
            </w:pPr>
          </w:p>
        </w:tc>
        <w:tc>
          <w:tcPr>
            <w:tcW w:w="9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4,360</w:t>
            </w:r>
          </w:p>
        </w:tc>
        <w:tc>
          <w:tcPr>
            <w:tcW w:w="16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8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6,377</w:t>
            </w:r>
          </w:p>
        </w:tc>
        <w:tc>
          <w:tcPr>
            <w:tcW w:w="8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5540" w:type="dxa"/>
            <w:vAlign w:val="bottom"/>
          </w:tcPr>
          <w:p>
            <w:pPr>
              <w:ind w:left="220"/>
              <w:spacing w:after="0"/>
              <w:rPr>
                <w:sz w:val="20"/>
                <w:szCs w:val="20"/>
                <w:color w:val="auto"/>
              </w:rPr>
            </w:pPr>
            <w:r>
              <w:rPr>
                <w:rFonts w:ascii="Arial" w:cs="Arial" w:eastAsia="Arial" w:hAnsi="Arial"/>
                <w:sz w:val="18"/>
                <w:szCs w:val="18"/>
                <w:color w:val="auto"/>
              </w:rPr>
              <w:t>TRI Pointe</w:t>
            </w:r>
          </w:p>
        </w:tc>
        <w:tc>
          <w:tcPr>
            <w:tcW w:w="140" w:type="dxa"/>
            <w:vAlign w:val="bottom"/>
          </w:tcPr>
          <w:p>
            <w:pPr>
              <w:spacing w:after="0"/>
              <w:rPr>
                <w:sz w:val="19"/>
                <w:szCs w:val="19"/>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11,132</w:t>
            </w:r>
          </w:p>
        </w:tc>
        <w:tc>
          <w:tcPr>
            <w:tcW w:w="16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94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5540" w:type="dxa"/>
            <w:vAlign w:val="bottom"/>
            <w:shd w:val="clear" w:color="auto" w:fill="CFF0FC"/>
          </w:tcPr>
          <w:p>
            <w:pPr>
              <w:ind w:left="220"/>
              <w:spacing w:after="0"/>
              <w:rPr>
                <w:sz w:val="20"/>
                <w:szCs w:val="20"/>
                <w:color w:val="auto"/>
              </w:rPr>
            </w:pPr>
            <w:r>
              <w:rPr>
                <w:rFonts w:ascii="Arial" w:cs="Arial" w:eastAsia="Arial" w:hAnsi="Arial"/>
                <w:sz w:val="18"/>
                <w:szCs w:val="18"/>
                <w:color w:val="auto"/>
              </w:rPr>
              <w:t>Winchester</w:t>
            </w:r>
          </w:p>
        </w:tc>
        <w:tc>
          <w:tcPr>
            <w:tcW w:w="140" w:type="dxa"/>
            <w:vAlign w:val="bottom"/>
            <w:shd w:val="clear" w:color="auto" w:fill="CFF0FC"/>
          </w:tcPr>
          <w:p>
            <w:pPr>
              <w:spacing w:after="0"/>
              <w:rPr>
                <w:sz w:val="19"/>
                <w:szCs w:val="19"/>
                <w:color w:val="auto"/>
              </w:rPr>
            </w:pPr>
          </w:p>
        </w:tc>
        <w:tc>
          <w:tcPr>
            <w:tcW w:w="9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381</w:t>
            </w:r>
          </w:p>
        </w:tc>
        <w:tc>
          <w:tcPr>
            <w:tcW w:w="16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8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4,169</w:t>
            </w:r>
          </w:p>
        </w:tc>
        <w:tc>
          <w:tcPr>
            <w:tcW w:w="8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5540" w:type="dxa"/>
            <w:vAlign w:val="bottom"/>
          </w:tcPr>
          <w:p>
            <w:pPr>
              <w:ind w:left="220"/>
              <w:spacing w:after="0"/>
              <w:rPr>
                <w:sz w:val="20"/>
                <w:szCs w:val="20"/>
                <w:color w:val="auto"/>
              </w:rPr>
            </w:pPr>
            <w:r>
              <w:rPr>
                <w:rFonts w:ascii="Arial" w:cs="Arial" w:eastAsia="Arial" w:hAnsi="Arial"/>
                <w:sz w:val="18"/>
                <w:szCs w:val="18"/>
                <w:color w:val="auto"/>
              </w:rPr>
              <w:t>Corporate</w:t>
            </w:r>
          </w:p>
        </w:tc>
        <w:tc>
          <w:tcPr>
            <w:tcW w:w="140" w:type="dxa"/>
            <w:vAlign w:val="bottom"/>
          </w:tcPr>
          <w:p>
            <w:pPr>
              <w:spacing w:after="0"/>
              <w:rPr>
                <w:sz w:val="19"/>
                <w:szCs w:val="19"/>
                <w:color w:val="auto"/>
              </w:rPr>
            </w:pPr>
          </w:p>
        </w:tc>
        <w:tc>
          <w:tcPr>
            <w:tcW w:w="1100" w:type="dxa"/>
            <w:vAlign w:val="bottom"/>
            <w:gridSpan w:val="2"/>
          </w:tcPr>
          <w:p>
            <w:pPr>
              <w:jc w:val="right"/>
              <w:ind w:right="100"/>
              <w:spacing w:after="0"/>
              <w:rPr>
                <w:sz w:val="20"/>
                <w:szCs w:val="20"/>
                <w:color w:val="auto"/>
              </w:rPr>
            </w:pPr>
            <w:r>
              <w:rPr>
                <w:rFonts w:ascii="Arial" w:cs="Arial" w:eastAsia="Arial" w:hAnsi="Arial"/>
                <w:sz w:val="18"/>
                <w:szCs w:val="18"/>
                <w:color w:val="auto"/>
              </w:rPr>
              <w:t>(8,928)</w:t>
            </w:r>
          </w:p>
        </w:tc>
        <w:tc>
          <w:tcPr>
            <w:tcW w:w="240" w:type="dxa"/>
            <w:vAlign w:val="bottom"/>
          </w:tcPr>
          <w:p>
            <w:pPr>
              <w:spacing w:after="0"/>
              <w:rPr>
                <w:sz w:val="19"/>
                <w:szCs w:val="19"/>
                <w:color w:val="auto"/>
              </w:rPr>
            </w:pPr>
          </w:p>
        </w:tc>
        <w:tc>
          <w:tcPr>
            <w:tcW w:w="940" w:type="dxa"/>
            <w:vAlign w:val="bottom"/>
            <w:gridSpan w:val="2"/>
          </w:tcPr>
          <w:p>
            <w:pPr>
              <w:jc w:val="right"/>
              <w:ind w:right="20"/>
              <w:spacing w:after="0"/>
              <w:rPr>
                <w:sz w:val="20"/>
                <w:szCs w:val="20"/>
                <w:color w:val="auto"/>
              </w:rPr>
            </w:pPr>
            <w:r>
              <w:rPr>
                <w:rFonts w:ascii="Arial" w:cs="Arial" w:eastAsia="Arial" w:hAnsi="Arial"/>
                <w:sz w:val="18"/>
                <w:szCs w:val="18"/>
                <w:color w:val="auto"/>
              </w:rPr>
              <w:t>(9,977)</w:t>
            </w: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5540" w:type="dxa"/>
            <w:vAlign w:val="bottom"/>
            <w:tcBorders>
              <w:top w:val="single" w:sz="8" w:color="CFF0FC"/>
              <w:bottom w:val="single" w:sz="8" w:color="CFF0FC"/>
            </w:tcBorders>
            <w:shd w:val="clear" w:color="auto" w:fill="CFF0FC"/>
          </w:tcPr>
          <w:p>
            <w:pPr>
              <w:spacing w:after="0"/>
              <w:rPr>
                <w:sz w:val="20"/>
                <w:szCs w:val="20"/>
                <w:color w:val="auto"/>
              </w:rPr>
            </w:pPr>
            <w:r>
              <w:rPr>
                <w:rFonts w:ascii="Arial" w:cs="Arial" w:eastAsia="Arial" w:hAnsi="Arial"/>
                <w:sz w:val="18"/>
                <w:szCs w:val="18"/>
                <w:color w:val="auto"/>
              </w:rPr>
              <w:t>Total</w:t>
            </w:r>
          </w:p>
        </w:tc>
        <w:tc>
          <w:tcPr>
            <w:tcW w:w="14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94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23,124</w:t>
            </w:r>
          </w:p>
        </w:tc>
        <w:tc>
          <w:tcPr>
            <w:tcW w:w="160" w:type="dxa"/>
            <w:vAlign w:val="bottom"/>
            <w:tcBorders>
              <w:top w:val="single" w:sz="8" w:color="CFF0FC"/>
              <w:bottom w:val="single" w:sz="8" w:color="CFF0FC"/>
            </w:tcBorders>
            <w:shd w:val="clear" w:color="auto" w:fill="CFF0FC"/>
          </w:tcPr>
          <w:p>
            <w:pPr>
              <w:spacing w:after="0"/>
              <w:rPr>
                <w:sz w:val="19"/>
                <w:szCs w:val="19"/>
                <w:color w:val="auto"/>
              </w:rPr>
            </w:pPr>
          </w:p>
        </w:tc>
        <w:tc>
          <w:tcPr>
            <w:tcW w:w="240" w:type="dxa"/>
            <w:vAlign w:val="bottom"/>
            <w:tcBorders>
              <w:top w:val="single" w:sz="8" w:color="auto"/>
              <w:bottom w:val="single" w:sz="8" w:color="auto"/>
            </w:tcBorders>
            <w:shd w:val="clear" w:color="auto" w:fill="CFF0FC"/>
          </w:tcPr>
          <w:p>
            <w:pPr>
              <w:jc w:val="right"/>
              <w:ind w:right="85"/>
              <w:spacing w:after="0"/>
              <w:rPr>
                <w:sz w:val="20"/>
                <w:szCs w:val="20"/>
                <w:color w:val="auto"/>
              </w:rPr>
            </w:pPr>
            <w:r>
              <w:rPr>
                <w:rFonts w:ascii="Arial" w:cs="Arial" w:eastAsia="Arial" w:hAnsi="Arial"/>
                <w:sz w:val="15"/>
                <w:szCs w:val="15"/>
                <w:color w:val="auto"/>
                <w:w w:val="71"/>
              </w:rPr>
              <w:t>$</w:t>
            </w:r>
          </w:p>
        </w:tc>
        <w:tc>
          <w:tcPr>
            <w:tcW w:w="86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12,110</w:t>
            </w:r>
          </w:p>
        </w:tc>
        <w:tc>
          <w:tcPr>
            <w:tcW w:w="80" w:type="dxa"/>
            <w:vAlign w:val="bottom"/>
            <w:tcBorders>
              <w:top w:val="single" w:sz="8" w:color="CFF0FC"/>
              <w:bottom w:val="single" w:sz="8" w:color="CFF0FC"/>
            </w:tcBorders>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554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2" w:lineRule="exact"/>
        <w:rPr>
          <w:sz w:val="20"/>
          <w:szCs w:val="20"/>
          <w:color w:val="auto"/>
        </w:rPr>
      </w:pPr>
    </w:p>
    <w:p>
      <w:pPr>
        <w:spacing w:after="0"/>
        <w:rPr>
          <w:sz w:val="20"/>
          <w:szCs w:val="20"/>
          <w:color w:val="auto"/>
        </w:rPr>
      </w:pPr>
      <w:r>
        <w:rPr>
          <w:rFonts w:ascii="Arial" w:cs="Arial" w:eastAsia="Arial" w:hAnsi="Arial"/>
          <w:sz w:val="16"/>
          <w:szCs w:val="16"/>
          <w:color w:val="auto"/>
        </w:rPr>
        <w:t>Total real estate inventories and total assets for each of our reportable segments, as of the date indicated, were as follows (in thousands):</w:t>
      </w:r>
    </w:p>
    <w:p>
      <w:pPr>
        <w:spacing w:after="0" w:line="280" w:lineRule="exact"/>
        <w:rPr>
          <w:sz w:val="20"/>
          <w:szCs w:val="20"/>
          <w:color w:val="auto"/>
        </w:rPr>
      </w:pPr>
    </w:p>
    <w:tbl>
      <w:tblPr>
        <w:tblLayout w:type="fixed"/>
        <w:tblInd w:w="1200" w:type="dxa"/>
        <w:tblCellMar>
          <w:top w:w="0" w:type="dxa"/>
          <w:left w:w="0" w:type="dxa"/>
          <w:bottom w:w="0" w:type="dxa"/>
          <w:right w:w="0" w:type="dxa"/>
        </w:tblCellMar>
      </w:tblPr>
      <w:tr>
        <w:trPr>
          <w:trHeight w:val="162"/>
        </w:trPr>
        <w:tc>
          <w:tcPr>
            <w:tcW w:w="20" w:type="dxa"/>
            <w:vAlign w:val="bottom"/>
          </w:tcPr>
          <w:p>
            <w:pPr>
              <w:spacing w:after="0"/>
              <w:rPr>
                <w:sz w:val="14"/>
                <w:szCs w:val="14"/>
                <w:color w:val="auto"/>
              </w:rPr>
            </w:pPr>
          </w:p>
        </w:tc>
        <w:tc>
          <w:tcPr>
            <w:tcW w:w="3580" w:type="dxa"/>
            <w:vAlign w:val="bottom"/>
          </w:tcPr>
          <w:p>
            <w:pPr>
              <w:spacing w:after="0"/>
              <w:rPr>
                <w:sz w:val="14"/>
                <w:szCs w:val="14"/>
                <w:color w:val="auto"/>
              </w:rPr>
            </w:pPr>
          </w:p>
        </w:tc>
        <w:tc>
          <w:tcPr>
            <w:tcW w:w="19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940" w:type="dxa"/>
            <w:vAlign w:val="bottom"/>
          </w:tcPr>
          <w:p>
            <w:pPr>
              <w:jc w:val="right"/>
              <w:ind w:right="152"/>
              <w:spacing w:after="0"/>
              <w:rPr>
                <w:sz w:val="20"/>
                <w:szCs w:val="20"/>
                <w:color w:val="auto"/>
              </w:rPr>
            </w:pPr>
            <w:r>
              <w:rPr>
                <w:rFonts w:ascii="Arial" w:cs="Arial" w:eastAsia="Arial" w:hAnsi="Arial"/>
                <w:sz w:val="14"/>
                <w:szCs w:val="14"/>
                <w:b w:val="1"/>
                <w:bCs w:val="1"/>
                <w:color w:val="auto"/>
              </w:rPr>
              <w:t>March 31,</w:t>
            </w:r>
          </w:p>
        </w:tc>
        <w:tc>
          <w:tcPr>
            <w:tcW w:w="1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60" w:type="dxa"/>
            <w:vAlign w:val="bottom"/>
            <w:gridSpan w:val="2"/>
          </w:tcPr>
          <w:p>
            <w:pPr>
              <w:ind w:left="20"/>
              <w:spacing w:after="0"/>
              <w:rPr>
                <w:sz w:val="20"/>
                <w:szCs w:val="20"/>
                <w:color w:val="auto"/>
              </w:rPr>
            </w:pPr>
            <w:r>
              <w:rPr>
                <w:rFonts w:ascii="Arial" w:cs="Arial" w:eastAsia="Arial" w:hAnsi="Arial"/>
                <w:sz w:val="14"/>
                <w:szCs w:val="14"/>
                <w:b w:val="1"/>
                <w:bCs w:val="1"/>
                <w:color w:val="auto"/>
              </w:rPr>
              <w:t>December 31,</w:t>
            </w: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3580" w:type="dxa"/>
            <w:vAlign w:val="bottom"/>
            <w:tcBorders>
              <w:bottom w:val="single" w:sz="8" w:color="CFF0FC"/>
            </w:tcBorders>
          </w:tcPr>
          <w:p>
            <w:pPr>
              <w:spacing w:after="0"/>
              <w:rPr>
                <w:sz w:val="14"/>
                <w:szCs w:val="14"/>
                <w:color w:val="auto"/>
              </w:rPr>
            </w:pPr>
          </w:p>
        </w:tc>
        <w:tc>
          <w:tcPr>
            <w:tcW w:w="1980" w:type="dxa"/>
            <w:vAlign w:val="bottom"/>
            <w:tcBorders>
              <w:bottom w:val="single" w:sz="8" w:color="CFF0FC"/>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940" w:type="dxa"/>
            <w:vAlign w:val="bottom"/>
            <w:tcBorders>
              <w:bottom w:val="single" w:sz="8" w:color="auto"/>
            </w:tcBorders>
          </w:tcPr>
          <w:p>
            <w:pPr>
              <w:jc w:val="right"/>
              <w:ind w:right="332"/>
              <w:spacing w:after="0"/>
              <w:rPr>
                <w:sz w:val="20"/>
                <w:szCs w:val="20"/>
                <w:color w:val="auto"/>
              </w:rPr>
            </w:pPr>
            <w:r>
              <w:rPr>
                <w:rFonts w:ascii="Arial" w:cs="Arial" w:eastAsia="Arial" w:hAnsi="Arial"/>
                <w:sz w:val="14"/>
                <w:szCs w:val="14"/>
                <w:b w:val="1"/>
                <w:bCs w:val="1"/>
                <w:color w:val="auto"/>
              </w:rPr>
              <w:t>2015</w:t>
            </w:r>
          </w:p>
        </w:tc>
        <w:tc>
          <w:tcPr>
            <w:tcW w:w="120" w:type="dxa"/>
            <w:vAlign w:val="bottom"/>
            <w:tcBorders>
              <w:bottom w:val="single" w:sz="8" w:color="CFF0FC"/>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980" w:type="dxa"/>
            <w:vAlign w:val="bottom"/>
            <w:tcBorders>
              <w:bottom w:val="single" w:sz="8" w:color="auto"/>
            </w:tcBorders>
          </w:tcPr>
          <w:p>
            <w:pPr>
              <w:jc w:val="right"/>
              <w:ind w:right="312"/>
              <w:spacing w:after="0"/>
              <w:rPr>
                <w:sz w:val="20"/>
                <w:szCs w:val="20"/>
                <w:color w:val="auto"/>
              </w:rPr>
            </w:pPr>
            <w:r>
              <w:rPr>
                <w:rFonts w:ascii="Arial" w:cs="Arial" w:eastAsia="Arial" w:hAnsi="Arial"/>
                <w:sz w:val="14"/>
                <w:szCs w:val="14"/>
                <w:b w:val="1"/>
                <w:bCs w:val="1"/>
                <w:color w:val="auto"/>
              </w:rPr>
              <w:t>2014</w:t>
            </w:r>
          </w:p>
        </w:tc>
        <w:tc>
          <w:tcPr>
            <w:tcW w:w="80" w:type="dxa"/>
            <w:vAlign w:val="bottom"/>
            <w:tcBorders>
              <w:bottom w:val="single" w:sz="8" w:color="CFF0FC"/>
            </w:tcBorders>
          </w:tcPr>
          <w:p>
            <w:pPr>
              <w:spacing w:after="0"/>
              <w:rPr>
                <w:sz w:val="14"/>
                <w:szCs w:val="14"/>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3580" w:type="dxa"/>
            <w:vAlign w:val="bottom"/>
            <w:shd w:val="clear" w:color="auto" w:fill="CFF0FC"/>
          </w:tcPr>
          <w:p>
            <w:pPr>
              <w:spacing w:after="0"/>
              <w:rPr>
                <w:sz w:val="20"/>
                <w:szCs w:val="20"/>
                <w:color w:val="auto"/>
              </w:rPr>
            </w:pPr>
            <w:r>
              <w:rPr>
                <w:rFonts w:ascii="Arial" w:cs="Arial" w:eastAsia="Arial" w:hAnsi="Arial"/>
                <w:sz w:val="18"/>
                <w:szCs w:val="18"/>
                <w:color w:val="auto"/>
              </w:rPr>
              <w:t>Real estate inventories</w:t>
            </w:r>
          </w:p>
        </w:tc>
        <w:tc>
          <w:tcPr>
            <w:tcW w:w="198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94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98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3580" w:type="dxa"/>
            <w:vAlign w:val="bottom"/>
          </w:tcPr>
          <w:p>
            <w:pPr>
              <w:ind w:left="220"/>
              <w:spacing w:after="0"/>
              <w:rPr>
                <w:sz w:val="20"/>
                <w:szCs w:val="20"/>
                <w:color w:val="auto"/>
              </w:rPr>
            </w:pPr>
            <w:r>
              <w:rPr>
                <w:rFonts w:ascii="Arial" w:cs="Arial" w:eastAsia="Arial" w:hAnsi="Arial"/>
                <w:sz w:val="18"/>
                <w:szCs w:val="18"/>
                <w:color w:val="auto"/>
              </w:rPr>
              <w:t>Maracay</w:t>
            </w:r>
          </w:p>
        </w:tc>
        <w:tc>
          <w:tcPr>
            <w:tcW w:w="214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940" w:type="dxa"/>
            <w:vAlign w:val="bottom"/>
          </w:tcPr>
          <w:p>
            <w:pPr>
              <w:jc w:val="right"/>
              <w:spacing w:after="0"/>
              <w:rPr>
                <w:sz w:val="20"/>
                <w:szCs w:val="20"/>
                <w:color w:val="auto"/>
              </w:rPr>
            </w:pPr>
            <w:r>
              <w:rPr>
                <w:rFonts w:ascii="Arial" w:cs="Arial" w:eastAsia="Arial" w:hAnsi="Arial"/>
                <w:sz w:val="18"/>
                <w:szCs w:val="18"/>
                <w:color w:val="auto"/>
              </w:rPr>
              <w:t>157,862</w:t>
            </w:r>
          </w:p>
        </w:tc>
        <w:tc>
          <w:tcPr>
            <w:tcW w:w="24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980" w:type="dxa"/>
            <w:vAlign w:val="bottom"/>
          </w:tcPr>
          <w:p>
            <w:pPr>
              <w:jc w:val="right"/>
              <w:spacing w:after="0"/>
              <w:rPr>
                <w:sz w:val="20"/>
                <w:szCs w:val="20"/>
                <w:color w:val="auto"/>
              </w:rPr>
            </w:pPr>
            <w:r>
              <w:rPr>
                <w:rFonts w:ascii="Arial" w:cs="Arial" w:eastAsia="Arial" w:hAnsi="Arial"/>
                <w:sz w:val="18"/>
                <w:szCs w:val="18"/>
                <w:color w:val="auto"/>
              </w:rPr>
              <w:t>153,577</w:t>
            </w:r>
          </w:p>
        </w:tc>
        <w:tc>
          <w:tcPr>
            <w:tcW w:w="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3580" w:type="dxa"/>
            <w:vAlign w:val="bottom"/>
            <w:shd w:val="clear" w:color="auto" w:fill="CFF0FC"/>
          </w:tcPr>
          <w:p>
            <w:pPr>
              <w:ind w:left="220"/>
              <w:spacing w:after="0"/>
              <w:rPr>
                <w:sz w:val="20"/>
                <w:szCs w:val="20"/>
                <w:color w:val="auto"/>
              </w:rPr>
            </w:pPr>
            <w:r>
              <w:rPr>
                <w:rFonts w:ascii="Arial" w:cs="Arial" w:eastAsia="Arial" w:hAnsi="Arial"/>
                <w:sz w:val="18"/>
                <w:szCs w:val="18"/>
                <w:color w:val="auto"/>
              </w:rPr>
              <w:t>Pardee</w:t>
            </w:r>
          </w:p>
        </w:tc>
        <w:tc>
          <w:tcPr>
            <w:tcW w:w="198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9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964,332</w:t>
            </w:r>
          </w:p>
        </w:tc>
        <w:tc>
          <w:tcPr>
            <w:tcW w:w="12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9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924,362</w:t>
            </w:r>
          </w:p>
        </w:tc>
        <w:tc>
          <w:tcPr>
            <w:tcW w:w="8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3580" w:type="dxa"/>
            <w:vAlign w:val="bottom"/>
          </w:tcPr>
          <w:p>
            <w:pPr>
              <w:ind w:left="220"/>
              <w:spacing w:after="0"/>
              <w:rPr>
                <w:sz w:val="20"/>
                <w:szCs w:val="20"/>
                <w:color w:val="auto"/>
              </w:rPr>
            </w:pPr>
            <w:r>
              <w:rPr>
                <w:rFonts w:ascii="Arial" w:cs="Arial" w:eastAsia="Arial" w:hAnsi="Arial"/>
                <w:sz w:val="18"/>
                <w:szCs w:val="18"/>
                <w:color w:val="auto"/>
              </w:rPr>
              <w:t>Quadrant</w:t>
            </w:r>
          </w:p>
        </w:tc>
        <w:tc>
          <w:tcPr>
            <w:tcW w:w="198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151,234</w:t>
            </w:r>
          </w:p>
        </w:tc>
        <w:tc>
          <w:tcPr>
            <w:tcW w:w="1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153,493</w:t>
            </w:r>
          </w:p>
        </w:tc>
        <w:tc>
          <w:tcPr>
            <w:tcW w:w="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3580" w:type="dxa"/>
            <w:vAlign w:val="bottom"/>
            <w:shd w:val="clear" w:color="auto" w:fill="CFF0FC"/>
          </w:tcPr>
          <w:p>
            <w:pPr>
              <w:ind w:left="220"/>
              <w:spacing w:after="0"/>
              <w:rPr>
                <w:sz w:val="20"/>
                <w:szCs w:val="20"/>
                <w:color w:val="auto"/>
              </w:rPr>
            </w:pPr>
            <w:r>
              <w:rPr>
                <w:rFonts w:ascii="Arial" w:cs="Arial" w:eastAsia="Arial" w:hAnsi="Arial"/>
                <w:sz w:val="18"/>
                <w:szCs w:val="18"/>
                <w:color w:val="auto"/>
              </w:rPr>
              <w:t>Trendmaker</w:t>
            </w:r>
          </w:p>
        </w:tc>
        <w:tc>
          <w:tcPr>
            <w:tcW w:w="198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9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183,157</w:t>
            </w:r>
          </w:p>
        </w:tc>
        <w:tc>
          <w:tcPr>
            <w:tcW w:w="12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9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176,696</w:t>
            </w:r>
          </w:p>
        </w:tc>
        <w:tc>
          <w:tcPr>
            <w:tcW w:w="8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3580" w:type="dxa"/>
            <w:vAlign w:val="bottom"/>
          </w:tcPr>
          <w:p>
            <w:pPr>
              <w:ind w:left="220"/>
              <w:spacing w:after="0"/>
              <w:rPr>
                <w:sz w:val="20"/>
                <w:szCs w:val="20"/>
                <w:color w:val="auto"/>
              </w:rPr>
            </w:pPr>
            <w:r>
              <w:rPr>
                <w:rFonts w:ascii="Arial" w:cs="Arial" w:eastAsia="Arial" w:hAnsi="Arial"/>
                <w:sz w:val="18"/>
                <w:szCs w:val="18"/>
                <w:color w:val="auto"/>
              </w:rPr>
              <w:t>TRI Pointe</w:t>
            </w:r>
          </w:p>
        </w:tc>
        <w:tc>
          <w:tcPr>
            <w:tcW w:w="198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677,010</w:t>
            </w:r>
          </w:p>
        </w:tc>
        <w:tc>
          <w:tcPr>
            <w:tcW w:w="1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613,666</w:t>
            </w:r>
          </w:p>
        </w:tc>
        <w:tc>
          <w:tcPr>
            <w:tcW w:w="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3580" w:type="dxa"/>
            <w:vAlign w:val="bottom"/>
            <w:shd w:val="clear" w:color="auto" w:fill="CFF0FC"/>
          </w:tcPr>
          <w:p>
            <w:pPr>
              <w:ind w:left="220"/>
              <w:spacing w:after="0"/>
              <w:rPr>
                <w:sz w:val="20"/>
                <w:szCs w:val="20"/>
                <w:color w:val="auto"/>
              </w:rPr>
            </w:pPr>
            <w:r>
              <w:rPr>
                <w:rFonts w:ascii="Arial" w:cs="Arial" w:eastAsia="Arial" w:hAnsi="Arial"/>
                <w:sz w:val="18"/>
                <w:szCs w:val="18"/>
                <w:color w:val="auto"/>
              </w:rPr>
              <w:t>Winchester</w:t>
            </w:r>
          </w:p>
        </w:tc>
        <w:tc>
          <w:tcPr>
            <w:tcW w:w="1980" w:type="dxa"/>
            <w:vAlign w:val="bottom"/>
            <w:shd w:val="clear" w:color="auto" w:fill="CFF0FC"/>
          </w:tcPr>
          <w:p>
            <w:pPr>
              <w:spacing w:after="0"/>
              <w:rPr>
                <w:sz w:val="19"/>
                <w:szCs w:val="19"/>
                <w:color w:val="auto"/>
              </w:rPr>
            </w:pPr>
          </w:p>
        </w:tc>
        <w:tc>
          <w:tcPr>
            <w:tcW w:w="160" w:type="dxa"/>
            <w:vAlign w:val="bottom"/>
            <w:tcBorders>
              <w:bottom w:val="single" w:sz="8" w:color="auto"/>
            </w:tcBorders>
            <w:shd w:val="clear" w:color="auto" w:fill="CFF0FC"/>
          </w:tcPr>
          <w:p>
            <w:pPr>
              <w:spacing w:after="0"/>
              <w:rPr>
                <w:sz w:val="19"/>
                <w:szCs w:val="19"/>
                <w:color w:val="auto"/>
              </w:rPr>
            </w:pPr>
          </w:p>
        </w:tc>
        <w:tc>
          <w:tcPr>
            <w:tcW w:w="94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275,711</w:t>
            </w:r>
          </w:p>
        </w:tc>
        <w:tc>
          <w:tcPr>
            <w:tcW w:w="120" w:type="dxa"/>
            <w:vAlign w:val="bottom"/>
            <w:shd w:val="clear" w:color="auto" w:fill="CFF0FC"/>
          </w:tcPr>
          <w:p>
            <w:pPr>
              <w:spacing w:after="0"/>
              <w:rPr>
                <w:sz w:val="19"/>
                <w:szCs w:val="19"/>
                <w:color w:val="auto"/>
              </w:rPr>
            </w:pPr>
          </w:p>
        </w:tc>
        <w:tc>
          <w:tcPr>
            <w:tcW w:w="120" w:type="dxa"/>
            <w:vAlign w:val="bottom"/>
            <w:tcBorders>
              <w:bottom w:val="single" w:sz="8" w:color="auto"/>
            </w:tcBorders>
            <w:shd w:val="clear" w:color="auto" w:fill="CFF0FC"/>
          </w:tcPr>
          <w:p>
            <w:pPr>
              <w:spacing w:after="0"/>
              <w:rPr>
                <w:sz w:val="19"/>
                <w:szCs w:val="19"/>
                <w:color w:val="auto"/>
              </w:rPr>
            </w:pPr>
          </w:p>
        </w:tc>
        <w:tc>
          <w:tcPr>
            <w:tcW w:w="98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258,389</w:t>
            </w:r>
          </w:p>
        </w:tc>
        <w:tc>
          <w:tcPr>
            <w:tcW w:w="8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3600" w:type="dxa"/>
            <w:vAlign w:val="bottom"/>
            <w:gridSpan w:val="2"/>
          </w:tcPr>
          <w:p>
            <w:pPr>
              <w:spacing w:after="0"/>
              <w:rPr>
                <w:sz w:val="20"/>
                <w:szCs w:val="20"/>
                <w:color w:val="auto"/>
              </w:rPr>
            </w:pPr>
            <w:r>
              <w:rPr>
                <w:rFonts w:ascii="Arial" w:cs="Arial" w:eastAsia="Arial" w:hAnsi="Arial"/>
                <w:sz w:val="18"/>
                <w:szCs w:val="18"/>
                <w:color w:val="auto"/>
              </w:rPr>
              <w:t>Total</w:t>
            </w:r>
          </w:p>
        </w:tc>
        <w:tc>
          <w:tcPr>
            <w:tcW w:w="1980" w:type="dxa"/>
            <w:vAlign w:val="bottom"/>
          </w:tcPr>
          <w:p>
            <w:pPr>
              <w:spacing w:after="0"/>
              <w:rPr>
                <w:sz w:val="19"/>
                <w:szCs w:val="19"/>
                <w:color w:val="auto"/>
              </w:rPr>
            </w:pPr>
          </w:p>
        </w:tc>
        <w:tc>
          <w:tcPr>
            <w:tcW w:w="1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2,409,306</w:t>
            </w:r>
          </w:p>
        </w:tc>
        <w:tc>
          <w:tcPr>
            <w:tcW w:w="120" w:type="dxa"/>
            <w:vAlign w:val="bottom"/>
          </w:tcPr>
          <w:p>
            <w:pPr>
              <w:spacing w:after="0"/>
              <w:rPr>
                <w:sz w:val="19"/>
                <w:szCs w:val="19"/>
                <w:color w:val="auto"/>
              </w:rPr>
            </w:pPr>
          </w:p>
        </w:tc>
        <w:tc>
          <w:tcPr>
            <w:tcW w:w="1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9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2,280,183</w:t>
            </w:r>
          </w:p>
        </w:tc>
        <w:tc>
          <w:tcPr>
            <w:tcW w:w="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3580" w:type="dxa"/>
            <w:vAlign w:val="bottom"/>
          </w:tcPr>
          <w:p>
            <w:pPr>
              <w:spacing w:after="0" w:line="20" w:lineRule="exact"/>
              <w:rPr>
                <w:sz w:val="1"/>
                <w:szCs w:val="1"/>
                <w:color w:val="auto"/>
              </w:rPr>
            </w:pPr>
          </w:p>
        </w:tc>
        <w:tc>
          <w:tcPr>
            <w:tcW w:w="198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vMerge w:val="restart"/>
          </w:tcPr>
          <w:p>
            <w:pPr>
              <w:spacing w:after="0"/>
              <w:rPr>
                <w:sz w:val="18"/>
                <w:szCs w:val="18"/>
                <w:color w:val="auto"/>
              </w:rPr>
            </w:pPr>
          </w:p>
        </w:tc>
        <w:tc>
          <w:tcPr>
            <w:tcW w:w="3580" w:type="dxa"/>
            <w:vAlign w:val="bottom"/>
          </w:tcPr>
          <w:p>
            <w:pPr>
              <w:spacing w:after="0"/>
              <w:rPr>
                <w:sz w:val="18"/>
                <w:szCs w:val="18"/>
                <w:color w:val="auto"/>
              </w:rPr>
            </w:pPr>
          </w:p>
        </w:tc>
        <w:tc>
          <w:tcPr>
            <w:tcW w:w="19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20" w:type="dxa"/>
            <w:vAlign w:val="bottom"/>
            <w:vMerge w:val="continue"/>
          </w:tcPr>
          <w:p>
            <w:pPr>
              <w:spacing w:after="0"/>
              <w:rPr>
                <w:sz w:val="19"/>
                <w:szCs w:val="19"/>
                <w:color w:val="auto"/>
              </w:rPr>
            </w:pPr>
          </w:p>
        </w:tc>
        <w:tc>
          <w:tcPr>
            <w:tcW w:w="3580" w:type="dxa"/>
            <w:vAlign w:val="bottom"/>
            <w:shd w:val="clear" w:color="auto" w:fill="CFF0FC"/>
          </w:tcPr>
          <w:p>
            <w:pPr>
              <w:spacing w:after="0"/>
              <w:rPr>
                <w:sz w:val="20"/>
                <w:szCs w:val="20"/>
                <w:color w:val="auto"/>
              </w:rPr>
            </w:pPr>
            <w:r>
              <w:rPr>
                <w:rFonts w:ascii="Arial" w:cs="Arial" w:eastAsia="Arial" w:hAnsi="Arial"/>
                <w:sz w:val="18"/>
                <w:szCs w:val="18"/>
                <w:color w:val="auto"/>
              </w:rPr>
              <w:t>Total assets</w:t>
            </w:r>
          </w:p>
        </w:tc>
        <w:tc>
          <w:tcPr>
            <w:tcW w:w="198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94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98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3580" w:type="dxa"/>
            <w:vAlign w:val="bottom"/>
          </w:tcPr>
          <w:p>
            <w:pPr>
              <w:ind w:left="220"/>
              <w:spacing w:after="0"/>
              <w:rPr>
                <w:sz w:val="20"/>
                <w:szCs w:val="20"/>
                <w:color w:val="auto"/>
              </w:rPr>
            </w:pPr>
            <w:r>
              <w:rPr>
                <w:rFonts w:ascii="Arial" w:cs="Arial" w:eastAsia="Arial" w:hAnsi="Arial"/>
                <w:sz w:val="18"/>
                <w:szCs w:val="18"/>
                <w:color w:val="auto"/>
              </w:rPr>
              <w:t>Maracay</w:t>
            </w:r>
          </w:p>
        </w:tc>
        <w:tc>
          <w:tcPr>
            <w:tcW w:w="214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940" w:type="dxa"/>
            <w:vAlign w:val="bottom"/>
          </w:tcPr>
          <w:p>
            <w:pPr>
              <w:jc w:val="right"/>
              <w:spacing w:after="0"/>
              <w:rPr>
                <w:sz w:val="20"/>
                <w:szCs w:val="20"/>
                <w:color w:val="auto"/>
              </w:rPr>
            </w:pPr>
            <w:r>
              <w:rPr>
                <w:rFonts w:ascii="Arial" w:cs="Arial" w:eastAsia="Arial" w:hAnsi="Arial"/>
                <w:sz w:val="18"/>
                <w:szCs w:val="18"/>
                <w:color w:val="auto"/>
              </w:rPr>
              <w:t>170,872</w:t>
            </w:r>
          </w:p>
        </w:tc>
        <w:tc>
          <w:tcPr>
            <w:tcW w:w="24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980" w:type="dxa"/>
            <w:vAlign w:val="bottom"/>
          </w:tcPr>
          <w:p>
            <w:pPr>
              <w:jc w:val="right"/>
              <w:spacing w:after="0"/>
              <w:rPr>
                <w:sz w:val="20"/>
                <w:szCs w:val="20"/>
                <w:color w:val="auto"/>
              </w:rPr>
            </w:pPr>
            <w:r>
              <w:rPr>
                <w:rFonts w:ascii="Arial" w:cs="Arial" w:eastAsia="Arial" w:hAnsi="Arial"/>
                <w:sz w:val="18"/>
                <w:szCs w:val="18"/>
                <w:color w:val="auto"/>
              </w:rPr>
              <w:t>170,932</w:t>
            </w:r>
          </w:p>
        </w:tc>
        <w:tc>
          <w:tcPr>
            <w:tcW w:w="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3580" w:type="dxa"/>
            <w:vAlign w:val="bottom"/>
            <w:shd w:val="clear" w:color="auto" w:fill="CFF0FC"/>
          </w:tcPr>
          <w:p>
            <w:pPr>
              <w:ind w:left="220"/>
              <w:spacing w:after="0"/>
              <w:rPr>
                <w:sz w:val="20"/>
                <w:szCs w:val="20"/>
                <w:color w:val="auto"/>
              </w:rPr>
            </w:pPr>
            <w:r>
              <w:rPr>
                <w:rFonts w:ascii="Arial" w:cs="Arial" w:eastAsia="Arial" w:hAnsi="Arial"/>
                <w:sz w:val="18"/>
                <w:szCs w:val="18"/>
                <w:color w:val="auto"/>
              </w:rPr>
              <w:t>Pardee</w:t>
            </w:r>
          </w:p>
        </w:tc>
        <w:tc>
          <w:tcPr>
            <w:tcW w:w="198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9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1,045,570</w:t>
            </w:r>
          </w:p>
        </w:tc>
        <w:tc>
          <w:tcPr>
            <w:tcW w:w="12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9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1,000,489</w:t>
            </w:r>
          </w:p>
        </w:tc>
        <w:tc>
          <w:tcPr>
            <w:tcW w:w="8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3580" w:type="dxa"/>
            <w:vAlign w:val="bottom"/>
          </w:tcPr>
          <w:p>
            <w:pPr>
              <w:ind w:left="220"/>
              <w:spacing w:after="0"/>
              <w:rPr>
                <w:sz w:val="20"/>
                <w:szCs w:val="20"/>
                <w:color w:val="auto"/>
              </w:rPr>
            </w:pPr>
            <w:r>
              <w:rPr>
                <w:rFonts w:ascii="Arial" w:cs="Arial" w:eastAsia="Arial" w:hAnsi="Arial"/>
                <w:sz w:val="18"/>
                <w:szCs w:val="18"/>
                <w:color w:val="auto"/>
              </w:rPr>
              <w:t>Quadrant</w:t>
            </w:r>
          </w:p>
        </w:tc>
        <w:tc>
          <w:tcPr>
            <w:tcW w:w="198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168,509</w:t>
            </w:r>
          </w:p>
        </w:tc>
        <w:tc>
          <w:tcPr>
            <w:tcW w:w="1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167,796</w:t>
            </w:r>
          </w:p>
        </w:tc>
        <w:tc>
          <w:tcPr>
            <w:tcW w:w="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3580" w:type="dxa"/>
            <w:vAlign w:val="bottom"/>
            <w:shd w:val="clear" w:color="auto" w:fill="CFF0FC"/>
          </w:tcPr>
          <w:p>
            <w:pPr>
              <w:ind w:left="220"/>
              <w:spacing w:after="0"/>
              <w:rPr>
                <w:sz w:val="20"/>
                <w:szCs w:val="20"/>
                <w:color w:val="auto"/>
              </w:rPr>
            </w:pPr>
            <w:r>
              <w:rPr>
                <w:rFonts w:ascii="Arial" w:cs="Arial" w:eastAsia="Arial" w:hAnsi="Arial"/>
                <w:sz w:val="18"/>
                <w:szCs w:val="18"/>
                <w:color w:val="auto"/>
              </w:rPr>
              <w:t>Trendmaker</w:t>
            </w:r>
          </w:p>
        </w:tc>
        <w:tc>
          <w:tcPr>
            <w:tcW w:w="198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9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211,780</w:t>
            </w:r>
          </w:p>
        </w:tc>
        <w:tc>
          <w:tcPr>
            <w:tcW w:w="12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9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195,829</w:t>
            </w:r>
          </w:p>
        </w:tc>
        <w:tc>
          <w:tcPr>
            <w:tcW w:w="8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3580" w:type="dxa"/>
            <w:vAlign w:val="bottom"/>
          </w:tcPr>
          <w:p>
            <w:pPr>
              <w:ind w:left="220"/>
              <w:spacing w:after="0"/>
              <w:rPr>
                <w:sz w:val="20"/>
                <w:szCs w:val="20"/>
                <w:color w:val="auto"/>
              </w:rPr>
            </w:pPr>
            <w:r>
              <w:rPr>
                <w:rFonts w:ascii="Arial" w:cs="Arial" w:eastAsia="Arial" w:hAnsi="Arial"/>
                <w:sz w:val="18"/>
                <w:szCs w:val="18"/>
                <w:color w:val="auto"/>
              </w:rPr>
              <w:t>TRI Pointe</w:t>
            </w:r>
          </w:p>
        </w:tc>
        <w:tc>
          <w:tcPr>
            <w:tcW w:w="198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817,180</w:t>
            </w:r>
          </w:p>
        </w:tc>
        <w:tc>
          <w:tcPr>
            <w:tcW w:w="1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764,001</w:t>
            </w:r>
          </w:p>
        </w:tc>
        <w:tc>
          <w:tcPr>
            <w:tcW w:w="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3580" w:type="dxa"/>
            <w:vAlign w:val="bottom"/>
            <w:shd w:val="clear" w:color="auto" w:fill="CFF0FC"/>
          </w:tcPr>
          <w:p>
            <w:pPr>
              <w:ind w:left="220"/>
              <w:spacing w:after="0"/>
              <w:rPr>
                <w:sz w:val="20"/>
                <w:szCs w:val="20"/>
                <w:color w:val="auto"/>
              </w:rPr>
            </w:pPr>
            <w:r>
              <w:rPr>
                <w:rFonts w:ascii="Arial" w:cs="Arial" w:eastAsia="Arial" w:hAnsi="Arial"/>
                <w:sz w:val="18"/>
                <w:szCs w:val="18"/>
                <w:color w:val="auto"/>
              </w:rPr>
              <w:t>Winchester</w:t>
            </w:r>
          </w:p>
        </w:tc>
        <w:tc>
          <w:tcPr>
            <w:tcW w:w="198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9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300,678</w:t>
            </w:r>
          </w:p>
        </w:tc>
        <w:tc>
          <w:tcPr>
            <w:tcW w:w="12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9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281,547</w:t>
            </w:r>
          </w:p>
        </w:tc>
        <w:tc>
          <w:tcPr>
            <w:tcW w:w="8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3580" w:type="dxa"/>
            <w:vAlign w:val="bottom"/>
            <w:tcBorders>
              <w:bottom w:val="single" w:sz="8" w:color="CFF0FC"/>
            </w:tcBorders>
          </w:tcPr>
          <w:p>
            <w:pPr>
              <w:ind w:left="220"/>
              <w:spacing w:after="0"/>
              <w:rPr>
                <w:sz w:val="20"/>
                <w:szCs w:val="20"/>
                <w:color w:val="auto"/>
              </w:rPr>
            </w:pPr>
            <w:r>
              <w:rPr>
                <w:rFonts w:ascii="Arial" w:cs="Arial" w:eastAsia="Arial" w:hAnsi="Arial"/>
                <w:sz w:val="18"/>
                <w:szCs w:val="18"/>
                <w:color w:val="auto"/>
              </w:rPr>
              <w:t>Corporate</w:t>
            </w:r>
          </w:p>
        </w:tc>
        <w:tc>
          <w:tcPr>
            <w:tcW w:w="1980" w:type="dxa"/>
            <w:vAlign w:val="bottom"/>
            <w:tcBorders>
              <w:bottom w:val="single" w:sz="8" w:color="CFF0FC"/>
            </w:tcBorders>
          </w:tcPr>
          <w:p>
            <w:pPr>
              <w:spacing w:after="0"/>
              <w:rPr>
                <w:sz w:val="19"/>
                <w:szCs w:val="19"/>
                <w:color w:val="auto"/>
              </w:rPr>
            </w:pPr>
          </w:p>
        </w:tc>
        <w:tc>
          <w:tcPr>
            <w:tcW w:w="160" w:type="dxa"/>
            <w:vAlign w:val="bottom"/>
            <w:tcBorders>
              <w:bottom w:val="single" w:sz="8" w:color="auto"/>
            </w:tcBorders>
          </w:tcPr>
          <w:p>
            <w:pPr>
              <w:spacing w:after="0"/>
              <w:rPr>
                <w:sz w:val="19"/>
                <w:szCs w:val="19"/>
                <w:color w:val="auto"/>
              </w:rPr>
            </w:pP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257,658</w:t>
            </w:r>
          </w:p>
        </w:tc>
        <w:tc>
          <w:tcPr>
            <w:tcW w:w="120" w:type="dxa"/>
            <w:vAlign w:val="bottom"/>
            <w:tcBorders>
              <w:bottom w:val="single" w:sz="8" w:color="CFF0FC"/>
            </w:tcBorders>
          </w:tcPr>
          <w:p>
            <w:pPr>
              <w:spacing w:after="0"/>
              <w:rPr>
                <w:sz w:val="19"/>
                <w:szCs w:val="19"/>
                <w:color w:val="auto"/>
              </w:rPr>
            </w:pPr>
          </w:p>
        </w:tc>
        <w:tc>
          <w:tcPr>
            <w:tcW w:w="120" w:type="dxa"/>
            <w:vAlign w:val="bottom"/>
            <w:tcBorders>
              <w:bottom w:val="single" w:sz="8" w:color="auto"/>
            </w:tcBorders>
          </w:tcPr>
          <w:p>
            <w:pPr>
              <w:spacing w:after="0"/>
              <w:rPr>
                <w:sz w:val="19"/>
                <w:szCs w:val="19"/>
                <w:color w:val="auto"/>
              </w:rPr>
            </w:pPr>
          </w:p>
        </w:tc>
        <w:tc>
          <w:tcPr>
            <w:tcW w:w="9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332,930</w:t>
            </w:r>
          </w:p>
        </w:tc>
        <w:tc>
          <w:tcPr>
            <w:tcW w:w="80" w:type="dxa"/>
            <w:vAlign w:val="bottom"/>
            <w:tcBorders>
              <w:bottom w:val="single" w:sz="8" w:color="CFF0FC"/>
            </w:tcBorders>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3580" w:type="dxa"/>
            <w:vAlign w:val="bottom"/>
            <w:tcBorders>
              <w:bottom w:val="single" w:sz="8" w:color="CFF0FC"/>
            </w:tcBorders>
            <w:shd w:val="clear" w:color="auto" w:fill="CFF0FC"/>
          </w:tcPr>
          <w:p>
            <w:pPr>
              <w:spacing w:after="0"/>
              <w:rPr>
                <w:sz w:val="20"/>
                <w:szCs w:val="20"/>
                <w:color w:val="auto"/>
              </w:rPr>
            </w:pPr>
            <w:r>
              <w:rPr>
                <w:rFonts w:ascii="Arial" w:cs="Arial" w:eastAsia="Arial" w:hAnsi="Arial"/>
                <w:sz w:val="18"/>
                <w:szCs w:val="18"/>
                <w:color w:val="auto"/>
              </w:rPr>
              <w:t>Total</w:t>
            </w:r>
          </w:p>
        </w:tc>
        <w:tc>
          <w:tcPr>
            <w:tcW w:w="1980" w:type="dxa"/>
            <w:vAlign w:val="bottom"/>
            <w:tcBorders>
              <w:bottom w:val="single" w:sz="8" w:color="CFF0FC"/>
            </w:tcBorders>
            <w:shd w:val="clear" w:color="auto" w:fill="CFF0FC"/>
          </w:tcPr>
          <w:p>
            <w:pPr>
              <w:spacing w:after="0"/>
              <w:rPr>
                <w:sz w:val="19"/>
                <w:szCs w:val="19"/>
                <w:color w:val="auto"/>
              </w:rPr>
            </w:pPr>
          </w:p>
        </w:tc>
        <w:tc>
          <w:tcPr>
            <w:tcW w:w="16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94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2,972,247</w:t>
            </w:r>
          </w:p>
        </w:tc>
        <w:tc>
          <w:tcPr>
            <w:tcW w:w="120" w:type="dxa"/>
            <w:vAlign w:val="bottom"/>
            <w:tcBorders>
              <w:bottom w:val="single" w:sz="8" w:color="CFF0FC"/>
            </w:tcBorders>
            <w:shd w:val="clear" w:color="auto" w:fill="CFF0FC"/>
          </w:tcPr>
          <w:p>
            <w:pPr>
              <w:spacing w:after="0"/>
              <w:rPr>
                <w:sz w:val="19"/>
                <w:szCs w:val="19"/>
                <w:color w:val="auto"/>
              </w:rPr>
            </w:pPr>
          </w:p>
        </w:tc>
        <w:tc>
          <w:tcPr>
            <w:tcW w:w="1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98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2,913,524</w:t>
            </w:r>
          </w:p>
        </w:tc>
        <w:tc>
          <w:tcPr>
            <w:tcW w:w="80" w:type="dxa"/>
            <w:vAlign w:val="bottom"/>
            <w:tcBorders>
              <w:bottom w:val="single" w:sz="8" w:color="CFF0FC"/>
            </w:tcBorders>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3580" w:type="dxa"/>
            <w:vAlign w:val="bottom"/>
          </w:tcPr>
          <w:p>
            <w:pPr>
              <w:spacing w:after="0" w:line="20" w:lineRule="exact"/>
              <w:rPr>
                <w:sz w:val="1"/>
                <w:szCs w:val="1"/>
                <w:color w:val="auto"/>
              </w:rPr>
            </w:pPr>
          </w:p>
        </w:tc>
        <w:tc>
          <w:tcPr>
            <w:tcW w:w="198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396" w:lineRule="exact"/>
        <w:rPr>
          <w:sz w:val="20"/>
          <w:szCs w:val="20"/>
          <w:color w:val="auto"/>
        </w:rPr>
      </w:pPr>
    </w:p>
    <w:p>
      <w:pPr>
        <w:ind w:left="5000"/>
        <w:spacing w:after="0"/>
        <w:rPr>
          <w:sz w:val="20"/>
          <w:szCs w:val="20"/>
          <w:color w:val="auto"/>
        </w:rPr>
      </w:pPr>
      <w:r>
        <w:rPr>
          <w:rFonts w:ascii="Arial" w:cs="Arial" w:eastAsia="Arial" w:hAnsi="Arial"/>
          <w:sz w:val="18"/>
          <w:szCs w:val="18"/>
          <w:color w:val="auto"/>
        </w:rPr>
        <w:t>- 12 -</w:t>
      </w:r>
    </w:p>
    <w:p>
      <w:pPr>
        <w:sectPr>
          <w:pgSz w:w="11900" w:h="16838" w:orient="portrait"/>
          <w:cols w:equalWidth="0" w:num="1">
            <w:col w:w="9820"/>
          </w:cols>
          <w:pgMar w:left="760" w:top="355" w:right="1319" w:bottom="1440" w:gutter="0" w:footer="0" w:header="0"/>
        </w:sectPr>
      </w:pPr>
    </w:p>
    <w:bookmarkStart w:id="12" w:name="page13"/>
    <w:bookmarkEnd w:id="12"/>
    <w:p>
      <w:pPr>
        <w:ind w:left="540" w:hanging="532"/>
        <w:spacing w:after="0"/>
        <w:tabs>
          <w:tab w:leader="none" w:pos="540" w:val="left"/>
        </w:tabs>
        <w:numPr>
          <w:ilvl w:val="0"/>
          <w:numId w:val="7"/>
        </w:numPr>
        <w:rPr>
          <w:rFonts w:ascii="Arial" w:cs="Arial" w:eastAsia="Arial" w:hAnsi="Arial"/>
          <w:sz w:val="18"/>
          <w:szCs w:val="18"/>
          <w:b w:val="1"/>
          <w:bCs w:val="1"/>
          <w:color w:val="auto"/>
        </w:rPr>
      </w:pPr>
      <w:r>
        <w:rPr>
          <w:rFonts w:ascii="Arial" w:cs="Arial" w:eastAsia="Arial" w:hAnsi="Arial"/>
          <w:sz w:val="18"/>
          <w:szCs w:val="18"/>
          <w:b w:val="1"/>
          <w:bCs w:val="1"/>
          <w:color w:val="auto"/>
        </w:rPr>
        <w:t>Earnings Per Share</w:t>
      </w:r>
    </w:p>
    <w:p>
      <w:pPr>
        <w:spacing w:after="0" w:line="121" w:lineRule="exact"/>
        <w:rPr>
          <w:sz w:val="20"/>
          <w:szCs w:val="20"/>
          <w:color w:val="auto"/>
        </w:rPr>
      </w:pPr>
    </w:p>
    <w:p>
      <w:pPr>
        <w:ind w:firstLine="518"/>
        <w:spacing w:after="0" w:line="277" w:lineRule="auto"/>
        <w:rPr>
          <w:sz w:val="20"/>
          <w:szCs w:val="20"/>
          <w:color w:val="auto"/>
        </w:rPr>
      </w:pPr>
      <w:r>
        <w:rPr>
          <w:rFonts w:ascii="Arial" w:cs="Arial" w:eastAsia="Arial" w:hAnsi="Arial"/>
          <w:sz w:val="18"/>
          <w:szCs w:val="18"/>
          <w:color w:val="auto"/>
        </w:rPr>
        <w:t>The following table sets forth the components used in the computation of basic and diluted earnings per share (in thousands, except share and per share amounts):</w:t>
      </w:r>
    </w:p>
    <w:p>
      <w:pPr>
        <w:spacing w:after="0" w:line="243"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340" w:type="dxa"/>
            <w:vAlign w:val="bottom"/>
          </w:tcPr>
          <w:p>
            <w:pPr>
              <w:spacing w:after="0"/>
              <w:rPr>
                <w:sz w:val="14"/>
                <w:szCs w:val="14"/>
                <w:color w:val="auto"/>
              </w:rPr>
            </w:pPr>
          </w:p>
        </w:tc>
        <w:tc>
          <w:tcPr>
            <w:tcW w:w="1380" w:type="dxa"/>
            <w:vAlign w:val="bottom"/>
          </w:tcPr>
          <w:p>
            <w:pPr>
              <w:spacing w:after="0"/>
              <w:rPr>
                <w:sz w:val="14"/>
                <w:szCs w:val="14"/>
                <w:color w:val="auto"/>
              </w:rPr>
            </w:pPr>
          </w:p>
        </w:tc>
        <w:tc>
          <w:tcPr>
            <w:tcW w:w="55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2280" w:type="dxa"/>
            <w:vAlign w:val="bottom"/>
            <w:gridSpan w:val="5"/>
          </w:tcPr>
          <w:p>
            <w:pPr>
              <w:ind w:left="40"/>
              <w:spacing w:after="0"/>
              <w:rPr>
                <w:sz w:val="20"/>
                <w:szCs w:val="20"/>
                <w:color w:val="auto"/>
              </w:rPr>
            </w:pPr>
            <w:r>
              <w:rPr>
                <w:rFonts w:ascii="Arial" w:cs="Arial" w:eastAsia="Arial" w:hAnsi="Arial"/>
                <w:sz w:val="14"/>
                <w:szCs w:val="14"/>
                <w:b w:val="1"/>
                <w:bCs w:val="1"/>
                <w:color w:val="auto"/>
              </w:rPr>
              <w:t>Three Months Ended March 31,</w:t>
            </w:r>
          </w:p>
        </w:tc>
        <w:tc>
          <w:tcPr>
            <w:tcW w:w="0" w:type="dxa"/>
            <w:vAlign w:val="bottom"/>
          </w:tcPr>
          <w:p>
            <w:pPr>
              <w:spacing w:after="0"/>
              <w:rPr>
                <w:sz w:val="1"/>
                <w:szCs w:val="1"/>
                <w:color w:val="auto"/>
              </w:rPr>
            </w:pPr>
          </w:p>
        </w:tc>
      </w:tr>
      <w:tr>
        <w:trPr>
          <w:trHeight w:val="156"/>
        </w:trPr>
        <w:tc>
          <w:tcPr>
            <w:tcW w:w="340" w:type="dxa"/>
            <w:vAlign w:val="bottom"/>
          </w:tcPr>
          <w:p>
            <w:pPr>
              <w:spacing w:after="0"/>
              <w:rPr>
                <w:sz w:val="13"/>
                <w:szCs w:val="13"/>
                <w:color w:val="auto"/>
              </w:rPr>
            </w:pPr>
          </w:p>
        </w:tc>
        <w:tc>
          <w:tcPr>
            <w:tcW w:w="1380" w:type="dxa"/>
            <w:vAlign w:val="bottom"/>
          </w:tcPr>
          <w:p>
            <w:pPr>
              <w:spacing w:after="0"/>
              <w:rPr>
                <w:sz w:val="13"/>
                <w:szCs w:val="13"/>
                <w:color w:val="auto"/>
              </w:rPr>
            </w:pPr>
          </w:p>
        </w:tc>
        <w:tc>
          <w:tcPr>
            <w:tcW w:w="5560" w:type="dxa"/>
            <w:vAlign w:val="bottom"/>
            <w:tcBorders>
              <w:bottom w:val="single" w:sz="8" w:color="CFF0FC"/>
            </w:tcBorders>
          </w:tcPr>
          <w:p>
            <w:pPr>
              <w:spacing w:after="0"/>
              <w:rPr>
                <w:sz w:val="13"/>
                <w:szCs w:val="13"/>
                <w:color w:val="auto"/>
              </w:rPr>
            </w:pPr>
          </w:p>
        </w:tc>
        <w:tc>
          <w:tcPr>
            <w:tcW w:w="140" w:type="dxa"/>
            <w:vAlign w:val="bottom"/>
            <w:tcBorders>
              <w:top w:val="single" w:sz="8" w:color="auto"/>
              <w:bottom w:val="single" w:sz="8" w:color="auto"/>
            </w:tcBorders>
          </w:tcPr>
          <w:p>
            <w:pPr>
              <w:spacing w:after="0"/>
              <w:rPr>
                <w:sz w:val="13"/>
                <w:szCs w:val="13"/>
                <w:color w:val="auto"/>
              </w:rPr>
            </w:pPr>
          </w:p>
        </w:tc>
        <w:tc>
          <w:tcPr>
            <w:tcW w:w="960" w:type="dxa"/>
            <w:vAlign w:val="bottom"/>
            <w:tcBorders>
              <w:top w:val="single" w:sz="8" w:color="auto"/>
              <w:bottom w:val="single" w:sz="8" w:color="auto"/>
            </w:tcBorders>
          </w:tcPr>
          <w:p>
            <w:pPr>
              <w:jc w:val="right"/>
              <w:ind w:right="315"/>
              <w:spacing w:after="0" w:line="155" w:lineRule="exact"/>
              <w:rPr>
                <w:sz w:val="20"/>
                <w:szCs w:val="20"/>
                <w:color w:val="auto"/>
              </w:rPr>
            </w:pPr>
            <w:r>
              <w:rPr>
                <w:rFonts w:ascii="Arial" w:cs="Arial" w:eastAsia="Arial" w:hAnsi="Arial"/>
                <w:sz w:val="14"/>
                <w:szCs w:val="14"/>
                <w:b w:val="1"/>
                <w:bCs w:val="1"/>
                <w:color w:val="auto"/>
              </w:rPr>
              <w:t>2015</w:t>
            </w:r>
          </w:p>
        </w:tc>
        <w:tc>
          <w:tcPr>
            <w:tcW w:w="140" w:type="dxa"/>
            <w:vAlign w:val="bottom"/>
            <w:tcBorders>
              <w:top w:val="single" w:sz="8" w:color="auto"/>
              <w:bottom w:val="single" w:sz="8" w:color="CFF0FC"/>
            </w:tcBorders>
          </w:tcPr>
          <w:p>
            <w:pPr>
              <w:spacing w:after="0"/>
              <w:rPr>
                <w:sz w:val="13"/>
                <w:szCs w:val="13"/>
                <w:color w:val="auto"/>
              </w:rPr>
            </w:pPr>
          </w:p>
        </w:tc>
        <w:tc>
          <w:tcPr>
            <w:tcW w:w="100" w:type="dxa"/>
            <w:vAlign w:val="bottom"/>
            <w:tcBorders>
              <w:top w:val="single" w:sz="8" w:color="auto"/>
              <w:bottom w:val="single" w:sz="8" w:color="auto"/>
            </w:tcBorders>
          </w:tcPr>
          <w:p>
            <w:pPr>
              <w:spacing w:after="0"/>
              <w:rPr>
                <w:sz w:val="13"/>
                <w:szCs w:val="13"/>
                <w:color w:val="auto"/>
              </w:rPr>
            </w:pPr>
          </w:p>
        </w:tc>
        <w:tc>
          <w:tcPr>
            <w:tcW w:w="1000" w:type="dxa"/>
            <w:vAlign w:val="bottom"/>
            <w:tcBorders>
              <w:top w:val="single" w:sz="8" w:color="auto"/>
              <w:bottom w:val="single" w:sz="8" w:color="auto"/>
            </w:tcBorders>
          </w:tcPr>
          <w:p>
            <w:pPr>
              <w:jc w:val="right"/>
              <w:ind w:right="334"/>
              <w:spacing w:after="0" w:line="155" w:lineRule="exact"/>
              <w:rPr>
                <w:sz w:val="20"/>
                <w:szCs w:val="20"/>
                <w:color w:val="auto"/>
              </w:rPr>
            </w:pPr>
            <w:r>
              <w:rPr>
                <w:rFonts w:ascii="Arial" w:cs="Arial" w:eastAsia="Arial" w:hAnsi="Arial"/>
                <w:sz w:val="14"/>
                <w:szCs w:val="14"/>
                <w:b w:val="1"/>
                <w:bCs w:val="1"/>
                <w:color w:val="auto"/>
              </w:rPr>
              <w:t>2014</w:t>
            </w:r>
          </w:p>
        </w:tc>
        <w:tc>
          <w:tcPr>
            <w:tcW w:w="80" w:type="dxa"/>
            <w:vAlign w:val="bottom"/>
            <w:tcBorders>
              <w:bottom w:val="single" w:sz="8" w:color="CFF0FC"/>
            </w:tcBorders>
          </w:tcPr>
          <w:p>
            <w:pPr>
              <w:spacing w:after="0"/>
              <w:rPr>
                <w:sz w:val="13"/>
                <w:szCs w:val="13"/>
                <w:color w:val="auto"/>
              </w:rPr>
            </w:pPr>
          </w:p>
        </w:tc>
        <w:tc>
          <w:tcPr>
            <w:tcW w:w="0" w:type="dxa"/>
            <w:vAlign w:val="bottom"/>
          </w:tcPr>
          <w:p>
            <w:pPr>
              <w:spacing w:after="0"/>
              <w:rPr>
                <w:sz w:val="1"/>
                <w:szCs w:val="1"/>
                <w:color w:val="auto"/>
              </w:rPr>
            </w:pPr>
          </w:p>
        </w:tc>
      </w:tr>
      <w:tr>
        <w:trPr>
          <w:trHeight w:val="223"/>
        </w:trPr>
        <w:tc>
          <w:tcPr>
            <w:tcW w:w="340" w:type="dxa"/>
            <w:vAlign w:val="bottom"/>
          </w:tcPr>
          <w:p>
            <w:pPr>
              <w:spacing w:after="0"/>
              <w:rPr>
                <w:sz w:val="19"/>
                <w:szCs w:val="19"/>
                <w:color w:val="auto"/>
              </w:rPr>
            </w:pPr>
          </w:p>
        </w:tc>
        <w:tc>
          <w:tcPr>
            <w:tcW w:w="1380" w:type="dxa"/>
            <w:vAlign w:val="bottom"/>
          </w:tcPr>
          <w:p>
            <w:pPr>
              <w:spacing w:after="0"/>
              <w:rPr>
                <w:sz w:val="19"/>
                <w:szCs w:val="19"/>
                <w:color w:val="auto"/>
              </w:rPr>
            </w:pPr>
          </w:p>
        </w:tc>
        <w:tc>
          <w:tcPr>
            <w:tcW w:w="5560" w:type="dxa"/>
            <w:vAlign w:val="bottom"/>
            <w:shd w:val="clear" w:color="auto" w:fill="CFF0FC"/>
          </w:tcPr>
          <w:p>
            <w:pPr>
              <w:spacing w:after="0"/>
              <w:rPr>
                <w:sz w:val="20"/>
                <w:szCs w:val="20"/>
                <w:color w:val="auto"/>
              </w:rPr>
            </w:pPr>
            <w:r>
              <w:rPr>
                <w:rFonts w:ascii="Arial" w:cs="Arial" w:eastAsia="Arial" w:hAnsi="Arial"/>
                <w:sz w:val="18"/>
                <w:szCs w:val="18"/>
                <w:color w:val="auto"/>
              </w:rPr>
              <w:t>Numerator:</w:t>
            </w:r>
          </w:p>
        </w:tc>
        <w:tc>
          <w:tcPr>
            <w:tcW w:w="140" w:type="dxa"/>
            <w:vAlign w:val="bottom"/>
            <w:shd w:val="clear" w:color="auto" w:fill="CFF0FC"/>
          </w:tcPr>
          <w:p>
            <w:pPr>
              <w:spacing w:after="0"/>
              <w:rPr>
                <w:sz w:val="19"/>
                <w:szCs w:val="19"/>
                <w:color w:val="auto"/>
              </w:rPr>
            </w:pPr>
          </w:p>
        </w:tc>
        <w:tc>
          <w:tcPr>
            <w:tcW w:w="960" w:type="dxa"/>
            <w:vAlign w:val="bottom"/>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00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70"/>
        </w:trPr>
        <w:tc>
          <w:tcPr>
            <w:tcW w:w="340" w:type="dxa"/>
            <w:vAlign w:val="bottom"/>
          </w:tcPr>
          <w:p>
            <w:pPr>
              <w:spacing w:after="0"/>
              <w:rPr>
                <w:sz w:val="23"/>
                <w:szCs w:val="23"/>
                <w:color w:val="auto"/>
              </w:rPr>
            </w:pPr>
          </w:p>
        </w:tc>
        <w:tc>
          <w:tcPr>
            <w:tcW w:w="1380" w:type="dxa"/>
            <w:vAlign w:val="bottom"/>
          </w:tcPr>
          <w:p>
            <w:pPr>
              <w:spacing w:after="0"/>
              <w:rPr>
                <w:sz w:val="23"/>
                <w:szCs w:val="23"/>
                <w:color w:val="auto"/>
              </w:rPr>
            </w:pPr>
          </w:p>
        </w:tc>
        <w:tc>
          <w:tcPr>
            <w:tcW w:w="5560" w:type="dxa"/>
            <w:vAlign w:val="bottom"/>
            <w:tcBorders>
              <w:bottom w:val="single" w:sz="8" w:color="CFF0FC"/>
            </w:tcBorders>
          </w:tcPr>
          <w:p>
            <w:pPr>
              <w:ind w:left="240"/>
              <w:spacing w:after="0"/>
              <w:rPr>
                <w:sz w:val="20"/>
                <w:szCs w:val="20"/>
                <w:color w:val="auto"/>
              </w:rPr>
            </w:pPr>
            <w:r>
              <w:rPr>
                <w:rFonts w:ascii="Arial" w:cs="Arial" w:eastAsia="Arial" w:hAnsi="Arial"/>
                <w:sz w:val="18"/>
                <w:szCs w:val="18"/>
                <w:color w:val="auto"/>
              </w:rPr>
              <w:t>Net income</w:t>
            </w:r>
          </w:p>
        </w:tc>
        <w:tc>
          <w:tcPr>
            <w:tcW w:w="1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15,297</w:t>
            </w:r>
          </w:p>
        </w:tc>
        <w:tc>
          <w:tcPr>
            <w:tcW w:w="140" w:type="dxa"/>
            <w:vAlign w:val="bottom"/>
            <w:tcBorders>
              <w:bottom w:val="single" w:sz="8" w:color="CFF0FC"/>
            </w:tcBorders>
          </w:tcPr>
          <w:p>
            <w:pPr>
              <w:spacing w:after="0"/>
              <w:rPr>
                <w:sz w:val="23"/>
                <w:szCs w:val="23"/>
                <w:color w:val="auto"/>
              </w:rPr>
            </w:pPr>
          </w:p>
        </w:tc>
        <w:tc>
          <w:tcPr>
            <w:tcW w:w="10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10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7,581</w:t>
            </w:r>
          </w:p>
        </w:tc>
        <w:tc>
          <w:tcPr>
            <w:tcW w:w="80" w:type="dxa"/>
            <w:vAlign w:val="bottom"/>
            <w:tcBorders>
              <w:bottom w:val="single" w:sz="8" w:color="CFF0FC"/>
            </w:tcBorders>
          </w:tcPr>
          <w:p>
            <w:pPr>
              <w:spacing w:after="0"/>
              <w:rPr>
                <w:sz w:val="23"/>
                <w:szCs w:val="23"/>
                <w:color w:val="auto"/>
              </w:rPr>
            </w:pPr>
          </w:p>
        </w:tc>
        <w:tc>
          <w:tcPr>
            <w:tcW w:w="0" w:type="dxa"/>
            <w:vAlign w:val="bottom"/>
          </w:tcPr>
          <w:p>
            <w:pPr>
              <w:spacing w:after="0"/>
              <w:rPr>
                <w:sz w:val="1"/>
                <w:szCs w:val="1"/>
                <w:color w:val="auto"/>
              </w:rPr>
            </w:pPr>
          </w:p>
        </w:tc>
      </w:tr>
      <w:tr>
        <w:trPr>
          <w:trHeight w:val="210"/>
        </w:trPr>
        <w:tc>
          <w:tcPr>
            <w:tcW w:w="340" w:type="dxa"/>
            <w:vAlign w:val="bottom"/>
          </w:tcPr>
          <w:p>
            <w:pPr>
              <w:spacing w:after="0"/>
              <w:rPr>
                <w:sz w:val="18"/>
                <w:szCs w:val="18"/>
                <w:color w:val="auto"/>
              </w:rPr>
            </w:pPr>
          </w:p>
        </w:tc>
        <w:tc>
          <w:tcPr>
            <w:tcW w:w="1380" w:type="dxa"/>
            <w:vAlign w:val="bottom"/>
          </w:tcPr>
          <w:p>
            <w:pPr>
              <w:spacing w:after="0"/>
              <w:rPr>
                <w:sz w:val="18"/>
                <w:szCs w:val="18"/>
                <w:color w:val="auto"/>
              </w:rPr>
            </w:pPr>
          </w:p>
        </w:tc>
        <w:tc>
          <w:tcPr>
            <w:tcW w:w="5560" w:type="dxa"/>
            <w:vAlign w:val="bottom"/>
            <w:shd w:val="clear" w:color="auto" w:fill="CFF0FC"/>
          </w:tcPr>
          <w:p>
            <w:pPr>
              <w:spacing w:after="0"/>
              <w:rPr>
                <w:sz w:val="20"/>
                <w:szCs w:val="20"/>
                <w:color w:val="auto"/>
              </w:rPr>
            </w:pPr>
            <w:r>
              <w:rPr>
                <w:rFonts w:ascii="Arial" w:cs="Arial" w:eastAsia="Arial" w:hAnsi="Arial"/>
                <w:sz w:val="18"/>
                <w:szCs w:val="18"/>
                <w:color w:val="auto"/>
              </w:rPr>
              <w:t>Denominator:</w:t>
            </w:r>
          </w:p>
        </w:tc>
        <w:tc>
          <w:tcPr>
            <w:tcW w:w="140" w:type="dxa"/>
            <w:vAlign w:val="bottom"/>
            <w:shd w:val="clear" w:color="auto" w:fill="CFF0FC"/>
          </w:tcPr>
          <w:p>
            <w:pPr>
              <w:spacing w:after="0"/>
              <w:rPr>
                <w:sz w:val="18"/>
                <w:szCs w:val="18"/>
                <w:color w:val="auto"/>
              </w:rPr>
            </w:pPr>
          </w:p>
        </w:tc>
        <w:tc>
          <w:tcPr>
            <w:tcW w:w="960" w:type="dxa"/>
            <w:vAlign w:val="bottom"/>
            <w:shd w:val="clear" w:color="auto" w:fill="CFF0FC"/>
          </w:tcPr>
          <w:p>
            <w:pPr>
              <w:spacing w:after="0"/>
              <w:rPr>
                <w:sz w:val="18"/>
                <w:szCs w:val="18"/>
                <w:color w:val="auto"/>
              </w:rPr>
            </w:pPr>
          </w:p>
        </w:tc>
        <w:tc>
          <w:tcPr>
            <w:tcW w:w="14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c>
          <w:tcPr>
            <w:tcW w:w="1000" w:type="dxa"/>
            <w:vAlign w:val="bottom"/>
            <w:shd w:val="clear" w:color="auto" w:fill="CFF0FC"/>
          </w:tcPr>
          <w:p>
            <w:pPr>
              <w:spacing w:after="0"/>
              <w:rPr>
                <w:sz w:val="18"/>
                <w:szCs w:val="18"/>
                <w:color w:val="auto"/>
              </w:rPr>
            </w:pPr>
          </w:p>
        </w:tc>
        <w:tc>
          <w:tcPr>
            <w:tcW w:w="80" w:type="dxa"/>
            <w:vAlign w:val="bottom"/>
            <w:shd w:val="clear" w:color="auto" w:fill="CFF0FC"/>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340" w:type="dxa"/>
            <w:vAlign w:val="bottom"/>
          </w:tcPr>
          <w:p>
            <w:pPr>
              <w:spacing w:after="0"/>
              <w:rPr>
                <w:sz w:val="19"/>
                <w:szCs w:val="19"/>
                <w:color w:val="auto"/>
              </w:rPr>
            </w:pPr>
          </w:p>
        </w:tc>
        <w:tc>
          <w:tcPr>
            <w:tcW w:w="1380" w:type="dxa"/>
            <w:vAlign w:val="bottom"/>
          </w:tcPr>
          <w:p>
            <w:pPr>
              <w:spacing w:after="0"/>
              <w:rPr>
                <w:sz w:val="19"/>
                <w:szCs w:val="19"/>
                <w:color w:val="auto"/>
              </w:rPr>
            </w:pPr>
          </w:p>
        </w:tc>
        <w:tc>
          <w:tcPr>
            <w:tcW w:w="5560" w:type="dxa"/>
            <w:vAlign w:val="bottom"/>
          </w:tcPr>
          <w:p>
            <w:pPr>
              <w:ind w:left="500"/>
              <w:spacing w:after="0"/>
              <w:rPr>
                <w:sz w:val="20"/>
                <w:szCs w:val="20"/>
                <w:color w:val="auto"/>
              </w:rPr>
            </w:pPr>
            <w:r>
              <w:rPr>
                <w:rFonts w:ascii="Arial" w:cs="Arial" w:eastAsia="Arial" w:hAnsi="Arial"/>
                <w:sz w:val="18"/>
                <w:szCs w:val="18"/>
                <w:color w:val="auto"/>
              </w:rPr>
              <w:t>Basic weighted-average shares outstanding</w:t>
            </w:r>
          </w:p>
        </w:tc>
        <w:tc>
          <w:tcPr>
            <w:tcW w:w="140" w:type="dxa"/>
            <w:vAlign w:val="bottom"/>
          </w:tcPr>
          <w:p>
            <w:pPr>
              <w:spacing w:after="0"/>
              <w:rPr>
                <w:sz w:val="19"/>
                <w:szCs w:val="19"/>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w w:val="91"/>
              </w:rPr>
              <w:t>161,490,970</w:t>
            </w:r>
          </w:p>
        </w:tc>
        <w:tc>
          <w:tcPr>
            <w:tcW w:w="1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w w:val="97"/>
              </w:rPr>
              <w:t>129,700,000</w:t>
            </w:r>
          </w:p>
        </w:tc>
        <w:tc>
          <w:tcPr>
            <w:tcW w:w="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340" w:type="dxa"/>
            <w:vAlign w:val="bottom"/>
          </w:tcPr>
          <w:p>
            <w:pPr>
              <w:spacing w:after="0"/>
              <w:rPr>
                <w:sz w:val="19"/>
                <w:szCs w:val="19"/>
                <w:color w:val="auto"/>
              </w:rPr>
            </w:pPr>
          </w:p>
        </w:tc>
        <w:tc>
          <w:tcPr>
            <w:tcW w:w="1380" w:type="dxa"/>
            <w:vAlign w:val="bottom"/>
          </w:tcPr>
          <w:p>
            <w:pPr>
              <w:spacing w:after="0"/>
              <w:rPr>
                <w:sz w:val="19"/>
                <w:szCs w:val="19"/>
                <w:color w:val="auto"/>
              </w:rPr>
            </w:pPr>
          </w:p>
        </w:tc>
        <w:tc>
          <w:tcPr>
            <w:tcW w:w="5560" w:type="dxa"/>
            <w:vAlign w:val="bottom"/>
            <w:shd w:val="clear" w:color="auto" w:fill="CFF0FC"/>
          </w:tcPr>
          <w:p>
            <w:pPr>
              <w:ind w:left="500"/>
              <w:spacing w:after="0"/>
              <w:rPr>
                <w:sz w:val="20"/>
                <w:szCs w:val="20"/>
                <w:color w:val="auto"/>
              </w:rPr>
            </w:pPr>
            <w:r>
              <w:rPr>
                <w:rFonts w:ascii="Arial" w:cs="Arial" w:eastAsia="Arial" w:hAnsi="Arial"/>
                <w:sz w:val="18"/>
                <w:szCs w:val="18"/>
                <w:color w:val="auto"/>
              </w:rPr>
              <w:t>Effect of dilutive shares:</w:t>
            </w:r>
          </w:p>
        </w:tc>
        <w:tc>
          <w:tcPr>
            <w:tcW w:w="140" w:type="dxa"/>
            <w:vAlign w:val="bottom"/>
            <w:shd w:val="clear" w:color="auto" w:fill="CFF0FC"/>
          </w:tcPr>
          <w:p>
            <w:pPr>
              <w:spacing w:after="0"/>
              <w:rPr>
                <w:sz w:val="19"/>
                <w:szCs w:val="19"/>
                <w:color w:val="auto"/>
              </w:rPr>
            </w:pPr>
          </w:p>
        </w:tc>
        <w:tc>
          <w:tcPr>
            <w:tcW w:w="960" w:type="dxa"/>
            <w:vAlign w:val="bottom"/>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00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340" w:type="dxa"/>
            <w:vAlign w:val="bottom"/>
          </w:tcPr>
          <w:p>
            <w:pPr>
              <w:spacing w:after="0"/>
              <w:rPr>
                <w:sz w:val="19"/>
                <w:szCs w:val="19"/>
                <w:color w:val="auto"/>
              </w:rPr>
            </w:pPr>
          </w:p>
        </w:tc>
        <w:tc>
          <w:tcPr>
            <w:tcW w:w="1380" w:type="dxa"/>
            <w:vAlign w:val="bottom"/>
          </w:tcPr>
          <w:p>
            <w:pPr>
              <w:spacing w:after="0"/>
              <w:rPr>
                <w:sz w:val="19"/>
                <w:szCs w:val="19"/>
                <w:color w:val="auto"/>
              </w:rPr>
            </w:pPr>
          </w:p>
        </w:tc>
        <w:tc>
          <w:tcPr>
            <w:tcW w:w="5560" w:type="dxa"/>
            <w:vAlign w:val="bottom"/>
          </w:tcPr>
          <w:p>
            <w:pPr>
              <w:ind w:left="740"/>
              <w:spacing w:after="0"/>
              <w:rPr>
                <w:sz w:val="20"/>
                <w:szCs w:val="20"/>
                <w:color w:val="auto"/>
              </w:rPr>
            </w:pPr>
            <w:r>
              <w:rPr>
                <w:rFonts w:ascii="Arial" w:cs="Arial" w:eastAsia="Arial" w:hAnsi="Arial"/>
                <w:sz w:val="18"/>
                <w:szCs w:val="18"/>
                <w:color w:val="auto"/>
              </w:rPr>
              <w:t>Stock options and unvested restricted stock units</w:t>
            </w:r>
          </w:p>
        </w:tc>
        <w:tc>
          <w:tcPr>
            <w:tcW w:w="140" w:type="dxa"/>
            <w:vAlign w:val="bottom"/>
          </w:tcPr>
          <w:p>
            <w:pPr>
              <w:spacing w:after="0"/>
              <w:rPr>
                <w:sz w:val="19"/>
                <w:szCs w:val="19"/>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1,316,406</w:t>
            </w:r>
          </w:p>
        </w:tc>
        <w:tc>
          <w:tcPr>
            <w:tcW w:w="1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80" w:type="dxa"/>
            <w:vAlign w:val="bottom"/>
            <w:gridSpan w:val="2"/>
          </w:tcPr>
          <w:p>
            <w:pPr>
              <w:jc w:val="right"/>
              <w:ind w:right="8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23"/>
        </w:trPr>
        <w:tc>
          <w:tcPr>
            <w:tcW w:w="340" w:type="dxa"/>
            <w:vAlign w:val="bottom"/>
          </w:tcPr>
          <w:p>
            <w:pPr>
              <w:spacing w:after="0"/>
              <w:rPr>
                <w:sz w:val="19"/>
                <w:szCs w:val="19"/>
                <w:color w:val="auto"/>
              </w:rPr>
            </w:pPr>
          </w:p>
        </w:tc>
        <w:tc>
          <w:tcPr>
            <w:tcW w:w="1380" w:type="dxa"/>
            <w:vAlign w:val="bottom"/>
          </w:tcPr>
          <w:p>
            <w:pPr>
              <w:spacing w:after="0"/>
              <w:rPr>
                <w:sz w:val="19"/>
                <w:szCs w:val="19"/>
                <w:color w:val="auto"/>
              </w:rPr>
            </w:pPr>
          </w:p>
        </w:tc>
        <w:tc>
          <w:tcPr>
            <w:tcW w:w="5560" w:type="dxa"/>
            <w:vAlign w:val="bottom"/>
            <w:tcBorders>
              <w:top w:val="single" w:sz="8" w:color="CFF0FC"/>
              <w:bottom w:val="single" w:sz="8" w:color="CFF0FC"/>
            </w:tcBorders>
            <w:shd w:val="clear" w:color="auto" w:fill="CFF0FC"/>
          </w:tcPr>
          <w:p>
            <w:pPr>
              <w:ind w:left="500"/>
              <w:spacing w:after="0"/>
              <w:rPr>
                <w:sz w:val="20"/>
                <w:szCs w:val="20"/>
                <w:color w:val="auto"/>
              </w:rPr>
            </w:pPr>
            <w:r>
              <w:rPr>
                <w:rFonts w:ascii="Arial" w:cs="Arial" w:eastAsia="Arial" w:hAnsi="Arial"/>
                <w:sz w:val="18"/>
                <w:szCs w:val="18"/>
                <w:color w:val="auto"/>
              </w:rPr>
              <w:t>Diluted weighted-average shares outstanding</w:t>
            </w:r>
          </w:p>
        </w:tc>
        <w:tc>
          <w:tcPr>
            <w:tcW w:w="140" w:type="dxa"/>
            <w:vAlign w:val="bottom"/>
            <w:tcBorders>
              <w:top w:val="single" w:sz="8" w:color="auto"/>
              <w:bottom w:val="single" w:sz="8" w:color="auto"/>
            </w:tcBorders>
            <w:shd w:val="clear" w:color="auto" w:fill="CFF0FC"/>
          </w:tcPr>
          <w:p>
            <w:pPr>
              <w:spacing w:after="0"/>
              <w:rPr>
                <w:sz w:val="19"/>
                <w:szCs w:val="19"/>
                <w:color w:val="auto"/>
              </w:rPr>
            </w:pPr>
          </w:p>
        </w:tc>
        <w:tc>
          <w:tcPr>
            <w:tcW w:w="96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w w:val="91"/>
              </w:rPr>
              <w:t>162,807,376</w:t>
            </w:r>
          </w:p>
        </w:tc>
        <w:tc>
          <w:tcPr>
            <w:tcW w:w="140" w:type="dxa"/>
            <w:vAlign w:val="bottom"/>
            <w:tcBorders>
              <w:top w:val="single" w:sz="8" w:color="CFF0FC"/>
              <w:bottom w:val="single" w:sz="8" w:color="CFF0FC"/>
            </w:tcBorders>
            <w:shd w:val="clear" w:color="auto" w:fill="CFF0FC"/>
          </w:tcPr>
          <w:p>
            <w:pPr>
              <w:spacing w:after="0"/>
              <w:rPr>
                <w:sz w:val="19"/>
                <w:szCs w:val="19"/>
                <w:color w:val="auto"/>
              </w:rPr>
            </w:pPr>
          </w:p>
        </w:tc>
        <w:tc>
          <w:tcPr>
            <w:tcW w:w="100" w:type="dxa"/>
            <w:vAlign w:val="bottom"/>
            <w:tcBorders>
              <w:top w:val="single" w:sz="8" w:color="auto"/>
              <w:bottom w:val="single" w:sz="8" w:color="auto"/>
            </w:tcBorders>
            <w:shd w:val="clear" w:color="auto" w:fill="CFF0FC"/>
          </w:tcPr>
          <w:p>
            <w:pPr>
              <w:spacing w:after="0"/>
              <w:rPr>
                <w:sz w:val="19"/>
                <w:szCs w:val="19"/>
                <w:color w:val="auto"/>
              </w:rPr>
            </w:pPr>
          </w:p>
        </w:tc>
        <w:tc>
          <w:tcPr>
            <w:tcW w:w="100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w w:val="97"/>
              </w:rPr>
              <w:t>129,700,000</w:t>
            </w:r>
          </w:p>
        </w:tc>
        <w:tc>
          <w:tcPr>
            <w:tcW w:w="80" w:type="dxa"/>
            <w:vAlign w:val="bottom"/>
            <w:tcBorders>
              <w:top w:val="single" w:sz="8" w:color="CFF0FC"/>
              <w:bottom w:val="single" w:sz="8" w:color="CFF0FC"/>
            </w:tcBorders>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340" w:type="dxa"/>
            <w:vAlign w:val="bottom"/>
          </w:tcPr>
          <w:p>
            <w:pPr>
              <w:spacing w:after="0" w:line="20" w:lineRule="exact"/>
              <w:rPr>
                <w:sz w:val="1"/>
                <w:szCs w:val="1"/>
                <w:color w:val="auto"/>
              </w:rPr>
            </w:pPr>
          </w:p>
        </w:tc>
        <w:tc>
          <w:tcPr>
            <w:tcW w:w="6940" w:type="dxa"/>
            <w:vAlign w:val="bottom"/>
            <w:gridSpan w:val="2"/>
            <w:vMerge w:val="restart"/>
          </w:tcPr>
          <w:p>
            <w:pPr>
              <w:ind w:left="1380"/>
              <w:spacing w:after="0"/>
              <w:rPr>
                <w:sz w:val="20"/>
                <w:szCs w:val="20"/>
                <w:color w:val="auto"/>
              </w:rPr>
            </w:pPr>
            <w:r>
              <w:rPr>
                <w:rFonts w:ascii="Arial" w:cs="Arial" w:eastAsia="Arial" w:hAnsi="Arial"/>
                <w:sz w:val="18"/>
                <w:szCs w:val="18"/>
                <w:color w:val="auto"/>
              </w:rPr>
              <w:t>Earnings per share</w:t>
            </w:r>
          </w:p>
        </w:tc>
        <w:tc>
          <w:tcPr>
            <w:tcW w:w="14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340" w:type="dxa"/>
            <w:vAlign w:val="bottom"/>
          </w:tcPr>
          <w:p>
            <w:pPr>
              <w:spacing w:after="0"/>
              <w:rPr>
                <w:sz w:val="18"/>
                <w:szCs w:val="18"/>
                <w:color w:val="auto"/>
              </w:rPr>
            </w:pPr>
          </w:p>
        </w:tc>
        <w:tc>
          <w:tcPr>
            <w:tcW w:w="6940" w:type="dxa"/>
            <w:vAlign w:val="bottom"/>
            <w:gridSpan w:val="2"/>
            <w:vMerge w:val="continue"/>
          </w:tcPr>
          <w:p>
            <w:pPr>
              <w:spacing w:after="0"/>
              <w:rPr>
                <w:sz w:val="18"/>
                <w:szCs w:val="18"/>
                <w:color w:val="auto"/>
              </w:rPr>
            </w:pPr>
          </w:p>
        </w:tc>
        <w:tc>
          <w:tcPr>
            <w:tcW w:w="14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340" w:type="dxa"/>
            <w:vAlign w:val="bottom"/>
          </w:tcPr>
          <w:p>
            <w:pPr>
              <w:spacing w:after="0"/>
              <w:rPr>
                <w:sz w:val="19"/>
                <w:szCs w:val="19"/>
                <w:color w:val="auto"/>
              </w:rPr>
            </w:pPr>
          </w:p>
        </w:tc>
        <w:tc>
          <w:tcPr>
            <w:tcW w:w="1380" w:type="dxa"/>
            <w:vAlign w:val="bottom"/>
          </w:tcPr>
          <w:p>
            <w:pPr>
              <w:spacing w:after="0"/>
              <w:rPr>
                <w:sz w:val="19"/>
                <w:szCs w:val="19"/>
                <w:color w:val="auto"/>
              </w:rPr>
            </w:pPr>
          </w:p>
        </w:tc>
        <w:tc>
          <w:tcPr>
            <w:tcW w:w="5560" w:type="dxa"/>
            <w:vAlign w:val="bottom"/>
            <w:tcBorders>
              <w:bottom w:val="single" w:sz="8" w:color="CFF0FC"/>
            </w:tcBorders>
            <w:shd w:val="clear" w:color="auto" w:fill="CFF0FC"/>
          </w:tcPr>
          <w:p>
            <w:pPr>
              <w:ind w:left="240"/>
              <w:spacing w:after="0"/>
              <w:rPr>
                <w:sz w:val="20"/>
                <w:szCs w:val="20"/>
                <w:color w:val="auto"/>
              </w:rPr>
            </w:pPr>
            <w:r>
              <w:rPr>
                <w:rFonts w:ascii="Arial" w:cs="Arial" w:eastAsia="Arial" w:hAnsi="Arial"/>
                <w:sz w:val="18"/>
                <w:szCs w:val="18"/>
                <w:color w:val="auto"/>
              </w:rPr>
              <w:t>Basic</w:t>
            </w:r>
          </w:p>
        </w:tc>
        <w:tc>
          <w:tcPr>
            <w:tcW w:w="14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96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0.09</w:t>
            </w:r>
          </w:p>
        </w:tc>
        <w:tc>
          <w:tcPr>
            <w:tcW w:w="140" w:type="dxa"/>
            <w:vAlign w:val="bottom"/>
            <w:tcBorders>
              <w:bottom w:val="single" w:sz="8" w:color="CFF0FC"/>
            </w:tcBorders>
            <w:shd w:val="clear" w:color="auto" w:fill="CFF0FC"/>
          </w:tcPr>
          <w:p>
            <w:pPr>
              <w:spacing w:after="0"/>
              <w:rPr>
                <w:sz w:val="19"/>
                <w:szCs w:val="19"/>
                <w:color w:val="auto"/>
              </w:rPr>
            </w:pPr>
          </w:p>
        </w:tc>
        <w:tc>
          <w:tcPr>
            <w:tcW w:w="10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5"/>
                <w:szCs w:val="15"/>
                <w:color w:val="auto"/>
                <w:w w:val="71"/>
              </w:rPr>
              <w:t>$</w:t>
            </w:r>
          </w:p>
        </w:tc>
        <w:tc>
          <w:tcPr>
            <w:tcW w:w="100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0.06</w:t>
            </w:r>
          </w:p>
        </w:tc>
        <w:tc>
          <w:tcPr>
            <w:tcW w:w="80" w:type="dxa"/>
            <w:vAlign w:val="bottom"/>
            <w:tcBorders>
              <w:bottom w:val="single" w:sz="8" w:color="CFF0FC"/>
            </w:tcBorders>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340" w:type="dxa"/>
            <w:vAlign w:val="bottom"/>
          </w:tcPr>
          <w:p>
            <w:pPr>
              <w:spacing w:after="0" w:line="20" w:lineRule="exact"/>
              <w:rPr>
                <w:sz w:val="1"/>
                <w:szCs w:val="1"/>
                <w:color w:val="auto"/>
              </w:rPr>
            </w:pPr>
          </w:p>
        </w:tc>
        <w:tc>
          <w:tcPr>
            <w:tcW w:w="1380" w:type="dxa"/>
            <w:vAlign w:val="bottom"/>
          </w:tcPr>
          <w:p>
            <w:pPr>
              <w:spacing w:after="0" w:line="20" w:lineRule="exact"/>
              <w:rPr>
                <w:sz w:val="1"/>
                <w:szCs w:val="1"/>
                <w:color w:val="auto"/>
              </w:rPr>
            </w:pPr>
          </w:p>
        </w:tc>
        <w:tc>
          <w:tcPr>
            <w:tcW w:w="5560" w:type="dxa"/>
            <w:vAlign w:val="bottom"/>
            <w:vMerge w:val="restart"/>
          </w:tcPr>
          <w:p>
            <w:pPr>
              <w:ind w:left="240"/>
              <w:spacing w:after="0"/>
              <w:rPr>
                <w:sz w:val="20"/>
                <w:szCs w:val="20"/>
                <w:color w:val="auto"/>
              </w:rPr>
            </w:pPr>
            <w:r>
              <w:rPr>
                <w:rFonts w:ascii="Arial" w:cs="Arial" w:eastAsia="Arial" w:hAnsi="Arial"/>
                <w:sz w:val="18"/>
                <w:szCs w:val="18"/>
                <w:color w:val="auto"/>
              </w:rPr>
              <w:t>Diluted</w:t>
            </w:r>
          </w:p>
        </w:tc>
        <w:tc>
          <w:tcPr>
            <w:tcW w:w="14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50"/>
        </w:trPr>
        <w:tc>
          <w:tcPr>
            <w:tcW w:w="340" w:type="dxa"/>
            <w:vAlign w:val="bottom"/>
          </w:tcPr>
          <w:p>
            <w:pPr>
              <w:spacing w:after="0"/>
              <w:rPr>
                <w:sz w:val="21"/>
                <w:szCs w:val="21"/>
                <w:color w:val="auto"/>
              </w:rPr>
            </w:pPr>
          </w:p>
        </w:tc>
        <w:tc>
          <w:tcPr>
            <w:tcW w:w="1380" w:type="dxa"/>
            <w:vAlign w:val="bottom"/>
          </w:tcPr>
          <w:p>
            <w:pPr>
              <w:spacing w:after="0"/>
              <w:rPr>
                <w:sz w:val="21"/>
                <w:szCs w:val="21"/>
                <w:color w:val="auto"/>
              </w:rPr>
            </w:pPr>
          </w:p>
        </w:tc>
        <w:tc>
          <w:tcPr>
            <w:tcW w:w="5560" w:type="dxa"/>
            <w:vAlign w:val="bottom"/>
            <w:tcBorders>
              <w:bottom w:val="single" w:sz="8" w:color="CFF0FC"/>
            </w:tcBorders>
            <w:vMerge w:val="continue"/>
          </w:tcPr>
          <w:p>
            <w:pPr>
              <w:spacing w:after="0"/>
              <w:rPr>
                <w:sz w:val="21"/>
                <w:szCs w:val="21"/>
                <w:color w:val="auto"/>
              </w:rPr>
            </w:pPr>
          </w:p>
        </w:tc>
        <w:tc>
          <w:tcPr>
            <w:tcW w:w="1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0.09</w:t>
            </w:r>
          </w:p>
        </w:tc>
        <w:tc>
          <w:tcPr>
            <w:tcW w:w="140" w:type="dxa"/>
            <w:vAlign w:val="bottom"/>
            <w:tcBorders>
              <w:bottom w:val="single" w:sz="8" w:color="CFF0FC"/>
            </w:tcBorders>
          </w:tcPr>
          <w:p>
            <w:pPr>
              <w:spacing w:after="0"/>
              <w:rPr>
                <w:sz w:val="21"/>
                <w:szCs w:val="21"/>
                <w:color w:val="auto"/>
              </w:rPr>
            </w:pPr>
          </w:p>
        </w:tc>
        <w:tc>
          <w:tcPr>
            <w:tcW w:w="10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10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0.06</w:t>
            </w:r>
          </w:p>
        </w:tc>
        <w:tc>
          <w:tcPr>
            <w:tcW w:w="80" w:type="dxa"/>
            <w:vAlign w:val="bottom"/>
            <w:tcBorders>
              <w:bottom w:val="single" w:sz="8" w:color="CFF0FC"/>
            </w:tcBorders>
          </w:tcPr>
          <w:p>
            <w:pPr>
              <w:spacing w:after="0"/>
              <w:rPr>
                <w:sz w:val="21"/>
                <w:szCs w:val="21"/>
                <w:color w:val="auto"/>
              </w:rPr>
            </w:pPr>
          </w:p>
        </w:tc>
        <w:tc>
          <w:tcPr>
            <w:tcW w:w="0" w:type="dxa"/>
            <w:vAlign w:val="bottom"/>
          </w:tcPr>
          <w:p>
            <w:pPr>
              <w:spacing w:after="0"/>
              <w:rPr>
                <w:sz w:val="1"/>
                <w:szCs w:val="1"/>
                <w:color w:val="auto"/>
              </w:rPr>
            </w:pPr>
          </w:p>
        </w:tc>
      </w:tr>
      <w:tr>
        <w:trPr>
          <w:trHeight w:val="196"/>
        </w:trPr>
        <w:tc>
          <w:tcPr>
            <w:tcW w:w="340" w:type="dxa"/>
            <w:vAlign w:val="bottom"/>
          </w:tcPr>
          <w:p>
            <w:pPr>
              <w:spacing w:after="0"/>
              <w:rPr>
                <w:sz w:val="17"/>
                <w:szCs w:val="17"/>
                <w:color w:val="auto"/>
              </w:rPr>
            </w:pPr>
          </w:p>
        </w:tc>
        <w:tc>
          <w:tcPr>
            <w:tcW w:w="1380" w:type="dxa"/>
            <w:vAlign w:val="bottom"/>
          </w:tcPr>
          <w:p>
            <w:pPr>
              <w:spacing w:after="0"/>
              <w:rPr>
                <w:sz w:val="17"/>
                <w:szCs w:val="17"/>
                <w:color w:val="auto"/>
              </w:rPr>
            </w:pPr>
          </w:p>
        </w:tc>
        <w:tc>
          <w:tcPr>
            <w:tcW w:w="5560" w:type="dxa"/>
            <w:vAlign w:val="bottom"/>
            <w:shd w:val="clear" w:color="auto" w:fill="CFF0FC"/>
          </w:tcPr>
          <w:p>
            <w:pPr>
              <w:spacing w:after="0" w:line="195" w:lineRule="exact"/>
              <w:rPr>
                <w:sz w:val="20"/>
                <w:szCs w:val="20"/>
                <w:color w:val="auto"/>
              </w:rPr>
            </w:pPr>
            <w:r>
              <w:rPr>
                <w:rFonts w:ascii="Arial" w:cs="Arial" w:eastAsia="Arial" w:hAnsi="Arial"/>
                <w:sz w:val="18"/>
                <w:szCs w:val="18"/>
                <w:color w:val="auto"/>
              </w:rPr>
              <w:t>Antidilutive stock options not included in diluted earnings</w:t>
            </w:r>
          </w:p>
        </w:tc>
        <w:tc>
          <w:tcPr>
            <w:tcW w:w="140" w:type="dxa"/>
            <w:vAlign w:val="bottom"/>
            <w:shd w:val="clear" w:color="auto" w:fill="CFF0FC"/>
          </w:tcPr>
          <w:p>
            <w:pPr>
              <w:spacing w:after="0"/>
              <w:rPr>
                <w:sz w:val="17"/>
                <w:szCs w:val="17"/>
                <w:color w:val="auto"/>
              </w:rPr>
            </w:pPr>
          </w:p>
        </w:tc>
        <w:tc>
          <w:tcPr>
            <w:tcW w:w="960" w:type="dxa"/>
            <w:vAlign w:val="bottom"/>
            <w:shd w:val="clear" w:color="auto" w:fill="CFF0FC"/>
          </w:tcPr>
          <w:p>
            <w:pPr>
              <w:spacing w:after="0"/>
              <w:rPr>
                <w:sz w:val="17"/>
                <w:szCs w:val="17"/>
                <w:color w:val="auto"/>
              </w:rPr>
            </w:pPr>
          </w:p>
        </w:tc>
        <w:tc>
          <w:tcPr>
            <w:tcW w:w="140" w:type="dxa"/>
            <w:vAlign w:val="bottom"/>
            <w:shd w:val="clear" w:color="auto" w:fill="CFF0FC"/>
          </w:tcPr>
          <w:p>
            <w:pPr>
              <w:spacing w:after="0"/>
              <w:rPr>
                <w:sz w:val="17"/>
                <w:szCs w:val="17"/>
                <w:color w:val="auto"/>
              </w:rPr>
            </w:pPr>
          </w:p>
        </w:tc>
        <w:tc>
          <w:tcPr>
            <w:tcW w:w="100" w:type="dxa"/>
            <w:vAlign w:val="bottom"/>
            <w:shd w:val="clear" w:color="auto" w:fill="CFF0FC"/>
          </w:tcPr>
          <w:p>
            <w:pPr>
              <w:spacing w:after="0"/>
              <w:rPr>
                <w:sz w:val="17"/>
                <w:szCs w:val="17"/>
                <w:color w:val="auto"/>
              </w:rPr>
            </w:pPr>
          </w:p>
        </w:tc>
        <w:tc>
          <w:tcPr>
            <w:tcW w:w="1000" w:type="dxa"/>
            <w:vAlign w:val="bottom"/>
            <w:shd w:val="clear" w:color="auto" w:fill="CFF0FC"/>
          </w:tcPr>
          <w:p>
            <w:pPr>
              <w:spacing w:after="0"/>
              <w:rPr>
                <w:sz w:val="17"/>
                <w:szCs w:val="17"/>
                <w:color w:val="auto"/>
              </w:rPr>
            </w:pPr>
          </w:p>
        </w:tc>
        <w:tc>
          <w:tcPr>
            <w:tcW w:w="80" w:type="dxa"/>
            <w:vAlign w:val="bottom"/>
            <w:shd w:val="clear" w:color="auto" w:fill="CFF0FC"/>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340" w:type="dxa"/>
            <w:vAlign w:val="bottom"/>
          </w:tcPr>
          <w:p>
            <w:pPr>
              <w:spacing w:after="0"/>
              <w:rPr>
                <w:sz w:val="20"/>
                <w:szCs w:val="20"/>
                <w:color w:val="auto"/>
              </w:rPr>
            </w:pPr>
          </w:p>
        </w:tc>
        <w:tc>
          <w:tcPr>
            <w:tcW w:w="1380" w:type="dxa"/>
            <w:vAlign w:val="bottom"/>
          </w:tcPr>
          <w:p>
            <w:pPr>
              <w:spacing w:after="0"/>
              <w:rPr>
                <w:sz w:val="20"/>
                <w:szCs w:val="20"/>
                <w:color w:val="auto"/>
              </w:rPr>
            </w:pPr>
          </w:p>
        </w:tc>
        <w:tc>
          <w:tcPr>
            <w:tcW w:w="5560" w:type="dxa"/>
            <w:vAlign w:val="bottom"/>
            <w:tcBorders>
              <w:bottom w:val="single" w:sz="8" w:color="CFF0FC"/>
            </w:tcBorders>
            <w:shd w:val="clear" w:color="auto" w:fill="CFF0FC"/>
          </w:tcPr>
          <w:p>
            <w:pPr>
              <w:ind w:left="140"/>
              <w:spacing w:after="0"/>
              <w:rPr>
                <w:sz w:val="20"/>
                <w:szCs w:val="20"/>
                <w:color w:val="auto"/>
              </w:rPr>
            </w:pPr>
            <w:r>
              <w:rPr>
                <w:rFonts w:ascii="Arial" w:cs="Arial" w:eastAsia="Arial" w:hAnsi="Arial"/>
                <w:sz w:val="18"/>
                <w:szCs w:val="18"/>
                <w:color w:val="auto"/>
              </w:rPr>
              <w:t>per share</w:t>
            </w:r>
          </w:p>
        </w:tc>
        <w:tc>
          <w:tcPr>
            <w:tcW w:w="140" w:type="dxa"/>
            <w:vAlign w:val="bottom"/>
            <w:tcBorders>
              <w:bottom w:val="single" w:sz="8" w:color="auto"/>
            </w:tcBorders>
            <w:shd w:val="clear" w:color="auto" w:fill="CFF0FC"/>
          </w:tcPr>
          <w:p>
            <w:pPr>
              <w:spacing w:after="0"/>
              <w:rPr>
                <w:sz w:val="20"/>
                <w:szCs w:val="20"/>
                <w:color w:val="auto"/>
              </w:rPr>
            </w:pPr>
          </w:p>
        </w:tc>
        <w:tc>
          <w:tcPr>
            <w:tcW w:w="96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1,266,863</w:t>
            </w:r>
          </w:p>
        </w:tc>
        <w:tc>
          <w:tcPr>
            <w:tcW w:w="140" w:type="dxa"/>
            <w:vAlign w:val="bottom"/>
            <w:tcBorders>
              <w:bottom w:val="single" w:sz="8" w:color="CFF0FC"/>
            </w:tcBorders>
            <w:shd w:val="clear" w:color="auto" w:fill="CFF0FC"/>
          </w:tcPr>
          <w:p>
            <w:pPr>
              <w:spacing w:after="0"/>
              <w:rPr>
                <w:sz w:val="20"/>
                <w:szCs w:val="20"/>
                <w:color w:val="auto"/>
              </w:rPr>
            </w:pPr>
          </w:p>
        </w:tc>
        <w:tc>
          <w:tcPr>
            <w:tcW w:w="100" w:type="dxa"/>
            <w:vAlign w:val="bottom"/>
            <w:tcBorders>
              <w:bottom w:val="single" w:sz="8" w:color="auto"/>
            </w:tcBorders>
            <w:shd w:val="clear" w:color="auto" w:fill="CFF0FC"/>
          </w:tcPr>
          <w:p>
            <w:pPr>
              <w:spacing w:after="0"/>
              <w:rPr>
                <w:sz w:val="20"/>
                <w:szCs w:val="20"/>
                <w:color w:val="auto"/>
              </w:rPr>
            </w:pPr>
          </w:p>
        </w:tc>
        <w:tc>
          <w:tcPr>
            <w:tcW w:w="100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80" w:type="dxa"/>
            <w:vAlign w:val="bottom"/>
            <w:tcBorders>
              <w:bottom w:val="single" w:sz="8" w:color="CFF0FC"/>
            </w:tcBorders>
            <w:shd w:val="clear" w:color="auto" w:fill="CFF0FC"/>
          </w:tcPr>
          <w:p>
            <w:pPr>
              <w:spacing w:after="0"/>
              <w:rPr>
                <w:sz w:val="20"/>
                <w:szCs w:val="20"/>
                <w:color w:val="auto"/>
              </w:rPr>
            </w:pPr>
          </w:p>
        </w:tc>
        <w:tc>
          <w:tcPr>
            <w:tcW w:w="0" w:type="dxa"/>
            <w:vAlign w:val="bottom"/>
          </w:tcPr>
          <w:p>
            <w:pPr>
              <w:spacing w:after="0"/>
              <w:rPr>
                <w:sz w:val="1"/>
                <w:szCs w:val="1"/>
                <w:color w:val="auto"/>
              </w:rPr>
            </w:pPr>
          </w:p>
        </w:tc>
      </w:tr>
      <w:tr>
        <w:trPr>
          <w:trHeight w:val="20"/>
        </w:trPr>
        <w:tc>
          <w:tcPr>
            <w:tcW w:w="340" w:type="dxa"/>
            <w:vAlign w:val="bottom"/>
            <w:vMerge w:val="restart"/>
          </w:tcPr>
          <w:p>
            <w:pPr>
              <w:jc w:val="right"/>
              <w:ind w:right="110"/>
              <w:spacing w:after="0"/>
              <w:rPr>
                <w:sz w:val="20"/>
                <w:szCs w:val="20"/>
                <w:color w:val="auto"/>
              </w:rPr>
            </w:pPr>
            <w:r>
              <w:rPr>
                <w:rFonts w:ascii="Arial" w:cs="Arial" w:eastAsia="Arial" w:hAnsi="Arial"/>
                <w:sz w:val="18"/>
                <w:szCs w:val="18"/>
                <w:b w:val="1"/>
                <w:bCs w:val="1"/>
                <w:color w:val="auto"/>
                <w:w w:val="79"/>
              </w:rPr>
              <w:t>6.</w:t>
            </w:r>
          </w:p>
        </w:tc>
        <w:tc>
          <w:tcPr>
            <w:tcW w:w="6940" w:type="dxa"/>
            <w:vAlign w:val="bottom"/>
            <w:gridSpan w:val="2"/>
            <w:vMerge w:val="restart"/>
          </w:tcPr>
          <w:p>
            <w:pPr>
              <w:ind w:left="200"/>
              <w:spacing w:after="0"/>
              <w:rPr>
                <w:sz w:val="20"/>
                <w:szCs w:val="20"/>
                <w:color w:val="auto"/>
              </w:rPr>
            </w:pPr>
            <w:r>
              <w:rPr>
                <w:rFonts w:ascii="Arial" w:cs="Arial" w:eastAsia="Arial" w:hAnsi="Arial"/>
                <w:sz w:val="18"/>
                <w:szCs w:val="18"/>
                <w:b w:val="1"/>
                <w:bCs w:val="1"/>
                <w:color w:val="auto"/>
              </w:rPr>
              <w:t>Receivables</w:t>
            </w:r>
          </w:p>
        </w:tc>
        <w:tc>
          <w:tcPr>
            <w:tcW w:w="14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602"/>
        </w:trPr>
        <w:tc>
          <w:tcPr>
            <w:tcW w:w="340" w:type="dxa"/>
            <w:vAlign w:val="bottom"/>
            <w:vMerge w:val="continue"/>
          </w:tcPr>
          <w:p>
            <w:pPr>
              <w:spacing w:after="0"/>
              <w:rPr>
                <w:sz w:val="24"/>
                <w:szCs w:val="24"/>
                <w:color w:val="auto"/>
              </w:rPr>
            </w:pPr>
          </w:p>
        </w:tc>
        <w:tc>
          <w:tcPr>
            <w:tcW w:w="6940" w:type="dxa"/>
            <w:vAlign w:val="bottom"/>
            <w:gridSpan w:val="2"/>
            <w:vMerge w:val="continue"/>
          </w:tcPr>
          <w:p>
            <w:pPr>
              <w:spacing w:after="0"/>
              <w:rPr>
                <w:sz w:val="24"/>
                <w:szCs w:val="24"/>
                <w:color w:val="auto"/>
              </w:rPr>
            </w:pPr>
          </w:p>
        </w:tc>
        <w:tc>
          <w:tcPr>
            <w:tcW w:w="14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24"/>
        </w:trPr>
        <w:tc>
          <w:tcPr>
            <w:tcW w:w="340" w:type="dxa"/>
            <w:vAlign w:val="bottom"/>
          </w:tcPr>
          <w:p>
            <w:pPr>
              <w:spacing w:after="0"/>
              <w:rPr>
                <w:sz w:val="24"/>
                <w:szCs w:val="24"/>
                <w:color w:val="auto"/>
              </w:rPr>
            </w:pPr>
          </w:p>
        </w:tc>
        <w:tc>
          <w:tcPr>
            <w:tcW w:w="6940" w:type="dxa"/>
            <w:vAlign w:val="bottom"/>
            <w:gridSpan w:val="2"/>
          </w:tcPr>
          <w:p>
            <w:pPr>
              <w:ind w:left="180"/>
              <w:spacing w:after="0"/>
              <w:rPr>
                <w:sz w:val="20"/>
                <w:szCs w:val="20"/>
                <w:color w:val="auto"/>
              </w:rPr>
            </w:pPr>
            <w:r>
              <w:rPr>
                <w:rFonts w:ascii="Arial" w:cs="Arial" w:eastAsia="Arial" w:hAnsi="Arial"/>
                <w:sz w:val="18"/>
                <w:szCs w:val="18"/>
                <w:color w:val="auto"/>
              </w:rPr>
              <w:t>Receivables consisted of the following (in thousands):</w:t>
            </w:r>
          </w:p>
        </w:tc>
        <w:tc>
          <w:tcPr>
            <w:tcW w:w="14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69"/>
        </w:trPr>
        <w:tc>
          <w:tcPr>
            <w:tcW w:w="340" w:type="dxa"/>
            <w:vAlign w:val="bottom"/>
          </w:tcPr>
          <w:p>
            <w:pPr>
              <w:spacing w:after="0"/>
              <w:rPr>
                <w:sz w:val="24"/>
                <w:szCs w:val="24"/>
                <w:color w:val="auto"/>
              </w:rPr>
            </w:pPr>
          </w:p>
        </w:tc>
        <w:tc>
          <w:tcPr>
            <w:tcW w:w="1380" w:type="dxa"/>
            <w:vAlign w:val="bottom"/>
          </w:tcPr>
          <w:p>
            <w:pPr>
              <w:spacing w:after="0"/>
              <w:rPr>
                <w:sz w:val="24"/>
                <w:szCs w:val="24"/>
                <w:color w:val="auto"/>
              </w:rPr>
            </w:pPr>
          </w:p>
        </w:tc>
        <w:tc>
          <w:tcPr>
            <w:tcW w:w="55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100" w:type="dxa"/>
            <w:vAlign w:val="bottom"/>
            <w:gridSpan w:val="2"/>
          </w:tcPr>
          <w:p>
            <w:pPr>
              <w:ind w:left="100"/>
              <w:spacing w:after="0"/>
              <w:rPr>
                <w:sz w:val="20"/>
                <w:szCs w:val="20"/>
                <w:color w:val="auto"/>
              </w:rPr>
            </w:pPr>
            <w:r>
              <w:rPr>
                <w:rFonts w:ascii="Arial" w:cs="Arial" w:eastAsia="Arial" w:hAnsi="Arial"/>
                <w:sz w:val="14"/>
                <w:szCs w:val="14"/>
                <w:b w:val="1"/>
                <w:bCs w:val="1"/>
                <w:color w:val="auto"/>
              </w:rPr>
              <w:t>March 31,</w:t>
            </w:r>
          </w:p>
        </w:tc>
        <w:tc>
          <w:tcPr>
            <w:tcW w:w="100" w:type="dxa"/>
            <w:vAlign w:val="bottom"/>
          </w:tcPr>
          <w:p>
            <w:pPr>
              <w:spacing w:after="0"/>
              <w:rPr>
                <w:sz w:val="24"/>
                <w:szCs w:val="24"/>
                <w:color w:val="auto"/>
              </w:rPr>
            </w:pPr>
          </w:p>
        </w:tc>
        <w:tc>
          <w:tcPr>
            <w:tcW w:w="1080" w:type="dxa"/>
            <w:vAlign w:val="bottom"/>
            <w:gridSpan w:val="2"/>
          </w:tcPr>
          <w:p>
            <w:pPr>
              <w:ind w:left="20"/>
              <w:spacing w:after="0"/>
              <w:rPr>
                <w:sz w:val="20"/>
                <w:szCs w:val="20"/>
                <w:color w:val="auto"/>
              </w:rPr>
            </w:pPr>
            <w:r>
              <w:rPr>
                <w:rFonts w:ascii="Arial" w:cs="Arial" w:eastAsia="Arial" w:hAnsi="Arial"/>
                <w:sz w:val="14"/>
                <w:szCs w:val="14"/>
                <w:b w:val="1"/>
                <w:bCs w:val="1"/>
                <w:color w:val="auto"/>
              </w:rPr>
              <w:t>December 31,</w:t>
            </w:r>
          </w:p>
        </w:tc>
        <w:tc>
          <w:tcPr>
            <w:tcW w:w="0" w:type="dxa"/>
            <w:vAlign w:val="bottom"/>
          </w:tcPr>
          <w:p>
            <w:pPr>
              <w:spacing w:after="0"/>
              <w:rPr>
                <w:sz w:val="1"/>
                <w:szCs w:val="1"/>
                <w:color w:val="auto"/>
              </w:rPr>
            </w:pPr>
          </w:p>
        </w:tc>
      </w:tr>
      <w:tr>
        <w:trPr>
          <w:trHeight w:val="171"/>
        </w:trPr>
        <w:tc>
          <w:tcPr>
            <w:tcW w:w="340" w:type="dxa"/>
            <w:vAlign w:val="bottom"/>
          </w:tcPr>
          <w:p>
            <w:pPr>
              <w:spacing w:after="0"/>
              <w:rPr>
                <w:sz w:val="14"/>
                <w:szCs w:val="14"/>
                <w:color w:val="auto"/>
              </w:rPr>
            </w:pPr>
          </w:p>
        </w:tc>
        <w:tc>
          <w:tcPr>
            <w:tcW w:w="1380" w:type="dxa"/>
            <w:vAlign w:val="bottom"/>
          </w:tcPr>
          <w:p>
            <w:pPr>
              <w:spacing w:after="0"/>
              <w:rPr>
                <w:sz w:val="14"/>
                <w:szCs w:val="14"/>
                <w:color w:val="auto"/>
              </w:rPr>
            </w:pPr>
          </w:p>
        </w:tc>
        <w:tc>
          <w:tcPr>
            <w:tcW w:w="5560" w:type="dxa"/>
            <w:vAlign w:val="bottom"/>
            <w:tcBorders>
              <w:bottom w:val="single" w:sz="8" w:color="CFF0FC"/>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960" w:type="dxa"/>
            <w:vAlign w:val="bottom"/>
            <w:tcBorders>
              <w:bottom w:val="single" w:sz="8" w:color="auto"/>
            </w:tcBorders>
          </w:tcPr>
          <w:p>
            <w:pPr>
              <w:jc w:val="right"/>
              <w:ind w:right="315"/>
              <w:spacing w:after="0"/>
              <w:rPr>
                <w:sz w:val="20"/>
                <w:szCs w:val="20"/>
                <w:color w:val="auto"/>
              </w:rPr>
            </w:pPr>
            <w:r>
              <w:rPr>
                <w:rFonts w:ascii="Arial" w:cs="Arial" w:eastAsia="Arial" w:hAnsi="Arial"/>
                <w:sz w:val="14"/>
                <w:szCs w:val="14"/>
                <w:b w:val="1"/>
                <w:bCs w:val="1"/>
                <w:color w:val="auto"/>
              </w:rPr>
              <w:t>2015</w:t>
            </w:r>
          </w:p>
        </w:tc>
        <w:tc>
          <w:tcPr>
            <w:tcW w:w="140" w:type="dxa"/>
            <w:vAlign w:val="bottom"/>
            <w:tcBorders>
              <w:bottom w:val="single" w:sz="8" w:color="CFF0FC"/>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1000" w:type="dxa"/>
            <w:vAlign w:val="bottom"/>
            <w:tcBorders>
              <w:bottom w:val="single" w:sz="8" w:color="auto"/>
            </w:tcBorders>
          </w:tcPr>
          <w:p>
            <w:pPr>
              <w:jc w:val="right"/>
              <w:ind w:right="334"/>
              <w:spacing w:after="0"/>
              <w:rPr>
                <w:sz w:val="20"/>
                <w:szCs w:val="20"/>
                <w:color w:val="auto"/>
              </w:rPr>
            </w:pPr>
            <w:r>
              <w:rPr>
                <w:rFonts w:ascii="Arial" w:cs="Arial" w:eastAsia="Arial" w:hAnsi="Arial"/>
                <w:sz w:val="14"/>
                <w:szCs w:val="14"/>
                <w:b w:val="1"/>
                <w:bCs w:val="1"/>
                <w:color w:val="auto"/>
              </w:rPr>
              <w:t>2014</w:t>
            </w:r>
          </w:p>
        </w:tc>
        <w:tc>
          <w:tcPr>
            <w:tcW w:w="80" w:type="dxa"/>
            <w:vAlign w:val="bottom"/>
            <w:tcBorders>
              <w:bottom w:val="single" w:sz="8" w:color="CFF0FC"/>
            </w:tcBorders>
          </w:tcPr>
          <w:p>
            <w:pPr>
              <w:spacing w:after="0"/>
              <w:rPr>
                <w:sz w:val="14"/>
                <w:szCs w:val="14"/>
                <w:color w:val="auto"/>
              </w:rPr>
            </w:pPr>
          </w:p>
        </w:tc>
        <w:tc>
          <w:tcPr>
            <w:tcW w:w="0" w:type="dxa"/>
            <w:vAlign w:val="bottom"/>
          </w:tcPr>
          <w:p>
            <w:pPr>
              <w:spacing w:after="0"/>
              <w:rPr>
                <w:sz w:val="1"/>
                <w:szCs w:val="1"/>
                <w:color w:val="auto"/>
              </w:rPr>
            </w:pPr>
          </w:p>
        </w:tc>
      </w:tr>
      <w:tr>
        <w:trPr>
          <w:trHeight w:val="223"/>
        </w:trPr>
        <w:tc>
          <w:tcPr>
            <w:tcW w:w="340" w:type="dxa"/>
            <w:vAlign w:val="bottom"/>
          </w:tcPr>
          <w:p>
            <w:pPr>
              <w:spacing w:after="0"/>
              <w:rPr>
                <w:sz w:val="19"/>
                <w:szCs w:val="19"/>
                <w:color w:val="auto"/>
              </w:rPr>
            </w:pPr>
          </w:p>
        </w:tc>
        <w:tc>
          <w:tcPr>
            <w:tcW w:w="1380" w:type="dxa"/>
            <w:vAlign w:val="bottom"/>
          </w:tcPr>
          <w:p>
            <w:pPr>
              <w:spacing w:after="0"/>
              <w:rPr>
                <w:sz w:val="19"/>
                <w:szCs w:val="19"/>
                <w:color w:val="auto"/>
              </w:rPr>
            </w:pPr>
          </w:p>
        </w:tc>
        <w:tc>
          <w:tcPr>
            <w:tcW w:w="5560" w:type="dxa"/>
            <w:vAlign w:val="bottom"/>
            <w:shd w:val="clear" w:color="auto" w:fill="CFF0FC"/>
          </w:tcPr>
          <w:p>
            <w:pPr>
              <w:spacing w:after="0"/>
              <w:rPr>
                <w:sz w:val="20"/>
                <w:szCs w:val="20"/>
                <w:color w:val="auto"/>
              </w:rPr>
            </w:pPr>
            <w:r>
              <w:rPr>
                <w:rFonts w:ascii="Arial" w:cs="Arial" w:eastAsia="Arial" w:hAnsi="Arial"/>
                <w:sz w:val="18"/>
                <w:szCs w:val="18"/>
                <w:color w:val="auto"/>
              </w:rPr>
              <w:t>Accounts receivable, net</w:t>
            </w:r>
          </w:p>
        </w:tc>
        <w:tc>
          <w:tcPr>
            <w:tcW w:w="140" w:type="dxa"/>
            <w:vAlign w:val="bottom"/>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9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12,980</w:t>
            </w:r>
          </w:p>
        </w:tc>
        <w:tc>
          <w:tcPr>
            <w:tcW w:w="140" w:type="dxa"/>
            <w:vAlign w:val="bottom"/>
            <w:shd w:val="clear" w:color="auto" w:fill="CFF0FC"/>
          </w:tcPr>
          <w:p>
            <w:pPr>
              <w:spacing w:after="0"/>
              <w:rPr>
                <w:sz w:val="19"/>
                <w:szCs w:val="19"/>
                <w:color w:val="auto"/>
              </w:rPr>
            </w:pPr>
          </w:p>
        </w:tc>
        <w:tc>
          <w:tcPr>
            <w:tcW w:w="100" w:type="dxa"/>
            <w:vAlign w:val="bottom"/>
            <w:shd w:val="clear" w:color="auto" w:fill="CFF0FC"/>
          </w:tcPr>
          <w:p>
            <w:pPr>
              <w:jc w:val="right"/>
              <w:spacing w:after="0"/>
              <w:rPr>
                <w:sz w:val="20"/>
                <w:szCs w:val="20"/>
                <w:color w:val="auto"/>
              </w:rPr>
            </w:pPr>
            <w:r>
              <w:rPr>
                <w:rFonts w:ascii="Arial" w:cs="Arial" w:eastAsia="Arial" w:hAnsi="Arial"/>
                <w:sz w:val="15"/>
                <w:szCs w:val="15"/>
                <w:color w:val="auto"/>
                <w:w w:val="71"/>
              </w:rPr>
              <w:t>$</w:t>
            </w:r>
          </w:p>
        </w:tc>
        <w:tc>
          <w:tcPr>
            <w:tcW w:w="10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9,771</w:t>
            </w:r>
          </w:p>
        </w:tc>
        <w:tc>
          <w:tcPr>
            <w:tcW w:w="8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340" w:type="dxa"/>
            <w:vAlign w:val="bottom"/>
          </w:tcPr>
          <w:p>
            <w:pPr>
              <w:spacing w:after="0"/>
              <w:rPr>
                <w:sz w:val="19"/>
                <w:szCs w:val="19"/>
                <w:color w:val="auto"/>
              </w:rPr>
            </w:pPr>
          </w:p>
        </w:tc>
        <w:tc>
          <w:tcPr>
            <w:tcW w:w="1380" w:type="dxa"/>
            <w:vAlign w:val="bottom"/>
          </w:tcPr>
          <w:p>
            <w:pPr>
              <w:spacing w:after="0"/>
              <w:rPr>
                <w:sz w:val="19"/>
                <w:szCs w:val="19"/>
                <w:color w:val="auto"/>
              </w:rPr>
            </w:pPr>
          </w:p>
        </w:tc>
        <w:tc>
          <w:tcPr>
            <w:tcW w:w="5560" w:type="dxa"/>
            <w:vAlign w:val="bottom"/>
          </w:tcPr>
          <w:p>
            <w:pPr>
              <w:spacing w:after="0"/>
              <w:rPr>
                <w:sz w:val="20"/>
                <w:szCs w:val="20"/>
                <w:color w:val="auto"/>
              </w:rPr>
            </w:pPr>
            <w:r>
              <w:rPr>
                <w:rFonts w:ascii="Arial" w:cs="Arial" w:eastAsia="Arial" w:hAnsi="Arial"/>
                <w:sz w:val="18"/>
                <w:szCs w:val="18"/>
                <w:color w:val="auto"/>
              </w:rPr>
              <w:t>Warranty insurance receivable (Note 15)</w:t>
            </w:r>
          </w:p>
        </w:tc>
        <w:tc>
          <w:tcPr>
            <w:tcW w:w="140" w:type="dxa"/>
            <w:vAlign w:val="bottom"/>
          </w:tcPr>
          <w:p>
            <w:pPr>
              <w:spacing w:after="0"/>
              <w:rPr>
                <w:sz w:val="19"/>
                <w:szCs w:val="19"/>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9,732</w:t>
            </w:r>
          </w:p>
        </w:tc>
        <w:tc>
          <w:tcPr>
            <w:tcW w:w="1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10,047</w:t>
            </w:r>
          </w:p>
        </w:tc>
        <w:tc>
          <w:tcPr>
            <w:tcW w:w="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340" w:type="dxa"/>
            <w:vAlign w:val="bottom"/>
          </w:tcPr>
          <w:p>
            <w:pPr>
              <w:spacing w:after="0"/>
              <w:rPr>
                <w:sz w:val="19"/>
                <w:szCs w:val="19"/>
                <w:color w:val="auto"/>
              </w:rPr>
            </w:pPr>
          </w:p>
        </w:tc>
        <w:tc>
          <w:tcPr>
            <w:tcW w:w="1380" w:type="dxa"/>
            <w:vAlign w:val="bottom"/>
          </w:tcPr>
          <w:p>
            <w:pPr>
              <w:spacing w:after="0"/>
              <w:rPr>
                <w:sz w:val="19"/>
                <w:szCs w:val="19"/>
                <w:color w:val="auto"/>
              </w:rPr>
            </w:pPr>
          </w:p>
        </w:tc>
        <w:tc>
          <w:tcPr>
            <w:tcW w:w="5560" w:type="dxa"/>
            <w:vAlign w:val="bottom"/>
            <w:shd w:val="clear" w:color="auto" w:fill="CFF0FC"/>
          </w:tcPr>
          <w:p>
            <w:pPr>
              <w:spacing w:after="0"/>
              <w:rPr>
                <w:sz w:val="20"/>
                <w:szCs w:val="20"/>
                <w:color w:val="auto"/>
              </w:rPr>
            </w:pPr>
            <w:r>
              <w:rPr>
                <w:rFonts w:ascii="Arial" w:cs="Arial" w:eastAsia="Arial" w:hAnsi="Arial"/>
                <w:sz w:val="18"/>
                <w:szCs w:val="18"/>
                <w:color w:val="auto"/>
              </w:rPr>
              <w:t>Notes and contracts receivable</w:t>
            </w:r>
          </w:p>
        </w:tc>
        <w:tc>
          <w:tcPr>
            <w:tcW w:w="140" w:type="dxa"/>
            <w:vAlign w:val="bottom"/>
            <w:tcBorders>
              <w:bottom w:val="single" w:sz="8" w:color="auto"/>
            </w:tcBorders>
            <w:shd w:val="clear" w:color="auto" w:fill="CFF0FC"/>
          </w:tcPr>
          <w:p>
            <w:pPr>
              <w:spacing w:after="0"/>
              <w:rPr>
                <w:sz w:val="19"/>
                <w:szCs w:val="19"/>
                <w:color w:val="auto"/>
              </w:rPr>
            </w:pPr>
          </w:p>
        </w:tc>
        <w:tc>
          <w:tcPr>
            <w:tcW w:w="96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300</w:t>
            </w:r>
          </w:p>
        </w:tc>
        <w:tc>
          <w:tcPr>
            <w:tcW w:w="140" w:type="dxa"/>
            <w:vAlign w:val="bottom"/>
            <w:shd w:val="clear" w:color="auto" w:fill="CFF0FC"/>
          </w:tcPr>
          <w:p>
            <w:pPr>
              <w:spacing w:after="0"/>
              <w:rPr>
                <w:sz w:val="19"/>
                <w:szCs w:val="19"/>
                <w:color w:val="auto"/>
              </w:rPr>
            </w:pPr>
          </w:p>
        </w:tc>
        <w:tc>
          <w:tcPr>
            <w:tcW w:w="100" w:type="dxa"/>
            <w:vAlign w:val="bottom"/>
            <w:tcBorders>
              <w:bottom w:val="single" w:sz="8" w:color="auto"/>
            </w:tcBorders>
            <w:shd w:val="clear" w:color="auto" w:fill="CFF0FC"/>
          </w:tcPr>
          <w:p>
            <w:pPr>
              <w:spacing w:after="0"/>
              <w:rPr>
                <w:sz w:val="19"/>
                <w:szCs w:val="19"/>
                <w:color w:val="auto"/>
              </w:rPr>
            </w:pPr>
          </w:p>
        </w:tc>
        <w:tc>
          <w:tcPr>
            <w:tcW w:w="100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300</w:t>
            </w:r>
          </w:p>
        </w:tc>
        <w:tc>
          <w:tcPr>
            <w:tcW w:w="8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340" w:type="dxa"/>
            <w:vAlign w:val="bottom"/>
          </w:tcPr>
          <w:p>
            <w:pPr>
              <w:spacing w:after="0"/>
              <w:rPr>
                <w:sz w:val="19"/>
                <w:szCs w:val="19"/>
                <w:color w:val="auto"/>
              </w:rPr>
            </w:pPr>
          </w:p>
        </w:tc>
        <w:tc>
          <w:tcPr>
            <w:tcW w:w="6940" w:type="dxa"/>
            <w:vAlign w:val="bottom"/>
            <w:gridSpan w:val="2"/>
          </w:tcPr>
          <w:p>
            <w:pPr>
              <w:ind w:left="1380"/>
              <w:spacing w:after="0"/>
              <w:rPr>
                <w:sz w:val="20"/>
                <w:szCs w:val="20"/>
                <w:color w:val="auto"/>
              </w:rPr>
            </w:pPr>
            <w:r>
              <w:rPr>
                <w:rFonts w:ascii="Arial" w:cs="Arial" w:eastAsia="Arial" w:hAnsi="Arial"/>
                <w:sz w:val="18"/>
                <w:szCs w:val="18"/>
                <w:color w:val="auto"/>
              </w:rPr>
              <w:t>Total receivables</w:t>
            </w:r>
          </w:p>
        </w:tc>
        <w:tc>
          <w:tcPr>
            <w:tcW w:w="1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23,012</w:t>
            </w:r>
          </w:p>
        </w:tc>
        <w:tc>
          <w:tcPr>
            <w:tcW w:w="140" w:type="dxa"/>
            <w:vAlign w:val="bottom"/>
          </w:tcPr>
          <w:p>
            <w:pPr>
              <w:spacing w:after="0"/>
              <w:rPr>
                <w:sz w:val="19"/>
                <w:szCs w:val="19"/>
                <w:color w:val="auto"/>
              </w:rPr>
            </w:pPr>
          </w:p>
        </w:tc>
        <w:tc>
          <w:tcPr>
            <w:tcW w:w="10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10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20,118</w:t>
            </w:r>
          </w:p>
        </w:tc>
        <w:tc>
          <w:tcPr>
            <w:tcW w:w="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340" w:type="dxa"/>
            <w:vAlign w:val="bottom"/>
          </w:tcPr>
          <w:p>
            <w:pPr>
              <w:spacing w:after="0" w:line="20" w:lineRule="exact"/>
              <w:rPr>
                <w:sz w:val="1"/>
                <w:szCs w:val="1"/>
                <w:color w:val="auto"/>
              </w:rPr>
            </w:pPr>
          </w:p>
        </w:tc>
        <w:tc>
          <w:tcPr>
            <w:tcW w:w="1380" w:type="dxa"/>
            <w:vAlign w:val="bottom"/>
          </w:tcPr>
          <w:p>
            <w:pPr>
              <w:spacing w:after="0" w:line="20" w:lineRule="exact"/>
              <w:rPr>
                <w:sz w:val="1"/>
                <w:szCs w:val="1"/>
                <w:color w:val="auto"/>
              </w:rPr>
            </w:pPr>
          </w:p>
        </w:tc>
        <w:tc>
          <w:tcPr>
            <w:tcW w:w="55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387" w:lineRule="exact"/>
        <w:rPr>
          <w:sz w:val="20"/>
          <w:szCs w:val="20"/>
          <w:color w:val="auto"/>
        </w:rPr>
      </w:pPr>
    </w:p>
    <w:p>
      <w:pPr>
        <w:ind w:left="540" w:hanging="532"/>
        <w:spacing w:after="0"/>
        <w:tabs>
          <w:tab w:leader="none" w:pos="540" w:val="left"/>
        </w:tabs>
        <w:numPr>
          <w:ilvl w:val="0"/>
          <w:numId w:val="8"/>
        </w:numPr>
        <w:rPr>
          <w:rFonts w:ascii="Arial" w:cs="Arial" w:eastAsia="Arial" w:hAnsi="Arial"/>
          <w:sz w:val="18"/>
          <w:szCs w:val="18"/>
          <w:b w:val="1"/>
          <w:bCs w:val="1"/>
          <w:color w:val="auto"/>
        </w:rPr>
      </w:pPr>
      <w:r>
        <w:rPr>
          <w:rFonts w:ascii="Arial" w:cs="Arial" w:eastAsia="Arial" w:hAnsi="Arial"/>
          <w:sz w:val="18"/>
          <w:szCs w:val="18"/>
          <w:b w:val="1"/>
          <w:bCs w:val="1"/>
          <w:color w:val="auto"/>
        </w:rPr>
        <w:t>Real Estate Inventories</w:t>
      </w:r>
    </w:p>
    <w:p>
      <w:pPr>
        <w:spacing w:after="0" w:line="121" w:lineRule="exact"/>
        <w:rPr>
          <w:rFonts w:ascii="Arial" w:cs="Arial" w:eastAsia="Arial" w:hAnsi="Arial"/>
          <w:sz w:val="18"/>
          <w:szCs w:val="18"/>
          <w:b w:val="1"/>
          <w:bCs w:val="1"/>
          <w:color w:val="auto"/>
        </w:rPr>
      </w:pPr>
    </w:p>
    <w:p>
      <w:pPr>
        <w:ind w:left="520"/>
        <w:spacing w:after="0"/>
        <w:rPr>
          <w:rFonts w:ascii="Arial" w:cs="Arial" w:eastAsia="Arial" w:hAnsi="Arial"/>
          <w:sz w:val="18"/>
          <w:szCs w:val="18"/>
          <w:b w:val="1"/>
          <w:bCs w:val="1"/>
          <w:color w:val="auto"/>
        </w:rPr>
      </w:pPr>
      <w:r>
        <w:rPr>
          <w:rFonts w:ascii="Arial" w:cs="Arial" w:eastAsia="Arial" w:hAnsi="Arial"/>
          <w:sz w:val="18"/>
          <w:szCs w:val="18"/>
          <w:color w:val="auto"/>
        </w:rPr>
        <w:t>Real estate inventories consisted of the following (in thousands):</w:t>
      </w:r>
    </w:p>
    <w:p>
      <w:pPr>
        <w:spacing w:after="0" w:line="298" w:lineRule="exact"/>
        <w:rPr>
          <w:sz w:val="20"/>
          <w:szCs w:val="20"/>
          <w:color w:val="auto"/>
        </w:rPr>
      </w:pPr>
    </w:p>
    <w:tbl>
      <w:tblPr>
        <w:tblLayout w:type="fixed"/>
        <w:tblInd w:w="1720" w:type="dxa"/>
        <w:tblCellMar>
          <w:top w:w="0" w:type="dxa"/>
          <w:left w:w="0" w:type="dxa"/>
          <w:bottom w:w="0" w:type="dxa"/>
          <w:right w:w="0" w:type="dxa"/>
        </w:tblCellMar>
      </w:tblPr>
      <w:tr>
        <w:trPr>
          <w:trHeight w:val="162"/>
        </w:trPr>
        <w:tc>
          <w:tcPr>
            <w:tcW w:w="55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080" w:type="dxa"/>
            <w:vAlign w:val="bottom"/>
            <w:gridSpan w:val="2"/>
          </w:tcPr>
          <w:p>
            <w:pPr>
              <w:ind w:left="80"/>
              <w:spacing w:after="0"/>
              <w:rPr>
                <w:sz w:val="20"/>
                <w:szCs w:val="20"/>
                <w:color w:val="auto"/>
              </w:rPr>
            </w:pPr>
            <w:r>
              <w:rPr>
                <w:rFonts w:ascii="Arial" w:cs="Arial" w:eastAsia="Arial" w:hAnsi="Arial"/>
                <w:sz w:val="14"/>
                <w:szCs w:val="14"/>
                <w:b w:val="1"/>
                <w:bCs w:val="1"/>
                <w:color w:val="auto"/>
              </w:rPr>
              <w:t>March 31,</w:t>
            </w:r>
          </w:p>
        </w:tc>
        <w:tc>
          <w:tcPr>
            <w:tcW w:w="100" w:type="dxa"/>
            <w:vAlign w:val="bottom"/>
          </w:tcPr>
          <w:p>
            <w:pPr>
              <w:spacing w:after="0"/>
              <w:rPr>
                <w:sz w:val="14"/>
                <w:szCs w:val="14"/>
                <w:color w:val="auto"/>
              </w:rPr>
            </w:pPr>
          </w:p>
        </w:tc>
        <w:tc>
          <w:tcPr>
            <w:tcW w:w="1080" w:type="dxa"/>
            <w:vAlign w:val="bottom"/>
            <w:gridSpan w:val="2"/>
          </w:tcPr>
          <w:p>
            <w:pPr>
              <w:ind w:left="20"/>
              <w:spacing w:after="0"/>
              <w:rPr>
                <w:sz w:val="20"/>
                <w:szCs w:val="20"/>
                <w:color w:val="auto"/>
              </w:rPr>
            </w:pPr>
            <w:r>
              <w:rPr>
                <w:rFonts w:ascii="Arial" w:cs="Arial" w:eastAsia="Arial" w:hAnsi="Arial"/>
                <w:sz w:val="14"/>
                <w:szCs w:val="14"/>
                <w:b w:val="1"/>
                <w:bCs w:val="1"/>
                <w:color w:val="auto"/>
              </w:rPr>
              <w:t>December 31,</w:t>
            </w:r>
          </w:p>
        </w:tc>
      </w:tr>
      <w:tr>
        <w:trPr>
          <w:trHeight w:val="171"/>
        </w:trPr>
        <w:tc>
          <w:tcPr>
            <w:tcW w:w="5560" w:type="dxa"/>
            <w:vAlign w:val="bottom"/>
            <w:tcBorders>
              <w:bottom w:val="single" w:sz="8" w:color="CFF0FC"/>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940" w:type="dxa"/>
            <w:vAlign w:val="bottom"/>
            <w:tcBorders>
              <w:bottom w:val="single" w:sz="8" w:color="auto"/>
            </w:tcBorders>
          </w:tcPr>
          <w:p>
            <w:pPr>
              <w:jc w:val="right"/>
              <w:ind w:right="313"/>
              <w:spacing w:after="0"/>
              <w:rPr>
                <w:sz w:val="20"/>
                <w:szCs w:val="20"/>
                <w:color w:val="auto"/>
              </w:rPr>
            </w:pPr>
            <w:r>
              <w:rPr>
                <w:rFonts w:ascii="Arial" w:cs="Arial" w:eastAsia="Arial" w:hAnsi="Arial"/>
                <w:sz w:val="14"/>
                <w:szCs w:val="14"/>
                <w:b w:val="1"/>
                <w:bCs w:val="1"/>
                <w:color w:val="auto"/>
              </w:rPr>
              <w:t>2015</w:t>
            </w:r>
          </w:p>
        </w:tc>
        <w:tc>
          <w:tcPr>
            <w:tcW w:w="140" w:type="dxa"/>
            <w:vAlign w:val="bottom"/>
            <w:tcBorders>
              <w:bottom w:val="single" w:sz="8" w:color="CFF0FC"/>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1000" w:type="dxa"/>
            <w:vAlign w:val="bottom"/>
            <w:tcBorders>
              <w:bottom w:val="single" w:sz="8" w:color="auto"/>
            </w:tcBorders>
          </w:tcPr>
          <w:p>
            <w:pPr>
              <w:jc w:val="right"/>
              <w:ind w:right="333"/>
              <w:spacing w:after="0"/>
              <w:rPr>
                <w:sz w:val="20"/>
                <w:szCs w:val="20"/>
                <w:color w:val="auto"/>
              </w:rPr>
            </w:pPr>
            <w:r>
              <w:rPr>
                <w:rFonts w:ascii="Arial" w:cs="Arial" w:eastAsia="Arial" w:hAnsi="Arial"/>
                <w:sz w:val="14"/>
                <w:szCs w:val="14"/>
                <w:b w:val="1"/>
                <w:bCs w:val="1"/>
                <w:color w:val="auto"/>
              </w:rPr>
              <w:t>2014</w:t>
            </w:r>
          </w:p>
        </w:tc>
        <w:tc>
          <w:tcPr>
            <w:tcW w:w="80" w:type="dxa"/>
            <w:vAlign w:val="bottom"/>
            <w:tcBorders>
              <w:bottom w:val="single" w:sz="8" w:color="CFF0FC"/>
            </w:tcBorders>
          </w:tcPr>
          <w:p>
            <w:pPr>
              <w:spacing w:after="0"/>
              <w:rPr>
                <w:sz w:val="14"/>
                <w:szCs w:val="14"/>
                <w:color w:val="auto"/>
              </w:rPr>
            </w:pPr>
          </w:p>
        </w:tc>
      </w:tr>
      <w:tr>
        <w:trPr>
          <w:trHeight w:val="223"/>
        </w:trPr>
        <w:tc>
          <w:tcPr>
            <w:tcW w:w="5560" w:type="dxa"/>
            <w:vAlign w:val="bottom"/>
            <w:shd w:val="clear" w:color="auto" w:fill="CFF0FC"/>
          </w:tcPr>
          <w:p>
            <w:pPr>
              <w:spacing w:after="0"/>
              <w:rPr>
                <w:sz w:val="20"/>
                <w:szCs w:val="20"/>
                <w:color w:val="auto"/>
              </w:rPr>
            </w:pPr>
            <w:r>
              <w:rPr>
                <w:rFonts w:ascii="Arial" w:cs="Arial" w:eastAsia="Arial" w:hAnsi="Arial"/>
                <w:sz w:val="18"/>
                <w:szCs w:val="18"/>
                <w:color w:val="auto"/>
              </w:rPr>
              <w:t>Real estate inventories owned:</w:t>
            </w:r>
          </w:p>
        </w:tc>
        <w:tc>
          <w:tcPr>
            <w:tcW w:w="160" w:type="dxa"/>
            <w:vAlign w:val="bottom"/>
            <w:shd w:val="clear" w:color="auto" w:fill="CFF0FC"/>
          </w:tcPr>
          <w:p>
            <w:pPr>
              <w:spacing w:after="0"/>
              <w:rPr>
                <w:sz w:val="19"/>
                <w:szCs w:val="19"/>
                <w:color w:val="auto"/>
              </w:rPr>
            </w:pPr>
          </w:p>
        </w:tc>
        <w:tc>
          <w:tcPr>
            <w:tcW w:w="940" w:type="dxa"/>
            <w:vAlign w:val="bottom"/>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00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r>
      <w:tr>
        <w:trPr>
          <w:trHeight w:val="230"/>
        </w:trPr>
        <w:tc>
          <w:tcPr>
            <w:tcW w:w="5560" w:type="dxa"/>
            <w:vAlign w:val="bottom"/>
          </w:tcPr>
          <w:p>
            <w:pPr>
              <w:ind w:left="240"/>
              <w:spacing w:after="0"/>
              <w:rPr>
                <w:sz w:val="20"/>
                <w:szCs w:val="20"/>
                <w:color w:val="auto"/>
              </w:rPr>
            </w:pPr>
            <w:r>
              <w:rPr>
                <w:rFonts w:ascii="Arial" w:cs="Arial" w:eastAsia="Arial" w:hAnsi="Arial"/>
                <w:sz w:val="18"/>
                <w:szCs w:val="18"/>
                <w:color w:val="auto"/>
              </w:rPr>
              <w:t>Homes completed or under construction</w:t>
            </w:r>
          </w:p>
        </w:tc>
        <w:tc>
          <w:tcPr>
            <w:tcW w:w="16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940" w:type="dxa"/>
            <w:vAlign w:val="bottom"/>
          </w:tcPr>
          <w:p>
            <w:pPr>
              <w:jc w:val="right"/>
              <w:spacing w:after="0"/>
              <w:rPr>
                <w:sz w:val="20"/>
                <w:szCs w:val="20"/>
                <w:color w:val="auto"/>
              </w:rPr>
            </w:pPr>
            <w:r>
              <w:rPr>
                <w:rFonts w:ascii="Arial" w:cs="Arial" w:eastAsia="Arial" w:hAnsi="Arial"/>
                <w:sz w:val="18"/>
                <w:szCs w:val="18"/>
                <w:color w:val="auto"/>
              </w:rPr>
              <w:t>565,916</w:t>
            </w:r>
          </w:p>
        </w:tc>
        <w:tc>
          <w:tcPr>
            <w:tcW w:w="140" w:type="dxa"/>
            <w:vAlign w:val="bottom"/>
          </w:tcPr>
          <w:p>
            <w:pPr>
              <w:spacing w:after="0"/>
              <w:rPr>
                <w:sz w:val="19"/>
                <w:szCs w:val="19"/>
                <w:color w:val="auto"/>
              </w:rPr>
            </w:pP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1000" w:type="dxa"/>
            <w:vAlign w:val="bottom"/>
          </w:tcPr>
          <w:p>
            <w:pPr>
              <w:jc w:val="right"/>
              <w:spacing w:after="0"/>
              <w:rPr>
                <w:sz w:val="20"/>
                <w:szCs w:val="20"/>
                <w:color w:val="auto"/>
              </w:rPr>
            </w:pPr>
            <w:r>
              <w:rPr>
                <w:rFonts w:ascii="Arial" w:cs="Arial" w:eastAsia="Arial" w:hAnsi="Arial"/>
                <w:sz w:val="18"/>
                <w:szCs w:val="18"/>
                <w:color w:val="auto"/>
              </w:rPr>
              <w:t>461,712</w:t>
            </w:r>
          </w:p>
        </w:tc>
        <w:tc>
          <w:tcPr>
            <w:tcW w:w="80" w:type="dxa"/>
            <w:vAlign w:val="bottom"/>
          </w:tcPr>
          <w:p>
            <w:pPr>
              <w:spacing w:after="0"/>
              <w:rPr>
                <w:sz w:val="19"/>
                <w:szCs w:val="19"/>
                <w:color w:val="auto"/>
              </w:rPr>
            </w:pPr>
          </w:p>
        </w:tc>
      </w:tr>
      <w:tr>
        <w:trPr>
          <w:trHeight w:val="230"/>
        </w:trPr>
        <w:tc>
          <w:tcPr>
            <w:tcW w:w="5560" w:type="dxa"/>
            <w:vAlign w:val="bottom"/>
            <w:shd w:val="clear" w:color="auto" w:fill="CFF0FC"/>
          </w:tcPr>
          <w:p>
            <w:pPr>
              <w:ind w:left="240"/>
              <w:spacing w:after="0"/>
              <w:rPr>
                <w:sz w:val="20"/>
                <w:szCs w:val="20"/>
                <w:color w:val="auto"/>
              </w:rPr>
            </w:pPr>
            <w:r>
              <w:rPr>
                <w:rFonts w:ascii="Arial" w:cs="Arial" w:eastAsia="Arial" w:hAnsi="Arial"/>
                <w:sz w:val="18"/>
                <w:szCs w:val="18"/>
                <w:color w:val="auto"/>
              </w:rPr>
              <w:t>Land under development</w:t>
            </w:r>
          </w:p>
        </w:tc>
        <w:tc>
          <w:tcPr>
            <w:tcW w:w="160" w:type="dxa"/>
            <w:vAlign w:val="bottom"/>
            <w:shd w:val="clear" w:color="auto" w:fill="CFF0FC"/>
          </w:tcPr>
          <w:p>
            <w:pPr>
              <w:spacing w:after="0"/>
              <w:rPr>
                <w:sz w:val="19"/>
                <w:szCs w:val="19"/>
                <w:color w:val="auto"/>
              </w:rPr>
            </w:pPr>
          </w:p>
        </w:tc>
        <w:tc>
          <w:tcPr>
            <w:tcW w:w="9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1,406,944</w:t>
            </w:r>
          </w:p>
        </w:tc>
        <w:tc>
          <w:tcPr>
            <w:tcW w:w="14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0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1,391,303</w:t>
            </w:r>
          </w:p>
        </w:tc>
        <w:tc>
          <w:tcPr>
            <w:tcW w:w="80" w:type="dxa"/>
            <w:vAlign w:val="bottom"/>
            <w:shd w:val="clear" w:color="auto" w:fill="CFF0FC"/>
          </w:tcPr>
          <w:p>
            <w:pPr>
              <w:spacing w:after="0"/>
              <w:rPr>
                <w:sz w:val="19"/>
                <w:szCs w:val="19"/>
                <w:color w:val="auto"/>
              </w:rPr>
            </w:pPr>
          </w:p>
        </w:tc>
      </w:tr>
      <w:tr>
        <w:trPr>
          <w:trHeight w:val="230"/>
        </w:trPr>
        <w:tc>
          <w:tcPr>
            <w:tcW w:w="5560" w:type="dxa"/>
            <w:vAlign w:val="bottom"/>
          </w:tcPr>
          <w:p>
            <w:pPr>
              <w:ind w:left="240"/>
              <w:spacing w:after="0"/>
              <w:rPr>
                <w:sz w:val="20"/>
                <w:szCs w:val="20"/>
                <w:color w:val="auto"/>
              </w:rPr>
            </w:pPr>
            <w:r>
              <w:rPr>
                <w:rFonts w:ascii="Arial" w:cs="Arial" w:eastAsia="Arial" w:hAnsi="Arial"/>
                <w:sz w:val="18"/>
                <w:szCs w:val="18"/>
                <w:color w:val="auto"/>
              </w:rPr>
              <w:t>Land held for future development</w:t>
            </w:r>
          </w:p>
        </w:tc>
        <w:tc>
          <w:tcPr>
            <w:tcW w:w="160" w:type="dxa"/>
            <w:vAlign w:val="bottom"/>
          </w:tcPr>
          <w:p>
            <w:pPr>
              <w:spacing w:after="0"/>
              <w:rPr>
                <w:sz w:val="19"/>
                <w:szCs w:val="19"/>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246,957</w:t>
            </w:r>
          </w:p>
        </w:tc>
        <w:tc>
          <w:tcPr>
            <w:tcW w:w="1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245,673</w:t>
            </w:r>
          </w:p>
        </w:tc>
        <w:tc>
          <w:tcPr>
            <w:tcW w:w="80" w:type="dxa"/>
            <w:vAlign w:val="bottom"/>
          </w:tcPr>
          <w:p>
            <w:pPr>
              <w:spacing w:after="0"/>
              <w:rPr>
                <w:sz w:val="19"/>
                <w:szCs w:val="19"/>
                <w:color w:val="auto"/>
              </w:rPr>
            </w:pPr>
          </w:p>
        </w:tc>
      </w:tr>
      <w:tr>
        <w:trPr>
          <w:trHeight w:val="230"/>
        </w:trPr>
        <w:tc>
          <w:tcPr>
            <w:tcW w:w="5560" w:type="dxa"/>
            <w:vAlign w:val="bottom"/>
            <w:shd w:val="clear" w:color="auto" w:fill="CFF0FC"/>
          </w:tcPr>
          <w:p>
            <w:pPr>
              <w:ind w:left="240"/>
              <w:spacing w:after="0"/>
              <w:rPr>
                <w:sz w:val="20"/>
                <w:szCs w:val="20"/>
                <w:color w:val="auto"/>
              </w:rPr>
            </w:pPr>
            <w:r>
              <w:rPr>
                <w:rFonts w:ascii="Arial" w:cs="Arial" w:eastAsia="Arial" w:hAnsi="Arial"/>
                <w:sz w:val="18"/>
                <w:szCs w:val="18"/>
                <w:color w:val="auto"/>
              </w:rPr>
              <w:t>Model homes</w:t>
            </w:r>
          </w:p>
        </w:tc>
        <w:tc>
          <w:tcPr>
            <w:tcW w:w="160" w:type="dxa"/>
            <w:vAlign w:val="bottom"/>
            <w:tcBorders>
              <w:bottom w:val="single" w:sz="8" w:color="auto"/>
            </w:tcBorders>
            <w:shd w:val="clear" w:color="auto" w:fill="CFF0FC"/>
          </w:tcPr>
          <w:p>
            <w:pPr>
              <w:spacing w:after="0"/>
              <w:rPr>
                <w:sz w:val="19"/>
                <w:szCs w:val="19"/>
                <w:color w:val="auto"/>
              </w:rPr>
            </w:pPr>
          </w:p>
        </w:tc>
        <w:tc>
          <w:tcPr>
            <w:tcW w:w="94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120,308</w:t>
            </w:r>
          </w:p>
        </w:tc>
        <w:tc>
          <w:tcPr>
            <w:tcW w:w="140" w:type="dxa"/>
            <w:vAlign w:val="bottom"/>
            <w:shd w:val="clear" w:color="auto" w:fill="CFF0FC"/>
          </w:tcPr>
          <w:p>
            <w:pPr>
              <w:spacing w:after="0"/>
              <w:rPr>
                <w:sz w:val="19"/>
                <w:szCs w:val="19"/>
                <w:color w:val="auto"/>
              </w:rPr>
            </w:pPr>
          </w:p>
        </w:tc>
        <w:tc>
          <w:tcPr>
            <w:tcW w:w="100" w:type="dxa"/>
            <w:vAlign w:val="bottom"/>
            <w:tcBorders>
              <w:bottom w:val="single" w:sz="8" w:color="auto"/>
            </w:tcBorders>
            <w:shd w:val="clear" w:color="auto" w:fill="CFF0FC"/>
          </w:tcPr>
          <w:p>
            <w:pPr>
              <w:spacing w:after="0"/>
              <w:rPr>
                <w:sz w:val="19"/>
                <w:szCs w:val="19"/>
                <w:color w:val="auto"/>
              </w:rPr>
            </w:pPr>
          </w:p>
        </w:tc>
        <w:tc>
          <w:tcPr>
            <w:tcW w:w="100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103,270</w:t>
            </w:r>
          </w:p>
        </w:tc>
        <w:tc>
          <w:tcPr>
            <w:tcW w:w="80" w:type="dxa"/>
            <w:vAlign w:val="bottom"/>
            <w:shd w:val="clear" w:color="auto" w:fill="CFF0FC"/>
          </w:tcPr>
          <w:p>
            <w:pPr>
              <w:spacing w:after="0"/>
              <w:rPr>
                <w:sz w:val="19"/>
                <w:szCs w:val="19"/>
                <w:color w:val="auto"/>
              </w:rPr>
            </w:pPr>
          </w:p>
        </w:tc>
      </w:tr>
      <w:tr>
        <w:trPr>
          <w:trHeight w:val="223"/>
        </w:trPr>
        <w:tc>
          <w:tcPr>
            <w:tcW w:w="5560" w:type="dxa"/>
            <w:vAlign w:val="bottom"/>
          </w:tcPr>
          <w:p>
            <w:pPr>
              <w:spacing w:after="0"/>
              <w:rPr>
                <w:sz w:val="20"/>
                <w:szCs w:val="20"/>
                <w:color w:val="auto"/>
              </w:rPr>
            </w:pPr>
            <w:r>
              <w:rPr>
                <w:rFonts w:ascii="Arial" w:cs="Arial" w:eastAsia="Arial" w:hAnsi="Arial"/>
                <w:sz w:val="18"/>
                <w:szCs w:val="18"/>
                <w:color w:val="auto"/>
              </w:rPr>
              <w:t>Total real estate inventories owned</w:t>
            </w:r>
          </w:p>
        </w:tc>
        <w:tc>
          <w:tcPr>
            <w:tcW w:w="160" w:type="dxa"/>
            <w:vAlign w:val="bottom"/>
          </w:tcPr>
          <w:p>
            <w:pPr>
              <w:spacing w:after="0"/>
              <w:rPr>
                <w:sz w:val="19"/>
                <w:szCs w:val="19"/>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2,340,125</w:t>
            </w:r>
          </w:p>
        </w:tc>
        <w:tc>
          <w:tcPr>
            <w:tcW w:w="1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2,201,958</w:t>
            </w:r>
          </w:p>
        </w:tc>
        <w:tc>
          <w:tcPr>
            <w:tcW w:w="80" w:type="dxa"/>
            <w:vAlign w:val="bottom"/>
          </w:tcPr>
          <w:p>
            <w:pPr>
              <w:spacing w:after="0"/>
              <w:rPr>
                <w:sz w:val="19"/>
                <w:szCs w:val="19"/>
                <w:color w:val="auto"/>
              </w:rPr>
            </w:pPr>
          </w:p>
        </w:tc>
      </w:tr>
      <w:tr>
        <w:trPr>
          <w:trHeight w:val="230"/>
        </w:trPr>
        <w:tc>
          <w:tcPr>
            <w:tcW w:w="5560" w:type="dxa"/>
            <w:vAlign w:val="bottom"/>
            <w:shd w:val="clear" w:color="auto" w:fill="CFF0FC"/>
          </w:tcPr>
          <w:p>
            <w:pPr>
              <w:spacing w:after="0"/>
              <w:rPr>
                <w:sz w:val="20"/>
                <w:szCs w:val="20"/>
                <w:color w:val="auto"/>
              </w:rPr>
            </w:pPr>
            <w:r>
              <w:rPr>
                <w:rFonts w:ascii="Arial" w:cs="Arial" w:eastAsia="Arial" w:hAnsi="Arial"/>
                <w:sz w:val="18"/>
                <w:szCs w:val="18"/>
                <w:color w:val="auto"/>
              </w:rPr>
              <w:t>Real estate inventories not owned:</w:t>
            </w:r>
          </w:p>
        </w:tc>
        <w:tc>
          <w:tcPr>
            <w:tcW w:w="160" w:type="dxa"/>
            <w:vAlign w:val="bottom"/>
            <w:shd w:val="clear" w:color="auto" w:fill="CFF0FC"/>
          </w:tcPr>
          <w:p>
            <w:pPr>
              <w:spacing w:after="0"/>
              <w:rPr>
                <w:sz w:val="19"/>
                <w:szCs w:val="19"/>
                <w:color w:val="auto"/>
              </w:rPr>
            </w:pPr>
          </w:p>
        </w:tc>
        <w:tc>
          <w:tcPr>
            <w:tcW w:w="940" w:type="dxa"/>
            <w:vAlign w:val="bottom"/>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00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r>
      <w:tr>
        <w:trPr>
          <w:trHeight w:val="230"/>
        </w:trPr>
        <w:tc>
          <w:tcPr>
            <w:tcW w:w="5560" w:type="dxa"/>
            <w:vAlign w:val="bottom"/>
          </w:tcPr>
          <w:p>
            <w:pPr>
              <w:ind w:left="240"/>
              <w:spacing w:after="0"/>
              <w:rPr>
                <w:sz w:val="20"/>
                <w:szCs w:val="20"/>
                <w:color w:val="auto"/>
              </w:rPr>
            </w:pPr>
            <w:r>
              <w:rPr>
                <w:rFonts w:ascii="Arial" w:cs="Arial" w:eastAsia="Arial" w:hAnsi="Arial"/>
                <w:sz w:val="18"/>
                <w:szCs w:val="18"/>
                <w:color w:val="auto"/>
              </w:rPr>
              <w:t>Land purchase and land option deposits</w:t>
            </w:r>
          </w:p>
        </w:tc>
        <w:tc>
          <w:tcPr>
            <w:tcW w:w="160" w:type="dxa"/>
            <w:vAlign w:val="bottom"/>
          </w:tcPr>
          <w:p>
            <w:pPr>
              <w:spacing w:after="0"/>
              <w:rPr>
                <w:sz w:val="19"/>
                <w:szCs w:val="19"/>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34,959</w:t>
            </w:r>
          </w:p>
        </w:tc>
        <w:tc>
          <w:tcPr>
            <w:tcW w:w="1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44,155</w:t>
            </w:r>
          </w:p>
        </w:tc>
        <w:tc>
          <w:tcPr>
            <w:tcW w:w="80" w:type="dxa"/>
            <w:vAlign w:val="bottom"/>
          </w:tcPr>
          <w:p>
            <w:pPr>
              <w:spacing w:after="0"/>
              <w:rPr>
                <w:sz w:val="19"/>
                <w:szCs w:val="19"/>
                <w:color w:val="auto"/>
              </w:rPr>
            </w:pPr>
          </w:p>
        </w:tc>
      </w:tr>
      <w:tr>
        <w:trPr>
          <w:trHeight w:val="230"/>
        </w:trPr>
        <w:tc>
          <w:tcPr>
            <w:tcW w:w="5560" w:type="dxa"/>
            <w:vAlign w:val="bottom"/>
            <w:shd w:val="clear" w:color="auto" w:fill="CFF0FC"/>
          </w:tcPr>
          <w:p>
            <w:pPr>
              <w:ind w:left="240"/>
              <w:spacing w:after="0"/>
              <w:rPr>
                <w:sz w:val="20"/>
                <w:szCs w:val="20"/>
                <w:color w:val="auto"/>
              </w:rPr>
            </w:pPr>
            <w:r>
              <w:rPr>
                <w:rFonts w:ascii="Arial" w:cs="Arial" w:eastAsia="Arial" w:hAnsi="Arial"/>
                <w:sz w:val="18"/>
                <w:szCs w:val="18"/>
                <w:color w:val="auto"/>
              </w:rPr>
              <w:t>Consolidated inventory held by VIEs</w:t>
            </w:r>
          </w:p>
        </w:tc>
        <w:tc>
          <w:tcPr>
            <w:tcW w:w="160" w:type="dxa"/>
            <w:vAlign w:val="bottom"/>
            <w:tcBorders>
              <w:bottom w:val="single" w:sz="8" w:color="auto"/>
            </w:tcBorders>
            <w:shd w:val="clear" w:color="auto" w:fill="CFF0FC"/>
          </w:tcPr>
          <w:p>
            <w:pPr>
              <w:spacing w:after="0"/>
              <w:rPr>
                <w:sz w:val="19"/>
                <w:szCs w:val="19"/>
                <w:color w:val="auto"/>
              </w:rPr>
            </w:pPr>
          </w:p>
        </w:tc>
        <w:tc>
          <w:tcPr>
            <w:tcW w:w="94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34,222</w:t>
            </w:r>
          </w:p>
        </w:tc>
        <w:tc>
          <w:tcPr>
            <w:tcW w:w="140" w:type="dxa"/>
            <w:vAlign w:val="bottom"/>
            <w:shd w:val="clear" w:color="auto" w:fill="CFF0FC"/>
          </w:tcPr>
          <w:p>
            <w:pPr>
              <w:spacing w:after="0"/>
              <w:rPr>
                <w:sz w:val="19"/>
                <w:szCs w:val="19"/>
                <w:color w:val="auto"/>
              </w:rPr>
            </w:pPr>
          </w:p>
        </w:tc>
        <w:tc>
          <w:tcPr>
            <w:tcW w:w="100" w:type="dxa"/>
            <w:vAlign w:val="bottom"/>
            <w:tcBorders>
              <w:bottom w:val="single" w:sz="8" w:color="auto"/>
            </w:tcBorders>
            <w:shd w:val="clear" w:color="auto" w:fill="CFF0FC"/>
          </w:tcPr>
          <w:p>
            <w:pPr>
              <w:spacing w:after="0"/>
              <w:rPr>
                <w:sz w:val="19"/>
                <w:szCs w:val="19"/>
                <w:color w:val="auto"/>
              </w:rPr>
            </w:pPr>
          </w:p>
        </w:tc>
        <w:tc>
          <w:tcPr>
            <w:tcW w:w="100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34,070</w:t>
            </w:r>
          </w:p>
        </w:tc>
        <w:tc>
          <w:tcPr>
            <w:tcW w:w="80" w:type="dxa"/>
            <w:vAlign w:val="bottom"/>
            <w:shd w:val="clear" w:color="auto" w:fill="CFF0FC"/>
          </w:tcPr>
          <w:p>
            <w:pPr>
              <w:spacing w:after="0"/>
              <w:rPr>
                <w:sz w:val="19"/>
                <w:szCs w:val="19"/>
                <w:color w:val="auto"/>
              </w:rPr>
            </w:pPr>
          </w:p>
        </w:tc>
      </w:tr>
      <w:tr>
        <w:trPr>
          <w:trHeight w:val="223"/>
        </w:trPr>
        <w:tc>
          <w:tcPr>
            <w:tcW w:w="5560" w:type="dxa"/>
            <w:vAlign w:val="bottom"/>
            <w:tcBorders>
              <w:bottom w:val="single" w:sz="8" w:color="CFF0FC"/>
            </w:tcBorders>
          </w:tcPr>
          <w:p>
            <w:pPr>
              <w:spacing w:after="0"/>
              <w:rPr>
                <w:sz w:val="20"/>
                <w:szCs w:val="20"/>
                <w:color w:val="auto"/>
              </w:rPr>
            </w:pPr>
            <w:r>
              <w:rPr>
                <w:rFonts w:ascii="Arial" w:cs="Arial" w:eastAsia="Arial" w:hAnsi="Arial"/>
                <w:sz w:val="18"/>
                <w:szCs w:val="18"/>
                <w:color w:val="auto"/>
              </w:rPr>
              <w:t>Total real estate inventories not owned</w:t>
            </w:r>
          </w:p>
        </w:tc>
        <w:tc>
          <w:tcPr>
            <w:tcW w:w="160" w:type="dxa"/>
            <w:vAlign w:val="bottom"/>
            <w:tcBorders>
              <w:bottom w:val="single" w:sz="8" w:color="auto"/>
            </w:tcBorders>
          </w:tcPr>
          <w:p>
            <w:pPr>
              <w:spacing w:after="0"/>
              <w:rPr>
                <w:sz w:val="19"/>
                <w:szCs w:val="19"/>
                <w:color w:val="auto"/>
              </w:rPr>
            </w:pP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69,181</w:t>
            </w:r>
          </w:p>
        </w:tc>
        <w:tc>
          <w:tcPr>
            <w:tcW w:w="140" w:type="dxa"/>
            <w:vAlign w:val="bottom"/>
            <w:tcBorders>
              <w:bottom w:val="single" w:sz="8" w:color="CFF0FC"/>
            </w:tcBorders>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10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78,225</w:t>
            </w:r>
          </w:p>
        </w:tc>
        <w:tc>
          <w:tcPr>
            <w:tcW w:w="80" w:type="dxa"/>
            <w:vAlign w:val="bottom"/>
            <w:tcBorders>
              <w:bottom w:val="single" w:sz="8" w:color="CFF0FC"/>
            </w:tcBorders>
          </w:tcPr>
          <w:p>
            <w:pPr>
              <w:spacing w:after="0"/>
              <w:rPr>
                <w:sz w:val="19"/>
                <w:szCs w:val="19"/>
                <w:color w:val="auto"/>
              </w:rPr>
            </w:pPr>
          </w:p>
        </w:tc>
      </w:tr>
      <w:tr>
        <w:trPr>
          <w:trHeight w:val="223"/>
        </w:trPr>
        <w:tc>
          <w:tcPr>
            <w:tcW w:w="5560" w:type="dxa"/>
            <w:vAlign w:val="bottom"/>
            <w:tcBorders>
              <w:bottom w:val="single" w:sz="8" w:color="CFF0FC"/>
            </w:tcBorders>
            <w:shd w:val="clear" w:color="auto" w:fill="CFF0FC"/>
          </w:tcPr>
          <w:p>
            <w:pPr>
              <w:spacing w:after="0"/>
              <w:rPr>
                <w:sz w:val="20"/>
                <w:szCs w:val="20"/>
                <w:color w:val="auto"/>
              </w:rPr>
            </w:pPr>
            <w:r>
              <w:rPr>
                <w:rFonts w:ascii="Arial" w:cs="Arial" w:eastAsia="Arial" w:hAnsi="Arial"/>
                <w:sz w:val="18"/>
                <w:szCs w:val="18"/>
                <w:color w:val="auto"/>
              </w:rPr>
              <w:t>Total real estate inventories</w:t>
            </w:r>
          </w:p>
        </w:tc>
        <w:tc>
          <w:tcPr>
            <w:tcW w:w="16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94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2,409,306</w:t>
            </w:r>
          </w:p>
        </w:tc>
        <w:tc>
          <w:tcPr>
            <w:tcW w:w="140" w:type="dxa"/>
            <w:vAlign w:val="bottom"/>
            <w:tcBorders>
              <w:bottom w:val="single" w:sz="8" w:color="CFF0FC"/>
            </w:tcBorders>
            <w:shd w:val="clear" w:color="auto" w:fill="CFF0FC"/>
          </w:tcPr>
          <w:p>
            <w:pPr>
              <w:spacing w:after="0"/>
              <w:rPr>
                <w:sz w:val="19"/>
                <w:szCs w:val="19"/>
                <w:color w:val="auto"/>
              </w:rPr>
            </w:pPr>
          </w:p>
        </w:tc>
        <w:tc>
          <w:tcPr>
            <w:tcW w:w="10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5"/>
                <w:szCs w:val="15"/>
                <w:color w:val="auto"/>
                <w:w w:val="71"/>
              </w:rPr>
              <w:t>$</w:t>
            </w:r>
          </w:p>
        </w:tc>
        <w:tc>
          <w:tcPr>
            <w:tcW w:w="100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2,280,183</w:t>
            </w:r>
          </w:p>
        </w:tc>
        <w:tc>
          <w:tcPr>
            <w:tcW w:w="80" w:type="dxa"/>
            <w:vAlign w:val="bottom"/>
            <w:tcBorders>
              <w:bottom w:val="single" w:sz="8" w:color="CFF0FC"/>
            </w:tcBorders>
            <w:shd w:val="clear" w:color="auto" w:fill="CFF0FC"/>
          </w:tcPr>
          <w:p>
            <w:pPr>
              <w:spacing w:after="0"/>
              <w:rPr>
                <w:sz w:val="19"/>
                <w:szCs w:val="19"/>
                <w:color w:val="auto"/>
              </w:rPr>
            </w:pPr>
          </w:p>
        </w:tc>
      </w:tr>
      <w:tr>
        <w:trPr>
          <w:trHeight w:val="20"/>
        </w:trPr>
        <w:tc>
          <w:tcPr>
            <w:tcW w:w="556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r>
    </w:tbl>
    <w:p>
      <w:pPr>
        <w:spacing w:after="0" w:line="202" w:lineRule="exact"/>
        <w:rPr>
          <w:sz w:val="20"/>
          <w:szCs w:val="20"/>
          <w:color w:val="auto"/>
        </w:rPr>
      </w:pPr>
    </w:p>
    <w:p>
      <w:pPr>
        <w:ind w:right="60" w:firstLine="518"/>
        <w:spacing w:after="0" w:line="257" w:lineRule="auto"/>
        <w:rPr>
          <w:sz w:val="20"/>
          <w:szCs w:val="20"/>
          <w:color w:val="auto"/>
        </w:rPr>
      </w:pPr>
      <w:r>
        <w:rPr>
          <w:rFonts w:ascii="Arial" w:cs="Arial" w:eastAsia="Arial" w:hAnsi="Arial"/>
          <w:sz w:val="18"/>
          <w:szCs w:val="18"/>
          <w:color w:val="auto"/>
        </w:rPr>
        <w:t>Homes completed or under construction is comprised of costs associated with homes in various stages of construction and includes direct construction and related land acquisition and land development costs. Land under development primarily consists of land acquisition and land development costs, which include capitalized interest and real estate taxes, associated with land undergoing improvement activity. Land held for future development principally reflects land acquisition and land development costs related to land where development activity has not yet begun or has been suspended, but is expected to occur in the future.</w:t>
      </w:r>
    </w:p>
    <w:p>
      <w:pPr>
        <w:spacing w:after="0" w:line="188" w:lineRule="exact"/>
        <w:rPr>
          <w:sz w:val="20"/>
          <w:szCs w:val="20"/>
          <w:color w:val="auto"/>
        </w:rPr>
      </w:pPr>
    </w:p>
    <w:p>
      <w:pPr>
        <w:ind w:right="120" w:firstLine="518"/>
        <w:spacing w:after="0" w:line="277" w:lineRule="auto"/>
        <w:rPr>
          <w:sz w:val="20"/>
          <w:szCs w:val="20"/>
          <w:color w:val="auto"/>
        </w:rPr>
      </w:pPr>
      <w:r>
        <w:rPr>
          <w:rFonts w:ascii="Arial" w:cs="Arial" w:eastAsia="Arial" w:hAnsi="Arial"/>
          <w:sz w:val="18"/>
          <w:szCs w:val="18"/>
          <w:color w:val="auto"/>
        </w:rPr>
        <w:t xml:space="preserve">Real estate inventories not owned represents deposits related to land purchase and land option agreements as well as consolidated inventory held by a variable interest entity (VIE). For further details, see Note 9, </w:t>
      </w:r>
      <w:r>
        <w:rPr>
          <w:rFonts w:ascii="Arial" w:cs="Arial" w:eastAsia="Arial" w:hAnsi="Arial"/>
          <w:sz w:val="18"/>
          <w:szCs w:val="18"/>
          <w:i w:val="1"/>
          <w:iCs w:val="1"/>
          <w:color w:val="auto"/>
        </w:rPr>
        <w:t>Variable Interest Entities</w:t>
      </w:r>
      <w:r>
        <w:rPr>
          <w:rFonts w:ascii="Arial" w:cs="Arial" w:eastAsia="Arial" w:hAnsi="Arial"/>
          <w:sz w:val="18"/>
          <w:szCs w:val="18"/>
          <w:color w:val="auto"/>
        </w:rPr>
        <w:t>.</w:t>
      </w:r>
    </w:p>
    <w:p>
      <w:pPr>
        <w:sectPr>
          <w:pgSz w:w="11900" w:h="16838" w:orient="portrait"/>
          <w:cols w:equalWidth="0" w:num="1">
            <w:col w:w="11420"/>
          </w:cols>
          <w:pgMar w:left="240" w:top="135" w:right="239" w:bottom="1440" w:gutter="0" w:footer="0" w:header="0"/>
        </w:sectPr>
      </w:pPr>
    </w:p>
    <w:p>
      <w:pPr>
        <w:spacing w:after="0" w:line="200" w:lineRule="exact"/>
        <w:rPr>
          <w:sz w:val="20"/>
          <w:szCs w:val="20"/>
          <w:color w:val="auto"/>
        </w:rPr>
      </w:pPr>
    </w:p>
    <w:p>
      <w:pPr>
        <w:spacing w:after="0" w:line="214"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- 13 -</w:t>
      </w:r>
    </w:p>
    <w:p>
      <w:pPr>
        <w:sectPr>
          <w:pgSz w:w="11900" w:h="16838" w:orient="portrait"/>
          <w:cols w:equalWidth="0" w:num="1">
            <w:col w:w="11420"/>
          </w:cols>
          <w:pgMar w:left="240" w:top="135" w:right="239" w:bottom="1440" w:gutter="0" w:footer="0" w:header="0"/>
          <w:type w:val="continuous"/>
        </w:sectPr>
      </w:pPr>
    </w:p>
    <w:bookmarkStart w:id="13" w:name="page14"/>
    <w:bookmarkEnd w:id="13"/>
    <w:p>
      <w:pPr>
        <w:ind w:left="520"/>
        <w:spacing w:after="0"/>
        <w:rPr>
          <w:sz w:val="20"/>
          <w:szCs w:val="20"/>
          <w:color w:val="auto"/>
        </w:rPr>
      </w:pPr>
      <w:r>
        <w:rPr>
          <w:rFonts w:ascii="Arial" w:cs="Arial" w:eastAsia="Arial" w:hAnsi="Arial"/>
          <w:sz w:val="18"/>
          <w:szCs w:val="18"/>
          <w:color w:val="auto"/>
        </w:rPr>
        <w:t>Interest incurred, capitalized and expensed were as follows (in thousands):</w:t>
      </w:r>
    </w:p>
    <w:p>
      <w:pPr>
        <w:spacing w:after="0" w:line="298" w:lineRule="exact"/>
        <w:rPr>
          <w:sz w:val="20"/>
          <w:szCs w:val="20"/>
          <w:color w:val="auto"/>
        </w:rPr>
      </w:pPr>
    </w:p>
    <w:tbl>
      <w:tblPr>
        <w:tblLayout w:type="fixed"/>
        <w:tblInd w:w="1720" w:type="dxa"/>
        <w:tblCellMar>
          <w:top w:w="0" w:type="dxa"/>
          <w:left w:w="0" w:type="dxa"/>
          <w:bottom w:w="0" w:type="dxa"/>
          <w:right w:w="0" w:type="dxa"/>
        </w:tblCellMar>
      </w:tblPr>
      <w:tr>
        <w:trPr>
          <w:trHeight w:val="171"/>
        </w:trPr>
        <w:tc>
          <w:tcPr>
            <w:tcW w:w="55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2300" w:type="dxa"/>
            <w:vAlign w:val="bottom"/>
            <w:gridSpan w:val="6"/>
          </w:tcPr>
          <w:p>
            <w:pPr>
              <w:jc w:val="right"/>
              <w:ind w:right="280"/>
              <w:spacing w:after="0"/>
              <w:rPr>
                <w:sz w:val="20"/>
                <w:szCs w:val="20"/>
                <w:color w:val="auto"/>
              </w:rPr>
            </w:pPr>
            <w:r>
              <w:rPr>
                <w:rFonts w:ascii="Arial" w:cs="Arial" w:eastAsia="Arial" w:hAnsi="Arial"/>
                <w:sz w:val="14"/>
                <w:szCs w:val="14"/>
                <w:b w:val="1"/>
                <w:bCs w:val="1"/>
                <w:color w:val="auto"/>
                <w:w w:val="96"/>
              </w:rPr>
              <w:t>Three Months Ended March 31,</w:t>
            </w:r>
          </w:p>
        </w:tc>
        <w:tc>
          <w:tcPr>
            <w:tcW w:w="0" w:type="dxa"/>
            <w:vAlign w:val="bottom"/>
          </w:tcPr>
          <w:p>
            <w:pPr>
              <w:spacing w:after="0"/>
              <w:rPr>
                <w:sz w:val="1"/>
                <w:szCs w:val="1"/>
                <w:color w:val="auto"/>
              </w:rPr>
            </w:pPr>
          </w:p>
        </w:tc>
      </w:tr>
      <w:tr>
        <w:trPr>
          <w:trHeight w:val="156"/>
        </w:trPr>
        <w:tc>
          <w:tcPr>
            <w:tcW w:w="5540" w:type="dxa"/>
            <w:vAlign w:val="bottom"/>
            <w:tcBorders>
              <w:bottom w:val="single" w:sz="8" w:color="CFF0FC"/>
            </w:tcBorders>
          </w:tcPr>
          <w:p>
            <w:pPr>
              <w:spacing w:after="0"/>
              <w:rPr>
                <w:sz w:val="13"/>
                <w:szCs w:val="13"/>
                <w:color w:val="auto"/>
              </w:rPr>
            </w:pPr>
          </w:p>
        </w:tc>
        <w:tc>
          <w:tcPr>
            <w:tcW w:w="140" w:type="dxa"/>
            <w:vAlign w:val="bottom"/>
            <w:tcBorders>
              <w:top w:val="single" w:sz="8" w:color="auto"/>
              <w:bottom w:val="single" w:sz="8" w:color="auto"/>
            </w:tcBorders>
          </w:tcPr>
          <w:p>
            <w:pPr>
              <w:spacing w:after="0"/>
              <w:rPr>
                <w:sz w:val="13"/>
                <w:szCs w:val="13"/>
                <w:color w:val="auto"/>
              </w:rPr>
            </w:pPr>
          </w:p>
        </w:tc>
        <w:tc>
          <w:tcPr>
            <w:tcW w:w="960" w:type="dxa"/>
            <w:vAlign w:val="bottom"/>
            <w:tcBorders>
              <w:top w:val="single" w:sz="8" w:color="auto"/>
              <w:bottom w:val="single" w:sz="8" w:color="auto"/>
            </w:tcBorders>
          </w:tcPr>
          <w:p>
            <w:pPr>
              <w:jc w:val="right"/>
              <w:ind w:right="334"/>
              <w:spacing w:after="0" w:line="155" w:lineRule="exact"/>
              <w:rPr>
                <w:sz w:val="20"/>
                <w:szCs w:val="20"/>
                <w:color w:val="auto"/>
              </w:rPr>
            </w:pPr>
            <w:r>
              <w:rPr>
                <w:rFonts w:ascii="Arial" w:cs="Arial" w:eastAsia="Arial" w:hAnsi="Arial"/>
                <w:sz w:val="14"/>
                <w:szCs w:val="14"/>
                <w:b w:val="1"/>
                <w:bCs w:val="1"/>
                <w:color w:val="auto"/>
              </w:rPr>
              <w:t>2015</w:t>
            </w:r>
          </w:p>
        </w:tc>
        <w:tc>
          <w:tcPr>
            <w:tcW w:w="100" w:type="dxa"/>
            <w:vAlign w:val="bottom"/>
            <w:tcBorders>
              <w:top w:val="single" w:sz="8" w:color="auto"/>
              <w:bottom w:val="single" w:sz="8" w:color="CFF0FC"/>
            </w:tcBorders>
          </w:tcPr>
          <w:p>
            <w:pPr>
              <w:spacing w:after="0"/>
              <w:rPr>
                <w:sz w:val="13"/>
                <w:szCs w:val="13"/>
                <w:color w:val="auto"/>
              </w:rPr>
            </w:pPr>
          </w:p>
        </w:tc>
        <w:tc>
          <w:tcPr>
            <w:tcW w:w="40" w:type="dxa"/>
            <w:vAlign w:val="bottom"/>
            <w:tcBorders>
              <w:top w:val="single" w:sz="8" w:color="auto"/>
              <w:bottom w:val="single" w:sz="8" w:color="CFF0FC"/>
            </w:tcBorders>
          </w:tcPr>
          <w:p>
            <w:pPr>
              <w:spacing w:after="0"/>
              <w:rPr>
                <w:sz w:val="13"/>
                <w:szCs w:val="13"/>
                <w:color w:val="auto"/>
              </w:rPr>
            </w:pPr>
          </w:p>
        </w:tc>
        <w:tc>
          <w:tcPr>
            <w:tcW w:w="240" w:type="dxa"/>
            <w:vAlign w:val="bottom"/>
            <w:tcBorders>
              <w:top w:val="single" w:sz="8" w:color="auto"/>
              <w:bottom w:val="single" w:sz="8" w:color="auto"/>
            </w:tcBorders>
          </w:tcPr>
          <w:p>
            <w:pPr>
              <w:spacing w:after="0"/>
              <w:rPr>
                <w:sz w:val="13"/>
                <w:szCs w:val="13"/>
                <w:color w:val="auto"/>
              </w:rPr>
            </w:pPr>
          </w:p>
        </w:tc>
        <w:tc>
          <w:tcPr>
            <w:tcW w:w="880" w:type="dxa"/>
            <w:vAlign w:val="bottom"/>
            <w:tcBorders>
              <w:top w:val="single" w:sz="8" w:color="auto"/>
              <w:bottom w:val="single" w:sz="8" w:color="auto"/>
            </w:tcBorders>
          </w:tcPr>
          <w:p>
            <w:pPr>
              <w:jc w:val="right"/>
              <w:ind w:right="332"/>
              <w:spacing w:after="0" w:line="155" w:lineRule="exact"/>
              <w:rPr>
                <w:sz w:val="20"/>
                <w:szCs w:val="20"/>
                <w:color w:val="auto"/>
              </w:rPr>
            </w:pPr>
            <w:r>
              <w:rPr>
                <w:rFonts w:ascii="Arial" w:cs="Arial" w:eastAsia="Arial" w:hAnsi="Arial"/>
                <w:sz w:val="14"/>
                <w:szCs w:val="14"/>
                <w:b w:val="1"/>
                <w:bCs w:val="1"/>
                <w:color w:val="auto"/>
              </w:rPr>
              <w:t>2014</w:t>
            </w:r>
          </w:p>
        </w:tc>
        <w:tc>
          <w:tcPr>
            <w:tcW w:w="80" w:type="dxa"/>
            <w:vAlign w:val="bottom"/>
            <w:tcBorders>
              <w:bottom w:val="single" w:sz="8" w:color="CFF0FC"/>
            </w:tcBorders>
          </w:tcPr>
          <w:p>
            <w:pPr>
              <w:spacing w:after="0"/>
              <w:rPr>
                <w:sz w:val="13"/>
                <w:szCs w:val="13"/>
                <w:color w:val="auto"/>
              </w:rPr>
            </w:pPr>
          </w:p>
        </w:tc>
        <w:tc>
          <w:tcPr>
            <w:tcW w:w="0" w:type="dxa"/>
            <w:vAlign w:val="bottom"/>
          </w:tcPr>
          <w:p>
            <w:pPr>
              <w:spacing w:after="0"/>
              <w:rPr>
                <w:sz w:val="1"/>
                <w:szCs w:val="1"/>
                <w:color w:val="auto"/>
              </w:rPr>
            </w:pPr>
          </w:p>
        </w:tc>
      </w:tr>
      <w:tr>
        <w:trPr>
          <w:trHeight w:val="223"/>
        </w:trPr>
        <w:tc>
          <w:tcPr>
            <w:tcW w:w="5540" w:type="dxa"/>
            <w:vAlign w:val="bottom"/>
            <w:shd w:val="clear" w:color="auto" w:fill="CFF0FC"/>
          </w:tcPr>
          <w:p>
            <w:pPr>
              <w:spacing w:after="0"/>
              <w:rPr>
                <w:sz w:val="20"/>
                <w:szCs w:val="20"/>
                <w:color w:val="auto"/>
              </w:rPr>
            </w:pPr>
            <w:r>
              <w:rPr>
                <w:rFonts w:ascii="Arial" w:cs="Arial" w:eastAsia="Arial" w:hAnsi="Arial"/>
                <w:sz w:val="18"/>
                <w:szCs w:val="18"/>
                <w:color w:val="auto"/>
              </w:rPr>
              <w:t>Interest incurred</w:t>
            </w:r>
          </w:p>
        </w:tc>
        <w:tc>
          <w:tcPr>
            <w:tcW w:w="140" w:type="dxa"/>
            <w:vAlign w:val="bottom"/>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9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15,176</w:t>
            </w:r>
          </w:p>
        </w:tc>
        <w:tc>
          <w:tcPr>
            <w:tcW w:w="100" w:type="dxa"/>
            <w:vAlign w:val="bottom"/>
            <w:shd w:val="clear" w:color="auto" w:fill="CFF0FC"/>
          </w:tcPr>
          <w:p>
            <w:pPr>
              <w:spacing w:after="0"/>
              <w:rPr>
                <w:sz w:val="19"/>
                <w:szCs w:val="19"/>
                <w:color w:val="auto"/>
              </w:rPr>
            </w:pPr>
          </w:p>
        </w:tc>
        <w:tc>
          <w:tcPr>
            <w:tcW w:w="40" w:type="dxa"/>
            <w:vAlign w:val="bottom"/>
            <w:shd w:val="clear" w:color="auto" w:fill="CFF0FC"/>
          </w:tcPr>
          <w:p>
            <w:pPr>
              <w:spacing w:after="0"/>
              <w:rPr>
                <w:sz w:val="19"/>
                <w:szCs w:val="19"/>
                <w:color w:val="auto"/>
              </w:rPr>
            </w:pPr>
          </w:p>
        </w:tc>
        <w:tc>
          <w:tcPr>
            <w:tcW w:w="240" w:type="dxa"/>
            <w:vAlign w:val="bottom"/>
            <w:shd w:val="clear" w:color="auto" w:fill="CFF0FC"/>
          </w:tcPr>
          <w:p>
            <w:pPr>
              <w:jc w:val="right"/>
              <w:ind w:right="50"/>
              <w:spacing w:after="0"/>
              <w:rPr>
                <w:sz w:val="20"/>
                <w:szCs w:val="20"/>
                <w:color w:val="auto"/>
              </w:rPr>
            </w:pPr>
            <w:r>
              <w:rPr>
                <w:rFonts w:ascii="Arial" w:cs="Arial" w:eastAsia="Arial" w:hAnsi="Arial"/>
                <w:sz w:val="18"/>
                <w:szCs w:val="18"/>
                <w:color w:val="auto"/>
                <w:w w:val="79"/>
              </w:rPr>
              <w:t>$</w:t>
            </w:r>
          </w:p>
        </w:tc>
        <w:tc>
          <w:tcPr>
            <w:tcW w:w="8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4,038</w:t>
            </w:r>
          </w:p>
        </w:tc>
        <w:tc>
          <w:tcPr>
            <w:tcW w:w="8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5540" w:type="dxa"/>
            <w:vAlign w:val="bottom"/>
          </w:tcPr>
          <w:p>
            <w:pPr>
              <w:spacing w:after="0"/>
              <w:rPr>
                <w:sz w:val="20"/>
                <w:szCs w:val="20"/>
                <w:color w:val="auto"/>
              </w:rPr>
            </w:pPr>
            <w:r>
              <w:rPr>
                <w:rFonts w:ascii="Arial" w:cs="Arial" w:eastAsia="Arial" w:hAnsi="Arial"/>
                <w:sz w:val="18"/>
                <w:szCs w:val="18"/>
                <w:color w:val="auto"/>
              </w:rPr>
              <w:t>Interest capitalized</w:t>
            </w:r>
          </w:p>
        </w:tc>
        <w:tc>
          <w:tcPr>
            <w:tcW w:w="140" w:type="dxa"/>
            <w:vAlign w:val="bottom"/>
          </w:tcPr>
          <w:p>
            <w:pPr>
              <w:spacing w:after="0"/>
              <w:rPr>
                <w:sz w:val="19"/>
                <w:szCs w:val="19"/>
                <w:color w:val="auto"/>
              </w:rPr>
            </w:pPr>
          </w:p>
        </w:tc>
        <w:tc>
          <w:tcPr>
            <w:tcW w:w="1060" w:type="dxa"/>
            <w:vAlign w:val="bottom"/>
            <w:gridSpan w:val="2"/>
          </w:tcPr>
          <w:p>
            <w:pPr>
              <w:jc w:val="right"/>
              <w:ind w:right="40"/>
              <w:spacing w:after="0"/>
              <w:rPr>
                <w:sz w:val="20"/>
                <w:szCs w:val="20"/>
                <w:color w:val="auto"/>
              </w:rPr>
            </w:pPr>
            <w:r>
              <w:rPr>
                <w:rFonts w:ascii="Arial" w:cs="Arial" w:eastAsia="Arial" w:hAnsi="Arial"/>
                <w:sz w:val="18"/>
                <w:szCs w:val="18"/>
                <w:color w:val="auto"/>
              </w:rPr>
              <w:t>(15,176)</w:t>
            </w:r>
          </w:p>
        </w:tc>
        <w:tc>
          <w:tcPr>
            <w:tcW w:w="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960" w:type="dxa"/>
            <w:vAlign w:val="bottom"/>
            <w:gridSpan w:val="2"/>
          </w:tcPr>
          <w:p>
            <w:pPr>
              <w:jc w:val="right"/>
              <w:ind w:right="20"/>
              <w:spacing w:after="0"/>
              <w:rPr>
                <w:sz w:val="20"/>
                <w:szCs w:val="20"/>
                <w:color w:val="auto"/>
              </w:rPr>
            </w:pPr>
            <w:r>
              <w:rPr>
                <w:rFonts w:ascii="Arial" w:cs="Arial" w:eastAsia="Arial" w:hAnsi="Arial"/>
                <w:sz w:val="18"/>
                <w:szCs w:val="18"/>
                <w:color w:val="auto"/>
              </w:rPr>
              <w:t>(3,809)</w:t>
            </w:r>
          </w:p>
        </w:tc>
        <w:tc>
          <w:tcPr>
            <w:tcW w:w="0" w:type="dxa"/>
            <w:vAlign w:val="bottom"/>
          </w:tcPr>
          <w:p>
            <w:pPr>
              <w:spacing w:after="0"/>
              <w:rPr>
                <w:sz w:val="1"/>
                <w:szCs w:val="1"/>
                <w:color w:val="auto"/>
              </w:rPr>
            </w:pPr>
          </w:p>
        </w:tc>
      </w:tr>
      <w:tr>
        <w:trPr>
          <w:trHeight w:val="223"/>
        </w:trPr>
        <w:tc>
          <w:tcPr>
            <w:tcW w:w="5540" w:type="dxa"/>
            <w:vAlign w:val="bottom"/>
            <w:tcBorders>
              <w:top w:val="single" w:sz="8" w:color="CFF0FC"/>
              <w:bottom w:val="single" w:sz="8" w:color="CFF0FC"/>
            </w:tcBorders>
            <w:shd w:val="clear" w:color="auto" w:fill="CFF0FC"/>
          </w:tcPr>
          <w:p>
            <w:pPr>
              <w:spacing w:after="0"/>
              <w:rPr>
                <w:sz w:val="20"/>
                <w:szCs w:val="20"/>
                <w:color w:val="auto"/>
              </w:rPr>
            </w:pPr>
            <w:r>
              <w:rPr>
                <w:rFonts w:ascii="Arial" w:cs="Arial" w:eastAsia="Arial" w:hAnsi="Arial"/>
                <w:sz w:val="18"/>
                <w:szCs w:val="18"/>
                <w:color w:val="auto"/>
              </w:rPr>
              <w:t>Interest expensed</w:t>
            </w:r>
          </w:p>
        </w:tc>
        <w:tc>
          <w:tcPr>
            <w:tcW w:w="14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96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100" w:type="dxa"/>
            <w:vAlign w:val="bottom"/>
            <w:tcBorders>
              <w:top w:val="single" w:sz="8" w:color="CFF0FC"/>
              <w:bottom w:val="single" w:sz="8" w:color="CFF0FC"/>
            </w:tcBorders>
            <w:shd w:val="clear" w:color="auto" w:fill="CFF0FC"/>
          </w:tcPr>
          <w:p>
            <w:pPr>
              <w:spacing w:after="0"/>
              <w:rPr>
                <w:sz w:val="19"/>
                <w:szCs w:val="19"/>
                <w:color w:val="auto"/>
              </w:rPr>
            </w:pPr>
          </w:p>
        </w:tc>
        <w:tc>
          <w:tcPr>
            <w:tcW w:w="40" w:type="dxa"/>
            <w:vAlign w:val="bottom"/>
            <w:tcBorders>
              <w:top w:val="single" w:sz="8" w:color="CFF0FC"/>
              <w:bottom w:val="single" w:sz="8" w:color="CFF0FC"/>
            </w:tcBorders>
            <w:shd w:val="clear" w:color="auto" w:fill="CFF0FC"/>
          </w:tcPr>
          <w:p>
            <w:pPr>
              <w:spacing w:after="0"/>
              <w:rPr>
                <w:sz w:val="19"/>
                <w:szCs w:val="19"/>
                <w:color w:val="auto"/>
              </w:rPr>
            </w:pPr>
          </w:p>
        </w:tc>
        <w:tc>
          <w:tcPr>
            <w:tcW w:w="240" w:type="dxa"/>
            <w:vAlign w:val="bottom"/>
            <w:tcBorders>
              <w:top w:val="single" w:sz="8" w:color="auto"/>
              <w:bottom w:val="single" w:sz="8" w:color="auto"/>
            </w:tcBorders>
            <w:shd w:val="clear" w:color="auto" w:fill="CFF0FC"/>
          </w:tcPr>
          <w:p>
            <w:pPr>
              <w:jc w:val="right"/>
              <w:ind w:right="50"/>
              <w:spacing w:after="0"/>
              <w:rPr>
                <w:sz w:val="20"/>
                <w:szCs w:val="20"/>
                <w:color w:val="auto"/>
              </w:rPr>
            </w:pPr>
            <w:r>
              <w:rPr>
                <w:rFonts w:ascii="Arial" w:cs="Arial" w:eastAsia="Arial" w:hAnsi="Arial"/>
                <w:sz w:val="18"/>
                <w:szCs w:val="18"/>
                <w:color w:val="auto"/>
                <w:w w:val="79"/>
              </w:rPr>
              <w:t>$</w:t>
            </w:r>
          </w:p>
        </w:tc>
        <w:tc>
          <w:tcPr>
            <w:tcW w:w="88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229</w:t>
            </w:r>
          </w:p>
        </w:tc>
        <w:tc>
          <w:tcPr>
            <w:tcW w:w="80" w:type="dxa"/>
            <w:vAlign w:val="bottom"/>
            <w:tcBorders>
              <w:top w:val="single" w:sz="8" w:color="CFF0FC"/>
              <w:bottom w:val="single" w:sz="8" w:color="CFF0FC"/>
            </w:tcBorders>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5540" w:type="dxa"/>
            <w:vAlign w:val="bottom"/>
            <w:vMerge w:val="restart"/>
          </w:tcPr>
          <w:p>
            <w:pPr>
              <w:spacing w:after="0"/>
              <w:rPr>
                <w:sz w:val="20"/>
                <w:szCs w:val="20"/>
                <w:color w:val="auto"/>
              </w:rPr>
            </w:pPr>
            <w:r>
              <w:rPr>
                <w:rFonts w:ascii="Arial" w:cs="Arial" w:eastAsia="Arial" w:hAnsi="Arial"/>
                <w:sz w:val="18"/>
                <w:szCs w:val="18"/>
                <w:color w:val="auto"/>
              </w:rPr>
              <w:t>Capitalized interest in beginning inventory</w:t>
            </w:r>
          </w:p>
        </w:tc>
        <w:tc>
          <w:tcPr>
            <w:tcW w:w="140" w:type="dxa"/>
            <w:vAlign w:val="bottom"/>
          </w:tcPr>
          <w:p>
            <w:pPr>
              <w:spacing w:after="0" w:line="20" w:lineRule="exact"/>
              <w:rPr>
                <w:sz w:val="1"/>
                <w:szCs w:val="1"/>
                <w:color w:val="auto"/>
              </w:rPr>
            </w:pPr>
          </w:p>
        </w:tc>
        <w:tc>
          <w:tcPr>
            <w:tcW w:w="9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80" w:type="dxa"/>
            <w:vAlign w:val="bottom"/>
            <w:gridSpan w:val="2"/>
          </w:tcPr>
          <w:p>
            <w:pPr>
              <w:spacing w:after="0" w:line="20" w:lineRule="exact"/>
              <w:rPr>
                <w:sz w:val="1"/>
                <w:szCs w:val="1"/>
                <w:color w:val="auto"/>
              </w:rPr>
            </w:pPr>
          </w:p>
        </w:tc>
        <w:tc>
          <w:tcPr>
            <w:tcW w:w="8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5540" w:type="dxa"/>
            <w:vAlign w:val="bottom"/>
            <w:vMerge w:val="continue"/>
          </w:tcPr>
          <w:p>
            <w:pPr>
              <w:spacing w:after="0"/>
              <w:rPr>
                <w:sz w:val="18"/>
                <w:szCs w:val="18"/>
                <w:color w:val="auto"/>
              </w:rPr>
            </w:pPr>
          </w:p>
        </w:tc>
        <w:tc>
          <w:tcPr>
            <w:tcW w:w="1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9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124,461</w:t>
            </w:r>
          </w:p>
        </w:tc>
        <w:tc>
          <w:tcPr>
            <w:tcW w:w="1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40" w:type="dxa"/>
            <w:vAlign w:val="bottom"/>
            <w:tcBorders>
              <w:top w:val="single" w:sz="8" w:color="auto"/>
            </w:tcBorders>
          </w:tcPr>
          <w:p>
            <w:pPr>
              <w:jc w:val="right"/>
              <w:ind w:right="50"/>
              <w:spacing w:after="0"/>
              <w:rPr>
                <w:sz w:val="20"/>
                <w:szCs w:val="20"/>
                <w:color w:val="auto"/>
              </w:rPr>
            </w:pPr>
            <w:r>
              <w:rPr>
                <w:rFonts w:ascii="Arial" w:cs="Arial" w:eastAsia="Arial" w:hAnsi="Arial"/>
                <w:sz w:val="18"/>
                <w:szCs w:val="18"/>
                <w:color w:val="auto"/>
                <w:w w:val="79"/>
              </w:rPr>
              <w:t>$</w:t>
            </w:r>
          </w:p>
        </w:tc>
        <w:tc>
          <w:tcPr>
            <w:tcW w:w="8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138,233</w:t>
            </w: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5540" w:type="dxa"/>
            <w:vAlign w:val="bottom"/>
            <w:shd w:val="clear" w:color="auto" w:fill="CFF0FC"/>
          </w:tcPr>
          <w:p>
            <w:pPr>
              <w:ind w:left="240"/>
              <w:spacing w:after="0"/>
              <w:rPr>
                <w:sz w:val="20"/>
                <w:szCs w:val="20"/>
                <w:color w:val="auto"/>
              </w:rPr>
            </w:pPr>
            <w:r>
              <w:rPr>
                <w:rFonts w:ascii="Arial" w:cs="Arial" w:eastAsia="Arial" w:hAnsi="Arial"/>
                <w:sz w:val="18"/>
                <w:szCs w:val="18"/>
                <w:color w:val="auto"/>
              </w:rPr>
              <w:t>Interest capitalized as a cost of inventory</w:t>
            </w:r>
          </w:p>
        </w:tc>
        <w:tc>
          <w:tcPr>
            <w:tcW w:w="140" w:type="dxa"/>
            <w:vAlign w:val="bottom"/>
            <w:shd w:val="clear" w:color="auto" w:fill="CFF0FC"/>
          </w:tcPr>
          <w:p>
            <w:pPr>
              <w:spacing w:after="0"/>
              <w:rPr>
                <w:sz w:val="19"/>
                <w:szCs w:val="19"/>
                <w:color w:val="auto"/>
              </w:rPr>
            </w:pPr>
          </w:p>
        </w:tc>
        <w:tc>
          <w:tcPr>
            <w:tcW w:w="9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15,176</w:t>
            </w:r>
          </w:p>
        </w:tc>
        <w:tc>
          <w:tcPr>
            <w:tcW w:w="100" w:type="dxa"/>
            <w:vAlign w:val="bottom"/>
            <w:shd w:val="clear" w:color="auto" w:fill="CFF0FC"/>
          </w:tcPr>
          <w:p>
            <w:pPr>
              <w:spacing w:after="0"/>
              <w:rPr>
                <w:sz w:val="19"/>
                <w:szCs w:val="19"/>
                <w:color w:val="auto"/>
              </w:rPr>
            </w:pPr>
          </w:p>
        </w:tc>
        <w:tc>
          <w:tcPr>
            <w:tcW w:w="4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8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3,809</w:t>
            </w:r>
          </w:p>
        </w:tc>
        <w:tc>
          <w:tcPr>
            <w:tcW w:w="8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15"/>
        </w:trPr>
        <w:tc>
          <w:tcPr>
            <w:tcW w:w="5540" w:type="dxa"/>
            <w:vAlign w:val="bottom"/>
          </w:tcPr>
          <w:p>
            <w:pPr>
              <w:ind w:left="240"/>
              <w:spacing w:after="0"/>
              <w:rPr>
                <w:sz w:val="20"/>
                <w:szCs w:val="20"/>
                <w:color w:val="auto"/>
              </w:rPr>
            </w:pPr>
            <w:r>
              <w:rPr>
                <w:rFonts w:ascii="Arial" w:cs="Arial" w:eastAsia="Arial" w:hAnsi="Arial"/>
                <w:sz w:val="18"/>
                <w:szCs w:val="18"/>
                <w:color w:val="auto"/>
              </w:rPr>
              <w:t>Interest previously capitalized as a cost of inventory,</w:t>
            </w:r>
          </w:p>
        </w:tc>
        <w:tc>
          <w:tcPr>
            <w:tcW w:w="14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5540" w:type="dxa"/>
            <w:vAlign w:val="bottom"/>
          </w:tcPr>
          <w:p>
            <w:pPr>
              <w:ind w:left="380"/>
              <w:spacing w:after="0"/>
              <w:rPr>
                <w:sz w:val="20"/>
                <w:szCs w:val="20"/>
                <w:color w:val="auto"/>
              </w:rPr>
            </w:pPr>
            <w:r>
              <w:rPr>
                <w:rFonts w:ascii="Arial" w:cs="Arial" w:eastAsia="Arial" w:hAnsi="Arial"/>
                <w:sz w:val="18"/>
                <w:szCs w:val="18"/>
                <w:color w:val="auto"/>
              </w:rPr>
              <w:t>included in cost of sales</w:t>
            </w:r>
          </w:p>
        </w:tc>
        <w:tc>
          <w:tcPr>
            <w:tcW w:w="140" w:type="dxa"/>
            <w:vAlign w:val="bottom"/>
          </w:tcPr>
          <w:p>
            <w:pPr>
              <w:spacing w:after="0"/>
              <w:rPr>
                <w:sz w:val="20"/>
                <w:szCs w:val="20"/>
                <w:color w:val="auto"/>
              </w:rPr>
            </w:pPr>
          </w:p>
        </w:tc>
        <w:tc>
          <w:tcPr>
            <w:tcW w:w="1060" w:type="dxa"/>
            <w:vAlign w:val="bottom"/>
            <w:gridSpan w:val="2"/>
          </w:tcPr>
          <w:p>
            <w:pPr>
              <w:jc w:val="right"/>
              <w:ind w:right="40"/>
              <w:spacing w:after="0"/>
              <w:rPr>
                <w:sz w:val="20"/>
                <w:szCs w:val="20"/>
                <w:color w:val="auto"/>
              </w:rPr>
            </w:pPr>
            <w:r>
              <w:rPr>
                <w:rFonts w:ascii="Arial" w:cs="Arial" w:eastAsia="Arial" w:hAnsi="Arial"/>
                <w:sz w:val="18"/>
                <w:szCs w:val="18"/>
                <w:color w:val="auto"/>
              </w:rPr>
              <w:t>(6,765)</w:t>
            </w:r>
          </w:p>
        </w:tc>
        <w:tc>
          <w:tcPr>
            <w:tcW w:w="4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960" w:type="dxa"/>
            <w:vAlign w:val="bottom"/>
            <w:gridSpan w:val="2"/>
          </w:tcPr>
          <w:p>
            <w:pPr>
              <w:jc w:val="right"/>
              <w:ind w:right="20"/>
              <w:spacing w:after="0"/>
              <w:rPr>
                <w:sz w:val="20"/>
                <w:szCs w:val="20"/>
                <w:color w:val="auto"/>
              </w:rPr>
            </w:pPr>
            <w:r>
              <w:rPr>
                <w:rFonts w:ascii="Arial" w:cs="Arial" w:eastAsia="Arial" w:hAnsi="Arial"/>
                <w:sz w:val="18"/>
                <w:szCs w:val="18"/>
                <w:color w:val="auto"/>
              </w:rPr>
              <w:t>(4,063)</w:t>
            </w:r>
          </w:p>
        </w:tc>
        <w:tc>
          <w:tcPr>
            <w:tcW w:w="0" w:type="dxa"/>
            <w:vAlign w:val="bottom"/>
          </w:tcPr>
          <w:p>
            <w:pPr>
              <w:spacing w:after="0"/>
              <w:rPr>
                <w:sz w:val="1"/>
                <w:szCs w:val="1"/>
                <w:color w:val="auto"/>
              </w:rPr>
            </w:pPr>
          </w:p>
        </w:tc>
      </w:tr>
      <w:tr>
        <w:trPr>
          <w:trHeight w:val="223"/>
        </w:trPr>
        <w:tc>
          <w:tcPr>
            <w:tcW w:w="5540" w:type="dxa"/>
            <w:vAlign w:val="bottom"/>
            <w:tcBorders>
              <w:top w:val="single" w:sz="8" w:color="CFF0FC"/>
              <w:bottom w:val="single" w:sz="8" w:color="CFF0FC"/>
            </w:tcBorders>
            <w:shd w:val="clear" w:color="auto" w:fill="CFF0FC"/>
          </w:tcPr>
          <w:p>
            <w:pPr>
              <w:spacing w:after="0"/>
              <w:rPr>
                <w:sz w:val="20"/>
                <w:szCs w:val="20"/>
                <w:color w:val="auto"/>
              </w:rPr>
            </w:pPr>
            <w:r>
              <w:rPr>
                <w:rFonts w:ascii="Arial" w:cs="Arial" w:eastAsia="Arial" w:hAnsi="Arial"/>
                <w:sz w:val="18"/>
                <w:szCs w:val="18"/>
                <w:color w:val="auto"/>
              </w:rPr>
              <w:t>Capitalized interest in ending inventory</w:t>
            </w:r>
          </w:p>
        </w:tc>
        <w:tc>
          <w:tcPr>
            <w:tcW w:w="14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96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132,872</w:t>
            </w:r>
          </w:p>
        </w:tc>
        <w:tc>
          <w:tcPr>
            <w:tcW w:w="100" w:type="dxa"/>
            <w:vAlign w:val="bottom"/>
            <w:tcBorders>
              <w:top w:val="single" w:sz="8" w:color="CFF0FC"/>
              <w:bottom w:val="single" w:sz="8" w:color="CFF0FC"/>
            </w:tcBorders>
            <w:shd w:val="clear" w:color="auto" w:fill="CFF0FC"/>
          </w:tcPr>
          <w:p>
            <w:pPr>
              <w:spacing w:after="0"/>
              <w:rPr>
                <w:sz w:val="19"/>
                <w:szCs w:val="19"/>
                <w:color w:val="auto"/>
              </w:rPr>
            </w:pPr>
          </w:p>
        </w:tc>
        <w:tc>
          <w:tcPr>
            <w:tcW w:w="40" w:type="dxa"/>
            <w:vAlign w:val="bottom"/>
            <w:tcBorders>
              <w:top w:val="single" w:sz="8" w:color="CFF0FC"/>
              <w:bottom w:val="single" w:sz="8" w:color="CFF0FC"/>
            </w:tcBorders>
            <w:shd w:val="clear" w:color="auto" w:fill="CFF0FC"/>
          </w:tcPr>
          <w:p>
            <w:pPr>
              <w:spacing w:after="0"/>
              <w:rPr>
                <w:sz w:val="19"/>
                <w:szCs w:val="19"/>
                <w:color w:val="auto"/>
              </w:rPr>
            </w:pPr>
          </w:p>
        </w:tc>
        <w:tc>
          <w:tcPr>
            <w:tcW w:w="240" w:type="dxa"/>
            <w:vAlign w:val="bottom"/>
            <w:tcBorders>
              <w:top w:val="single" w:sz="8" w:color="auto"/>
              <w:bottom w:val="single" w:sz="8" w:color="auto"/>
            </w:tcBorders>
            <w:shd w:val="clear" w:color="auto" w:fill="CFF0FC"/>
          </w:tcPr>
          <w:p>
            <w:pPr>
              <w:jc w:val="right"/>
              <w:ind w:right="50"/>
              <w:spacing w:after="0"/>
              <w:rPr>
                <w:sz w:val="20"/>
                <w:szCs w:val="20"/>
                <w:color w:val="auto"/>
              </w:rPr>
            </w:pPr>
            <w:r>
              <w:rPr>
                <w:rFonts w:ascii="Arial" w:cs="Arial" w:eastAsia="Arial" w:hAnsi="Arial"/>
                <w:sz w:val="18"/>
                <w:szCs w:val="18"/>
                <w:color w:val="auto"/>
                <w:w w:val="79"/>
              </w:rPr>
              <w:t>$</w:t>
            </w:r>
          </w:p>
        </w:tc>
        <w:tc>
          <w:tcPr>
            <w:tcW w:w="88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137,979</w:t>
            </w:r>
          </w:p>
        </w:tc>
        <w:tc>
          <w:tcPr>
            <w:tcW w:w="80" w:type="dxa"/>
            <w:vAlign w:val="bottom"/>
            <w:tcBorders>
              <w:top w:val="single" w:sz="8" w:color="CFF0FC"/>
              <w:bottom w:val="single" w:sz="8" w:color="CFF0FC"/>
            </w:tcBorders>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554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2" w:lineRule="exact"/>
        <w:rPr>
          <w:sz w:val="20"/>
          <w:szCs w:val="20"/>
          <w:color w:val="auto"/>
        </w:rPr>
      </w:pPr>
    </w:p>
    <w:p>
      <w:pPr>
        <w:ind w:right="160" w:firstLine="518"/>
        <w:spacing w:after="0" w:line="308" w:lineRule="auto"/>
        <w:rPr>
          <w:sz w:val="20"/>
          <w:szCs w:val="20"/>
          <w:color w:val="auto"/>
        </w:rPr>
      </w:pPr>
      <w:r>
        <w:rPr>
          <w:rFonts w:ascii="Arial" w:cs="Arial" w:eastAsia="Arial" w:hAnsi="Arial"/>
          <w:sz w:val="17"/>
          <w:szCs w:val="17"/>
          <w:color w:val="auto"/>
        </w:rPr>
        <w:t>Interest is capitalized to real estate inventory during development and other qualifying activities. Interest that is capitalized to real estate inventory is included in cost of home sales as related units are delivered. Interest that is expensed as incurred is included in other income (expense).</w:t>
      </w:r>
    </w:p>
    <w:p>
      <w:pPr>
        <w:spacing w:after="0" w:line="255" w:lineRule="exact"/>
        <w:rPr>
          <w:sz w:val="20"/>
          <w:szCs w:val="20"/>
          <w:color w:val="auto"/>
        </w:rPr>
      </w:pPr>
    </w:p>
    <w:p>
      <w:pPr>
        <w:ind w:left="520"/>
        <w:spacing w:after="0"/>
        <w:rPr>
          <w:sz w:val="20"/>
          <w:szCs w:val="20"/>
          <w:color w:val="auto"/>
        </w:rPr>
      </w:pPr>
      <w:r>
        <w:rPr>
          <w:rFonts w:ascii="Arial" w:cs="Arial" w:eastAsia="Arial" w:hAnsi="Arial"/>
          <w:sz w:val="18"/>
          <w:szCs w:val="18"/>
          <w:b w:val="1"/>
          <w:bCs w:val="1"/>
          <w:i w:val="1"/>
          <w:iCs w:val="1"/>
          <w:color w:val="auto"/>
        </w:rPr>
        <w:t>Real estate inventory impairments and land option abandonments</w:t>
      </w:r>
    </w:p>
    <w:p>
      <w:pPr>
        <w:spacing w:after="0" w:line="117" w:lineRule="exact"/>
        <w:rPr>
          <w:sz w:val="20"/>
          <w:szCs w:val="20"/>
          <w:color w:val="auto"/>
        </w:rPr>
      </w:pPr>
    </w:p>
    <w:p>
      <w:pPr>
        <w:ind w:left="520"/>
        <w:spacing w:after="0"/>
        <w:rPr>
          <w:sz w:val="20"/>
          <w:szCs w:val="20"/>
          <w:color w:val="auto"/>
        </w:rPr>
      </w:pPr>
      <w:r>
        <w:rPr>
          <w:rFonts w:ascii="Arial" w:cs="Arial" w:eastAsia="Arial" w:hAnsi="Arial"/>
          <w:sz w:val="18"/>
          <w:szCs w:val="18"/>
          <w:color w:val="auto"/>
        </w:rPr>
        <w:t>Real estate inventory impairments and land option abandonments consisted of the following (in thousands):</w:t>
      </w:r>
    </w:p>
    <w:p>
      <w:pPr>
        <w:spacing w:after="0" w:line="257" w:lineRule="exact"/>
        <w:rPr>
          <w:sz w:val="20"/>
          <w:szCs w:val="20"/>
          <w:color w:val="auto"/>
        </w:rPr>
      </w:pPr>
    </w:p>
    <w:tbl>
      <w:tblPr>
        <w:tblLayout w:type="fixed"/>
        <w:tblInd w:w="1720" w:type="dxa"/>
        <w:tblCellMar>
          <w:top w:w="0" w:type="dxa"/>
          <w:left w:w="0" w:type="dxa"/>
          <w:bottom w:w="0" w:type="dxa"/>
          <w:right w:w="0" w:type="dxa"/>
        </w:tblCellMar>
      </w:tblPr>
      <w:tr>
        <w:trPr>
          <w:trHeight w:val="171"/>
        </w:trPr>
        <w:tc>
          <w:tcPr>
            <w:tcW w:w="464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2480" w:type="dxa"/>
            <w:vAlign w:val="bottom"/>
            <w:gridSpan w:val="6"/>
          </w:tcPr>
          <w:p>
            <w:pPr>
              <w:ind w:left="200"/>
              <w:spacing w:after="0"/>
              <w:rPr>
                <w:sz w:val="20"/>
                <w:szCs w:val="20"/>
                <w:color w:val="auto"/>
              </w:rPr>
            </w:pPr>
            <w:r>
              <w:rPr>
                <w:rFonts w:ascii="Arial" w:cs="Arial" w:eastAsia="Arial" w:hAnsi="Arial"/>
                <w:sz w:val="14"/>
                <w:szCs w:val="14"/>
                <w:b w:val="1"/>
                <w:bCs w:val="1"/>
                <w:color w:val="auto"/>
              </w:rPr>
              <w:t>Three Months Ended March 31,</w:t>
            </w:r>
          </w:p>
        </w:tc>
      </w:tr>
      <w:tr>
        <w:trPr>
          <w:trHeight w:val="156"/>
        </w:trPr>
        <w:tc>
          <w:tcPr>
            <w:tcW w:w="4640" w:type="dxa"/>
            <w:vAlign w:val="bottom"/>
            <w:tcBorders>
              <w:bottom w:val="single" w:sz="8" w:color="CFF0FC"/>
            </w:tcBorders>
          </w:tcPr>
          <w:p>
            <w:pPr>
              <w:spacing w:after="0"/>
              <w:rPr>
                <w:sz w:val="13"/>
                <w:szCs w:val="13"/>
                <w:color w:val="auto"/>
              </w:rPr>
            </w:pPr>
          </w:p>
        </w:tc>
        <w:tc>
          <w:tcPr>
            <w:tcW w:w="860" w:type="dxa"/>
            <w:vAlign w:val="bottom"/>
            <w:tcBorders>
              <w:bottom w:val="single" w:sz="8" w:color="CFF0FC"/>
            </w:tcBorders>
          </w:tcPr>
          <w:p>
            <w:pPr>
              <w:spacing w:after="0"/>
              <w:rPr>
                <w:sz w:val="13"/>
                <w:szCs w:val="13"/>
                <w:color w:val="auto"/>
              </w:rPr>
            </w:pPr>
          </w:p>
        </w:tc>
        <w:tc>
          <w:tcPr>
            <w:tcW w:w="800" w:type="dxa"/>
            <w:vAlign w:val="bottom"/>
            <w:tcBorders>
              <w:top w:val="single" w:sz="8" w:color="auto"/>
              <w:bottom w:val="single" w:sz="8" w:color="auto"/>
            </w:tcBorders>
          </w:tcPr>
          <w:p>
            <w:pPr>
              <w:jc w:val="right"/>
              <w:ind w:right="7"/>
              <w:spacing w:after="0" w:line="155" w:lineRule="exact"/>
              <w:rPr>
                <w:sz w:val="20"/>
                <w:szCs w:val="20"/>
                <w:color w:val="auto"/>
              </w:rPr>
            </w:pPr>
            <w:r>
              <w:rPr>
                <w:rFonts w:ascii="Arial" w:cs="Arial" w:eastAsia="Arial" w:hAnsi="Arial"/>
                <w:sz w:val="14"/>
                <w:szCs w:val="14"/>
                <w:b w:val="1"/>
                <w:bCs w:val="1"/>
                <w:color w:val="auto"/>
              </w:rPr>
              <w:t>2015</w:t>
            </w:r>
          </w:p>
        </w:tc>
        <w:tc>
          <w:tcPr>
            <w:tcW w:w="380" w:type="dxa"/>
            <w:vAlign w:val="bottom"/>
            <w:tcBorders>
              <w:top w:val="single" w:sz="8" w:color="auto"/>
              <w:bottom w:val="single" w:sz="8" w:color="auto"/>
            </w:tcBorders>
          </w:tcPr>
          <w:p>
            <w:pPr>
              <w:spacing w:after="0"/>
              <w:rPr>
                <w:sz w:val="13"/>
                <w:szCs w:val="13"/>
                <w:color w:val="auto"/>
              </w:rPr>
            </w:pPr>
          </w:p>
        </w:tc>
        <w:tc>
          <w:tcPr>
            <w:tcW w:w="120" w:type="dxa"/>
            <w:vAlign w:val="bottom"/>
            <w:tcBorders>
              <w:top w:val="single" w:sz="8" w:color="auto"/>
              <w:bottom w:val="single" w:sz="8" w:color="CFF0FC"/>
            </w:tcBorders>
          </w:tcPr>
          <w:p>
            <w:pPr>
              <w:spacing w:after="0"/>
              <w:rPr>
                <w:sz w:val="13"/>
                <w:szCs w:val="13"/>
                <w:color w:val="auto"/>
              </w:rPr>
            </w:pPr>
          </w:p>
        </w:tc>
        <w:tc>
          <w:tcPr>
            <w:tcW w:w="260" w:type="dxa"/>
            <w:vAlign w:val="bottom"/>
            <w:tcBorders>
              <w:top w:val="single" w:sz="8" w:color="auto"/>
              <w:bottom w:val="single" w:sz="8" w:color="auto"/>
            </w:tcBorders>
          </w:tcPr>
          <w:p>
            <w:pPr>
              <w:spacing w:after="0"/>
              <w:rPr>
                <w:sz w:val="13"/>
                <w:szCs w:val="13"/>
                <w:color w:val="auto"/>
              </w:rPr>
            </w:pPr>
          </w:p>
        </w:tc>
        <w:tc>
          <w:tcPr>
            <w:tcW w:w="840" w:type="dxa"/>
            <w:vAlign w:val="bottom"/>
            <w:tcBorders>
              <w:top w:val="single" w:sz="8" w:color="auto"/>
              <w:bottom w:val="single" w:sz="8" w:color="auto"/>
            </w:tcBorders>
          </w:tcPr>
          <w:p>
            <w:pPr>
              <w:jc w:val="right"/>
              <w:ind w:right="314"/>
              <w:spacing w:after="0" w:line="155" w:lineRule="exact"/>
              <w:rPr>
                <w:sz w:val="20"/>
                <w:szCs w:val="20"/>
                <w:color w:val="auto"/>
              </w:rPr>
            </w:pPr>
            <w:r>
              <w:rPr>
                <w:rFonts w:ascii="Arial" w:cs="Arial" w:eastAsia="Arial" w:hAnsi="Arial"/>
                <w:sz w:val="14"/>
                <w:szCs w:val="14"/>
                <w:b w:val="1"/>
                <w:bCs w:val="1"/>
                <w:color w:val="auto"/>
              </w:rPr>
              <w:t>2014</w:t>
            </w:r>
          </w:p>
        </w:tc>
        <w:tc>
          <w:tcPr>
            <w:tcW w:w="80" w:type="dxa"/>
            <w:vAlign w:val="bottom"/>
            <w:tcBorders>
              <w:bottom w:val="single" w:sz="8" w:color="CFF0FC"/>
            </w:tcBorders>
          </w:tcPr>
          <w:p>
            <w:pPr>
              <w:spacing w:after="0"/>
              <w:rPr>
                <w:sz w:val="13"/>
                <w:szCs w:val="13"/>
                <w:color w:val="auto"/>
              </w:rPr>
            </w:pPr>
          </w:p>
        </w:tc>
      </w:tr>
      <w:tr>
        <w:trPr>
          <w:trHeight w:val="223"/>
        </w:trPr>
        <w:tc>
          <w:tcPr>
            <w:tcW w:w="4640" w:type="dxa"/>
            <w:vAlign w:val="bottom"/>
            <w:shd w:val="clear" w:color="auto" w:fill="CFF0FC"/>
          </w:tcPr>
          <w:p>
            <w:pPr>
              <w:spacing w:after="0"/>
              <w:rPr>
                <w:sz w:val="20"/>
                <w:szCs w:val="20"/>
                <w:color w:val="auto"/>
              </w:rPr>
            </w:pPr>
            <w:r>
              <w:rPr>
                <w:rFonts w:ascii="Arial" w:cs="Arial" w:eastAsia="Arial" w:hAnsi="Arial"/>
                <w:sz w:val="18"/>
                <w:szCs w:val="18"/>
                <w:color w:val="auto"/>
              </w:rPr>
              <w:t>Real estate inventory impairments</w:t>
            </w:r>
          </w:p>
        </w:tc>
        <w:tc>
          <w:tcPr>
            <w:tcW w:w="860" w:type="dxa"/>
            <w:vAlign w:val="bottom"/>
            <w:shd w:val="clear" w:color="auto" w:fill="CFF0FC"/>
          </w:tcPr>
          <w:p>
            <w:pPr>
              <w:spacing w:after="0"/>
              <w:rPr>
                <w:sz w:val="19"/>
                <w:szCs w:val="19"/>
                <w:color w:val="auto"/>
              </w:rPr>
            </w:pPr>
          </w:p>
        </w:tc>
        <w:tc>
          <w:tcPr>
            <w:tcW w:w="800" w:type="dxa"/>
            <w:vAlign w:val="bottom"/>
            <w:shd w:val="clear" w:color="auto" w:fill="CFF0FC"/>
          </w:tcPr>
          <w:p>
            <w:pPr>
              <w:jc w:val="right"/>
              <w:ind w:right="647"/>
              <w:spacing w:after="0"/>
              <w:rPr>
                <w:sz w:val="20"/>
                <w:szCs w:val="20"/>
                <w:color w:val="auto"/>
              </w:rPr>
            </w:pPr>
            <w:r>
              <w:rPr>
                <w:rFonts w:ascii="Arial" w:cs="Arial" w:eastAsia="Arial" w:hAnsi="Arial"/>
                <w:sz w:val="15"/>
                <w:szCs w:val="15"/>
                <w:color w:val="auto"/>
                <w:w w:val="71"/>
              </w:rPr>
              <w:t>$</w:t>
            </w:r>
          </w:p>
        </w:tc>
        <w:tc>
          <w:tcPr>
            <w:tcW w:w="3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120" w:type="dxa"/>
            <w:vAlign w:val="bottom"/>
            <w:shd w:val="clear" w:color="auto" w:fill="CFF0FC"/>
          </w:tcPr>
          <w:p>
            <w:pPr>
              <w:spacing w:after="0"/>
              <w:rPr>
                <w:sz w:val="19"/>
                <w:szCs w:val="19"/>
                <w:color w:val="auto"/>
              </w:rPr>
            </w:pPr>
          </w:p>
        </w:tc>
        <w:tc>
          <w:tcPr>
            <w:tcW w:w="260" w:type="dxa"/>
            <w:vAlign w:val="bottom"/>
            <w:shd w:val="clear" w:color="auto" w:fill="CFF0FC"/>
          </w:tcPr>
          <w:p>
            <w:pPr>
              <w:jc w:val="right"/>
              <w:ind w:right="70"/>
              <w:spacing w:after="0"/>
              <w:rPr>
                <w:sz w:val="20"/>
                <w:szCs w:val="20"/>
                <w:color w:val="auto"/>
              </w:rPr>
            </w:pPr>
            <w:r>
              <w:rPr>
                <w:rFonts w:ascii="Arial" w:cs="Arial" w:eastAsia="Arial" w:hAnsi="Arial"/>
                <w:sz w:val="18"/>
                <w:szCs w:val="18"/>
                <w:color w:val="auto"/>
                <w:w w:val="79"/>
              </w:rPr>
              <w:t>$</w:t>
            </w:r>
          </w:p>
        </w:tc>
        <w:tc>
          <w:tcPr>
            <w:tcW w:w="8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10</w:t>
            </w:r>
          </w:p>
        </w:tc>
        <w:tc>
          <w:tcPr>
            <w:tcW w:w="80" w:type="dxa"/>
            <w:vAlign w:val="bottom"/>
            <w:shd w:val="clear" w:color="auto" w:fill="CFF0FC"/>
          </w:tcPr>
          <w:p>
            <w:pPr>
              <w:spacing w:after="0"/>
              <w:rPr>
                <w:sz w:val="19"/>
                <w:szCs w:val="19"/>
                <w:color w:val="auto"/>
              </w:rPr>
            </w:pPr>
          </w:p>
        </w:tc>
      </w:tr>
      <w:tr>
        <w:trPr>
          <w:trHeight w:val="230"/>
        </w:trPr>
        <w:tc>
          <w:tcPr>
            <w:tcW w:w="4640" w:type="dxa"/>
            <w:vAlign w:val="bottom"/>
            <w:tcBorders>
              <w:bottom w:val="single" w:sz="8" w:color="CFF0FC"/>
            </w:tcBorders>
          </w:tcPr>
          <w:p>
            <w:pPr>
              <w:spacing w:after="0"/>
              <w:rPr>
                <w:sz w:val="20"/>
                <w:szCs w:val="20"/>
                <w:color w:val="auto"/>
              </w:rPr>
            </w:pPr>
            <w:r>
              <w:rPr>
                <w:rFonts w:ascii="Arial" w:cs="Arial" w:eastAsia="Arial" w:hAnsi="Arial"/>
                <w:sz w:val="18"/>
                <w:szCs w:val="18"/>
                <w:color w:val="auto"/>
              </w:rPr>
              <w:t>Land option abandonments and pre-acquisition costs</w:t>
            </w:r>
          </w:p>
        </w:tc>
        <w:tc>
          <w:tcPr>
            <w:tcW w:w="860" w:type="dxa"/>
            <w:vAlign w:val="bottom"/>
            <w:tcBorders>
              <w:bottom w:val="single" w:sz="8" w:color="CFF0FC"/>
            </w:tcBorders>
          </w:tcPr>
          <w:p>
            <w:pPr>
              <w:spacing w:after="0"/>
              <w:rPr>
                <w:sz w:val="19"/>
                <w:szCs w:val="19"/>
                <w:color w:val="auto"/>
              </w:rPr>
            </w:pPr>
          </w:p>
        </w:tc>
        <w:tc>
          <w:tcPr>
            <w:tcW w:w="800" w:type="dxa"/>
            <w:vAlign w:val="bottom"/>
            <w:tcBorders>
              <w:bottom w:val="single" w:sz="8" w:color="auto"/>
            </w:tcBorders>
          </w:tcPr>
          <w:p>
            <w:pPr>
              <w:spacing w:after="0"/>
              <w:rPr>
                <w:sz w:val="19"/>
                <w:szCs w:val="19"/>
                <w:color w:val="auto"/>
              </w:rPr>
            </w:pPr>
          </w:p>
        </w:tc>
        <w:tc>
          <w:tcPr>
            <w:tcW w:w="3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360</w:t>
            </w:r>
          </w:p>
        </w:tc>
        <w:tc>
          <w:tcPr>
            <w:tcW w:w="120" w:type="dxa"/>
            <w:vAlign w:val="bottom"/>
            <w:tcBorders>
              <w:bottom w:val="single" w:sz="8" w:color="CFF0FC"/>
            </w:tcBorders>
          </w:tcPr>
          <w:p>
            <w:pPr>
              <w:spacing w:after="0"/>
              <w:rPr>
                <w:sz w:val="19"/>
                <w:szCs w:val="19"/>
                <w:color w:val="auto"/>
              </w:rPr>
            </w:pPr>
          </w:p>
        </w:tc>
        <w:tc>
          <w:tcPr>
            <w:tcW w:w="260" w:type="dxa"/>
            <w:vAlign w:val="bottom"/>
            <w:tcBorders>
              <w:bottom w:val="single" w:sz="8" w:color="auto"/>
            </w:tcBorders>
          </w:tcPr>
          <w:p>
            <w:pPr>
              <w:spacing w:after="0"/>
              <w:rPr>
                <w:sz w:val="19"/>
                <w:szCs w:val="19"/>
                <w:color w:val="auto"/>
              </w:rPr>
            </w:pPr>
          </w:p>
        </w:tc>
        <w:tc>
          <w:tcPr>
            <w:tcW w:w="8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458</w:t>
            </w:r>
          </w:p>
        </w:tc>
        <w:tc>
          <w:tcPr>
            <w:tcW w:w="80" w:type="dxa"/>
            <w:vAlign w:val="bottom"/>
            <w:tcBorders>
              <w:bottom w:val="single" w:sz="8" w:color="CFF0FC"/>
            </w:tcBorders>
          </w:tcPr>
          <w:p>
            <w:pPr>
              <w:spacing w:after="0"/>
              <w:rPr>
                <w:sz w:val="19"/>
                <w:szCs w:val="19"/>
                <w:color w:val="auto"/>
              </w:rPr>
            </w:pPr>
          </w:p>
        </w:tc>
      </w:tr>
      <w:tr>
        <w:trPr>
          <w:trHeight w:val="223"/>
        </w:trPr>
        <w:tc>
          <w:tcPr>
            <w:tcW w:w="4640" w:type="dxa"/>
            <w:vAlign w:val="bottom"/>
            <w:tcBorders>
              <w:bottom w:val="single" w:sz="8" w:color="CFF0FC"/>
            </w:tcBorders>
            <w:shd w:val="clear" w:color="auto" w:fill="CFF0FC"/>
          </w:tcPr>
          <w:p>
            <w:pPr>
              <w:spacing w:after="0"/>
              <w:rPr>
                <w:sz w:val="20"/>
                <w:szCs w:val="20"/>
                <w:color w:val="auto"/>
              </w:rPr>
            </w:pPr>
            <w:r>
              <w:rPr>
                <w:rFonts w:ascii="Arial" w:cs="Arial" w:eastAsia="Arial" w:hAnsi="Arial"/>
                <w:sz w:val="18"/>
                <w:szCs w:val="18"/>
                <w:color w:val="auto"/>
              </w:rPr>
              <w:t>Total</w:t>
            </w:r>
          </w:p>
        </w:tc>
        <w:tc>
          <w:tcPr>
            <w:tcW w:w="860" w:type="dxa"/>
            <w:vAlign w:val="bottom"/>
            <w:tcBorders>
              <w:bottom w:val="single" w:sz="8" w:color="CFF0FC"/>
            </w:tcBorders>
            <w:shd w:val="clear" w:color="auto" w:fill="CFF0FC"/>
          </w:tcPr>
          <w:p>
            <w:pPr>
              <w:spacing w:after="0"/>
              <w:rPr>
                <w:sz w:val="19"/>
                <w:szCs w:val="19"/>
                <w:color w:val="auto"/>
              </w:rPr>
            </w:pPr>
          </w:p>
        </w:tc>
        <w:tc>
          <w:tcPr>
            <w:tcW w:w="800" w:type="dxa"/>
            <w:vAlign w:val="bottom"/>
            <w:tcBorders>
              <w:bottom w:val="single" w:sz="8" w:color="auto"/>
            </w:tcBorders>
            <w:shd w:val="clear" w:color="auto" w:fill="CFF0FC"/>
          </w:tcPr>
          <w:p>
            <w:pPr>
              <w:jc w:val="right"/>
              <w:ind w:right="647"/>
              <w:spacing w:after="0"/>
              <w:rPr>
                <w:sz w:val="20"/>
                <w:szCs w:val="20"/>
                <w:color w:val="auto"/>
              </w:rPr>
            </w:pPr>
            <w:r>
              <w:rPr>
                <w:rFonts w:ascii="Arial" w:cs="Arial" w:eastAsia="Arial" w:hAnsi="Arial"/>
                <w:sz w:val="15"/>
                <w:szCs w:val="15"/>
                <w:color w:val="auto"/>
                <w:w w:val="71"/>
              </w:rPr>
              <w:t>$</w:t>
            </w:r>
          </w:p>
        </w:tc>
        <w:tc>
          <w:tcPr>
            <w:tcW w:w="38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360</w:t>
            </w:r>
          </w:p>
        </w:tc>
        <w:tc>
          <w:tcPr>
            <w:tcW w:w="120" w:type="dxa"/>
            <w:vAlign w:val="bottom"/>
            <w:tcBorders>
              <w:bottom w:val="single" w:sz="8" w:color="CFF0FC"/>
            </w:tcBorders>
            <w:shd w:val="clear" w:color="auto" w:fill="CFF0FC"/>
          </w:tcPr>
          <w:p>
            <w:pPr>
              <w:spacing w:after="0"/>
              <w:rPr>
                <w:sz w:val="19"/>
                <w:szCs w:val="19"/>
                <w:color w:val="auto"/>
              </w:rPr>
            </w:pPr>
          </w:p>
        </w:tc>
        <w:tc>
          <w:tcPr>
            <w:tcW w:w="260" w:type="dxa"/>
            <w:vAlign w:val="bottom"/>
            <w:tcBorders>
              <w:bottom w:val="single" w:sz="8" w:color="auto"/>
            </w:tcBorders>
            <w:shd w:val="clear" w:color="auto" w:fill="CFF0FC"/>
          </w:tcPr>
          <w:p>
            <w:pPr>
              <w:jc w:val="right"/>
              <w:ind w:right="70"/>
              <w:spacing w:after="0"/>
              <w:rPr>
                <w:sz w:val="20"/>
                <w:szCs w:val="20"/>
                <w:color w:val="auto"/>
              </w:rPr>
            </w:pPr>
            <w:r>
              <w:rPr>
                <w:rFonts w:ascii="Arial" w:cs="Arial" w:eastAsia="Arial" w:hAnsi="Arial"/>
                <w:sz w:val="18"/>
                <w:szCs w:val="18"/>
                <w:color w:val="auto"/>
                <w:w w:val="79"/>
              </w:rPr>
              <w:t>$</w:t>
            </w:r>
          </w:p>
        </w:tc>
        <w:tc>
          <w:tcPr>
            <w:tcW w:w="84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468</w:t>
            </w:r>
          </w:p>
        </w:tc>
        <w:tc>
          <w:tcPr>
            <w:tcW w:w="80" w:type="dxa"/>
            <w:vAlign w:val="bottom"/>
            <w:tcBorders>
              <w:bottom w:val="single" w:sz="8" w:color="CFF0FC"/>
            </w:tcBorders>
            <w:shd w:val="clear" w:color="auto" w:fill="CFF0FC"/>
          </w:tcPr>
          <w:p>
            <w:pPr>
              <w:spacing w:after="0"/>
              <w:rPr>
                <w:sz w:val="19"/>
                <w:szCs w:val="19"/>
                <w:color w:val="auto"/>
              </w:rPr>
            </w:pPr>
          </w:p>
        </w:tc>
      </w:tr>
      <w:tr>
        <w:trPr>
          <w:trHeight w:val="20"/>
        </w:trPr>
        <w:tc>
          <w:tcPr>
            <w:tcW w:w="4640" w:type="dxa"/>
            <w:vAlign w:val="bottom"/>
          </w:tcPr>
          <w:p>
            <w:pPr>
              <w:spacing w:after="0" w:line="20" w:lineRule="exact"/>
              <w:rPr>
                <w:sz w:val="1"/>
                <w:szCs w:val="1"/>
                <w:color w:val="auto"/>
              </w:rPr>
            </w:pPr>
          </w:p>
        </w:tc>
        <w:tc>
          <w:tcPr>
            <w:tcW w:w="860" w:type="dxa"/>
            <w:vAlign w:val="bottom"/>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r>
    </w:tbl>
    <w:p>
      <w:pPr>
        <w:spacing w:after="0" w:line="202" w:lineRule="exact"/>
        <w:rPr>
          <w:sz w:val="20"/>
          <w:szCs w:val="20"/>
          <w:color w:val="auto"/>
        </w:rPr>
      </w:pPr>
    </w:p>
    <w:p>
      <w:pPr>
        <w:jc w:val="both"/>
        <w:ind w:firstLine="518"/>
        <w:spacing w:after="0" w:line="312" w:lineRule="auto"/>
        <w:rPr>
          <w:sz w:val="20"/>
          <w:szCs w:val="20"/>
          <w:color w:val="auto"/>
        </w:rPr>
      </w:pPr>
      <w:r>
        <w:rPr>
          <w:rFonts w:ascii="Arial" w:cs="Arial" w:eastAsia="Arial" w:hAnsi="Arial"/>
          <w:sz w:val="16"/>
          <w:szCs w:val="16"/>
          <w:color w:val="auto"/>
        </w:rPr>
        <w:t>Impairments of homebuilding assets and related charges relate primarily to projects or communities held for development. Within a community that is held for development, there may be individual homes or parcels of land that are currently held for sale. Impairment charges recognized as a result of adjusting individual held-for-sale assets within a community to estimated fair value less cost to sell are also included in the total impairment charges above.</w:t>
      </w:r>
    </w:p>
    <w:p>
      <w:pPr>
        <w:spacing w:after="0" w:line="147" w:lineRule="exact"/>
        <w:rPr>
          <w:sz w:val="20"/>
          <w:szCs w:val="20"/>
          <w:color w:val="auto"/>
        </w:rPr>
      </w:pPr>
    </w:p>
    <w:p>
      <w:pPr>
        <w:ind w:right="40" w:firstLine="518"/>
        <w:spacing w:after="0" w:line="279" w:lineRule="auto"/>
        <w:rPr>
          <w:sz w:val="20"/>
          <w:szCs w:val="20"/>
          <w:color w:val="auto"/>
        </w:rPr>
      </w:pPr>
      <w:r>
        <w:rPr>
          <w:rFonts w:ascii="Arial" w:cs="Arial" w:eastAsia="Arial" w:hAnsi="Arial"/>
          <w:sz w:val="17"/>
          <w:szCs w:val="17"/>
          <w:color w:val="auto"/>
        </w:rPr>
        <w:t>In addition to owning land and residential lots, we also have option agreements to purchase land and lots at a future date. We have option deposits and capitalized pre-acquisition costs associated with the optioned land and lots. When the economics of a project no longer support acquisition of the land or lots under option, we may elect not to move forward with the acquisition. Option deposits and capitalized pre-acquisition costs associated with the assets under option may be forfeited at that time. Charges for such forfeitures are expensed to cost of sales.</w:t>
      </w:r>
    </w:p>
    <w:p>
      <w:pPr>
        <w:spacing w:after="0" w:line="357" w:lineRule="exact"/>
        <w:rPr>
          <w:sz w:val="20"/>
          <w:szCs w:val="20"/>
          <w:color w:val="auto"/>
        </w:rPr>
      </w:pPr>
    </w:p>
    <w:p>
      <w:pPr>
        <w:ind w:left="540" w:hanging="532"/>
        <w:spacing w:after="0"/>
        <w:tabs>
          <w:tab w:leader="none" w:pos="540" w:val="left"/>
        </w:tabs>
        <w:numPr>
          <w:ilvl w:val="0"/>
          <w:numId w:val="9"/>
        </w:numPr>
        <w:rPr>
          <w:rFonts w:ascii="Arial" w:cs="Arial" w:eastAsia="Arial" w:hAnsi="Arial"/>
          <w:sz w:val="18"/>
          <w:szCs w:val="18"/>
          <w:b w:val="1"/>
          <w:bCs w:val="1"/>
          <w:color w:val="auto"/>
        </w:rPr>
      </w:pPr>
      <w:r>
        <w:rPr>
          <w:rFonts w:ascii="Arial" w:cs="Arial" w:eastAsia="Arial" w:hAnsi="Arial"/>
          <w:sz w:val="18"/>
          <w:szCs w:val="18"/>
          <w:b w:val="1"/>
          <w:bCs w:val="1"/>
          <w:color w:val="auto"/>
        </w:rPr>
        <w:t>Investments in Unconsolidated Entities</w:t>
      </w:r>
    </w:p>
    <w:p>
      <w:pPr>
        <w:spacing w:after="0" w:line="121" w:lineRule="exact"/>
        <w:rPr>
          <w:sz w:val="20"/>
          <w:szCs w:val="20"/>
          <w:color w:val="auto"/>
        </w:rPr>
      </w:pPr>
    </w:p>
    <w:p>
      <w:pPr>
        <w:ind w:right="160" w:firstLine="518"/>
        <w:spacing w:after="0" w:line="264" w:lineRule="auto"/>
        <w:rPr>
          <w:sz w:val="20"/>
          <w:szCs w:val="20"/>
          <w:color w:val="auto"/>
        </w:rPr>
      </w:pPr>
      <w:r>
        <w:rPr>
          <w:rFonts w:ascii="Arial" w:cs="Arial" w:eastAsia="Arial" w:hAnsi="Arial"/>
          <w:sz w:val="18"/>
          <w:szCs w:val="18"/>
          <w:color w:val="auto"/>
        </w:rPr>
        <w:t>As of March 31, 2015, we held equity investments in six active real estate partnerships or limited liability companies. Our participation in these entities may be as a developer, a builder, or an investment partner. Our ownership percentage varies from 7% to 55%, depending on the investment, with no controlling interest held in any of these investments.</w:t>
      </w:r>
    </w:p>
    <w:p>
      <w:pPr>
        <w:spacing w:after="0" w:line="289" w:lineRule="exact"/>
        <w:rPr>
          <w:sz w:val="20"/>
          <w:szCs w:val="20"/>
          <w:color w:val="auto"/>
        </w:rPr>
      </w:pPr>
    </w:p>
    <w:p>
      <w:pPr>
        <w:ind w:left="520"/>
        <w:spacing w:after="0"/>
        <w:rPr>
          <w:sz w:val="20"/>
          <w:szCs w:val="20"/>
          <w:color w:val="auto"/>
        </w:rPr>
      </w:pPr>
      <w:r>
        <w:rPr>
          <w:rFonts w:ascii="Arial" w:cs="Arial" w:eastAsia="Arial" w:hAnsi="Arial"/>
          <w:sz w:val="18"/>
          <w:szCs w:val="18"/>
          <w:b w:val="1"/>
          <w:bCs w:val="1"/>
          <w:i w:val="1"/>
          <w:iCs w:val="1"/>
          <w:color w:val="auto"/>
        </w:rPr>
        <w:t>Investments Held</w:t>
      </w:r>
    </w:p>
    <w:p>
      <w:pPr>
        <w:spacing w:after="0" w:line="117" w:lineRule="exact"/>
        <w:rPr>
          <w:sz w:val="20"/>
          <w:szCs w:val="20"/>
          <w:color w:val="auto"/>
        </w:rPr>
      </w:pPr>
    </w:p>
    <w:p>
      <w:pPr>
        <w:ind w:right="220" w:firstLine="518"/>
        <w:spacing w:after="0" w:line="277" w:lineRule="auto"/>
        <w:rPr>
          <w:sz w:val="20"/>
          <w:szCs w:val="20"/>
          <w:color w:val="auto"/>
        </w:rPr>
      </w:pPr>
      <w:r>
        <w:rPr>
          <w:rFonts w:ascii="Arial" w:cs="Arial" w:eastAsia="Arial" w:hAnsi="Arial"/>
          <w:sz w:val="18"/>
          <w:szCs w:val="18"/>
          <w:color w:val="auto"/>
        </w:rPr>
        <w:t>Our cumulative investment in entities accounted for on the equity method, including our share of earnings and losses, consisted of the following (in thousands):</w:t>
      </w:r>
    </w:p>
    <w:p>
      <w:pPr>
        <w:spacing w:after="0" w:line="217" w:lineRule="exact"/>
        <w:rPr>
          <w:sz w:val="20"/>
          <w:szCs w:val="20"/>
          <w:color w:val="auto"/>
        </w:rPr>
      </w:pPr>
    </w:p>
    <w:tbl>
      <w:tblPr>
        <w:tblLayout w:type="fixed"/>
        <w:tblInd w:w="1720" w:type="dxa"/>
        <w:tblCellMar>
          <w:top w:w="0" w:type="dxa"/>
          <w:left w:w="0" w:type="dxa"/>
          <w:bottom w:w="0" w:type="dxa"/>
          <w:right w:w="0" w:type="dxa"/>
        </w:tblCellMar>
      </w:tblPr>
      <w:tr>
        <w:trPr>
          <w:trHeight w:val="161"/>
        </w:trPr>
        <w:tc>
          <w:tcPr>
            <w:tcW w:w="492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060" w:type="dxa"/>
            <w:vAlign w:val="bottom"/>
            <w:gridSpan w:val="2"/>
          </w:tcPr>
          <w:p>
            <w:pPr>
              <w:jc w:val="right"/>
              <w:ind w:right="360"/>
              <w:spacing w:after="0"/>
              <w:rPr>
                <w:sz w:val="20"/>
                <w:szCs w:val="20"/>
                <w:color w:val="auto"/>
              </w:rPr>
            </w:pPr>
            <w:r>
              <w:rPr>
                <w:rFonts w:ascii="Arial" w:cs="Arial" w:eastAsia="Arial" w:hAnsi="Arial"/>
                <w:sz w:val="14"/>
                <w:szCs w:val="14"/>
                <w:b w:val="1"/>
                <w:bCs w:val="1"/>
                <w:color w:val="auto"/>
              </w:rPr>
              <w:t>March 31,</w:t>
            </w:r>
          </w:p>
        </w:tc>
        <w:tc>
          <w:tcPr>
            <w:tcW w:w="100" w:type="dxa"/>
            <w:vAlign w:val="bottom"/>
          </w:tcPr>
          <w:p>
            <w:pPr>
              <w:spacing w:after="0"/>
              <w:rPr>
                <w:sz w:val="14"/>
                <w:szCs w:val="14"/>
                <w:color w:val="auto"/>
              </w:rPr>
            </w:pPr>
          </w:p>
        </w:tc>
        <w:tc>
          <w:tcPr>
            <w:tcW w:w="1080" w:type="dxa"/>
            <w:vAlign w:val="bottom"/>
            <w:gridSpan w:val="2"/>
          </w:tcPr>
          <w:p>
            <w:pPr>
              <w:jc w:val="right"/>
              <w:ind w:right="220"/>
              <w:spacing w:after="0"/>
              <w:rPr>
                <w:sz w:val="20"/>
                <w:szCs w:val="20"/>
                <w:color w:val="auto"/>
              </w:rPr>
            </w:pPr>
            <w:r>
              <w:rPr>
                <w:rFonts w:ascii="Arial" w:cs="Arial" w:eastAsia="Arial" w:hAnsi="Arial"/>
                <w:sz w:val="14"/>
                <w:szCs w:val="14"/>
                <w:b w:val="1"/>
                <w:bCs w:val="1"/>
                <w:color w:val="auto"/>
                <w:w w:val="92"/>
              </w:rPr>
              <w:t>December 31,</w:t>
            </w:r>
          </w:p>
        </w:tc>
        <w:tc>
          <w:tcPr>
            <w:tcW w:w="0" w:type="dxa"/>
            <w:vAlign w:val="bottom"/>
          </w:tcPr>
          <w:p>
            <w:pPr>
              <w:spacing w:after="0"/>
              <w:rPr>
                <w:sz w:val="1"/>
                <w:szCs w:val="1"/>
                <w:color w:val="auto"/>
              </w:rPr>
            </w:pPr>
          </w:p>
        </w:tc>
      </w:tr>
      <w:tr>
        <w:trPr>
          <w:trHeight w:val="171"/>
        </w:trPr>
        <w:tc>
          <w:tcPr>
            <w:tcW w:w="4920" w:type="dxa"/>
            <w:vAlign w:val="bottom"/>
            <w:tcBorders>
              <w:bottom w:val="single" w:sz="8" w:color="CFF0FC"/>
            </w:tcBorders>
          </w:tcPr>
          <w:p>
            <w:pPr>
              <w:spacing w:after="0"/>
              <w:rPr>
                <w:sz w:val="14"/>
                <w:szCs w:val="14"/>
                <w:color w:val="auto"/>
              </w:rPr>
            </w:pPr>
          </w:p>
        </w:tc>
        <w:tc>
          <w:tcPr>
            <w:tcW w:w="660" w:type="dxa"/>
            <w:vAlign w:val="bottom"/>
            <w:tcBorders>
              <w:bottom w:val="single" w:sz="8" w:color="CFF0FC"/>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920" w:type="dxa"/>
            <w:vAlign w:val="bottom"/>
            <w:tcBorders>
              <w:bottom w:val="single" w:sz="8" w:color="auto"/>
            </w:tcBorders>
          </w:tcPr>
          <w:p>
            <w:pPr>
              <w:jc w:val="right"/>
              <w:ind w:right="317"/>
              <w:spacing w:after="0"/>
              <w:rPr>
                <w:sz w:val="20"/>
                <w:szCs w:val="20"/>
                <w:color w:val="auto"/>
              </w:rPr>
            </w:pPr>
            <w:r>
              <w:rPr>
                <w:rFonts w:ascii="Arial" w:cs="Arial" w:eastAsia="Arial" w:hAnsi="Arial"/>
                <w:sz w:val="14"/>
                <w:szCs w:val="14"/>
                <w:b w:val="1"/>
                <w:bCs w:val="1"/>
                <w:color w:val="auto"/>
              </w:rPr>
              <w:t>2015</w:t>
            </w:r>
          </w:p>
        </w:tc>
        <w:tc>
          <w:tcPr>
            <w:tcW w:w="140" w:type="dxa"/>
            <w:vAlign w:val="bottom"/>
            <w:tcBorders>
              <w:bottom w:val="single" w:sz="8" w:color="CFF0FC"/>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1000" w:type="dxa"/>
            <w:vAlign w:val="bottom"/>
            <w:tcBorders>
              <w:bottom w:val="single" w:sz="8" w:color="auto"/>
            </w:tcBorders>
          </w:tcPr>
          <w:p>
            <w:pPr>
              <w:jc w:val="right"/>
              <w:ind w:right="317"/>
              <w:spacing w:after="0"/>
              <w:rPr>
                <w:sz w:val="20"/>
                <w:szCs w:val="20"/>
                <w:color w:val="auto"/>
              </w:rPr>
            </w:pPr>
            <w:r>
              <w:rPr>
                <w:rFonts w:ascii="Arial" w:cs="Arial" w:eastAsia="Arial" w:hAnsi="Arial"/>
                <w:sz w:val="14"/>
                <w:szCs w:val="14"/>
                <w:b w:val="1"/>
                <w:bCs w:val="1"/>
                <w:color w:val="auto"/>
              </w:rPr>
              <w:t>2014</w:t>
            </w:r>
          </w:p>
        </w:tc>
        <w:tc>
          <w:tcPr>
            <w:tcW w:w="80" w:type="dxa"/>
            <w:vAlign w:val="bottom"/>
            <w:tcBorders>
              <w:bottom w:val="single" w:sz="8" w:color="CFF0FC"/>
            </w:tcBorders>
          </w:tcPr>
          <w:p>
            <w:pPr>
              <w:spacing w:after="0"/>
              <w:rPr>
                <w:sz w:val="14"/>
                <w:szCs w:val="14"/>
                <w:color w:val="auto"/>
              </w:rPr>
            </w:pPr>
          </w:p>
        </w:tc>
        <w:tc>
          <w:tcPr>
            <w:tcW w:w="0" w:type="dxa"/>
            <w:vAlign w:val="bottom"/>
          </w:tcPr>
          <w:p>
            <w:pPr>
              <w:spacing w:after="0"/>
              <w:rPr>
                <w:sz w:val="1"/>
                <w:szCs w:val="1"/>
                <w:color w:val="auto"/>
              </w:rPr>
            </w:pPr>
          </w:p>
        </w:tc>
      </w:tr>
      <w:tr>
        <w:trPr>
          <w:trHeight w:val="210"/>
        </w:trPr>
        <w:tc>
          <w:tcPr>
            <w:tcW w:w="4920" w:type="dxa"/>
            <w:vAlign w:val="bottom"/>
            <w:shd w:val="clear" w:color="auto" w:fill="CFF0FC"/>
          </w:tcPr>
          <w:p>
            <w:pPr>
              <w:spacing w:after="0"/>
              <w:rPr>
                <w:sz w:val="20"/>
                <w:szCs w:val="20"/>
                <w:color w:val="auto"/>
              </w:rPr>
            </w:pPr>
            <w:r>
              <w:rPr>
                <w:rFonts w:ascii="Arial" w:cs="Arial" w:eastAsia="Arial" w:hAnsi="Arial"/>
                <w:sz w:val="18"/>
                <w:szCs w:val="18"/>
                <w:color w:val="auto"/>
              </w:rPr>
              <w:t>Limited partnership and limited liability company interests</w:t>
            </w:r>
          </w:p>
        </w:tc>
        <w:tc>
          <w:tcPr>
            <w:tcW w:w="660" w:type="dxa"/>
            <w:vAlign w:val="bottom"/>
            <w:shd w:val="clear" w:color="auto" w:fill="CFF0FC"/>
          </w:tcPr>
          <w:p>
            <w:pPr>
              <w:spacing w:after="0"/>
              <w:rPr>
                <w:sz w:val="18"/>
                <w:szCs w:val="18"/>
                <w:color w:val="auto"/>
              </w:rPr>
            </w:pPr>
          </w:p>
        </w:tc>
        <w:tc>
          <w:tcPr>
            <w:tcW w:w="160" w:type="dxa"/>
            <w:vAlign w:val="bottom"/>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9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14,374</w:t>
            </w:r>
          </w:p>
        </w:tc>
        <w:tc>
          <w:tcPr>
            <w:tcW w:w="140" w:type="dxa"/>
            <w:vAlign w:val="bottom"/>
            <w:shd w:val="clear" w:color="auto" w:fill="CFF0FC"/>
          </w:tcPr>
          <w:p>
            <w:pPr>
              <w:spacing w:after="0"/>
              <w:rPr>
                <w:sz w:val="18"/>
                <w:szCs w:val="18"/>
                <w:color w:val="auto"/>
              </w:rPr>
            </w:pPr>
          </w:p>
        </w:tc>
        <w:tc>
          <w:tcPr>
            <w:tcW w:w="100" w:type="dxa"/>
            <w:vAlign w:val="bottom"/>
            <w:shd w:val="clear" w:color="auto" w:fill="CFF0FC"/>
          </w:tcPr>
          <w:p>
            <w:pPr>
              <w:jc w:val="right"/>
              <w:spacing w:after="0"/>
              <w:rPr>
                <w:sz w:val="20"/>
                <w:szCs w:val="20"/>
                <w:color w:val="auto"/>
              </w:rPr>
            </w:pPr>
            <w:r>
              <w:rPr>
                <w:rFonts w:ascii="Arial" w:cs="Arial" w:eastAsia="Arial" w:hAnsi="Arial"/>
                <w:sz w:val="15"/>
                <w:szCs w:val="15"/>
                <w:color w:val="auto"/>
                <w:w w:val="71"/>
              </w:rPr>
              <w:t>$</w:t>
            </w:r>
          </w:p>
        </w:tc>
        <w:tc>
          <w:tcPr>
            <w:tcW w:w="10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13,710</w:t>
            </w:r>
          </w:p>
        </w:tc>
        <w:tc>
          <w:tcPr>
            <w:tcW w:w="80" w:type="dxa"/>
            <w:vAlign w:val="bottom"/>
            <w:shd w:val="clear" w:color="auto" w:fill="CFF0FC"/>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920" w:type="dxa"/>
            <w:vAlign w:val="bottom"/>
          </w:tcPr>
          <w:p>
            <w:pPr>
              <w:spacing w:after="0"/>
              <w:rPr>
                <w:sz w:val="20"/>
                <w:szCs w:val="20"/>
                <w:color w:val="auto"/>
              </w:rPr>
            </w:pPr>
            <w:r>
              <w:rPr>
                <w:rFonts w:ascii="Arial" w:cs="Arial" w:eastAsia="Arial" w:hAnsi="Arial"/>
                <w:sz w:val="18"/>
                <w:szCs w:val="18"/>
                <w:color w:val="auto"/>
              </w:rPr>
              <w:t>General partnership interests</w:t>
            </w:r>
          </w:p>
        </w:tc>
        <w:tc>
          <w:tcPr>
            <w:tcW w:w="6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60" w:type="dxa"/>
            <w:vAlign w:val="bottom"/>
            <w:gridSpan w:val="2"/>
          </w:tcPr>
          <w:p>
            <w:pPr>
              <w:jc w:val="right"/>
              <w:ind w:right="140"/>
              <w:spacing w:after="0"/>
              <w:rPr>
                <w:sz w:val="20"/>
                <w:szCs w:val="20"/>
                <w:color w:val="auto"/>
              </w:rPr>
            </w:pPr>
            <w:r>
              <w:rPr>
                <w:rFonts w:ascii="Arial" w:cs="Arial" w:eastAsia="Arial" w:hAnsi="Arial"/>
                <w:sz w:val="18"/>
                <w:szCs w:val="18"/>
                <w:color w:val="auto"/>
              </w:rPr>
              <w:t>3,356</w:t>
            </w:r>
          </w:p>
        </w:tc>
        <w:tc>
          <w:tcPr>
            <w:tcW w:w="100" w:type="dxa"/>
            <w:vAlign w:val="bottom"/>
          </w:tcPr>
          <w:p>
            <w:pPr>
              <w:spacing w:after="0"/>
              <w:rPr>
                <w:sz w:val="18"/>
                <w:szCs w:val="18"/>
                <w:color w:val="auto"/>
              </w:rPr>
            </w:pPr>
          </w:p>
        </w:tc>
        <w:tc>
          <w:tcPr>
            <w:tcW w:w="1080" w:type="dxa"/>
            <w:vAlign w:val="bottom"/>
            <w:gridSpan w:val="2"/>
          </w:tcPr>
          <w:p>
            <w:pPr>
              <w:jc w:val="right"/>
              <w:ind w:right="80"/>
              <w:spacing w:after="0"/>
              <w:rPr>
                <w:sz w:val="20"/>
                <w:szCs w:val="20"/>
                <w:color w:val="auto"/>
              </w:rPr>
            </w:pPr>
            <w:r>
              <w:rPr>
                <w:rFonts w:ascii="Arial" w:cs="Arial" w:eastAsia="Arial" w:hAnsi="Arial"/>
                <w:sz w:val="18"/>
                <w:szCs w:val="18"/>
                <w:color w:val="auto"/>
              </w:rPr>
              <w:t>3,095</w:t>
            </w:r>
          </w:p>
        </w:tc>
        <w:tc>
          <w:tcPr>
            <w:tcW w:w="0" w:type="dxa"/>
            <w:vAlign w:val="bottom"/>
          </w:tcPr>
          <w:p>
            <w:pPr>
              <w:spacing w:after="0"/>
              <w:rPr>
                <w:sz w:val="1"/>
                <w:szCs w:val="1"/>
                <w:color w:val="auto"/>
              </w:rPr>
            </w:pPr>
          </w:p>
        </w:tc>
      </w:tr>
      <w:tr>
        <w:trPr>
          <w:trHeight w:val="210"/>
        </w:trPr>
        <w:tc>
          <w:tcPr>
            <w:tcW w:w="4920" w:type="dxa"/>
            <w:vAlign w:val="bottom"/>
            <w:tcBorders>
              <w:top w:val="single" w:sz="8" w:color="CFF0FC"/>
              <w:bottom w:val="single" w:sz="8" w:color="CFF0FC"/>
            </w:tcBorders>
            <w:shd w:val="clear" w:color="auto" w:fill="CFF0FC"/>
          </w:tcPr>
          <w:p>
            <w:pPr>
              <w:spacing w:after="0"/>
              <w:rPr>
                <w:sz w:val="20"/>
                <w:szCs w:val="20"/>
                <w:color w:val="auto"/>
              </w:rPr>
            </w:pPr>
            <w:r>
              <w:rPr>
                <w:rFonts w:ascii="Arial" w:cs="Arial" w:eastAsia="Arial" w:hAnsi="Arial"/>
                <w:sz w:val="18"/>
                <w:szCs w:val="18"/>
                <w:color w:val="auto"/>
              </w:rPr>
              <w:t>Total</w:t>
            </w:r>
          </w:p>
        </w:tc>
        <w:tc>
          <w:tcPr>
            <w:tcW w:w="660" w:type="dxa"/>
            <w:vAlign w:val="bottom"/>
            <w:tcBorders>
              <w:top w:val="single" w:sz="8" w:color="CFF0FC"/>
              <w:bottom w:val="single" w:sz="8" w:color="CFF0FC"/>
            </w:tcBorders>
            <w:shd w:val="clear" w:color="auto" w:fill="CFF0FC"/>
          </w:tcPr>
          <w:p>
            <w:pPr>
              <w:spacing w:after="0"/>
              <w:rPr>
                <w:sz w:val="18"/>
                <w:szCs w:val="18"/>
                <w:color w:val="auto"/>
              </w:rPr>
            </w:pPr>
          </w:p>
        </w:tc>
        <w:tc>
          <w:tcPr>
            <w:tcW w:w="16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92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17,730</w:t>
            </w:r>
          </w:p>
        </w:tc>
        <w:tc>
          <w:tcPr>
            <w:tcW w:w="140" w:type="dxa"/>
            <w:vAlign w:val="bottom"/>
            <w:tcBorders>
              <w:top w:val="single" w:sz="8" w:color="CFF0FC"/>
              <w:bottom w:val="single" w:sz="8" w:color="CFF0FC"/>
            </w:tcBorders>
            <w:shd w:val="clear" w:color="auto" w:fill="CFF0FC"/>
          </w:tcPr>
          <w:p>
            <w:pPr>
              <w:spacing w:after="0"/>
              <w:rPr>
                <w:sz w:val="18"/>
                <w:szCs w:val="18"/>
                <w:color w:val="auto"/>
              </w:rPr>
            </w:pPr>
          </w:p>
        </w:tc>
        <w:tc>
          <w:tcPr>
            <w:tcW w:w="10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5"/>
                <w:szCs w:val="15"/>
                <w:color w:val="auto"/>
                <w:w w:val="71"/>
              </w:rPr>
              <w:t>$</w:t>
            </w:r>
          </w:p>
        </w:tc>
        <w:tc>
          <w:tcPr>
            <w:tcW w:w="100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16,805</w:t>
            </w:r>
          </w:p>
        </w:tc>
        <w:tc>
          <w:tcPr>
            <w:tcW w:w="80" w:type="dxa"/>
            <w:vAlign w:val="bottom"/>
            <w:tcBorders>
              <w:top w:val="single" w:sz="8" w:color="CFF0FC"/>
              <w:bottom w:val="single" w:sz="8" w:color="CFF0FC"/>
            </w:tcBorders>
            <w:shd w:val="clear" w:color="auto" w:fill="CFF0FC"/>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4920" w:type="dxa"/>
            <w:vAlign w:val="bottom"/>
            <w:vMerge w:val="restart"/>
          </w:tcPr>
          <w:p>
            <w:pPr>
              <w:jc w:val="right"/>
              <w:ind w:right="650"/>
              <w:spacing w:after="0"/>
              <w:rPr>
                <w:sz w:val="20"/>
                <w:szCs w:val="20"/>
                <w:color w:val="auto"/>
              </w:rPr>
            </w:pPr>
            <w:r>
              <w:rPr>
                <w:rFonts w:ascii="Arial" w:cs="Arial" w:eastAsia="Arial" w:hAnsi="Arial"/>
                <w:sz w:val="18"/>
                <w:szCs w:val="18"/>
                <w:color w:val="auto"/>
              </w:rPr>
              <w:t>- 14 -</w:t>
            </w:r>
          </w:p>
        </w:tc>
        <w:tc>
          <w:tcPr>
            <w:tcW w:w="66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656"/>
        </w:trPr>
        <w:tc>
          <w:tcPr>
            <w:tcW w:w="4920" w:type="dxa"/>
            <w:vAlign w:val="bottom"/>
            <w:vMerge w:val="continue"/>
          </w:tcPr>
          <w:p>
            <w:pPr>
              <w:spacing w:after="0"/>
              <w:rPr>
                <w:sz w:val="24"/>
                <w:szCs w:val="24"/>
                <w:color w:val="auto"/>
              </w:rPr>
            </w:pPr>
          </w:p>
        </w:tc>
        <w:tc>
          <w:tcPr>
            <w:tcW w:w="6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380"/>
          </w:cols>
          <w:pgMar w:left="240" w:top="355" w:right="279" w:bottom="1440" w:gutter="0" w:footer="0" w:header="0"/>
        </w:sectPr>
      </w:pPr>
    </w:p>
    <w:bookmarkStart w:id="14" w:name="page15"/>
    <w:bookmarkEnd w:id="14"/>
    <w:p>
      <w:pPr>
        <w:ind w:left="520"/>
        <w:spacing w:after="0"/>
        <w:rPr>
          <w:sz w:val="20"/>
          <w:szCs w:val="20"/>
          <w:color w:val="auto"/>
        </w:rPr>
      </w:pPr>
      <w:r>
        <w:rPr>
          <w:rFonts w:ascii="Arial" w:cs="Arial" w:eastAsia="Arial" w:hAnsi="Arial"/>
          <w:sz w:val="18"/>
          <w:szCs w:val="18"/>
          <w:b w:val="1"/>
          <w:bCs w:val="1"/>
          <w:i w:val="1"/>
          <w:iCs w:val="1"/>
          <w:color w:val="auto"/>
        </w:rPr>
        <w:t>Unconsolidated Financial Information</w:t>
      </w:r>
    </w:p>
    <w:p>
      <w:pPr>
        <w:spacing w:after="0" w:line="117" w:lineRule="exact"/>
        <w:rPr>
          <w:sz w:val="20"/>
          <w:szCs w:val="20"/>
          <w:color w:val="auto"/>
        </w:rPr>
      </w:pPr>
    </w:p>
    <w:p>
      <w:pPr>
        <w:ind w:right="140" w:firstLine="518"/>
        <w:spacing w:after="0" w:line="259" w:lineRule="auto"/>
        <w:rPr>
          <w:sz w:val="20"/>
          <w:szCs w:val="20"/>
          <w:color w:val="auto"/>
        </w:rPr>
      </w:pPr>
      <w:r>
        <w:rPr>
          <w:rFonts w:ascii="Arial" w:cs="Arial" w:eastAsia="Arial" w:hAnsi="Arial"/>
          <w:sz w:val="18"/>
          <w:szCs w:val="18"/>
          <w:color w:val="auto"/>
        </w:rPr>
        <w:t>Aggregated assets, liabilities and operating results of the entities we account for as equity-method investments are provided below. Because our ownership interest in these entities varies, a direct relationship does not exist between the information presented below and the amounts that are reflected on our consolidated balance sheets as our investment in unconsolidated entities or on our consolidated statement of operations as equity in income (loss) of unconsolidated entities.</w:t>
      </w:r>
    </w:p>
    <w:p>
      <w:pPr>
        <w:spacing w:after="0" w:line="187" w:lineRule="exact"/>
        <w:rPr>
          <w:sz w:val="20"/>
          <w:szCs w:val="20"/>
          <w:color w:val="auto"/>
        </w:rPr>
      </w:pPr>
    </w:p>
    <w:p>
      <w:pPr>
        <w:ind w:left="520"/>
        <w:spacing w:after="0"/>
        <w:rPr>
          <w:sz w:val="20"/>
          <w:szCs w:val="20"/>
          <w:color w:val="auto"/>
        </w:rPr>
      </w:pPr>
      <w:r>
        <w:rPr>
          <w:rFonts w:ascii="Arial" w:cs="Arial" w:eastAsia="Arial" w:hAnsi="Arial"/>
          <w:sz w:val="18"/>
          <w:szCs w:val="18"/>
          <w:color w:val="auto"/>
        </w:rPr>
        <w:t>Assets and liabilities of unconsolidated entities (in thousands):</w:t>
      </w:r>
    </w:p>
    <w:p>
      <w:pPr>
        <w:spacing w:after="0" w:line="298" w:lineRule="exact"/>
        <w:rPr>
          <w:sz w:val="20"/>
          <w:szCs w:val="20"/>
          <w:color w:val="auto"/>
        </w:rPr>
      </w:pPr>
    </w:p>
    <w:tbl>
      <w:tblPr>
        <w:tblLayout w:type="fixed"/>
        <w:tblInd w:w="520" w:type="dxa"/>
        <w:tblCellMar>
          <w:top w:w="0" w:type="dxa"/>
          <w:left w:w="0" w:type="dxa"/>
          <w:bottom w:w="0" w:type="dxa"/>
          <w:right w:w="0" w:type="dxa"/>
        </w:tblCellMar>
      </w:tblPr>
      <w:tr>
        <w:trPr>
          <w:trHeight w:val="162"/>
        </w:trPr>
        <w:tc>
          <w:tcPr>
            <w:tcW w:w="1200" w:type="dxa"/>
            <w:vAlign w:val="bottom"/>
          </w:tcPr>
          <w:p>
            <w:pPr>
              <w:spacing w:after="0"/>
              <w:rPr>
                <w:sz w:val="14"/>
                <w:szCs w:val="14"/>
                <w:color w:val="auto"/>
              </w:rPr>
            </w:pPr>
          </w:p>
        </w:tc>
        <w:tc>
          <w:tcPr>
            <w:tcW w:w="55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080" w:type="dxa"/>
            <w:vAlign w:val="bottom"/>
            <w:gridSpan w:val="2"/>
          </w:tcPr>
          <w:p>
            <w:pPr>
              <w:jc w:val="right"/>
              <w:ind w:right="380"/>
              <w:spacing w:after="0"/>
              <w:rPr>
                <w:sz w:val="20"/>
                <w:szCs w:val="20"/>
                <w:color w:val="auto"/>
              </w:rPr>
            </w:pPr>
            <w:r>
              <w:rPr>
                <w:rFonts w:ascii="Arial" w:cs="Arial" w:eastAsia="Arial" w:hAnsi="Arial"/>
                <w:sz w:val="14"/>
                <w:szCs w:val="14"/>
                <w:b w:val="1"/>
                <w:bCs w:val="1"/>
                <w:color w:val="auto"/>
              </w:rPr>
              <w:t>March 31,</w:t>
            </w:r>
          </w:p>
        </w:tc>
        <w:tc>
          <w:tcPr>
            <w:tcW w:w="100" w:type="dxa"/>
            <w:vAlign w:val="bottom"/>
          </w:tcPr>
          <w:p>
            <w:pPr>
              <w:spacing w:after="0"/>
              <w:rPr>
                <w:sz w:val="14"/>
                <w:szCs w:val="14"/>
                <w:color w:val="auto"/>
              </w:rPr>
            </w:pPr>
          </w:p>
        </w:tc>
        <w:tc>
          <w:tcPr>
            <w:tcW w:w="1080" w:type="dxa"/>
            <w:vAlign w:val="bottom"/>
            <w:gridSpan w:val="2"/>
          </w:tcPr>
          <w:p>
            <w:pPr>
              <w:jc w:val="right"/>
              <w:ind w:right="220"/>
              <w:spacing w:after="0"/>
              <w:rPr>
                <w:sz w:val="20"/>
                <w:szCs w:val="20"/>
                <w:color w:val="auto"/>
              </w:rPr>
            </w:pPr>
            <w:r>
              <w:rPr>
                <w:rFonts w:ascii="Arial" w:cs="Arial" w:eastAsia="Arial" w:hAnsi="Arial"/>
                <w:sz w:val="14"/>
                <w:szCs w:val="14"/>
                <w:b w:val="1"/>
                <w:bCs w:val="1"/>
                <w:color w:val="auto"/>
                <w:w w:val="92"/>
              </w:rPr>
              <w:t>December 31,</w:t>
            </w:r>
          </w:p>
        </w:tc>
        <w:tc>
          <w:tcPr>
            <w:tcW w:w="0" w:type="dxa"/>
            <w:vAlign w:val="bottom"/>
          </w:tcPr>
          <w:p>
            <w:pPr>
              <w:spacing w:after="0"/>
              <w:rPr>
                <w:sz w:val="1"/>
                <w:szCs w:val="1"/>
                <w:color w:val="auto"/>
              </w:rPr>
            </w:pPr>
          </w:p>
        </w:tc>
      </w:tr>
      <w:tr>
        <w:trPr>
          <w:trHeight w:val="171"/>
        </w:trPr>
        <w:tc>
          <w:tcPr>
            <w:tcW w:w="1200" w:type="dxa"/>
            <w:vAlign w:val="bottom"/>
          </w:tcPr>
          <w:p>
            <w:pPr>
              <w:spacing w:after="0"/>
              <w:rPr>
                <w:sz w:val="14"/>
                <w:szCs w:val="14"/>
                <w:color w:val="auto"/>
              </w:rPr>
            </w:pPr>
          </w:p>
        </w:tc>
        <w:tc>
          <w:tcPr>
            <w:tcW w:w="5560" w:type="dxa"/>
            <w:vAlign w:val="bottom"/>
            <w:tcBorders>
              <w:bottom w:val="single" w:sz="8" w:color="CFF0FC"/>
            </w:tcBorders>
          </w:tcPr>
          <w:p>
            <w:pPr>
              <w:spacing w:after="0"/>
              <w:rPr>
                <w:sz w:val="14"/>
                <w:szCs w:val="14"/>
                <w:color w:val="auto"/>
              </w:rPr>
            </w:pPr>
          </w:p>
        </w:tc>
        <w:tc>
          <w:tcPr>
            <w:tcW w:w="20" w:type="dxa"/>
            <w:vAlign w:val="bottom"/>
            <w:tcBorders>
              <w:bottom w:val="single" w:sz="8" w:color="auto"/>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940" w:type="dxa"/>
            <w:vAlign w:val="bottom"/>
            <w:tcBorders>
              <w:bottom w:val="single" w:sz="8" w:color="auto"/>
            </w:tcBorders>
          </w:tcPr>
          <w:p>
            <w:pPr>
              <w:jc w:val="right"/>
              <w:ind w:right="314"/>
              <w:spacing w:after="0"/>
              <w:rPr>
                <w:sz w:val="20"/>
                <w:szCs w:val="20"/>
                <w:color w:val="auto"/>
              </w:rPr>
            </w:pPr>
            <w:r>
              <w:rPr>
                <w:rFonts w:ascii="Arial" w:cs="Arial" w:eastAsia="Arial" w:hAnsi="Arial"/>
                <w:sz w:val="14"/>
                <w:szCs w:val="14"/>
                <w:b w:val="1"/>
                <w:bCs w:val="1"/>
                <w:color w:val="auto"/>
              </w:rPr>
              <w:t>2015</w:t>
            </w:r>
          </w:p>
        </w:tc>
        <w:tc>
          <w:tcPr>
            <w:tcW w:w="140" w:type="dxa"/>
            <w:vAlign w:val="bottom"/>
            <w:tcBorders>
              <w:bottom w:val="single" w:sz="8" w:color="CFF0FC"/>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1000" w:type="dxa"/>
            <w:vAlign w:val="bottom"/>
            <w:tcBorders>
              <w:bottom w:val="single" w:sz="8" w:color="auto"/>
            </w:tcBorders>
          </w:tcPr>
          <w:p>
            <w:pPr>
              <w:jc w:val="right"/>
              <w:ind w:right="333"/>
              <w:spacing w:after="0"/>
              <w:rPr>
                <w:sz w:val="20"/>
                <w:szCs w:val="20"/>
                <w:color w:val="auto"/>
              </w:rPr>
            </w:pPr>
            <w:r>
              <w:rPr>
                <w:rFonts w:ascii="Arial" w:cs="Arial" w:eastAsia="Arial" w:hAnsi="Arial"/>
                <w:sz w:val="14"/>
                <w:szCs w:val="14"/>
                <w:b w:val="1"/>
                <w:bCs w:val="1"/>
                <w:color w:val="auto"/>
              </w:rPr>
              <w:t>2014</w:t>
            </w:r>
          </w:p>
        </w:tc>
        <w:tc>
          <w:tcPr>
            <w:tcW w:w="80" w:type="dxa"/>
            <w:vAlign w:val="bottom"/>
            <w:tcBorders>
              <w:bottom w:val="single" w:sz="8" w:color="CFF0FC"/>
            </w:tcBorders>
          </w:tcPr>
          <w:p>
            <w:pPr>
              <w:spacing w:after="0"/>
              <w:rPr>
                <w:sz w:val="14"/>
                <w:szCs w:val="14"/>
                <w:color w:val="auto"/>
              </w:rPr>
            </w:pPr>
          </w:p>
        </w:tc>
        <w:tc>
          <w:tcPr>
            <w:tcW w:w="0" w:type="dxa"/>
            <w:vAlign w:val="bottom"/>
          </w:tcPr>
          <w:p>
            <w:pPr>
              <w:spacing w:after="0"/>
              <w:rPr>
                <w:sz w:val="1"/>
                <w:szCs w:val="1"/>
                <w:color w:val="auto"/>
              </w:rPr>
            </w:pPr>
          </w:p>
        </w:tc>
      </w:tr>
      <w:tr>
        <w:trPr>
          <w:trHeight w:val="223"/>
        </w:trPr>
        <w:tc>
          <w:tcPr>
            <w:tcW w:w="1200" w:type="dxa"/>
            <w:vAlign w:val="bottom"/>
          </w:tcPr>
          <w:p>
            <w:pPr>
              <w:spacing w:after="0"/>
              <w:rPr>
                <w:sz w:val="19"/>
                <w:szCs w:val="19"/>
                <w:color w:val="auto"/>
              </w:rPr>
            </w:pPr>
          </w:p>
        </w:tc>
        <w:tc>
          <w:tcPr>
            <w:tcW w:w="5560" w:type="dxa"/>
            <w:vAlign w:val="bottom"/>
            <w:shd w:val="clear" w:color="auto" w:fill="CFF0FC"/>
          </w:tcPr>
          <w:p>
            <w:pPr>
              <w:spacing w:after="0"/>
              <w:rPr>
                <w:sz w:val="20"/>
                <w:szCs w:val="20"/>
                <w:color w:val="auto"/>
              </w:rPr>
            </w:pPr>
            <w:r>
              <w:rPr>
                <w:rFonts w:ascii="Arial" w:cs="Arial" w:eastAsia="Arial" w:hAnsi="Arial"/>
                <w:sz w:val="18"/>
                <w:szCs w:val="18"/>
                <w:color w:val="auto"/>
              </w:rPr>
              <w:t>Assets</w:t>
            </w:r>
          </w:p>
        </w:tc>
        <w:tc>
          <w:tcPr>
            <w:tcW w:w="20" w:type="dxa"/>
            <w:vAlign w:val="bottom"/>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940" w:type="dxa"/>
            <w:vAlign w:val="bottom"/>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00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1200" w:type="dxa"/>
            <w:vAlign w:val="bottom"/>
          </w:tcPr>
          <w:p>
            <w:pPr>
              <w:spacing w:after="0"/>
              <w:rPr>
                <w:sz w:val="19"/>
                <w:szCs w:val="19"/>
                <w:color w:val="auto"/>
              </w:rPr>
            </w:pPr>
          </w:p>
        </w:tc>
        <w:tc>
          <w:tcPr>
            <w:tcW w:w="5560" w:type="dxa"/>
            <w:vAlign w:val="bottom"/>
          </w:tcPr>
          <w:p>
            <w:pPr>
              <w:ind w:left="240"/>
              <w:spacing w:after="0"/>
              <w:rPr>
                <w:sz w:val="20"/>
                <w:szCs w:val="20"/>
                <w:color w:val="auto"/>
              </w:rPr>
            </w:pPr>
            <w:r>
              <w:rPr>
                <w:rFonts w:ascii="Arial" w:cs="Arial" w:eastAsia="Arial" w:hAnsi="Arial"/>
                <w:sz w:val="18"/>
                <w:szCs w:val="18"/>
                <w:color w:val="auto"/>
              </w:rPr>
              <w:t>Cash</w:t>
            </w:r>
          </w:p>
        </w:tc>
        <w:tc>
          <w:tcPr>
            <w:tcW w:w="160" w:type="dxa"/>
            <w:vAlign w:val="bottom"/>
            <w:gridSpan w:val="2"/>
          </w:tcPr>
          <w:p>
            <w:pPr>
              <w:jc w:val="right"/>
              <w:spacing w:after="0"/>
              <w:rPr>
                <w:sz w:val="20"/>
                <w:szCs w:val="20"/>
                <w:color w:val="auto"/>
              </w:rPr>
            </w:pPr>
            <w:r>
              <w:rPr>
                <w:rFonts w:ascii="Arial" w:cs="Arial" w:eastAsia="Arial" w:hAnsi="Arial"/>
                <w:sz w:val="18"/>
                <w:szCs w:val="18"/>
                <w:color w:val="auto"/>
                <w:w w:val="79"/>
              </w:rPr>
              <w:t>$</w:t>
            </w:r>
          </w:p>
        </w:tc>
        <w:tc>
          <w:tcPr>
            <w:tcW w:w="940" w:type="dxa"/>
            <w:vAlign w:val="bottom"/>
          </w:tcPr>
          <w:p>
            <w:pPr>
              <w:jc w:val="right"/>
              <w:spacing w:after="0"/>
              <w:rPr>
                <w:sz w:val="20"/>
                <w:szCs w:val="20"/>
                <w:color w:val="auto"/>
              </w:rPr>
            </w:pPr>
            <w:r>
              <w:rPr>
                <w:rFonts w:ascii="Arial" w:cs="Arial" w:eastAsia="Arial" w:hAnsi="Arial"/>
                <w:sz w:val="18"/>
                <w:szCs w:val="18"/>
                <w:color w:val="auto"/>
              </w:rPr>
              <w:t>13,897</w:t>
            </w:r>
          </w:p>
        </w:tc>
        <w:tc>
          <w:tcPr>
            <w:tcW w:w="140" w:type="dxa"/>
            <w:vAlign w:val="bottom"/>
          </w:tcPr>
          <w:p>
            <w:pPr>
              <w:spacing w:after="0"/>
              <w:rPr>
                <w:sz w:val="19"/>
                <w:szCs w:val="19"/>
                <w:color w:val="auto"/>
              </w:rPr>
            </w:pP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1000" w:type="dxa"/>
            <w:vAlign w:val="bottom"/>
          </w:tcPr>
          <w:p>
            <w:pPr>
              <w:jc w:val="right"/>
              <w:spacing w:after="0"/>
              <w:rPr>
                <w:sz w:val="20"/>
                <w:szCs w:val="20"/>
                <w:color w:val="auto"/>
              </w:rPr>
            </w:pPr>
            <w:r>
              <w:rPr>
                <w:rFonts w:ascii="Arial" w:cs="Arial" w:eastAsia="Arial" w:hAnsi="Arial"/>
                <w:sz w:val="18"/>
                <w:szCs w:val="18"/>
                <w:color w:val="auto"/>
              </w:rPr>
              <w:t>17,154</w:t>
            </w:r>
          </w:p>
        </w:tc>
        <w:tc>
          <w:tcPr>
            <w:tcW w:w="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1200" w:type="dxa"/>
            <w:vAlign w:val="bottom"/>
          </w:tcPr>
          <w:p>
            <w:pPr>
              <w:spacing w:after="0"/>
              <w:rPr>
                <w:sz w:val="19"/>
                <w:szCs w:val="19"/>
                <w:color w:val="auto"/>
              </w:rPr>
            </w:pPr>
          </w:p>
        </w:tc>
        <w:tc>
          <w:tcPr>
            <w:tcW w:w="5560" w:type="dxa"/>
            <w:vAlign w:val="bottom"/>
            <w:shd w:val="clear" w:color="auto" w:fill="CFF0FC"/>
          </w:tcPr>
          <w:p>
            <w:pPr>
              <w:ind w:left="240"/>
              <w:spacing w:after="0"/>
              <w:rPr>
                <w:sz w:val="20"/>
                <w:szCs w:val="20"/>
                <w:color w:val="auto"/>
              </w:rPr>
            </w:pPr>
            <w:r>
              <w:rPr>
                <w:rFonts w:ascii="Arial" w:cs="Arial" w:eastAsia="Arial" w:hAnsi="Arial"/>
                <w:sz w:val="18"/>
                <w:szCs w:val="18"/>
                <w:color w:val="auto"/>
              </w:rPr>
              <w:t>Receivables</w:t>
            </w:r>
          </w:p>
        </w:tc>
        <w:tc>
          <w:tcPr>
            <w:tcW w:w="20" w:type="dxa"/>
            <w:vAlign w:val="bottom"/>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9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10,192</w:t>
            </w:r>
          </w:p>
        </w:tc>
        <w:tc>
          <w:tcPr>
            <w:tcW w:w="14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0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9,550</w:t>
            </w:r>
          </w:p>
        </w:tc>
        <w:tc>
          <w:tcPr>
            <w:tcW w:w="8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1200" w:type="dxa"/>
            <w:vAlign w:val="bottom"/>
          </w:tcPr>
          <w:p>
            <w:pPr>
              <w:spacing w:after="0"/>
              <w:rPr>
                <w:sz w:val="19"/>
                <w:szCs w:val="19"/>
                <w:color w:val="auto"/>
              </w:rPr>
            </w:pPr>
          </w:p>
        </w:tc>
        <w:tc>
          <w:tcPr>
            <w:tcW w:w="5560" w:type="dxa"/>
            <w:vAlign w:val="bottom"/>
          </w:tcPr>
          <w:p>
            <w:pPr>
              <w:ind w:left="240"/>
              <w:spacing w:after="0"/>
              <w:rPr>
                <w:sz w:val="20"/>
                <w:szCs w:val="20"/>
                <w:color w:val="auto"/>
              </w:rPr>
            </w:pPr>
            <w:r>
              <w:rPr>
                <w:rFonts w:ascii="Arial" w:cs="Arial" w:eastAsia="Arial" w:hAnsi="Arial"/>
                <w:sz w:val="18"/>
                <w:szCs w:val="18"/>
                <w:color w:val="auto"/>
              </w:rPr>
              <w:t>Real estate inventories</w:t>
            </w:r>
          </w:p>
        </w:tc>
        <w:tc>
          <w:tcPr>
            <w:tcW w:w="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89,275</w:t>
            </w:r>
          </w:p>
        </w:tc>
        <w:tc>
          <w:tcPr>
            <w:tcW w:w="1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95,500</w:t>
            </w:r>
          </w:p>
        </w:tc>
        <w:tc>
          <w:tcPr>
            <w:tcW w:w="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1200" w:type="dxa"/>
            <w:vAlign w:val="bottom"/>
          </w:tcPr>
          <w:p>
            <w:pPr>
              <w:spacing w:after="0"/>
              <w:rPr>
                <w:sz w:val="19"/>
                <w:szCs w:val="19"/>
                <w:color w:val="auto"/>
              </w:rPr>
            </w:pPr>
          </w:p>
        </w:tc>
        <w:tc>
          <w:tcPr>
            <w:tcW w:w="5560" w:type="dxa"/>
            <w:vAlign w:val="bottom"/>
            <w:shd w:val="clear" w:color="auto" w:fill="CFF0FC"/>
          </w:tcPr>
          <w:p>
            <w:pPr>
              <w:ind w:left="240"/>
              <w:spacing w:after="0"/>
              <w:rPr>
                <w:sz w:val="20"/>
                <w:szCs w:val="20"/>
                <w:color w:val="auto"/>
              </w:rPr>
            </w:pPr>
            <w:r>
              <w:rPr>
                <w:rFonts w:ascii="Arial" w:cs="Arial" w:eastAsia="Arial" w:hAnsi="Arial"/>
                <w:sz w:val="18"/>
                <w:szCs w:val="18"/>
                <w:color w:val="auto"/>
              </w:rPr>
              <w:t>Other assets</w:t>
            </w:r>
          </w:p>
        </w:tc>
        <w:tc>
          <w:tcPr>
            <w:tcW w:w="20" w:type="dxa"/>
            <w:vAlign w:val="bottom"/>
            <w:tcBorders>
              <w:bottom w:val="single" w:sz="8" w:color="auto"/>
            </w:tcBorders>
            <w:shd w:val="clear" w:color="auto" w:fill="CFF0FC"/>
          </w:tcPr>
          <w:p>
            <w:pPr>
              <w:spacing w:after="0"/>
              <w:rPr>
                <w:sz w:val="19"/>
                <w:szCs w:val="19"/>
                <w:color w:val="auto"/>
              </w:rPr>
            </w:pPr>
          </w:p>
        </w:tc>
        <w:tc>
          <w:tcPr>
            <w:tcW w:w="140" w:type="dxa"/>
            <w:vAlign w:val="bottom"/>
            <w:tcBorders>
              <w:bottom w:val="single" w:sz="8" w:color="auto"/>
            </w:tcBorders>
            <w:shd w:val="clear" w:color="auto" w:fill="CFF0FC"/>
          </w:tcPr>
          <w:p>
            <w:pPr>
              <w:spacing w:after="0"/>
              <w:rPr>
                <w:sz w:val="19"/>
                <w:szCs w:val="19"/>
                <w:color w:val="auto"/>
              </w:rPr>
            </w:pPr>
          </w:p>
        </w:tc>
        <w:tc>
          <w:tcPr>
            <w:tcW w:w="94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772</w:t>
            </w:r>
          </w:p>
        </w:tc>
        <w:tc>
          <w:tcPr>
            <w:tcW w:w="140" w:type="dxa"/>
            <w:vAlign w:val="bottom"/>
            <w:shd w:val="clear" w:color="auto" w:fill="CFF0FC"/>
          </w:tcPr>
          <w:p>
            <w:pPr>
              <w:spacing w:after="0"/>
              <w:rPr>
                <w:sz w:val="19"/>
                <w:szCs w:val="19"/>
                <w:color w:val="auto"/>
              </w:rPr>
            </w:pPr>
          </w:p>
        </w:tc>
        <w:tc>
          <w:tcPr>
            <w:tcW w:w="100" w:type="dxa"/>
            <w:vAlign w:val="bottom"/>
            <w:tcBorders>
              <w:bottom w:val="single" w:sz="8" w:color="auto"/>
            </w:tcBorders>
            <w:shd w:val="clear" w:color="auto" w:fill="CFF0FC"/>
          </w:tcPr>
          <w:p>
            <w:pPr>
              <w:spacing w:after="0"/>
              <w:rPr>
                <w:sz w:val="19"/>
                <w:szCs w:val="19"/>
                <w:color w:val="auto"/>
              </w:rPr>
            </w:pPr>
          </w:p>
        </w:tc>
        <w:tc>
          <w:tcPr>
            <w:tcW w:w="100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620</w:t>
            </w:r>
          </w:p>
        </w:tc>
        <w:tc>
          <w:tcPr>
            <w:tcW w:w="8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63"/>
        </w:trPr>
        <w:tc>
          <w:tcPr>
            <w:tcW w:w="6760" w:type="dxa"/>
            <w:vAlign w:val="bottom"/>
            <w:gridSpan w:val="2"/>
          </w:tcPr>
          <w:p>
            <w:pPr>
              <w:ind w:left="1200"/>
              <w:spacing w:after="0"/>
              <w:rPr>
                <w:sz w:val="20"/>
                <w:szCs w:val="20"/>
                <w:color w:val="auto"/>
              </w:rPr>
            </w:pPr>
            <w:r>
              <w:rPr>
                <w:rFonts w:ascii="Arial" w:cs="Arial" w:eastAsia="Arial" w:hAnsi="Arial"/>
                <w:sz w:val="18"/>
                <w:szCs w:val="18"/>
                <w:color w:val="auto"/>
              </w:rPr>
              <w:t>Total assets</w:t>
            </w:r>
          </w:p>
        </w:tc>
        <w:tc>
          <w:tcPr>
            <w:tcW w:w="160" w:type="dxa"/>
            <w:vAlign w:val="bottom"/>
            <w:tcBorders>
              <w:bottom w:val="single" w:sz="8" w:color="auto"/>
            </w:tcBorders>
            <w:gridSpan w:val="2"/>
          </w:tcPr>
          <w:p>
            <w:pPr>
              <w:jc w:val="right"/>
              <w:spacing w:after="0"/>
              <w:rPr>
                <w:sz w:val="20"/>
                <w:szCs w:val="20"/>
                <w:color w:val="auto"/>
              </w:rPr>
            </w:pPr>
            <w:r>
              <w:rPr>
                <w:rFonts w:ascii="Arial" w:cs="Arial" w:eastAsia="Arial" w:hAnsi="Arial"/>
                <w:sz w:val="18"/>
                <w:szCs w:val="18"/>
                <w:color w:val="auto"/>
                <w:w w:val="79"/>
              </w:rPr>
              <w:t>$</w:t>
            </w: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114,136</w:t>
            </w:r>
          </w:p>
        </w:tc>
        <w:tc>
          <w:tcPr>
            <w:tcW w:w="140" w:type="dxa"/>
            <w:vAlign w:val="bottom"/>
          </w:tcPr>
          <w:p>
            <w:pPr>
              <w:spacing w:after="0"/>
              <w:rPr>
                <w:sz w:val="22"/>
                <w:szCs w:val="22"/>
                <w:color w:val="auto"/>
              </w:rPr>
            </w:pPr>
          </w:p>
        </w:tc>
        <w:tc>
          <w:tcPr>
            <w:tcW w:w="10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10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122,824</w:t>
            </w:r>
          </w:p>
        </w:tc>
        <w:tc>
          <w:tcPr>
            <w:tcW w:w="8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10"/>
        </w:trPr>
        <w:tc>
          <w:tcPr>
            <w:tcW w:w="1200" w:type="dxa"/>
            <w:vAlign w:val="bottom"/>
          </w:tcPr>
          <w:p>
            <w:pPr>
              <w:spacing w:after="0"/>
              <w:rPr>
                <w:sz w:val="18"/>
                <w:szCs w:val="18"/>
                <w:color w:val="auto"/>
              </w:rPr>
            </w:pPr>
          </w:p>
        </w:tc>
        <w:tc>
          <w:tcPr>
            <w:tcW w:w="5560" w:type="dxa"/>
            <w:vAlign w:val="bottom"/>
            <w:tcBorders>
              <w:top w:val="single" w:sz="8" w:color="CFF0FC"/>
            </w:tcBorders>
            <w:shd w:val="clear" w:color="auto" w:fill="CFF0FC"/>
          </w:tcPr>
          <w:p>
            <w:pPr>
              <w:spacing w:after="0"/>
              <w:rPr>
                <w:sz w:val="20"/>
                <w:szCs w:val="20"/>
                <w:color w:val="auto"/>
              </w:rPr>
            </w:pPr>
            <w:r>
              <w:rPr>
                <w:rFonts w:ascii="Arial" w:cs="Arial" w:eastAsia="Arial" w:hAnsi="Arial"/>
                <w:sz w:val="18"/>
                <w:szCs w:val="18"/>
                <w:color w:val="auto"/>
              </w:rPr>
              <w:t>Liabilities and equity</w:t>
            </w:r>
          </w:p>
        </w:tc>
        <w:tc>
          <w:tcPr>
            <w:tcW w:w="20" w:type="dxa"/>
            <w:vAlign w:val="bottom"/>
            <w:tcBorders>
              <w:top w:val="single" w:sz="8" w:color="auto"/>
            </w:tcBorders>
            <w:shd w:val="clear" w:color="auto" w:fill="CFF0FC"/>
          </w:tcPr>
          <w:p>
            <w:pPr>
              <w:spacing w:after="0"/>
              <w:rPr>
                <w:sz w:val="18"/>
                <w:szCs w:val="18"/>
                <w:color w:val="auto"/>
              </w:rPr>
            </w:pPr>
          </w:p>
        </w:tc>
        <w:tc>
          <w:tcPr>
            <w:tcW w:w="140" w:type="dxa"/>
            <w:vAlign w:val="bottom"/>
            <w:tcBorders>
              <w:top w:val="single" w:sz="8" w:color="auto"/>
            </w:tcBorders>
            <w:shd w:val="clear" w:color="auto" w:fill="CFF0FC"/>
          </w:tcPr>
          <w:p>
            <w:pPr>
              <w:spacing w:after="0"/>
              <w:rPr>
                <w:sz w:val="18"/>
                <w:szCs w:val="18"/>
                <w:color w:val="auto"/>
              </w:rPr>
            </w:pPr>
          </w:p>
        </w:tc>
        <w:tc>
          <w:tcPr>
            <w:tcW w:w="940" w:type="dxa"/>
            <w:vAlign w:val="bottom"/>
            <w:tcBorders>
              <w:top w:val="single" w:sz="8" w:color="auto"/>
            </w:tcBorders>
            <w:shd w:val="clear" w:color="auto" w:fill="CFF0FC"/>
          </w:tcPr>
          <w:p>
            <w:pPr>
              <w:spacing w:after="0"/>
              <w:rPr>
                <w:sz w:val="18"/>
                <w:szCs w:val="18"/>
                <w:color w:val="auto"/>
              </w:rPr>
            </w:pPr>
          </w:p>
        </w:tc>
        <w:tc>
          <w:tcPr>
            <w:tcW w:w="140" w:type="dxa"/>
            <w:vAlign w:val="bottom"/>
            <w:tcBorders>
              <w:top w:val="single" w:sz="8" w:color="CFF0FC"/>
            </w:tcBorders>
            <w:shd w:val="clear" w:color="auto" w:fill="CFF0FC"/>
          </w:tcPr>
          <w:p>
            <w:pPr>
              <w:spacing w:after="0"/>
              <w:rPr>
                <w:sz w:val="18"/>
                <w:szCs w:val="18"/>
                <w:color w:val="auto"/>
              </w:rPr>
            </w:pPr>
          </w:p>
        </w:tc>
        <w:tc>
          <w:tcPr>
            <w:tcW w:w="100" w:type="dxa"/>
            <w:vAlign w:val="bottom"/>
            <w:tcBorders>
              <w:top w:val="single" w:sz="8" w:color="auto"/>
            </w:tcBorders>
            <w:shd w:val="clear" w:color="auto" w:fill="CFF0FC"/>
          </w:tcPr>
          <w:p>
            <w:pPr>
              <w:spacing w:after="0"/>
              <w:rPr>
                <w:sz w:val="18"/>
                <w:szCs w:val="18"/>
                <w:color w:val="auto"/>
              </w:rPr>
            </w:pPr>
          </w:p>
        </w:tc>
        <w:tc>
          <w:tcPr>
            <w:tcW w:w="1000" w:type="dxa"/>
            <w:vAlign w:val="bottom"/>
            <w:tcBorders>
              <w:top w:val="single" w:sz="8" w:color="auto"/>
            </w:tcBorders>
            <w:shd w:val="clear" w:color="auto" w:fill="CFF0FC"/>
          </w:tcPr>
          <w:p>
            <w:pPr>
              <w:spacing w:after="0"/>
              <w:rPr>
                <w:sz w:val="18"/>
                <w:szCs w:val="18"/>
                <w:color w:val="auto"/>
              </w:rPr>
            </w:pPr>
          </w:p>
        </w:tc>
        <w:tc>
          <w:tcPr>
            <w:tcW w:w="80" w:type="dxa"/>
            <w:vAlign w:val="bottom"/>
            <w:tcBorders>
              <w:top w:val="single" w:sz="8" w:color="CFF0FC"/>
            </w:tcBorders>
            <w:shd w:val="clear" w:color="auto" w:fill="CFF0FC"/>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1200" w:type="dxa"/>
            <w:vAlign w:val="bottom"/>
          </w:tcPr>
          <w:p>
            <w:pPr>
              <w:spacing w:after="0"/>
              <w:rPr>
                <w:sz w:val="19"/>
                <w:szCs w:val="19"/>
                <w:color w:val="auto"/>
              </w:rPr>
            </w:pPr>
          </w:p>
        </w:tc>
        <w:tc>
          <w:tcPr>
            <w:tcW w:w="5560" w:type="dxa"/>
            <w:vAlign w:val="bottom"/>
          </w:tcPr>
          <w:p>
            <w:pPr>
              <w:ind w:left="240"/>
              <w:spacing w:after="0"/>
              <w:rPr>
                <w:sz w:val="20"/>
                <w:szCs w:val="20"/>
                <w:color w:val="auto"/>
              </w:rPr>
            </w:pPr>
            <w:r>
              <w:rPr>
                <w:rFonts w:ascii="Arial" w:cs="Arial" w:eastAsia="Arial" w:hAnsi="Arial"/>
                <w:sz w:val="18"/>
                <w:szCs w:val="18"/>
                <w:color w:val="auto"/>
              </w:rPr>
              <w:t>Accounts payable and other liabilities</w:t>
            </w:r>
          </w:p>
        </w:tc>
        <w:tc>
          <w:tcPr>
            <w:tcW w:w="160" w:type="dxa"/>
            <w:vAlign w:val="bottom"/>
            <w:gridSpan w:val="2"/>
          </w:tcPr>
          <w:p>
            <w:pPr>
              <w:jc w:val="right"/>
              <w:spacing w:after="0"/>
              <w:rPr>
                <w:sz w:val="20"/>
                <w:szCs w:val="20"/>
                <w:color w:val="auto"/>
              </w:rPr>
            </w:pPr>
            <w:r>
              <w:rPr>
                <w:rFonts w:ascii="Arial" w:cs="Arial" w:eastAsia="Arial" w:hAnsi="Arial"/>
                <w:sz w:val="18"/>
                <w:szCs w:val="18"/>
                <w:color w:val="auto"/>
                <w:w w:val="79"/>
              </w:rPr>
              <w:t>$</w:t>
            </w:r>
          </w:p>
        </w:tc>
        <w:tc>
          <w:tcPr>
            <w:tcW w:w="940" w:type="dxa"/>
            <w:vAlign w:val="bottom"/>
          </w:tcPr>
          <w:p>
            <w:pPr>
              <w:jc w:val="right"/>
              <w:spacing w:after="0"/>
              <w:rPr>
                <w:sz w:val="20"/>
                <w:szCs w:val="20"/>
                <w:color w:val="auto"/>
              </w:rPr>
            </w:pPr>
            <w:r>
              <w:rPr>
                <w:rFonts w:ascii="Arial" w:cs="Arial" w:eastAsia="Arial" w:hAnsi="Arial"/>
                <w:sz w:val="18"/>
                <w:szCs w:val="18"/>
                <w:color w:val="auto"/>
              </w:rPr>
              <w:t>13,517</w:t>
            </w:r>
          </w:p>
        </w:tc>
        <w:tc>
          <w:tcPr>
            <w:tcW w:w="140" w:type="dxa"/>
            <w:vAlign w:val="bottom"/>
          </w:tcPr>
          <w:p>
            <w:pPr>
              <w:spacing w:after="0"/>
              <w:rPr>
                <w:sz w:val="19"/>
                <w:szCs w:val="19"/>
                <w:color w:val="auto"/>
              </w:rPr>
            </w:pP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1000" w:type="dxa"/>
            <w:vAlign w:val="bottom"/>
          </w:tcPr>
          <w:p>
            <w:pPr>
              <w:jc w:val="right"/>
              <w:spacing w:after="0"/>
              <w:rPr>
                <w:sz w:val="20"/>
                <w:szCs w:val="20"/>
                <w:color w:val="auto"/>
              </w:rPr>
            </w:pPr>
            <w:r>
              <w:rPr>
                <w:rFonts w:ascii="Arial" w:cs="Arial" w:eastAsia="Arial" w:hAnsi="Arial"/>
                <w:sz w:val="18"/>
                <w:szCs w:val="18"/>
                <w:color w:val="auto"/>
              </w:rPr>
              <w:t>10,914</w:t>
            </w:r>
          </w:p>
        </w:tc>
        <w:tc>
          <w:tcPr>
            <w:tcW w:w="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1200" w:type="dxa"/>
            <w:vAlign w:val="bottom"/>
          </w:tcPr>
          <w:p>
            <w:pPr>
              <w:spacing w:after="0"/>
              <w:rPr>
                <w:sz w:val="19"/>
                <w:szCs w:val="19"/>
                <w:color w:val="auto"/>
              </w:rPr>
            </w:pPr>
          </w:p>
        </w:tc>
        <w:tc>
          <w:tcPr>
            <w:tcW w:w="5560" w:type="dxa"/>
            <w:vAlign w:val="bottom"/>
            <w:shd w:val="clear" w:color="auto" w:fill="CFF0FC"/>
          </w:tcPr>
          <w:p>
            <w:pPr>
              <w:ind w:left="240"/>
              <w:spacing w:after="0"/>
              <w:rPr>
                <w:sz w:val="20"/>
                <w:szCs w:val="20"/>
                <w:color w:val="auto"/>
              </w:rPr>
            </w:pPr>
            <w:r>
              <w:rPr>
                <w:rFonts w:ascii="Arial" w:cs="Arial" w:eastAsia="Arial" w:hAnsi="Arial"/>
                <w:sz w:val="18"/>
                <w:szCs w:val="18"/>
                <w:color w:val="auto"/>
              </w:rPr>
              <w:t>Company's equity</w:t>
            </w:r>
          </w:p>
        </w:tc>
        <w:tc>
          <w:tcPr>
            <w:tcW w:w="20" w:type="dxa"/>
            <w:vAlign w:val="bottom"/>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9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17,730</w:t>
            </w:r>
          </w:p>
        </w:tc>
        <w:tc>
          <w:tcPr>
            <w:tcW w:w="14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0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16,805</w:t>
            </w:r>
          </w:p>
        </w:tc>
        <w:tc>
          <w:tcPr>
            <w:tcW w:w="8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1200" w:type="dxa"/>
            <w:vAlign w:val="bottom"/>
          </w:tcPr>
          <w:p>
            <w:pPr>
              <w:spacing w:after="0"/>
              <w:rPr>
                <w:sz w:val="19"/>
                <w:szCs w:val="19"/>
                <w:color w:val="auto"/>
              </w:rPr>
            </w:pPr>
          </w:p>
        </w:tc>
        <w:tc>
          <w:tcPr>
            <w:tcW w:w="5560" w:type="dxa"/>
            <w:vAlign w:val="bottom"/>
            <w:tcBorders>
              <w:bottom w:val="single" w:sz="8" w:color="CFF0FC"/>
            </w:tcBorders>
          </w:tcPr>
          <w:p>
            <w:pPr>
              <w:ind w:left="240"/>
              <w:spacing w:after="0"/>
              <w:rPr>
                <w:sz w:val="20"/>
                <w:szCs w:val="20"/>
                <w:color w:val="auto"/>
              </w:rPr>
            </w:pPr>
            <w:r>
              <w:rPr>
                <w:rFonts w:ascii="Arial" w:cs="Arial" w:eastAsia="Arial" w:hAnsi="Arial"/>
                <w:sz w:val="18"/>
                <w:szCs w:val="18"/>
                <w:color w:val="auto"/>
              </w:rPr>
              <w:t>Outside interests' equity</w:t>
            </w:r>
          </w:p>
        </w:tc>
        <w:tc>
          <w:tcPr>
            <w:tcW w:w="20" w:type="dxa"/>
            <w:vAlign w:val="bottom"/>
            <w:tcBorders>
              <w:bottom w:val="single" w:sz="8" w:color="auto"/>
            </w:tcBorders>
          </w:tcPr>
          <w:p>
            <w:pPr>
              <w:spacing w:after="0"/>
              <w:rPr>
                <w:sz w:val="19"/>
                <w:szCs w:val="19"/>
                <w:color w:val="auto"/>
              </w:rPr>
            </w:pPr>
          </w:p>
        </w:tc>
        <w:tc>
          <w:tcPr>
            <w:tcW w:w="140" w:type="dxa"/>
            <w:vAlign w:val="bottom"/>
            <w:tcBorders>
              <w:bottom w:val="single" w:sz="8" w:color="auto"/>
            </w:tcBorders>
          </w:tcPr>
          <w:p>
            <w:pPr>
              <w:spacing w:after="0"/>
              <w:rPr>
                <w:sz w:val="19"/>
                <w:szCs w:val="19"/>
                <w:color w:val="auto"/>
              </w:rPr>
            </w:pP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82,889</w:t>
            </w:r>
          </w:p>
        </w:tc>
        <w:tc>
          <w:tcPr>
            <w:tcW w:w="140" w:type="dxa"/>
            <w:vAlign w:val="bottom"/>
            <w:tcBorders>
              <w:bottom w:val="single" w:sz="8" w:color="CFF0FC"/>
            </w:tcBorders>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10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95,105</w:t>
            </w:r>
          </w:p>
        </w:tc>
        <w:tc>
          <w:tcPr>
            <w:tcW w:w="80" w:type="dxa"/>
            <w:vAlign w:val="bottom"/>
            <w:tcBorders>
              <w:bottom w:val="single" w:sz="8" w:color="CFF0FC"/>
            </w:tcBorders>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1200" w:type="dxa"/>
            <w:vAlign w:val="bottom"/>
          </w:tcPr>
          <w:p>
            <w:pPr>
              <w:spacing w:after="0"/>
              <w:rPr>
                <w:sz w:val="19"/>
                <w:szCs w:val="19"/>
                <w:color w:val="auto"/>
              </w:rPr>
            </w:pPr>
          </w:p>
        </w:tc>
        <w:tc>
          <w:tcPr>
            <w:tcW w:w="5560" w:type="dxa"/>
            <w:vAlign w:val="bottom"/>
            <w:tcBorders>
              <w:bottom w:val="single" w:sz="8" w:color="CFF0FC"/>
            </w:tcBorders>
            <w:shd w:val="clear" w:color="auto" w:fill="CFF0FC"/>
          </w:tcPr>
          <w:p>
            <w:pPr>
              <w:spacing w:after="0"/>
              <w:rPr>
                <w:sz w:val="20"/>
                <w:szCs w:val="20"/>
                <w:color w:val="auto"/>
              </w:rPr>
            </w:pPr>
            <w:r>
              <w:rPr>
                <w:rFonts w:ascii="Arial" w:cs="Arial" w:eastAsia="Arial" w:hAnsi="Arial"/>
                <w:sz w:val="18"/>
                <w:szCs w:val="18"/>
                <w:color w:val="auto"/>
              </w:rPr>
              <w:t>Total liabilities and equity</w:t>
            </w:r>
          </w:p>
        </w:tc>
        <w:tc>
          <w:tcPr>
            <w:tcW w:w="160" w:type="dxa"/>
            <w:vAlign w:val="bottom"/>
            <w:tcBorders>
              <w:bottom w:val="single" w:sz="8" w:color="auto"/>
            </w:tcBorders>
            <w:gridSpan w:val="2"/>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94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114,136</w:t>
            </w:r>
          </w:p>
        </w:tc>
        <w:tc>
          <w:tcPr>
            <w:tcW w:w="140" w:type="dxa"/>
            <w:vAlign w:val="bottom"/>
            <w:tcBorders>
              <w:bottom w:val="single" w:sz="8" w:color="CFF0FC"/>
            </w:tcBorders>
            <w:shd w:val="clear" w:color="auto" w:fill="CFF0FC"/>
          </w:tcPr>
          <w:p>
            <w:pPr>
              <w:spacing w:after="0"/>
              <w:rPr>
                <w:sz w:val="19"/>
                <w:szCs w:val="19"/>
                <w:color w:val="auto"/>
              </w:rPr>
            </w:pPr>
          </w:p>
        </w:tc>
        <w:tc>
          <w:tcPr>
            <w:tcW w:w="10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5"/>
                <w:szCs w:val="15"/>
                <w:color w:val="auto"/>
                <w:w w:val="71"/>
              </w:rPr>
              <w:t>$</w:t>
            </w:r>
          </w:p>
        </w:tc>
        <w:tc>
          <w:tcPr>
            <w:tcW w:w="100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122,824</w:t>
            </w:r>
          </w:p>
        </w:tc>
        <w:tc>
          <w:tcPr>
            <w:tcW w:w="80" w:type="dxa"/>
            <w:vAlign w:val="bottom"/>
            <w:tcBorders>
              <w:bottom w:val="single" w:sz="8" w:color="CFF0FC"/>
            </w:tcBorders>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6760" w:type="dxa"/>
            <w:vAlign w:val="bottom"/>
            <w:gridSpan w:val="2"/>
            <w:vMerge w:val="restart"/>
          </w:tcPr>
          <w:p>
            <w:pPr>
              <w:spacing w:after="0"/>
              <w:rPr>
                <w:sz w:val="20"/>
                <w:szCs w:val="20"/>
                <w:color w:val="auto"/>
              </w:rPr>
            </w:pPr>
            <w:r>
              <w:rPr>
                <w:rFonts w:ascii="Arial" w:cs="Arial" w:eastAsia="Arial" w:hAnsi="Arial"/>
                <w:sz w:val="18"/>
                <w:szCs w:val="18"/>
                <w:color w:val="auto"/>
              </w:rPr>
              <w:t>Results of operations from unconsolidated entities (in thousands):</w:t>
            </w:r>
          </w:p>
        </w:tc>
        <w:tc>
          <w:tcPr>
            <w:tcW w:w="20" w:type="dxa"/>
            <w:vAlign w:val="bottom"/>
            <w:tcBorders>
              <w:bottom w:val="single" w:sz="8" w:color="auto"/>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13"/>
        </w:trPr>
        <w:tc>
          <w:tcPr>
            <w:tcW w:w="6760" w:type="dxa"/>
            <w:vAlign w:val="bottom"/>
            <w:gridSpan w:val="2"/>
            <w:vMerge w:val="continue"/>
          </w:tcPr>
          <w:p>
            <w:pPr>
              <w:spacing w:after="0"/>
              <w:rPr>
                <w:sz w:val="24"/>
                <w:szCs w:val="24"/>
                <w:color w:val="auto"/>
              </w:rPr>
            </w:pPr>
          </w:p>
        </w:tc>
        <w:tc>
          <w:tcPr>
            <w:tcW w:w="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59"/>
        </w:trPr>
        <w:tc>
          <w:tcPr>
            <w:tcW w:w="1200" w:type="dxa"/>
            <w:vAlign w:val="bottom"/>
          </w:tcPr>
          <w:p>
            <w:pPr>
              <w:spacing w:after="0"/>
              <w:rPr>
                <w:sz w:val="24"/>
                <w:szCs w:val="24"/>
                <w:color w:val="auto"/>
              </w:rPr>
            </w:pPr>
          </w:p>
        </w:tc>
        <w:tc>
          <w:tcPr>
            <w:tcW w:w="55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2260" w:type="dxa"/>
            <w:vAlign w:val="bottom"/>
            <w:gridSpan w:val="5"/>
          </w:tcPr>
          <w:p>
            <w:pPr>
              <w:jc w:val="right"/>
              <w:ind w:right="260"/>
              <w:spacing w:after="0"/>
              <w:rPr>
                <w:sz w:val="20"/>
                <w:szCs w:val="20"/>
                <w:color w:val="auto"/>
              </w:rPr>
            </w:pPr>
            <w:r>
              <w:rPr>
                <w:rFonts w:ascii="Arial" w:cs="Arial" w:eastAsia="Arial" w:hAnsi="Arial"/>
                <w:sz w:val="14"/>
                <w:szCs w:val="14"/>
                <w:b w:val="1"/>
                <w:bCs w:val="1"/>
                <w:color w:val="auto"/>
                <w:w w:val="95"/>
              </w:rPr>
              <w:t>Three Months Ended March 31,</w:t>
            </w:r>
          </w:p>
        </w:tc>
        <w:tc>
          <w:tcPr>
            <w:tcW w:w="0" w:type="dxa"/>
            <w:vAlign w:val="bottom"/>
          </w:tcPr>
          <w:p>
            <w:pPr>
              <w:spacing w:after="0"/>
              <w:rPr>
                <w:sz w:val="1"/>
                <w:szCs w:val="1"/>
                <w:color w:val="auto"/>
              </w:rPr>
            </w:pPr>
          </w:p>
        </w:tc>
      </w:tr>
      <w:tr>
        <w:trPr>
          <w:trHeight w:val="142"/>
        </w:trPr>
        <w:tc>
          <w:tcPr>
            <w:tcW w:w="1200" w:type="dxa"/>
            <w:vAlign w:val="bottom"/>
          </w:tcPr>
          <w:p>
            <w:pPr>
              <w:spacing w:after="0"/>
              <w:rPr>
                <w:sz w:val="12"/>
                <w:szCs w:val="12"/>
                <w:color w:val="auto"/>
              </w:rPr>
            </w:pPr>
          </w:p>
        </w:tc>
        <w:tc>
          <w:tcPr>
            <w:tcW w:w="5560" w:type="dxa"/>
            <w:vAlign w:val="bottom"/>
            <w:tcBorders>
              <w:bottom w:val="single" w:sz="8" w:color="CFF0FC"/>
            </w:tcBorders>
          </w:tcPr>
          <w:p>
            <w:pPr>
              <w:spacing w:after="0"/>
              <w:rPr>
                <w:sz w:val="12"/>
                <w:szCs w:val="12"/>
                <w:color w:val="auto"/>
              </w:rPr>
            </w:pPr>
          </w:p>
        </w:tc>
        <w:tc>
          <w:tcPr>
            <w:tcW w:w="20" w:type="dxa"/>
            <w:vAlign w:val="bottom"/>
            <w:tcBorders>
              <w:bottom w:val="single" w:sz="8" w:color="CFF0FC"/>
            </w:tcBorders>
          </w:tcPr>
          <w:p>
            <w:pPr>
              <w:spacing w:after="0"/>
              <w:rPr>
                <w:sz w:val="12"/>
                <w:szCs w:val="12"/>
                <w:color w:val="auto"/>
              </w:rPr>
            </w:pPr>
          </w:p>
        </w:tc>
        <w:tc>
          <w:tcPr>
            <w:tcW w:w="140" w:type="dxa"/>
            <w:vAlign w:val="bottom"/>
            <w:tcBorders>
              <w:top w:val="single" w:sz="8" w:color="auto"/>
              <w:bottom w:val="single" w:sz="8" w:color="auto"/>
            </w:tcBorders>
          </w:tcPr>
          <w:p>
            <w:pPr>
              <w:spacing w:after="0"/>
              <w:rPr>
                <w:sz w:val="12"/>
                <w:szCs w:val="12"/>
                <w:color w:val="auto"/>
              </w:rPr>
            </w:pPr>
          </w:p>
        </w:tc>
        <w:tc>
          <w:tcPr>
            <w:tcW w:w="940" w:type="dxa"/>
            <w:vAlign w:val="bottom"/>
            <w:tcBorders>
              <w:top w:val="single" w:sz="8" w:color="auto"/>
              <w:bottom w:val="single" w:sz="8" w:color="auto"/>
            </w:tcBorders>
          </w:tcPr>
          <w:p>
            <w:pPr>
              <w:jc w:val="right"/>
              <w:ind w:right="314"/>
              <w:spacing w:after="0" w:line="142" w:lineRule="exact"/>
              <w:rPr>
                <w:sz w:val="20"/>
                <w:szCs w:val="20"/>
                <w:color w:val="auto"/>
              </w:rPr>
            </w:pPr>
            <w:r>
              <w:rPr>
                <w:rFonts w:ascii="Arial" w:cs="Arial" w:eastAsia="Arial" w:hAnsi="Arial"/>
                <w:sz w:val="14"/>
                <w:szCs w:val="14"/>
                <w:b w:val="1"/>
                <w:bCs w:val="1"/>
                <w:color w:val="auto"/>
              </w:rPr>
              <w:t>2015</w:t>
            </w:r>
          </w:p>
        </w:tc>
        <w:tc>
          <w:tcPr>
            <w:tcW w:w="140" w:type="dxa"/>
            <w:vAlign w:val="bottom"/>
            <w:tcBorders>
              <w:top w:val="single" w:sz="8" w:color="auto"/>
              <w:bottom w:val="single" w:sz="8" w:color="CFF0FC"/>
            </w:tcBorders>
          </w:tcPr>
          <w:p>
            <w:pPr>
              <w:spacing w:after="0"/>
              <w:rPr>
                <w:sz w:val="12"/>
                <w:szCs w:val="12"/>
                <w:color w:val="auto"/>
              </w:rPr>
            </w:pPr>
          </w:p>
        </w:tc>
        <w:tc>
          <w:tcPr>
            <w:tcW w:w="100" w:type="dxa"/>
            <w:vAlign w:val="bottom"/>
            <w:tcBorders>
              <w:top w:val="single" w:sz="8" w:color="auto"/>
              <w:bottom w:val="single" w:sz="8" w:color="auto"/>
            </w:tcBorders>
          </w:tcPr>
          <w:p>
            <w:pPr>
              <w:spacing w:after="0"/>
              <w:rPr>
                <w:sz w:val="12"/>
                <w:szCs w:val="12"/>
                <w:color w:val="auto"/>
              </w:rPr>
            </w:pPr>
          </w:p>
        </w:tc>
        <w:tc>
          <w:tcPr>
            <w:tcW w:w="1000" w:type="dxa"/>
            <w:vAlign w:val="bottom"/>
            <w:tcBorders>
              <w:top w:val="single" w:sz="8" w:color="auto"/>
              <w:bottom w:val="single" w:sz="8" w:color="auto"/>
            </w:tcBorders>
          </w:tcPr>
          <w:p>
            <w:pPr>
              <w:jc w:val="right"/>
              <w:ind w:right="313"/>
              <w:spacing w:after="0" w:line="142" w:lineRule="exact"/>
              <w:rPr>
                <w:sz w:val="20"/>
                <w:szCs w:val="20"/>
                <w:color w:val="auto"/>
              </w:rPr>
            </w:pPr>
            <w:r>
              <w:rPr>
                <w:rFonts w:ascii="Arial" w:cs="Arial" w:eastAsia="Arial" w:hAnsi="Arial"/>
                <w:sz w:val="14"/>
                <w:szCs w:val="14"/>
                <w:b w:val="1"/>
                <w:bCs w:val="1"/>
                <w:color w:val="auto"/>
              </w:rPr>
              <w:t>2014</w:t>
            </w:r>
          </w:p>
        </w:tc>
        <w:tc>
          <w:tcPr>
            <w:tcW w:w="80" w:type="dxa"/>
            <w:vAlign w:val="bottom"/>
            <w:tcBorders>
              <w:bottom w:val="single" w:sz="8" w:color="CFF0FC"/>
            </w:tcBorders>
          </w:tcPr>
          <w:p>
            <w:pPr>
              <w:spacing w:after="0"/>
              <w:rPr>
                <w:sz w:val="12"/>
                <w:szCs w:val="12"/>
                <w:color w:val="auto"/>
              </w:rPr>
            </w:pPr>
          </w:p>
        </w:tc>
        <w:tc>
          <w:tcPr>
            <w:tcW w:w="0" w:type="dxa"/>
            <w:vAlign w:val="bottom"/>
          </w:tcPr>
          <w:p>
            <w:pPr>
              <w:spacing w:after="0"/>
              <w:rPr>
                <w:sz w:val="1"/>
                <w:szCs w:val="1"/>
                <w:color w:val="auto"/>
              </w:rPr>
            </w:pPr>
          </w:p>
        </w:tc>
      </w:tr>
      <w:tr>
        <w:trPr>
          <w:trHeight w:val="210"/>
        </w:trPr>
        <w:tc>
          <w:tcPr>
            <w:tcW w:w="1200" w:type="dxa"/>
            <w:vAlign w:val="bottom"/>
          </w:tcPr>
          <w:p>
            <w:pPr>
              <w:spacing w:after="0"/>
              <w:rPr>
                <w:sz w:val="18"/>
                <w:szCs w:val="18"/>
                <w:color w:val="auto"/>
              </w:rPr>
            </w:pPr>
          </w:p>
        </w:tc>
        <w:tc>
          <w:tcPr>
            <w:tcW w:w="5560" w:type="dxa"/>
            <w:vAlign w:val="bottom"/>
            <w:shd w:val="clear" w:color="auto" w:fill="CFF0FC"/>
          </w:tcPr>
          <w:p>
            <w:pPr>
              <w:spacing w:after="0"/>
              <w:rPr>
                <w:sz w:val="20"/>
                <w:szCs w:val="20"/>
                <w:color w:val="auto"/>
              </w:rPr>
            </w:pPr>
            <w:r>
              <w:rPr>
                <w:rFonts w:ascii="Arial" w:cs="Arial" w:eastAsia="Arial" w:hAnsi="Arial"/>
                <w:sz w:val="18"/>
                <w:szCs w:val="18"/>
                <w:color w:val="auto"/>
              </w:rPr>
              <w:t>Net sales</w:t>
            </w:r>
          </w:p>
        </w:tc>
        <w:tc>
          <w:tcPr>
            <w:tcW w:w="20" w:type="dxa"/>
            <w:vAlign w:val="bottom"/>
            <w:shd w:val="clear" w:color="auto" w:fill="CFF0FC"/>
          </w:tcPr>
          <w:p>
            <w:pPr>
              <w:spacing w:after="0"/>
              <w:rPr>
                <w:sz w:val="18"/>
                <w:szCs w:val="18"/>
                <w:color w:val="auto"/>
              </w:rPr>
            </w:pPr>
          </w:p>
        </w:tc>
        <w:tc>
          <w:tcPr>
            <w:tcW w:w="140" w:type="dxa"/>
            <w:vAlign w:val="bottom"/>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9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76</w:t>
            </w:r>
          </w:p>
        </w:tc>
        <w:tc>
          <w:tcPr>
            <w:tcW w:w="140" w:type="dxa"/>
            <w:vAlign w:val="bottom"/>
            <w:shd w:val="clear" w:color="auto" w:fill="CFF0FC"/>
          </w:tcPr>
          <w:p>
            <w:pPr>
              <w:spacing w:after="0"/>
              <w:rPr>
                <w:sz w:val="18"/>
                <w:szCs w:val="18"/>
                <w:color w:val="auto"/>
              </w:rPr>
            </w:pPr>
          </w:p>
        </w:tc>
        <w:tc>
          <w:tcPr>
            <w:tcW w:w="100" w:type="dxa"/>
            <w:vAlign w:val="bottom"/>
            <w:shd w:val="clear" w:color="auto" w:fill="CFF0FC"/>
          </w:tcPr>
          <w:p>
            <w:pPr>
              <w:jc w:val="right"/>
              <w:spacing w:after="0"/>
              <w:rPr>
                <w:sz w:val="20"/>
                <w:szCs w:val="20"/>
                <w:color w:val="auto"/>
              </w:rPr>
            </w:pPr>
            <w:r>
              <w:rPr>
                <w:rFonts w:ascii="Arial" w:cs="Arial" w:eastAsia="Arial" w:hAnsi="Arial"/>
                <w:sz w:val="15"/>
                <w:szCs w:val="15"/>
                <w:color w:val="auto"/>
                <w:w w:val="71"/>
              </w:rPr>
              <w:t>$</w:t>
            </w:r>
          </w:p>
        </w:tc>
        <w:tc>
          <w:tcPr>
            <w:tcW w:w="10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71</w:t>
            </w:r>
          </w:p>
        </w:tc>
        <w:tc>
          <w:tcPr>
            <w:tcW w:w="80" w:type="dxa"/>
            <w:vAlign w:val="bottom"/>
            <w:shd w:val="clear" w:color="auto" w:fill="CFF0FC"/>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200" w:type="dxa"/>
            <w:vAlign w:val="bottom"/>
          </w:tcPr>
          <w:p>
            <w:pPr>
              <w:spacing w:after="0"/>
              <w:rPr>
                <w:sz w:val="18"/>
                <w:szCs w:val="18"/>
                <w:color w:val="auto"/>
              </w:rPr>
            </w:pPr>
          </w:p>
        </w:tc>
        <w:tc>
          <w:tcPr>
            <w:tcW w:w="5560" w:type="dxa"/>
            <w:vAlign w:val="bottom"/>
          </w:tcPr>
          <w:p>
            <w:pPr>
              <w:spacing w:after="0"/>
              <w:rPr>
                <w:sz w:val="20"/>
                <w:szCs w:val="20"/>
                <w:color w:val="auto"/>
              </w:rPr>
            </w:pPr>
            <w:r>
              <w:rPr>
                <w:rFonts w:ascii="Arial" w:cs="Arial" w:eastAsia="Arial" w:hAnsi="Arial"/>
                <w:sz w:val="18"/>
                <w:szCs w:val="18"/>
                <w:color w:val="auto"/>
              </w:rPr>
              <w:t>Other operating expense</w:t>
            </w: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80" w:type="dxa"/>
            <w:vAlign w:val="bottom"/>
            <w:gridSpan w:val="2"/>
          </w:tcPr>
          <w:p>
            <w:pPr>
              <w:jc w:val="right"/>
              <w:ind w:right="80"/>
              <w:spacing w:after="0"/>
              <w:rPr>
                <w:sz w:val="20"/>
                <w:szCs w:val="20"/>
                <w:color w:val="auto"/>
              </w:rPr>
            </w:pPr>
            <w:r>
              <w:rPr>
                <w:rFonts w:ascii="Arial" w:cs="Arial" w:eastAsia="Arial" w:hAnsi="Arial"/>
                <w:sz w:val="18"/>
                <w:szCs w:val="18"/>
                <w:color w:val="auto"/>
              </w:rPr>
              <w:t>(736)</w:t>
            </w:r>
          </w:p>
        </w:tc>
        <w:tc>
          <w:tcPr>
            <w:tcW w:w="100" w:type="dxa"/>
            <w:vAlign w:val="bottom"/>
          </w:tcPr>
          <w:p>
            <w:pPr>
              <w:spacing w:after="0"/>
              <w:rPr>
                <w:sz w:val="18"/>
                <w:szCs w:val="18"/>
                <w:color w:val="auto"/>
              </w:rPr>
            </w:pPr>
          </w:p>
        </w:tc>
        <w:tc>
          <w:tcPr>
            <w:tcW w:w="1080" w:type="dxa"/>
            <w:vAlign w:val="bottom"/>
            <w:gridSpan w:val="2"/>
          </w:tcPr>
          <w:p>
            <w:pPr>
              <w:jc w:val="right"/>
              <w:ind w:right="20"/>
              <w:spacing w:after="0"/>
              <w:rPr>
                <w:sz w:val="20"/>
                <w:szCs w:val="20"/>
                <w:color w:val="auto"/>
              </w:rPr>
            </w:pPr>
            <w:r>
              <w:rPr>
                <w:rFonts w:ascii="Arial" w:cs="Arial" w:eastAsia="Arial" w:hAnsi="Arial"/>
                <w:sz w:val="18"/>
                <w:szCs w:val="18"/>
                <w:color w:val="auto"/>
              </w:rPr>
              <w:t>(1,011)</w:t>
            </w:r>
          </w:p>
        </w:tc>
        <w:tc>
          <w:tcPr>
            <w:tcW w:w="0" w:type="dxa"/>
            <w:vAlign w:val="bottom"/>
          </w:tcPr>
          <w:p>
            <w:pPr>
              <w:spacing w:after="0"/>
              <w:rPr>
                <w:sz w:val="1"/>
                <w:szCs w:val="1"/>
                <w:color w:val="auto"/>
              </w:rPr>
            </w:pPr>
          </w:p>
        </w:tc>
      </w:tr>
      <w:tr>
        <w:trPr>
          <w:trHeight w:val="216"/>
        </w:trPr>
        <w:tc>
          <w:tcPr>
            <w:tcW w:w="1200" w:type="dxa"/>
            <w:vAlign w:val="bottom"/>
          </w:tcPr>
          <w:p>
            <w:pPr>
              <w:spacing w:after="0"/>
              <w:rPr>
                <w:sz w:val="18"/>
                <w:szCs w:val="18"/>
                <w:color w:val="auto"/>
              </w:rPr>
            </w:pPr>
          </w:p>
        </w:tc>
        <w:tc>
          <w:tcPr>
            <w:tcW w:w="5560" w:type="dxa"/>
            <w:vAlign w:val="bottom"/>
            <w:shd w:val="clear" w:color="auto" w:fill="CFF0FC"/>
          </w:tcPr>
          <w:p>
            <w:pPr>
              <w:spacing w:after="0"/>
              <w:rPr>
                <w:sz w:val="20"/>
                <w:szCs w:val="20"/>
                <w:color w:val="auto"/>
              </w:rPr>
            </w:pPr>
            <w:r>
              <w:rPr>
                <w:rFonts w:ascii="Arial" w:cs="Arial" w:eastAsia="Arial" w:hAnsi="Arial"/>
                <w:sz w:val="18"/>
                <w:szCs w:val="18"/>
                <w:color w:val="auto"/>
              </w:rPr>
              <w:t>Other income</w:t>
            </w:r>
          </w:p>
        </w:tc>
        <w:tc>
          <w:tcPr>
            <w:tcW w:w="20" w:type="dxa"/>
            <w:vAlign w:val="bottom"/>
            <w:shd w:val="clear" w:color="auto" w:fill="CFF0FC"/>
          </w:tcPr>
          <w:p>
            <w:pPr>
              <w:spacing w:after="0"/>
              <w:rPr>
                <w:sz w:val="18"/>
                <w:szCs w:val="18"/>
                <w:color w:val="auto"/>
              </w:rPr>
            </w:pPr>
          </w:p>
        </w:tc>
        <w:tc>
          <w:tcPr>
            <w:tcW w:w="140" w:type="dxa"/>
            <w:vAlign w:val="bottom"/>
            <w:shd w:val="clear" w:color="auto" w:fill="CFF0FC"/>
          </w:tcPr>
          <w:p>
            <w:pPr>
              <w:spacing w:after="0"/>
              <w:rPr>
                <w:sz w:val="18"/>
                <w:szCs w:val="18"/>
                <w:color w:val="auto"/>
              </w:rPr>
            </w:pPr>
          </w:p>
        </w:tc>
        <w:tc>
          <w:tcPr>
            <w:tcW w:w="1080" w:type="dxa"/>
            <w:vAlign w:val="bottom"/>
            <w:gridSpan w:val="2"/>
            <w:shd w:val="clear" w:color="auto" w:fill="CFF0FC"/>
          </w:tcPr>
          <w:p>
            <w:pPr>
              <w:jc w:val="right"/>
              <w:ind w:right="140"/>
              <w:spacing w:after="0"/>
              <w:rPr>
                <w:sz w:val="20"/>
                <w:szCs w:val="20"/>
                <w:color w:val="auto"/>
              </w:rPr>
            </w:pPr>
            <w:r>
              <w:rPr>
                <w:rFonts w:ascii="Arial" w:cs="Arial" w:eastAsia="Arial" w:hAnsi="Arial"/>
                <w:sz w:val="18"/>
                <w:szCs w:val="18"/>
                <w:color w:val="auto"/>
              </w:rPr>
              <w:t>2</w:t>
            </w:r>
          </w:p>
        </w:tc>
        <w:tc>
          <w:tcPr>
            <w:tcW w:w="100" w:type="dxa"/>
            <w:vAlign w:val="bottom"/>
            <w:shd w:val="clear" w:color="auto" w:fill="CFF0FC"/>
          </w:tcPr>
          <w:p>
            <w:pPr>
              <w:spacing w:after="0"/>
              <w:rPr>
                <w:sz w:val="18"/>
                <w:szCs w:val="18"/>
                <w:color w:val="auto"/>
              </w:rPr>
            </w:pPr>
          </w:p>
        </w:tc>
        <w:tc>
          <w:tcPr>
            <w:tcW w:w="1080" w:type="dxa"/>
            <w:vAlign w:val="bottom"/>
            <w:gridSpan w:val="2"/>
            <w:shd w:val="clear" w:color="auto" w:fill="CFF0FC"/>
          </w:tcPr>
          <w:p>
            <w:pPr>
              <w:jc w:val="right"/>
              <w:ind w:right="80"/>
              <w:spacing w:after="0"/>
              <w:rPr>
                <w:sz w:val="20"/>
                <w:szCs w:val="20"/>
                <w:color w:val="auto"/>
              </w:rPr>
            </w:pPr>
            <w:r>
              <w:rPr>
                <w:rFonts w:ascii="Arial" w:cs="Arial" w:eastAsia="Arial" w:hAnsi="Arial"/>
                <w:sz w:val="18"/>
                <w:szCs w:val="18"/>
                <w:color w:val="auto"/>
              </w:rPr>
              <w:t>2</w:t>
            </w:r>
          </w:p>
        </w:tc>
        <w:tc>
          <w:tcPr>
            <w:tcW w:w="0" w:type="dxa"/>
            <w:vAlign w:val="bottom"/>
          </w:tcPr>
          <w:p>
            <w:pPr>
              <w:spacing w:after="0"/>
              <w:rPr>
                <w:sz w:val="1"/>
                <w:szCs w:val="1"/>
                <w:color w:val="auto"/>
              </w:rPr>
            </w:pPr>
          </w:p>
        </w:tc>
      </w:tr>
      <w:tr>
        <w:trPr>
          <w:trHeight w:val="250"/>
        </w:trPr>
        <w:tc>
          <w:tcPr>
            <w:tcW w:w="1200" w:type="dxa"/>
            <w:vAlign w:val="bottom"/>
          </w:tcPr>
          <w:p>
            <w:pPr>
              <w:spacing w:after="0"/>
              <w:rPr>
                <w:sz w:val="21"/>
                <w:szCs w:val="21"/>
                <w:color w:val="auto"/>
              </w:rPr>
            </w:pPr>
          </w:p>
        </w:tc>
        <w:tc>
          <w:tcPr>
            <w:tcW w:w="5560" w:type="dxa"/>
            <w:vAlign w:val="bottom"/>
            <w:tcBorders>
              <w:bottom w:val="single" w:sz="8" w:color="CFF0FC"/>
            </w:tcBorders>
          </w:tcPr>
          <w:p>
            <w:pPr>
              <w:spacing w:after="0"/>
              <w:rPr>
                <w:sz w:val="20"/>
                <w:szCs w:val="20"/>
                <w:color w:val="auto"/>
              </w:rPr>
            </w:pPr>
            <w:r>
              <w:rPr>
                <w:rFonts w:ascii="Arial" w:cs="Arial" w:eastAsia="Arial" w:hAnsi="Arial"/>
                <w:sz w:val="18"/>
                <w:szCs w:val="18"/>
                <w:color w:val="auto"/>
              </w:rPr>
              <w:t>Net loss</w:t>
            </w:r>
          </w:p>
        </w:tc>
        <w:tc>
          <w:tcPr>
            <w:tcW w:w="20" w:type="dxa"/>
            <w:vAlign w:val="bottom"/>
            <w:tcBorders>
              <w:bottom w:val="single" w:sz="8" w:color="CFF0FC"/>
            </w:tcBorders>
          </w:tcPr>
          <w:p>
            <w:pPr>
              <w:spacing w:after="0"/>
              <w:rPr>
                <w:sz w:val="21"/>
                <w:szCs w:val="21"/>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9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(658)</w:t>
            </w:r>
          </w:p>
        </w:tc>
        <w:tc>
          <w:tcPr>
            <w:tcW w:w="140" w:type="dxa"/>
            <w:vAlign w:val="bottom"/>
            <w:tcBorders>
              <w:bottom w:val="single" w:sz="8" w:color="CFF0FC"/>
            </w:tcBorders>
          </w:tcPr>
          <w:p>
            <w:pPr>
              <w:spacing w:after="0"/>
              <w:rPr>
                <w:sz w:val="21"/>
                <w:szCs w:val="21"/>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10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(938)</w:t>
            </w:r>
          </w:p>
        </w:tc>
        <w:tc>
          <w:tcPr>
            <w:tcW w:w="80" w:type="dxa"/>
            <w:vAlign w:val="bottom"/>
            <w:tcBorders>
              <w:bottom w:val="single" w:sz="8" w:color="CFF0FC"/>
            </w:tcBorders>
          </w:tcPr>
          <w:p>
            <w:pPr>
              <w:spacing w:after="0"/>
              <w:rPr>
                <w:sz w:val="21"/>
                <w:szCs w:val="21"/>
                <w:color w:val="auto"/>
              </w:rPr>
            </w:pPr>
          </w:p>
        </w:tc>
        <w:tc>
          <w:tcPr>
            <w:tcW w:w="0" w:type="dxa"/>
            <w:vAlign w:val="bottom"/>
          </w:tcPr>
          <w:p>
            <w:pPr>
              <w:spacing w:after="0"/>
              <w:rPr>
                <w:sz w:val="1"/>
                <w:szCs w:val="1"/>
                <w:color w:val="auto"/>
              </w:rPr>
            </w:pPr>
          </w:p>
        </w:tc>
      </w:tr>
      <w:tr>
        <w:trPr>
          <w:trHeight w:val="197"/>
        </w:trPr>
        <w:tc>
          <w:tcPr>
            <w:tcW w:w="1200" w:type="dxa"/>
            <w:vAlign w:val="bottom"/>
          </w:tcPr>
          <w:p>
            <w:pPr>
              <w:spacing w:after="0"/>
              <w:rPr>
                <w:sz w:val="17"/>
                <w:szCs w:val="17"/>
                <w:color w:val="auto"/>
              </w:rPr>
            </w:pPr>
          </w:p>
        </w:tc>
        <w:tc>
          <w:tcPr>
            <w:tcW w:w="5560" w:type="dxa"/>
            <w:vAlign w:val="bottom"/>
            <w:tcBorders>
              <w:bottom w:val="single" w:sz="8" w:color="CFF0FC"/>
            </w:tcBorders>
            <w:shd w:val="clear" w:color="auto" w:fill="CFF0FC"/>
          </w:tcPr>
          <w:p>
            <w:pPr>
              <w:spacing w:after="0" w:line="196" w:lineRule="exact"/>
              <w:rPr>
                <w:sz w:val="20"/>
                <w:szCs w:val="20"/>
                <w:color w:val="auto"/>
              </w:rPr>
            </w:pPr>
            <w:r>
              <w:rPr>
                <w:rFonts w:ascii="Arial" w:cs="Arial" w:eastAsia="Arial" w:hAnsi="Arial"/>
                <w:sz w:val="18"/>
                <w:szCs w:val="18"/>
                <w:color w:val="auto"/>
              </w:rPr>
              <w:t>Company's equity in income (loss) of unconsolidated entities</w:t>
            </w:r>
          </w:p>
        </w:tc>
        <w:tc>
          <w:tcPr>
            <w:tcW w:w="20" w:type="dxa"/>
            <w:vAlign w:val="bottom"/>
            <w:tcBorders>
              <w:bottom w:val="single" w:sz="8" w:color="CFF0FC"/>
            </w:tcBorders>
            <w:shd w:val="clear" w:color="auto" w:fill="CFF0FC"/>
          </w:tcPr>
          <w:p>
            <w:pPr>
              <w:spacing w:after="0"/>
              <w:rPr>
                <w:sz w:val="17"/>
                <w:szCs w:val="17"/>
                <w:color w:val="auto"/>
              </w:rPr>
            </w:pPr>
          </w:p>
        </w:tc>
        <w:tc>
          <w:tcPr>
            <w:tcW w:w="140" w:type="dxa"/>
            <w:vAlign w:val="bottom"/>
            <w:tcBorders>
              <w:bottom w:val="single" w:sz="8" w:color="auto"/>
            </w:tcBorders>
            <w:shd w:val="clear" w:color="auto" w:fill="CFF0FC"/>
          </w:tcPr>
          <w:p>
            <w:pPr>
              <w:jc w:val="right"/>
              <w:spacing w:after="0" w:line="196" w:lineRule="exact"/>
              <w:rPr>
                <w:sz w:val="20"/>
                <w:szCs w:val="20"/>
                <w:color w:val="auto"/>
              </w:rPr>
            </w:pPr>
            <w:r>
              <w:rPr>
                <w:rFonts w:ascii="Arial" w:cs="Arial" w:eastAsia="Arial" w:hAnsi="Arial"/>
                <w:sz w:val="18"/>
                <w:szCs w:val="18"/>
                <w:color w:val="auto"/>
                <w:w w:val="79"/>
              </w:rPr>
              <w:t>$</w:t>
            </w:r>
          </w:p>
        </w:tc>
        <w:tc>
          <w:tcPr>
            <w:tcW w:w="940" w:type="dxa"/>
            <w:vAlign w:val="bottom"/>
            <w:tcBorders>
              <w:bottom w:val="single" w:sz="8" w:color="auto"/>
            </w:tcBorders>
            <w:shd w:val="clear" w:color="auto" w:fill="CFF0FC"/>
          </w:tcPr>
          <w:p>
            <w:pPr>
              <w:jc w:val="right"/>
              <w:spacing w:after="0" w:line="196" w:lineRule="exact"/>
              <w:rPr>
                <w:sz w:val="20"/>
                <w:szCs w:val="20"/>
                <w:color w:val="auto"/>
              </w:rPr>
            </w:pPr>
            <w:r>
              <w:rPr>
                <w:rFonts w:ascii="Arial" w:cs="Arial" w:eastAsia="Arial" w:hAnsi="Arial"/>
                <w:sz w:val="18"/>
                <w:szCs w:val="18"/>
                <w:color w:val="auto"/>
              </w:rPr>
              <w:t>74</w:t>
            </w:r>
          </w:p>
        </w:tc>
        <w:tc>
          <w:tcPr>
            <w:tcW w:w="140" w:type="dxa"/>
            <w:vAlign w:val="bottom"/>
            <w:tcBorders>
              <w:bottom w:val="single" w:sz="8" w:color="CFF0FC"/>
            </w:tcBorders>
            <w:shd w:val="clear" w:color="auto" w:fill="CFF0FC"/>
          </w:tcPr>
          <w:p>
            <w:pPr>
              <w:spacing w:after="0"/>
              <w:rPr>
                <w:sz w:val="17"/>
                <w:szCs w:val="17"/>
                <w:color w:val="auto"/>
              </w:rPr>
            </w:pPr>
          </w:p>
        </w:tc>
        <w:tc>
          <w:tcPr>
            <w:tcW w:w="10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5"/>
                <w:szCs w:val="15"/>
                <w:color w:val="auto"/>
                <w:w w:val="71"/>
              </w:rPr>
              <w:t>$</w:t>
            </w:r>
          </w:p>
        </w:tc>
        <w:tc>
          <w:tcPr>
            <w:tcW w:w="1000" w:type="dxa"/>
            <w:vAlign w:val="bottom"/>
            <w:tcBorders>
              <w:bottom w:val="single" w:sz="8" w:color="auto"/>
            </w:tcBorders>
            <w:shd w:val="clear" w:color="auto" w:fill="CFF0FC"/>
          </w:tcPr>
          <w:p>
            <w:pPr>
              <w:jc w:val="right"/>
              <w:spacing w:after="0" w:line="196" w:lineRule="exact"/>
              <w:rPr>
                <w:sz w:val="20"/>
                <w:szCs w:val="20"/>
                <w:color w:val="auto"/>
              </w:rPr>
            </w:pPr>
            <w:r>
              <w:rPr>
                <w:rFonts w:ascii="Arial" w:cs="Arial" w:eastAsia="Arial" w:hAnsi="Arial"/>
                <w:sz w:val="18"/>
                <w:szCs w:val="18"/>
                <w:color w:val="auto"/>
              </w:rPr>
              <w:t>(68)</w:t>
            </w:r>
          </w:p>
        </w:tc>
        <w:tc>
          <w:tcPr>
            <w:tcW w:w="80" w:type="dxa"/>
            <w:vAlign w:val="bottom"/>
            <w:tcBorders>
              <w:bottom w:val="single" w:sz="8" w:color="CFF0FC"/>
            </w:tcBorders>
            <w:shd w:val="clear" w:color="auto" w:fill="CFF0FC"/>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1200" w:type="dxa"/>
            <w:vAlign w:val="bottom"/>
          </w:tcPr>
          <w:p>
            <w:pPr>
              <w:spacing w:after="0" w:line="20" w:lineRule="exact"/>
              <w:rPr>
                <w:sz w:val="1"/>
                <w:szCs w:val="1"/>
                <w:color w:val="auto"/>
              </w:rPr>
            </w:pPr>
          </w:p>
        </w:tc>
        <w:tc>
          <w:tcPr>
            <w:tcW w:w="55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387" w:lineRule="exact"/>
        <w:rPr>
          <w:sz w:val="20"/>
          <w:szCs w:val="20"/>
          <w:color w:val="auto"/>
        </w:rPr>
      </w:pPr>
    </w:p>
    <w:p>
      <w:pPr>
        <w:ind w:left="540" w:hanging="532"/>
        <w:spacing w:after="0"/>
        <w:tabs>
          <w:tab w:leader="none" w:pos="540" w:val="left"/>
        </w:tabs>
        <w:numPr>
          <w:ilvl w:val="0"/>
          <w:numId w:val="10"/>
        </w:numPr>
        <w:rPr>
          <w:rFonts w:ascii="Arial" w:cs="Arial" w:eastAsia="Arial" w:hAnsi="Arial"/>
          <w:sz w:val="18"/>
          <w:szCs w:val="18"/>
          <w:b w:val="1"/>
          <w:bCs w:val="1"/>
          <w:color w:val="auto"/>
        </w:rPr>
      </w:pPr>
      <w:r>
        <w:rPr>
          <w:rFonts w:ascii="Arial" w:cs="Arial" w:eastAsia="Arial" w:hAnsi="Arial"/>
          <w:sz w:val="18"/>
          <w:szCs w:val="18"/>
          <w:b w:val="1"/>
          <w:bCs w:val="1"/>
          <w:color w:val="auto"/>
        </w:rPr>
        <w:t>Variable Interest Entities</w:t>
      </w:r>
    </w:p>
    <w:p>
      <w:pPr>
        <w:spacing w:after="0" w:line="121" w:lineRule="exact"/>
        <w:rPr>
          <w:sz w:val="20"/>
          <w:szCs w:val="20"/>
          <w:color w:val="auto"/>
        </w:rPr>
      </w:pPr>
    </w:p>
    <w:p>
      <w:pPr>
        <w:ind w:right="180" w:firstLine="518"/>
        <w:spacing w:after="0" w:line="276" w:lineRule="auto"/>
        <w:rPr>
          <w:sz w:val="20"/>
          <w:szCs w:val="20"/>
          <w:color w:val="auto"/>
        </w:rPr>
      </w:pPr>
      <w:r>
        <w:rPr>
          <w:rFonts w:ascii="Arial" w:cs="Arial" w:eastAsia="Arial" w:hAnsi="Arial"/>
          <w:sz w:val="17"/>
          <w:szCs w:val="17"/>
          <w:color w:val="auto"/>
        </w:rPr>
        <w:t>In the ordinary course of business, we enter into land option agreements in order to procure land and residential lots for future development and the construction of homes. The use of such land option agreements generally allows us to reduce the risks associated with direct land ownership and development, and reduces our capital and financial commitments. Pursuant to these land option agreements, we generally provide a deposit to the seller as consideration for the right to purchase land at different times in the future, usually at predetermined prices. Such deposits are recorded as land purchase and land option deposits under real estate inventories not owned in the accompanying consolidated balance sheets.</w:t>
      </w:r>
    </w:p>
    <w:p>
      <w:pPr>
        <w:spacing w:after="0" w:line="173" w:lineRule="exact"/>
        <w:rPr>
          <w:sz w:val="20"/>
          <w:szCs w:val="20"/>
          <w:color w:val="auto"/>
        </w:rPr>
      </w:pPr>
    </w:p>
    <w:p>
      <w:pPr>
        <w:ind w:right="20" w:firstLine="518"/>
        <w:spacing w:after="0" w:line="254" w:lineRule="auto"/>
        <w:rPr>
          <w:sz w:val="20"/>
          <w:szCs w:val="20"/>
          <w:color w:val="auto"/>
        </w:rPr>
      </w:pPr>
      <w:r>
        <w:rPr>
          <w:rFonts w:ascii="Arial" w:cs="Arial" w:eastAsia="Arial" w:hAnsi="Arial"/>
          <w:sz w:val="18"/>
          <w:szCs w:val="18"/>
          <w:color w:val="auto"/>
        </w:rPr>
        <w:t>We analyze each of our land option agreements and other similar contracts under the provisions of ASC 810 to determine whether the land seller is a VIE and, if so, whether we are the primary beneficiary. Although we do not have legal title to the underlying land, if we are determined to be the primary beneficiary of the VIE, we will consolidate the VIE in our financial statements and reflect its assets as real estate inventory not owned included in our real estate inventories, its liabilities as debt (nonrecourse) held by VIEs in accrued expenses and other liabilities and the net equity of the VIE owners as noncontrolling interests on our consolidated balance sheets. In determining whether we are the primary beneficiary, we consider, among other things, whether we have the power to direct the activities of the VIE that most significantly impact the VIE’s economic performance. Such activities would include, among other things, determining or limiting the scope or purpose of the VIE, selling or transferring property owned or controlled by the VIE, or arranging financing for the VIE.</w:t>
      </w:r>
    </w:p>
    <w:p>
      <w:pPr>
        <w:spacing w:after="0" w:line="192" w:lineRule="exact"/>
        <w:rPr>
          <w:sz w:val="20"/>
          <w:szCs w:val="20"/>
          <w:color w:val="auto"/>
        </w:rPr>
      </w:pPr>
    </w:p>
    <w:p>
      <w:pPr>
        <w:ind w:firstLine="518"/>
        <w:spacing w:after="0" w:line="264" w:lineRule="auto"/>
        <w:rPr>
          <w:sz w:val="20"/>
          <w:szCs w:val="20"/>
          <w:color w:val="auto"/>
        </w:rPr>
      </w:pPr>
      <w:r>
        <w:rPr>
          <w:rFonts w:ascii="Arial" w:cs="Arial" w:eastAsia="Arial" w:hAnsi="Arial"/>
          <w:sz w:val="18"/>
          <w:szCs w:val="18"/>
          <w:color w:val="auto"/>
        </w:rPr>
        <w:t>Creditors of the entities with which we have land option agreements have no recourse against us. The maximum exposure to loss under our land option agreements is limited to non-refundable option deposits and any capitalized pre-acquisition costs. In some cases, we have also contracted to complete development work at a fixed cost on behalf of the land owner and budget shortfalls and savings will be borne by us.</w:t>
      </w:r>
    </w:p>
    <w:p>
      <w:pPr>
        <w:spacing w:after="0" w:line="200" w:lineRule="exact"/>
        <w:rPr>
          <w:sz w:val="20"/>
          <w:szCs w:val="20"/>
          <w:color w:val="auto"/>
        </w:rPr>
      </w:pPr>
    </w:p>
    <w:p>
      <w:pPr>
        <w:spacing w:after="0" w:line="22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- 15 -</w:t>
      </w:r>
    </w:p>
    <w:p>
      <w:pPr>
        <w:sectPr>
          <w:pgSz w:w="11900" w:h="16838" w:orient="portrait"/>
          <w:cols w:equalWidth="0" w:num="1">
            <w:col w:w="11400"/>
          </w:cols>
          <w:pgMar w:left="240" w:top="463" w:right="259" w:bottom="1440" w:gutter="0" w:footer="0" w:header="0"/>
        </w:sectPr>
      </w:pPr>
    </w:p>
    <w:bookmarkStart w:id="15" w:name="page16"/>
    <w:bookmarkEnd w:id="15"/>
    <w:p>
      <w:pPr>
        <w:ind w:left="520"/>
        <w:spacing w:after="0"/>
        <w:rPr>
          <w:sz w:val="20"/>
          <w:szCs w:val="20"/>
          <w:color w:val="auto"/>
        </w:rPr>
      </w:pPr>
      <w:r>
        <w:rPr>
          <w:rFonts w:ascii="Arial" w:cs="Arial" w:eastAsia="Arial" w:hAnsi="Arial"/>
          <w:sz w:val="18"/>
          <w:szCs w:val="18"/>
          <w:color w:val="auto"/>
        </w:rPr>
        <w:t>The following provides a summary of our interests in land option agreements (in thousands):</w:t>
      </w:r>
    </w:p>
    <w:p>
      <w:pPr>
        <w:spacing w:after="0" w:line="284" w:lineRule="exact"/>
        <w:rPr>
          <w:sz w:val="20"/>
          <w:szCs w:val="20"/>
          <w:color w:val="auto"/>
        </w:rPr>
      </w:pPr>
    </w:p>
    <w:tbl>
      <w:tblPr>
        <w:tblLayout w:type="fixed"/>
        <w:tblInd w:w="0" w:type="dxa"/>
        <w:tblCellMar>
          <w:top w:w="0" w:type="dxa"/>
          <w:left w:w="0" w:type="dxa"/>
          <w:bottom w:w="0" w:type="dxa"/>
          <w:right w:w="0" w:type="dxa"/>
        </w:tblCellMar>
      </w:tblPr>
      <w:tr>
        <w:trPr>
          <w:trHeight w:val="186"/>
        </w:trPr>
        <w:tc>
          <w:tcPr>
            <w:tcW w:w="498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1260" w:type="dxa"/>
            <w:vAlign w:val="bottom"/>
            <w:gridSpan w:val="4"/>
          </w:tcPr>
          <w:p>
            <w:pPr>
              <w:ind w:left="180"/>
              <w:spacing w:after="0"/>
              <w:rPr>
                <w:sz w:val="20"/>
                <w:szCs w:val="20"/>
                <w:color w:val="auto"/>
              </w:rPr>
            </w:pPr>
            <w:r>
              <w:rPr>
                <w:rFonts w:ascii="Arial" w:cs="Arial" w:eastAsia="Arial" w:hAnsi="Arial"/>
                <w:sz w:val="14"/>
                <w:szCs w:val="14"/>
                <w:b w:val="1"/>
                <w:bCs w:val="1"/>
                <w:color w:val="auto"/>
              </w:rPr>
              <w:t>March 31, 2015</w:t>
            </w:r>
          </w:p>
        </w:tc>
        <w:tc>
          <w:tcPr>
            <w:tcW w:w="120" w:type="dxa"/>
            <w:vAlign w:val="bottom"/>
          </w:tcPr>
          <w:p>
            <w:pPr>
              <w:spacing w:after="0"/>
              <w:rPr>
                <w:sz w:val="16"/>
                <w:szCs w:val="16"/>
                <w:color w:val="auto"/>
              </w:rPr>
            </w:pPr>
          </w:p>
        </w:tc>
        <w:tc>
          <w:tcPr>
            <w:tcW w:w="78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1340" w:type="dxa"/>
            <w:vAlign w:val="bottom"/>
            <w:gridSpan w:val="4"/>
          </w:tcPr>
          <w:p>
            <w:pPr>
              <w:ind w:left="140"/>
              <w:spacing w:after="0"/>
              <w:rPr>
                <w:sz w:val="20"/>
                <w:szCs w:val="20"/>
                <w:color w:val="auto"/>
              </w:rPr>
            </w:pPr>
            <w:r>
              <w:rPr>
                <w:rFonts w:ascii="Arial" w:cs="Arial" w:eastAsia="Arial" w:hAnsi="Arial"/>
                <w:sz w:val="14"/>
                <w:szCs w:val="14"/>
                <w:b w:val="1"/>
                <w:bCs w:val="1"/>
                <w:color w:val="auto"/>
                <w:w w:val="93"/>
              </w:rPr>
              <w:t>December 31, 2014</w:t>
            </w: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820" w:type="dxa"/>
            <w:vAlign w:val="bottom"/>
          </w:tcPr>
          <w:p>
            <w:pPr>
              <w:spacing w:after="0"/>
              <w:rPr>
                <w:sz w:val="16"/>
                <w:szCs w:val="16"/>
                <w:color w:val="auto"/>
              </w:rPr>
            </w:pPr>
          </w:p>
        </w:tc>
        <w:tc>
          <w:tcPr>
            <w:tcW w:w="120" w:type="dxa"/>
            <w:vAlign w:val="bottom"/>
          </w:tcPr>
          <w:p>
            <w:pPr>
              <w:spacing w:after="0"/>
              <w:rPr>
                <w:sz w:val="16"/>
                <w:szCs w:val="16"/>
                <w:color w:val="auto"/>
              </w:rPr>
            </w:pPr>
          </w:p>
        </w:tc>
      </w:tr>
      <w:tr>
        <w:trPr>
          <w:trHeight w:val="26"/>
        </w:trPr>
        <w:tc>
          <w:tcPr>
            <w:tcW w:w="4980" w:type="dxa"/>
            <w:vAlign w:val="bottom"/>
          </w:tcPr>
          <w:p>
            <w:pPr>
              <w:spacing w:after="0"/>
              <w:rPr>
                <w:sz w:val="2"/>
                <w:szCs w:val="2"/>
                <w:color w:val="auto"/>
              </w:rPr>
            </w:pPr>
          </w:p>
        </w:tc>
        <w:tc>
          <w:tcPr>
            <w:tcW w:w="120" w:type="dxa"/>
            <w:vAlign w:val="bottom"/>
          </w:tcPr>
          <w:p>
            <w:pPr>
              <w:spacing w:after="0"/>
              <w:rPr>
                <w:sz w:val="2"/>
                <w:szCs w:val="2"/>
                <w:color w:val="auto"/>
              </w:rPr>
            </w:pPr>
          </w:p>
        </w:tc>
        <w:tc>
          <w:tcPr>
            <w:tcW w:w="7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040" w:type="dxa"/>
            <w:vAlign w:val="bottom"/>
            <w:gridSpan w:val="3"/>
          </w:tcPr>
          <w:p>
            <w:pPr>
              <w:spacing w:after="0"/>
              <w:rPr>
                <w:sz w:val="2"/>
                <w:szCs w:val="2"/>
                <w:color w:val="auto"/>
              </w:rPr>
            </w:pPr>
          </w:p>
        </w:tc>
        <w:tc>
          <w:tcPr>
            <w:tcW w:w="1120" w:type="dxa"/>
            <w:vAlign w:val="bottom"/>
            <w:gridSpan w:val="3"/>
          </w:tcPr>
          <w:p>
            <w:pPr>
              <w:spacing w:after="0"/>
              <w:rPr>
                <w:sz w:val="2"/>
                <w:szCs w:val="2"/>
                <w:color w:val="auto"/>
              </w:rPr>
            </w:pPr>
          </w:p>
        </w:tc>
        <w:tc>
          <w:tcPr>
            <w:tcW w:w="120" w:type="dxa"/>
            <w:vAlign w:val="bottom"/>
          </w:tcPr>
          <w:p>
            <w:pPr>
              <w:spacing w:after="0"/>
              <w:rPr>
                <w:sz w:val="2"/>
                <w:szCs w:val="2"/>
                <w:color w:val="auto"/>
              </w:rPr>
            </w:pPr>
          </w:p>
        </w:tc>
        <w:tc>
          <w:tcPr>
            <w:tcW w:w="7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20" w:type="dxa"/>
            <w:vAlign w:val="bottom"/>
            <w:gridSpan w:val="2"/>
          </w:tcPr>
          <w:p>
            <w:pPr>
              <w:spacing w:after="0"/>
              <w:rPr>
                <w:sz w:val="2"/>
                <w:szCs w:val="2"/>
                <w:color w:val="auto"/>
              </w:rPr>
            </w:pPr>
          </w:p>
        </w:tc>
        <w:tc>
          <w:tcPr>
            <w:tcW w:w="20" w:type="dxa"/>
            <w:vAlign w:val="bottom"/>
          </w:tcPr>
          <w:p>
            <w:pPr>
              <w:spacing w:after="0"/>
              <w:rPr>
                <w:sz w:val="2"/>
                <w:szCs w:val="2"/>
                <w:color w:val="auto"/>
              </w:rPr>
            </w:pPr>
          </w:p>
        </w:tc>
        <w:tc>
          <w:tcPr>
            <w:tcW w:w="1040" w:type="dxa"/>
            <w:vAlign w:val="bottom"/>
            <w:gridSpan w:val="3"/>
          </w:tcPr>
          <w:p>
            <w:pPr>
              <w:spacing w:after="0"/>
              <w:rPr>
                <w:sz w:val="2"/>
                <w:szCs w:val="2"/>
                <w:color w:val="auto"/>
              </w:rPr>
            </w:pPr>
          </w:p>
        </w:tc>
      </w:tr>
      <w:tr>
        <w:trPr>
          <w:trHeight w:val="146"/>
        </w:trPr>
        <w:tc>
          <w:tcPr>
            <w:tcW w:w="4980" w:type="dxa"/>
            <w:vAlign w:val="bottom"/>
          </w:tcPr>
          <w:p>
            <w:pPr>
              <w:spacing w:after="0"/>
              <w:rPr>
                <w:sz w:val="12"/>
                <w:szCs w:val="12"/>
                <w:color w:val="auto"/>
              </w:rPr>
            </w:pPr>
          </w:p>
        </w:tc>
        <w:tc>
          <w:tcPr>
            <w:tcW w:w="120" w:type="dxa"/>
            <w:vAlign w:val="bottom"/>
            <w:tcBorders>
              <w:top w:val="single" w:sz="8" w:color="auto"/>
            </w:tcBorders>
          </w:tcPr>
          <w:p>
            <w:pPr>
              <w:spacing w:after="0"/>
              <w:rPr>
                <w:sz w:val="12"/>
                <w:szCs w:val="12"/>
                <w:color w:val="auto"/>
              </w:rPr>
            </w:pPr>
          </w:p>
        </w:tc>
        <w:tc>
          <w:tcPr>
            <w:tcW w:w="700" w:type="dxa"/>
            <w:vAlign w:val="bottom"/>
            <w:tcBorders>
              <w:top w:val="single" w:sz="8" w:color="auto"/>
            </w:tcBorders>
          </w:tcPr>
          <w:p>
            <w:pPr>
              <w:spacing w:after="0"/>
              <w:rPr>
                <w:sz w:val="12"/>
                <w:szCs w:val="12"/>
                <w:color w:val="auto"/>
              </w:rPr>
            </w:pPr>
          </w:p>
        </w:tc>
        <w:tc>
          <w:tcPr>
            <w:tcW w:w="220" w:type="dxa"/>
            <w:vAlign w:val="bottom"/>
            <w:tcBorders>
              <w:top w:val="single" w:sz="8" w:color="auto"/>
            </w:tcBorders>
          </w:tcPr>
          <w:p>
            <w:pPr>
              <w:spacing w:after="0"/>
              <w:rPr>
                <w:sz w:val="12"/>
                <w:szCs w:val="12"/>
                <w:color w:val="auto"/>
              </w:rPr>
            </w:pPr>
          </w:p>
        </w:tc>
        <w:tc>
          <w:tcPr>
            <w:tcW w:w="1040" w:type="dxa"/>
            <w:vAlign w:val="bottom"/>
            <w:tcBorders>
              <w:top w:val="single" w:sz="8" w:color="auto"/>
            </w:tcBorders>
            <w:gridSpan w:val="3"/>
          </w:tcPr>
          <w:p>
            <w:pPr>
              <w:jc w:val="center"/>
              <w:ind w:right="240"/>
              <w:spacing w:after="0" w:line="147" w:lineRule="exact"/>
              <w:rPr>
                <w:sz w:val="20"/>
                <w:szCs w:val="20"/>
                <w:color w:val="auto"/>
              </w:rPr>
            </w:pPr>
            <w:r>
              <w:rPr>
                <w:rFonts w:ascii="Arial" w:cs="Arial" w:eastAsia="Arial" w:hAnsi="Arial"/>
                <w:sz w:val="14"/>
                <w:szCs w:val="14"/>
                <w:b w:val="1"/>
                <w:bCs w:val="1"/>
                <w:color w:val="auto"/>
                <w:w w:val="94"/>
              </w:rPr>
              <w:t>Remaining</w:t>
            </w:r>
          </w:p>
        </w:tc>
        <w:tc>
          <w:tcPr>
            <w:tcW w:w="900" w:type="dxa"/>
            <w:vAlign w:val="bottom"/>
            <w:tcBorders>
              <w:top w:val="single" w:sz="8" w:color="auto"/>
            </w:tcBorders>
            <w:gridSpan w:val="2"/>
          </w:tcPr>
          <w:p>
            <w:pPr>
              <w:jc w:val="center"/>
              <w:spacing w:after="0" w:line="147" w:lineRule="exact"/>
              <w:rPr>
                <w:sz w:val="20"/>
                <w:szCs w:val="20"/>
                <w:color w:val="auto"/>
              </w:rPr>
            </w:pPr>
            <w:r>
              <w:rPr>
                <w:rFonts w:ascii="Arial" w:cs="Arial" w:eastAsia="Arial" w:hAnsi="Arial"/>
                <w:sz w:val="14"/>
                <w:szCs w:val="14"/>
                <w:b w:val="1"/>
                <w:bCs w:val="1"/>
                <w:color w:val="auto"/>
                <w:w w:val="90"/>
              </w:rPr>
              <w:t>Consolidated</w:t>
            </w:r>
          </w:p>
        </w:tc>
        <w:tc>
          <w:tcPr>
            <w:tcW w:w="220" w:type="dxa"/>
            <w:vAlign w:val="bottom"/>
          </w:tcPr>
          <w:p>
            <w:pPr>
              <w:spacing w:after="0"/>
              <w:rPr>
                <w:sz w:val="12"/>
                <w:szCs w:val="12"/>
                <w:color w:val="auto"/>
              </w:rPr>
            </w:pPr>
          </w:p>
        </w:tc>
        <w:tc>
          <w:tcPr>
            <w:tcW w:w="120" w:type="dxa"/>
            <w:vAlign w:val="bottom"/>
            <w:tcBorders>
              <w:top w:val="single" w:sz="8" w:color="auto"/>
            </w:tcBorders>
          </w:tcPr>
          <w:p>
            <w:pPr>
              <w:spacing w:after="0"/>
              <w:rPr>
                <w:sz w:val="12"/>
                <w:szCs w:val="12"/>
                <w:color w:val="auto"/>
              </w:rPr>
            </w:pPr>
          </w:p>
        </w:tc>
        <w:tc>
          <w:tcPr>
            <w:tcW w:w="720" w:type="dxa"/>
            <w:vAlign w:val="bottom"/>
            <w:tcBorders>
              <w:top w:val="single" w:sz="8" w:color="auto"/>
            </w:tcBorders>
          </w:tcPr>
          <w:p>
            <w:pPr>
              <w:spacing w:after="0"/>
              <w:rPr>
                <w:sz w:val="12"/>
                <w:szCs w:val="12"/>
                <w:color w:val="auto"/>
              </w:rPr>
            </w:pPr>
          </w:p>
        </w:tc>
        <w:tc>
          <w:tcPr>
            <w:tcW w:w="220" w:type="dxa"/>
            <w:vAlign w:val="bottom"/>
            <w:tcBorders>
              <w:top w:val="single" w:sz="8" w:color="auto"/>
            </w:tcBorders>
          </w:tcPr>
          <w:p>
            <w:pPr>
              <w:spacing w:after="0"/>
              <w:rPr>
                <w:sz w:val="12"/>
                <w:szCs w:val="12"/>
                <w:color w:val="auto"/>
              </w:rPr>
            </w:pPr>
          </w:p>
        </w:tc>
        <w:tc>
          <w:tcPr>
            <w:tcW w:w="100" w:type="dxa"/>
            <w:vAlign w:val="bottom"/>
            <w:tcBorders>
              <w:top w:val="single" w:sz="8" w:color="auto"/>
            </w:tcBorders>
          </w:tcPr>
          <w:p>
            <w:pPr>
              <w:spacing w:after="0"/>
              <w:rPr>
                <w:sz w:val="12"/>
                <w:szCs w:val="12"/>
                <w:color w:val="auto"/>
              </w:rPr>
            </w:pPr>
          </w:p>
        </w:tc>
        <w:tc>
          <w:tcPr>
            <w:tcW w:w="1020" w:type="dxa"/>
            <w:vAlign w:val="bottom"/>
            <w:tcBorders>
              <w:top w:val="single" w:sz="8" w:color="auto"/>
            </w:tcBorders>
            <w:gridSpan w:val="2"/>
          </w:tcPr>
          <w:p>
            <w:pPr>
              <w:jc w:val="center"/>
              <w:ind w:right="360"/>
              <w:spacing w:after="0" w:line="147" w:lineRule="exact"/>
              <w:rPr>
                <w:sz w:val="20"/>
                <w:szCs w:val="20"/>
                <w:color w:val="auto"/>
              </w:rPr>
            </w:pPr>
            <w:r>
              <w:rPr>
                <w:rFonts w:ascii="Arial" w:cs="Arial" w:eastAsia="Arial" w:hAnsi="Arial"/>
                <w:sz w:val="14"/>
                <w:szCs w:val="14"/>
                <w:b w:val="1"/>
                <w:bCs w:val="1"/>
                <w:color w:val="auto"/>
                <w:w w:val="92"/>
              </w:rPr>
              <w:t>Remaining</w:t>
            </w:r>
          </w:p>
        </w:tc>
        <w:tc>
          <w:tcPr>
            <w:tcW w:w="20" w:type="dxa"/>
            <w:vAlign w:val="bottom"/>
            <w:tcBorders>
              <w:top w:val="single" w:sz="8" w:color="auto"/>
            </w:tcBorders>
          </w:tcPr>
          <w:p>
            <w:pPr>
              <w:spacing w:after="0"/>
              <w:rPr>
                <w:sz w:val="12"/>
                <w:szCs w:val="12"/>
                <w:color w:val="auto"/>
              </w:rPr>
            </w:pPr>
          </w:p>
        </w:tc>
        <w:tc>
          <w:tcPr>
            <w:tcW w:w="920" w:type="dxa"/>
            <w:vAlign w:val="bottom"/>
            <w:tcBorders>
              <w:top w:val="single" w:sz="8" w:color="auto"/>
            </w:tcBorders>
            <w:gridSpan w:val="2"/>
          </w:tcPr>
          <w:p>
            <w:pPr>
              <w:jc w:val="center"/>
              <w:spacing w:after="0" w:line="147" w:lineRule="exact"/>
              <w:rPr>
                <w:sz w:val="20"/>
                <w:szCs w:val="20"/>
                <w:color w:val="auto"/>
              </w:rPr>
            </w:pPr>
            <w:r>
              <w:rPr>
                <w:rFonts w:ascii="Arial" w:cs="Arial" w:eastAsia="Arial" w:hAnsi="Arial"/>
                <w:sz w:val="14"/>
                <w:szCs w:val="14"/>
                <w:b w:val="1"/>
                <w:bCs w:val="1"/>
                <w:color w:val="auto"/>
                <w:w w:val="90"/>
              </w:rPr>
              <w:t>Consolidated</w:t>
            </w:r>
          </w:p>
        </w:tc>
        <w:tc>
          <w:tcPr>
            <w:tcW w:w="120" w:type="dxa"/>
            <w:vAlign w:val="bottom"/>
          </w:tcPr>
          <w:p>
            <w:pPr>
              <w:spacing w:after="0"/>
              <w:rPr>
                <w:sz w:val="12"/>
                <w:szCs w:val="12"/>
                <w:color w:val="auto"/>
              </w:rPr>
            </w:pPr>
          </w:p>
        </w:tc>
      </w:tr>
      <w:tr>
        <w:trPr>
          <w:trHeight w:val="162"/>
        </w:trPr>
        <w:tc>
          <w:tcPr>
            <w:tcW w:w="49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940" w:type="dxa"/>
            <w:vAlign w:val="bottom"/>
            <w:gridSpan w:val="2"/>
          </w:tcPr>
          <w:p>
            <w:pPr>
              <w:jc w:val="center"/>
              <w:ind w:right="340"/>
              <w:spacing w:after="0"/>
              <w:rPr>
                <w:sz w:val="20"/>
                <w:szCs w:val="20"/>
                <w:color w:val="auto"/>
              </w:rPr>
            </w:pPr>
            <w:r>
              <w:rPr>
                <w:rFonts w:ascii="Arial" w:cs="Arial" w:eastAsia="Arial" w:hAnsi="Arial"/>
                <w:sz w:val="14"/>
                <w:szCs w:val="14"/>
                <w:b w:val="1"/>
                <w:bCs w:val="1"/>
                <w:color w:val="auto"/>
                <w:w w:val="88"/>
              </w:rPr>
              <w:t>Purchase</w:t>
            </w:r>
          </w:p>
        </w:tc>
        <w:tc>
          <w:tcPr>
            <w:tcW w:w="120" w:type="dxa"/>
            <w:vAlign w:val="bottom"/>
          </w:tcPr>
          <w:p>
            <w:pPr>
              <w:spacing w:after="0"/>
              <w:rPr>
                <w:sz w:val="14"/>
                <w:szCs w:val="14"/>
                <w:color w:val="auto"/>
              </w:rPr>
            </w:pPr>
          </w:p>
        </w:tc>
        <w:tc>
          <w:tcPr>
            <w:tcW w:w="1000" w:type="dxa"/>
            <w:vAlign w:val="bottom"/>
            <w:gridSpan w:val="2"/>
          </w:tcPr>
          <w:p>
            <w:pPr>
              <w:jc w:val="center"/>
              <w:ind w:right="360"/>
              <w:spacing w:after="0"/>
              <w:rPr>
                <w:sz w:val="20"/>
                <w:szCs w:val="20"/>
                <w:color w:val="auto"/>
              </w:rPr>
            </w:pPr>
            <w:r>
              <w:rPr>
                <w:rFonts w:ascii="Arial" w:cs="Arial" w:eastAsia="Arial" w:hAnsi="Arial"/>
                <w:sz w:val="14"/>
                <w:szCs w:val="14"/>
                <w:b w:val="1"/>
                <w:bCs w:val="1"/>
                <w:color w:val="auto"/>
                <w:w w:val="95"/>
              </w:rPr>
              <w:t>Inventory</w:t>
            </w:r>
          </w:p>
        </w:tc>
        <w:tc>
          <w:tcPr>
            <w:tcW w:w="1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020" w:type="dxa"/>
            <w:vAlign w:val="bottom"/>
            <w:gridSpan w:val="2"/>
          </w:tcPr>
          <w:p>
            <w:pPr>
              <w:jc w:val="center"/>
              <w:ind w:right="360"/>
              <w:spacing w:after="0"/>
              <w:rPr>
                <w:sz w:val="20"/>
                <w:szCs w:val="20"/>
                <w:color w:val="auto"/>
              </w:rPr>
            </w:pPr>
            <w:r>
              <w:rPr>
                <w:rFonts w:ascii="Arial" w:cs="Arial" w:eastAsia="Arial" w:hAnsi="Arial"/>
                <w:sz w:val="14"/>
                <w:szCs w:val="14"/>
                <w:b w:val="1"/>
                <w:bCs w:val="1"/>
                <w:color w:val="auto"/>
                <w:w w:val="91"/>
              </w:rPr>
              <w:t>Purchase</w:t>
            </w: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94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w w:val="95"/>
              </w:rPr>
              <w:t>Inventory</w:t>
            </w:r>
          </w:p>
        </w:tc>
      </w:tr>
      <w:tr>
        <w:trPr>
          <w:trHeight w:val="171"/>
        </w:trPr>
        <w:tc>
          <w:tcPr>
            <w:tcW w:w="49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700" w:type="dxa"/>
            <w:vAlign w:val="bottom"/>
          </w:tcPr>
          <w:p>
            <w:pPr>
              <w:jc w:val="right"/>
              <w:ind w:right="74"/>
              <w:spacing w:after="0"/>
              <w:rPr>
                <w:sz w:val="20"/>
                <w:szCs w:val="20"/>
                <w:color w:val="auto"/>
              </w:rPr>
            </w:pPr>
            <w:r>
              <w:rPr>
                <w:rFonts w:ascii="Arial" w:cs="Arial" w:eastAsia="Arial" w:hAnsi="Arial"/>
                <w:sz w:val="14"/>
                <w:szCs w:val="14"/>
                <w:b w:val="1"/>
                <w:bCs w:val="1"/>
                <w:color w:val="auto"/>
                <w:w w:val="87"/>
              </w:rPr>
              <w:t>Deposits</w:t>
            </w:r>
          </w:p>
        </w:tc>
        <w:tc>
          <w:tcPr>
            <w:tcW w:w="2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940" w:type="dxa"/>
            <w:vAlign w:val="bottom"/>
            <w:gridSpan w:val="2"/>
          </w:tcPr>
          <w:p>
            <w:pPr>
              <w:jc w:val="center"/>
              <w:ind w:right="340"/>
              <w:spacing w:after="0"/>
              <w:rPr>
                <w:sz w:val="20"/>
                <w:szCs w:val="20"/>
                <w:color w:val="auto"/>
              </w:rPr>
            </w:pPr>
            <w:r>
              <w:rPr>
                <w:rFonts w:ascii="Arial" w:cs="Arial" w:eastAsia="Arial" w:hAnsi="Arial"/>
                <w:sz w:val="14"/>
                <w:szCs w:val="14"/>
                <w:b w:val="1"/>
                <w:bCs w:val="1"/>
                <w:color w:val="auto"/>
                <w:w w:val="93"/>
              </w:rPr>
              <w:t>Price</w:t>
            </w:r>
          </w:p>
        </w:tc>
        <w:tc>
          <w:tcPr>
            <w:tcW w:w="1120" w:type="dxa"/>
            <w:vAlign w:val="bottom"/>
            <w:gridSpan w:val="3"/>
          </w:tcPr>
          <w:p>
            <w:pPr>
              <w:jc w:val="center"/>
              <w:ind w:right="240"/>
              <w:spacing w:after="0"/>
              <w:rPr>
                <w:sz w:val="20"/>
                <w:szCs w:val="20"/>
                <w:color w:val="auto"/>
              </w:rPr>
            </w:pPr>
            <w:r>
              <w:rPr>
                <w:rFonts w:ascii="Arial" w:cs="Arial" w:eastAsia="Arial" w:hAnsi="Arial"/>
                <w:sz w:val="14"/>
                <w:szCs w:val="14"/>
                <w:b w:val="1"/>
                <w:bCs w:val="1"/>
                <w:color w:val="auto"/>
                <w:w w:val="98"/>
              </w:rPr>
              <w:t>Held by VIEs</w:t>
            </w:r>
          </w:p>
        </w:tc>
        <w:tc>
          <w:tcPr>
            <w:tcW w:w="120" w:type="dxa"/>
            <w:vAlign w:val="bottom"/>
          </w:tcPr>
          <w:p>
            <w:pPr>
              <w:spacing w:after="0"/>
              <w:rPr>
                <w:sz w:val="14"/>
                <w:szCs w:val="14"/>
                <w:color w:val="auto"/>
              </w:rPr>
            </w:pPr>
          </w:p>
        </w:tc>
        <w:tc>
          <w:tcPr>
            <w:tcW w:w="720" w:type="dxa"/>
            <w:vAlign w:val="bottom"/>
          </w:tcPr>
          <w:p>
            <w:pPr>
              <w:jc w:val="right"/>
              <w:ind w:right="74"/>
              <w:spacing w:after="0"/>
              <w:rPr>
                <w:sz w:val="20"/>
                <w:szCs w:val="20"/>
                <w:color w:val="auto"/>
              </w:rPr>
            </w:pPr>
            <w:r>
              <w:rPr>
                <w:rFonts w:ascii="Arial" w:cs="Arial" w:eastAsia="Arial" w:hAnsi="Arial"/>
                <w:sz w:val="14"/>
                <w:szCs w:val="14"/>
                <w:b w:val="1"/>
                <w:bCs w:val="1"/>
                <w:color w:val="auto"/>
                <w:w w:val="91"/>
              </w:rPr>
              <w:t>Deposits</w:t>
            </w:r>
          </w:p>
        </w:tc>
        <w:tc>
          <w:tcPr>
            <w:tcW w:w="2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020" w:type="dxa"/>
            <w:vAlign w:val="bottom"/>
            <w:gridSpan w:val="2"/>
          </w:tcPr>
          <w:p>
            <w:pPr>
              <w:jc w:val="center"/>
              <w:ind w:right="340"/>
              <w:spacing w:after="0"/>
              <w:rPr>
                <w:sz w:val="20"/>
                <w:szCs w:val="20"/>
                <w:color w:val="auto"/>
              </w:rPr>
            </w:pPr>
            <w:r>
              <w:rPr>
                <w:rFonts w:ascii="Arial" w:cs="Arial" w:eastAsia="Arial" w:hAnsi="Arial"/>
                <w:sz w:val="14"/>
                <w:szCs w:val="14"/>
                <w:b w:val="1"/>
                <w:bCs w:val="1"/>
                <w:color w:val="auto"/>
                <w:w w:val="93"/>
              </w:rPr>
              <w:t>Price</w:t>
            </w:r>
          </w:p>
        </w:tc>
        <w:tc>
          <w:tcPr>
            <w:tcW w:w="20" w:type="dxa"/>
            <w:vAlign w:val="bottom"/>
          </w:tcPr>
          <w:p>
            <w:pPr>
              <w:spacing w:after="0"/>
              <w:rPr>
                <w:sz w:val="14"/>
                <w:szCs w:val="14"/>
                <w:color w:val="auto"/>
              </w:rPr>
            </w:pPr>
          </w:p>
        </w:tc>
        <w:tc>
          <w:tcPr>
            <w:tcW w:w="1040" w:type="dxa"/>
            <w:vAlign w:val="bottom"/>
            <w:gridSpan w:val="3"/>
          </w:tcPr>
          <w:p>
            <w:pPr>
              <w:jc w:val="center"/>
              <w:ind w:right="160"/>
              <w:spacing w:after="0"/>
              <w:rPr>
                <w:sz w:val="20"/>
                <w:szCs w:val="20"/>
                <w:color w:val="auto"/>
              </w:rPr>
            </w:pPr>
            <w:r>
              <w:rPr>
                <w:rFonts w:ascii="Arial" w:cs="Arial" w:eastAsia="Arial" w:hAnsi="Arial"/>
                <w:sz w:val="14"/>
                <w:szCs w:val="14"/>
                <w:b w:val="1"/>
                <w:bCs w:val="1"/>
                <w:color w:val="auto"/>
                <w:w w:val="98"/>
              </w:rPr>
              <w:t>Held by VIEs</w:t>
            </w:r>
          </w:p>
        </w:tc>
      </w:tr>
      <w:tr>
        <w:trPr>
          <w:trHeight w:val="223"/>
        </w:trPr>
        <w:tc>
          <w:tcPr>
            <w:tcW w:w="4980" w:type="dxa"/>
            <w:vAlign w:val="bottom"/>
            <w:tcBorders>
              <w:top w:val="single" w:sz="8" w:color="CFF0FC"/>
            </w:tcBorders>
            <w:shd w:val="clear" w:color="auto" w:fill="CFF0FC"/>
          </w:tcPr>
          <w:p>
            <w:pPr>
              <w:spacing w:after="0"/>
              <w:rPr>
                <w:sz w:val="20"/>
                <w:szCs w:val="20"/>
                <w:color w:val="auto"/>
              </w:rPr>
            </w:pPr>
            <w:r>
              <w:rPr>
                <w:rFonts w:ascii="Arial" w:cs="Arial" w:eastAsia="Arial" w:hAnsi="Arial"/>
                <w:sz w:val="18"/>
                <w:szCs w:val="18"/>
                <w:color w:val="auto"/>
              </w:rPr>
              <w:t>Consolidated VIEs</w:t>
            </w:r>
          </w:p>
        </w:tc>
        <w:tc>
          <w:tcPr>
            <w:tcW w:w="12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5"/>
                <w:szCs w:val="15"/>
                <w:color w:val="auto"/>
                <w:w w:val="71"/>
              </w:rPr>
              <w:t>$</w:t>
            </w:r>
          </w:p>
        </w:tc>
        <w:tc>
          <w:tcPr>
            <w:tcW w:w="70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7,237</w:t>
            </w:r>
          </w:p>
        </w:tc>
        <w:tc>
          <w:tcPr>
            <w:tcW w:w="220" w:type="dxa"/>
            <w:vAlign w:val="bottom"/>
            <w:tcBorders>
              <w:top w:val="single" w:sz="8" w:color="CFF0FC"/>
            </w:tcBorders>
            <w:shd w:val="clear" w:color="auto" w:fill="CFF0FC"/>
          </w:tcPr>
          <w:p>
            <w:pPr>
              <w:spacing w:after="0"/>
              <w:rPr>
                <w:sz w:val="19"/>
                <w:szCs w:val="19"/>
                <w:color w:val="auto"/>
              </w:rPr>
            </w:pPr>
          </w:p>
        </w:tc>
        <w:tc>
          <w:tcPr>
            <w:tcW w:w="10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5"/>
                <w:szCs w:val="15"/>
                <w:color w:val="auto"/>
                <w:w w:val="71"/>
              </w:rPr>
              <w:t>$</w:t>
            </w:r>
          </w:p>
        </w:tc>
        <w:tc>
          <w:tcPr>
            <w:tcW w:w="72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39,395</w:t>
            </w:r>
          </w:p>
        </w:tc>
        <w:tc>
          <w:tcPr>
            <w:tcW w:w="220" w:type="dxa"/>
            <w:vAlign w:val="bottom"/>
            <w:tcBorders>
              <w:top w:val="single" w:sz="8" w:color="CFF0FC"/>
            </w:tcBorders>
            <w:shd w:val="clear" w:color="auto" w:fill="CFF0FC"/>
          </w:tcPr>
          <w:p>
            <w:pPr>
              <w:spacing w:after="0"/>
              <w:rPr>
                <w:sz w:val="19"/>
                <w:szCs w:val="19"/>
                <w:color w:val="auto"/>
              </w:rPr>
            </w:pPr>
          </w:p>
        </w:tc>
        <w:tc>
          <w:tcPr>
            <w:tcW w:w="12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5"/>
                <w:szCs w:val="15"/>
                <w:color w:val="auto"/>
                <w:w w:val="71"/>
              </w:rPr>
              <w:t>$</w:t>
            </w:r>
          </w:p>
        </w:tc>
        <w:tc>
          <w:tcPr>
            <w:tcW w:w="78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34,222</w:t>
            </w:r>
          </w:p>
        </w:tc>
        <w:tc>
          <w:tcPr>
            <w:tcW w:w="220" w:type="dxa"/>
            <w:vAlign w:val="bottom"/>
            <w:tcBorders>
              <w:top w:val="single" w:sz="8" w:color="CFF0FC"/>
            </w:tcBorders>
            <w:shd w:val="clear" w:color="auto" w:fill="CFF0FC"/>
          </w:tcPr>
          <w:p>
            <w:pPr>
              <w:spacing w:after="0"/>
              <w:rPr>
                <w:sz w:val="19"/>
                <w:szCs w:val="19"/>
                <w:color w:val="auto"/>
              </w:rPr>
            </w:pPr>
          </w:p>
        </w:tc>
        <w:tc>
          <w:tcPr>
            <w:tcW w:w="12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5"/>
                <w:szCs w:val="15"/>
                <w:color w:val="auto"/>
                <w:w w:val="71"/>
              </w:rPr>
              <w:t>$</w:t>
            </w:r>
          </w:p>
        </w:tc>
        <w:tc>
          <w:tcPr>
            <w:tcW w:w="72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8,071</w:t>
            </w:r>
          </w:p>
        </w:tc>
        <w:tc>
          <w:tcPr>
            <w:tcW w:w="220" w:type="dxa"/>
            <w:vAlign w:val="bottom"/>
            <w:tcBorders>
              <w:top w:val="single" w:sz="8" w:color="CFF0FC"/>
            </w:tcBorders>
            <w:shd w:val="clear" w:color="auto" w:fill="CFF0FC"/>
          </w:tcPr>
          <w:p>
            <w:pPr>
              <w:spacing w:after="0"/>
              <w:rPr>
                <w:sz w:val="19"/>
                <w:szCs w:val="19"/>
                <w:color w:val="auto"/>
              </w:rPr>
            </w:pPr>
          </w:p>
        </w:tc>
        <w:tc>
          <w:tcPr>
            <w:tcW w:w="10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76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43,432</w:t>
            </w:r>
          </w:p>
        </w:tc>
        <w:tc>
          <w:tcPr>
            <w:tcW w:w="260" w:type="dxa"/>
            <w:vAlign w:val="bottom"/>
            <w:tcBorders>
              <w:top w:val="single" w:sz="8" w:color="CFF0FC"/>
            </w:tcBorders>
            <w:shd w:val="clear" w:color="auto" w:fill="CFF0FC"/>
          </w:tcPr>
          <w:p>
            <w:pPr>
              <w:spacing w:after="0"/>
              <w:rPr>
                <w:sz w:val="19"/>
                <w:szCs w:val="19"/>
                <w:color w:val="auto"/>
              </w:rPr>
            </w:pPr>
          </w:p>
        </w:tc>
        <w:tc>
          <w:tcPr>
            <w:tcW w:w="20" w:type="dxa"/>
            <w:vAlign w:val="bottom"/>
            <w:tcBorders>
              <w:top w:val="single" w:sz="8" w:color="CFF0FC"/>
            </w:tcBorders>
            <w:shd w:val="clear" w:color="auto" w:fill="CFF0FC"/>
          </w:tcPr>
          <w:p>
            <w:pPr>
              <w:spacing w:after="0"/>
              <w:rPr>
                <w:sz w:val="19"/>
                <w:szCs w:val="19"/>
                <w:color w:val="auto"/>
              </w:rPr>
            </w:pPr>
          </w:p>
        </w:tc>
        <w:tc>
          <w:tcPr>
            <w:tcW w:w="10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0"/>
                <w:szCs w:val="10"/>
                <w:color w:val="auto"/>
                <w:w w:val="71"/>
              </w:rPr>
              <w:t>$</w:t>
            </w:r>
          </w:p>
        </w:tc>
        <w:tc>
          <w:tcPr>
            <w:tcW w:w="82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34,070</w:t>
            </w:r>
          </w:p>
        </w:tc>
        <w:tc>
          <w:tcPr>
            <w:tcW w:w="120" w:type="dxa"/>
            <w:vAlign w:val="bottom"/>
            <w:tcBorders>
              <w:top w:val="single" w:sz="8" w:color="CFF0FC"/>
            </w:tcBorders>
            <w:shd w:val="clear" w:color="auto" w:fill="CFF0FC"/>
          </w:tcPr>
          <w:p>
            <w:pPr>
              <w:spacing w:after="0"/>
              <w:rPr>
                <w:sz w:val="19"/>
                <w:szCs w:val="19"/>
                <w:color w:val="auto"/>
              </w:rPr>
            </w:pPr>
          </w:p>
        </w:tc>
      </w:tr>
      <w:tr>
        <w:trPr>
          <w:trHeight w:val="230"/>
        </w:trPr>
        <w:tc>
          <w:tcPr>
            <w:tcW w:w="4980" w:type="dxa"/>
            <w:vAlign w:val="bottom"/>
          </w:tcPr>
          <w:p>
            <w:pPr>
              <w:spacing w:after="0"/>
              <w:rPr>
                <w:sz w:val="20"/>
                <w:szCs w:val="20"/>
                <w:color w:val="auto"/>
              </w:rPr>
            </w:pPr>
            <w:r>
              <w:rPr>
                <w:rFonts w:ascii="Arial" w:cs="Arial" w:eastAsia="Arial" w:hAnsi="Arial"/>
                <w:sz w:val="18"/>
                <w:szCs w:val="18"/>
                <w:color w:val="auto"/>
              </w:rPr>
              <w:t>Unconsolidated VIEs</w:t>
            </w:r>
          </w:p>
        </w:tc>
        <w:tc>
          <w:tcPr>
            <w:tcW w:w="120" w:type="dxa"/>
            <w:vAlign w:val="bottom"/>
          </w:tcPr>
          <w:p>
            <w:pPr>
              <w:spacing w:after="0"/>
              <w:rPr>
                <w:sz w:val="19"/>
                <w:szCs w:val="19"/>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7,044</w:t>
            </w:r>
          </w:p>
        </w:tc>
        <w:tc>
          <w:tcPr>
            <w:tcW w:w="2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720" w:type="dxa"/>
            <w:vAlign w:val="bottom"/>
          </w:tcPr>
          <w:p>
            <w:pPr>
              <w:jc w:val="right"/>
              <w:spacing w:after="0"/>
              <w:rPr>
                <w:sz w:val="20"/>
                <w:szCs w:val="20"/>
                <w:color w:val="auto"/>
              </w:rPr>
            </w:pPr>
            <w:r>
              <w:rPr>
                <w:rFonts w:ascii="Arial" w:cs="Arial" w:eastAsia="Arial" w:hAnsi="Arial"/>
                <w:sz w:val="18"/>
                <w:szCs w:val="18"/>
                <w:color w:val="auto"/>
              </w:rPr>
              <w:t>65,660</w:t>
            </w:r>
          </w:p>
        </w:tc>
        <w:tc>
          <w:tcPr>
            <w:tcW w:w="2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00" w:type="dxa"/>
            <w:vAlign w:val="bottom"/>
            <w:gridSpan w:val="2"/>
          </w:tcPr>
          <w:p>
            <w:pPr>
              <w:jc w:val="right"/>
              <w:ind w:right="240"/>
              <w:spacing w:after="0"/>
              <w:rPr>
                <w:sz w:val="20"/>
                <w:szCs w:val="20"/>
                <w:color w:val="auto"/>
              </w:rPr>
            </w:pPr>
            <w:r>
              <w:rPr>
                <w:rFonts w:ascii="Arial" w:cs="Arial" w:eastAsia="Arial" w:hAnsi="Arial"/>
                <w:sz w:val="18"/>
                <w:szCs w:val="18"/>
                <w:color w:val="auto"/>
              </w:rPr>
              <w:t>N/A</w:t>
            </w:r>
          </w:p>
        </w:tc>
        <w:tc>
          <w:tcPr>
            <w:tcW w:w="120" w:type="dxa"/>
            <w:vAlign w:val="bottom"/>
          </w:tcPr>
          <w:p>
            <w:pPr>
              <w:spacing w:after="0"/>
              <w:rPr>
                <w:sz w:val="19"/>
                <w:szCs w:val="19"/>
                <w:color w:val="auto"/>
              </w:rPr>
            </w:pPr>
          </w:p>
        </w:tc>
        <w:tc>
          <w:tcPr>
            <w:tcW w:w="720" w:type="dxa"/>
            <w:vAlign w:val="bottom"/>
          </w:tcPr>
          <w:p>
            <w:pPr>
              <w:jc w:val="right"/>
              <w:spacing w:after="0"/>
              <w:rPr>
                <w:sz w:val="20"/>
                <w:szCs w:val="20"/>
                <w:color w:val="auto"/>
              </w:rPr>
            </w:pPr>
            <w:r>
              <w:rPr>
                <w:rFonts w:ascii="Arial" w:cs="Arial" w:eastAsia="Arial" w:hAnsi="Arial"/>
                <w:sz w:val="18"/>
                <w:szCs w:val="18"/>
                <w:color w:val="auto"/>
              </w:rPr>
              <w:t>13,309</w:t>
            </w:r>
          </w:p>
        </w:tc>
        <w:tc>
          <w:tcPr>
            <w:tcW w:w="2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129,637</w:t>
            </w:r>
          </w:p>
        </w:tc>
        <w:tc>
          <w:tcPr>
            <w:tcW w:w="26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940" w:type="dxa"/>
            <w:vAlign w:val="bottom"/>
            <w:gridSpan w:val="2"/>
          </w:tcPr>
          <w:p>
            <w:pPr>
              <w:jc w:val="right"/>
              <w:ind w:right="140"/>
              <w:spacing w:after="0"/>
              <w:rPr>
                <w:sz w:val="20"/>
                <w:szCs w:val="20"/>
                <w:color w:val="auto"/>
              </w:rPr>
            </w:pPr>
            <w:r>
              <w:rPr>
                <w:rFonts w:ascii="Arial" w:cs="Arial" w:eastAsia="Arial" w:hAnsi="Arial"/>
                <w:sz w:val="18"/>
                <w:szCs w:val="18"/>
                <w:color w:val="auto"/>
              </w:rPr>
              <w:t>N/A</w:t>
            </w:r>
          </w:p>
        </w:tc>
      </w:tr>
      <w:tr>
        <w:trPr>
          <w:trHeight w:val="230"/>
        </w:trPr>
        <w:tc>
          <w:tcPr>
            <w:tcW w:w="4980" w:type="dxa"/>
            <w:vAlign w:val="bottom"/>
            <w:shd w:val="clear" w:color="auto" w:fill="CFF0FC"/>
          </w:tcPr>
          <w:p>
            <w:pPr>
              <w:spacing w:after="0"/>
              <w:rPr>
                <w:sz w:val="20"/>
                <w:szCs w:val="20"/>
                <w:color w:val="auto"/>
              </w:rPr>
            </w:pPr>
            <w:r>
              <w:rPr>
                <w:rFonts w:ascii="Arial" w:cs="Arial" w:eastAsia="Arial" w:hAnsi="Arial"/>
                <w:sz w:val="18"/>
                <w:szCs w:val="18"/>
                <w:color w:val="auto"/>
              </w:rPr>
              <w:t>Other land option agreements</w:t>
            </w:r>
          </w:p>
        </w:tc>
        <w:tc>
          <w:tcPr>
            <w:tcW w:w="120" w:type="dxa"/>
            <w:vAlign w:val="bottom"/>
            <w:shd w:val="clear" w:color="auto" w:fill="CFF0FC"/>
          </w:tcPr>
          <w:p>
            <w:pPr>
              <w:spacing w:after="0"/>
              <w:rPr>
                <w:sz w:val="19"/>
                <w:szCs w:val="19"/>
                <w:color w:val="auto"/>
              </w:rPr>
            </w:pPr>
          </w:p>
        </w:tc>
        <w:tc>
          <w:tcPr>
            <w:tcW w:w="7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27,915</w:t>
            </w:r>
          </w:p>
        </w:tc>
        <w:tc>
          <w:tcPr>
            <w:tcW w:w="22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7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287,559</w:t>
            </w:r>
          </w:p>
        </w:tc>
        <w:tc>
          <w:tcPr>
            <w:tcW w:w="22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1000" w:type="dxa"/>
            <w:vAlign w:val="bottom"/>
            <w:gridSpan w:val="2"/>
            <w:shd w:val="clear" w:color="auto" w:fill="CFF0FC"/>
          </w:tcPr>
          <w:p>
            <w:pPr>
              <w:jc w:val="right"/>
              <w:ind w:right="240"/>
              <w:spacing w:after="0"/>
              <w:rPr>
                <w:sz w:val="20"/>
                <w:szCs w:val="20"/>
                <w:color w:val="auto"/>
              </w:rPr>
            </w:pPr>
            <w:r>
              <w:rPr>
                <w:rFonts w:ascii="Arial" w:cs="Arial" w:eastAsia="Arial" w:hAnsi="Arial"/>
                <w:sz w:val="18"/>
                <w:szCs w:val="18"/>
                <w:color w:val="auto"/>
              </w:rPr>
              <w:t>N/A</w:t>
            </w:r>
          </w:p>
        </w:tc>
        <w:tc>
          <w:tcPr>
            <w:tcW w:w="120" w:type="dxa"/>
            <w:vAlign w:val="bottom"/>
            <w:shd w:val="clear" w:color="auto" w:fill="CFF0FC"/>
          </w:tcPr>
          <w:p>
            <w:pPr>
              <w:spacing w:after="0"/>
              <w:rPr>
                <w:sz w:val="19"/>
                <w:szCs w:val="19"/>
                <w:color w:val="auto"/>
              </w:rPr>
            </w:pPr>
          </w:p>
        </w:tc>
        <w:tc>
          <w:tcPr>
            <w:tcW w:w="7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30,846</w:t>
            </w:r>
          </w:p>
        </w:tc>
        <w:tc>
          <w:tcPr>
            <w:tcW w:w="22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7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284,819</w:t>
            </w:r>
          </w:p>
        </w:tc>
        <w:tc>
          <w:tcPr>
            <w:tcW w:w="26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940" w:type="dxa"/>
            <w:vAlign w:val="bottom"/>
            <w:gridSpan w:val="2"/>
            <w:shd w:val="clear" w:color="auto" w:fill="CFF0FC"/>
          </w:tcPr>
          <w:p>
            <w:pPr>
              <w:jc w:val="right"/>
              <w:ind w:right="140"/>
              <w:spacing w:after="0"/>
              <w:rPr>
                <w:sz w:val="20"/>
                <w:szCs w:val="20"/>
                <w:color w:val="auto"/>
              </w:rPr>
            </w:pPr>
            <w:r>
              <w:rPr>
                <w:rFonts w:ascii="Arial" w:cs="Arial" w:eastAsia="Arial" w:hAnsi="Arial"/>
                <w:sz w:val="18"/>
                <w:szCs w:val="18"/>
                <w:color w:val="auto"/>
              </w:rPr>
              <w:t>N/A</w:t>
            </w:r>
          </w:p>
        </w:tc>
      </w:tr>
      <w:tr>
        <w:trPr>
          <w:trHeight w:val="223"/>
        </w:trPr>
        <w:tc>
          <w:tcPr>
            <w:tcW w:w="4980" w:type="dxa"/>
            <w:vAlign w:val="bottom"/>
          </w:tcPr>
          <w:p>
            <w:pPr>
              <w:spacing w:after="0"/>
              <w:rPr>
                <w:sz w:val="20"/>
                <w:szCs w:val="20"/>
                <w:color w:val="auto"/>
              </w:rPr>
            </w:pPr>
            <w:r>
              <w:rPr>
                <w:rFonts w:ascii="Arial" w:cs="Arial" w:eastAsia="Arial" w:hAnsi="Arial"/>
                <w:sz w:val="18"/>
                <w:szCs w:val="18"/>
                <w:color w:val="auto"/>
              </w:rPr>
              <w:t>Total</w:t>
            </w: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7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42,196</w:t>
            </w:r>
          </w:p>
        </w:tc>
        <w:tc>
          <w:tcPr>
            <w:tcW w:w="220" w:type="dxa"/>
            <w:vAlign w:val="bottom"/>
          </w:tcPr>
          <w:p>
            <w:pPr>
              <w:spacing w:after="0"/>
              <w:rPr>
                <w:sz w:val="19"/>
                <w:szCs w:val="19"/>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7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392,614</w:t>
            </w:r>
          </w:p>
        </w:tc>
        <w:tc>
          <w:tcPr>
            <w:tcW w:w="220" w:type="dxa"/>
            <w:vAlign w:val="bottom"/>
          </w:tcPr>
          <w:p>
            <w:pPr>
              <w:spacing w:after="0"/>
              <w:rPr>
                <w:sz w:val="19"/>
                <w:szCs w:val="19"/>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7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34,222</w:t>
            </w:r>
          </w:p>
        </w:tc>
        <w:tc>
          <w:tcPr>
            <w:tcW w:w="220" w:type="dxa"/>
            <w:vAlign w:val="bottom"/>
          </w:tcPr>
          <w:p>
            <w:pPr>
              <w:spacing w:after="0"/>
              <w:rPr>
                <w:sz w:val="19"/>
                <w:szCs w:val="19"/>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7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52,226</w:t>
            </w:r>
          </w:p>
        </w:tc>
        <w:tc>
          <w:tcPr>
            <w:tcW w:w="220" w:type="dxa"/>
            <w:vAlign w:val="bottom"/>
          </w:tcPr>
          <w:p>
            <w:pPr>
              <w:spacing w:after="0"/>
              <w:rPr>
                <w:sz w:val="19"/>
                <w:szCs w:val="19"/>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7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457,888</w:t>
            </w:r>
          </w:p>
        </w:tc>
        <w:tc>
          <w:tcPr>
            <w:tcW w:w="260" w:type="dxa"/>
            <w:vAlign w:val="bottom"/>
          </w:tcPr>
          <w:p>
            <w:pPr>
              <w:spacing w:after="0"/>
              <w:rPr>
                <w:sz w:val="19"/>
                <w:szCs w:val="19"/>
                <w:color w:val="auto"/>
              </w:rPr>
            </w:pPr>
          </w:p>
        </w:tc>
        <w:tc>
          <w:tcPr>
            <w:tcW w:w="20" w:type="dxa"/>
            <w:vAlign w:val="bottom"/>
            <w:tcBorders>
              <w:bottom w:val="single" w:sz="8" w:color="auto"/>
            </w:tcBorders>
          </w:tcPr>
          <w:p>
            <w:pPr>
              <w:spacing w:after="0"/>
              <w:rPr>
                <w:sz w:val="19"/>
                <w:szCs w:val="19"/>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0"/>
                <w:szCs w:val="10"/>
                <w:color w:val="auto"/>
                <w:w w:val="71"/>
              </w:rPr>
              <w:t>$</w:t>
            </w:r>
          </w:p>
        </w:tc>
        <w:tc>
          <w:tcPr>
            <w:tcW w:w="8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34,070</w:t>
            </w:r>
          </w:p>
        </w:tc>
        <w:tc>
          <w:tcPr>
            <w:tcW w:w="120" w:type="dxa"/>
            <w:vAlign w:val="bottom"/>
          </w:tcPr>
          <w:p>
            <w:pPr>
              <w:spacing w:after="0"/>
              <w:rPr>
                <w:sz w:val="19"/>
                <w:szCs w:val="19"/>
                <w:color w:val="auto"/>
              </w:rPr>
            </w:pPr>
          </w:p>
        </w:tc>
      </w:tr>
      <w:tr>
        <w:trPr>
          <w:trHeight w:val="20"/>
        </w:trPr>
        <w:tc>
          <w:tcPr>
            <w:tcW w:w="498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r>
    </w:tbl>
    <w:p>
      <w:pPr>
        <w:spacing w:after="0" w:line="202" w:lineRule="exact"/>
        <w:rPr>
          <w:sz w:val="20"/>
          <w:szCs w:val="20"/>
          <w:color w:val="auto"/>
        </w:rPr>
      </w:pPr>
    </w:p>
    <w:p>
      <w:pPr>
        <w:ind w:right="360" w:firstLine="518"/>
        <w:spacing w:after="0" w:line="277" w:lineRule="auto"/>
        <w:rPr>
          <w:sz w:val="20"/>
          <w:szCs w:val="20"/>
          <w:color w:val="auto"/>
        </w:rPr>
      </w:pPr>
      <w:r>
        <w:rPr>
          <w:rFonts w:ascii="Arial" w:cs="Arial" w:eastAsia="Arial" w:hAnsi="Arial"/>
          <w:sz w:val="18"/>
          <w:szCs w:val="18"/>
          <w:color w:val="auto"/>
        </w:rPr>
        <w:t>Unconsolidated VIEs represent land option agreements that were not consolidated because we were not the primary beneficiary. Other land option agreements were not considered VIEs.</w:t>
      </w:r>
    </w:p>
    <w:p>
      <w:pPr>
        <w:spacing w:after="0" w:line="170" w:lineRule="exact"/>
        <w:rPr>
          <w:sz w:val="20"/>
          <w:szCs w:val="20"/>
          <w:color w:val="auto"/>
        </w:rPr>
      </w:pPr>
    </w:p>
    <w:p>
      <w:pPr>
        <w:ind w:right="20" w:firstLine="518"/>
        <w:spacing w:after="0" w:line="264" w:lineRule="auto"/>
        <w:rPr>
          <w:sz w:val="20"/>
          <w:szCs w:val="20"/>
          <w:color w:val="auto"/>
        </w:rPr>
      </w:pPr>
      <w:r>
        <w:rPr>
          <w:rFonts w:ascii="Arial" w:cs="Arial" w:eastAsia="Arial" w:hAnsi="Arial"/>
          <w:sz w:val="18"/>
          <w:szCs w:val="18"/>
          <w:color w:val="auto"/>
        </w:rPr>
        <w:t>In addition to the deposits presented in the table above, our exposure to loss related to our land option contracts consisted of capitalized pre-acquisition costs of $4.2 million and $5.3 million as of March 31, 2015 and December 31, 2014, respectively. These pre-acquisition costs were included in real estate inventories as land under development on our consolidated balance sheets.</w:t>
      </w:r>
    </w:p>
    <w:p>
      <w:pPr>
        <w:spacing w:after="0" w:line="366" w:lineRule="exact"/>
        <w:rPr>
          <w:sz w:val="20"/>
          <w:szCs w:val="20"/>
          <w:color w:val="auto"/>
        </w:rPr>
      </w:pPr>
    </w:p>
    <w:p>
      <w:pPr>
        <w:ind w:left="540" w:hanging="532"/>
        <w:spacing w:after="0"/>
        <w:tabs>
          <w:tab w:leader="none" w:pos="540" w:val="left"/>
        </w:tabs>
        <w:numPr>
          <w:ilvl w:val="0"/>
          <w:numId w:val="11"/>
        </w:numPr>
        <w:rPr>
          <w:rFonts w:ascii="Arial" w:cs="Arial" w:eastAsia="Arial" w:hAnsi="Arial"/>
          <w:sz w:val="18"/>
          <w:szCs w:val="18"/>
          <w:b w:val="1"/>
          <w:bCs w:val="1"/>
          <w:color w:val="auto"/>
        </w:rPr>
      </w:pPr>
      <w:r>
        <w:rPr>
          <w:rFonts w:ascii="Arial" w:cs="Arial" w:eastAsia="Arial" w:hAnsi="Arial"/>
          <w:sz w:val="18"/>
          <w:szCs w:val="18"/>
          <w:b w:val="1"/>
          <w:bCs w:val="1"/>
          <w:color w:val="auto"/>
        </w:rPr>
        <w:t>Goodwill and Other Intangible Assets</w:t>
      </w:r>
    </w:p>
    <w:p>
      <w:pPr>
        <w:spacing w:after="0" w:line="121" w:lineRule="exact"/>
        <w:rPr>
          <w:sz w:val="20"/>
          <w:szCs w:val="20"/>
          <w:color w:val="auto"/>
        </w:rPr>
      </w:pPr>
    </w:p>
    <w:p>
      <w:pPr>
        <w:ind w:right="260" w:firstLine="518"/>
        <w:spacing w:after="0" w:line="277" w:lineRule="auto"/>
        <w:rPr>
          <w:sz w:val="20"/>
          <w:szCs w:val="20"/>
          <w:color w:val="auto"/>
        </w:rPr>
      </w:pPr>
      <w:r>
        <w:rPr>
          <w:rFonts w:ascii="Arial" w:cs="Arial" w:eastAsia="Arial" w:hAnsi="Arial"/>
          <w:sz w:val="18"/>
          <w:szCs w:val="18"/>
          <w:color w:val="auto"/>
        </w:rPr>
        <w:t xml:space="preserve">In connection with the Merger, $139.3 million of goodwill has been recorded as of March 31, 2015. For further details on the goodwill, see Note 2, </w:t>
      </w:r>
      <w:r>
        <w:rPr>
          <w:rFonts w:ascii="Arial" w:cs="Arial" w:eastAsia="Arial" w:hAnsi="Arial"/>
          <w:sz w:val="18"/>
          <w:szCs w:val="18"/>
          <w:i w:val="1"/>
          <w:iCs w:val="1"/>
          <w:color w:val="auto"/>
        </w:rPr>
        <w:t>Merger with Weyerhaeuser Real Estate Company.</w:t>
      </w:r>
    </w:p>
    <w:p>
      <w:pPr>
        <w:spacing w:after="0" w:line="170" w:lineRule="exact"/>
        <w:rPr>
          <w:sz w:val="20"/>
          <w:szCs w:val="20"/>
          <w:color w:val="auto"/>
        </w:rPr>
      </w:pPr>
    </w:p>
    <w:p>
      <w:pPr>
        <w:ind w:right="180" w:firstLine="518"/>
        <w:spacing w:after="0" w:line="264" w:lineRule="auto"/>
        <w:rPr>
          <w:sz w:val="20"/>
          <w:szCs w:val="20"/>
          <w:color w:val="auto"/>
        </w:rPr>
      </w:pPr>
      <w:r>
        <w:rPr>
          <w:rFonts w:ascii="Arial" w:cs="Arial" w:eastAsia="Arial" w:hAnsi="Arial"/>
          <w:sz w:val="18"/>
          <w:szCs w:val="18"/>
          <w:color w:val="auto"/>
        </w:rPr>
        <w:t xml:space="preserve">We have two intangible assets recorded as of March 31, 2015, including an existing trade name from the acquisition of Maracay in 2006 which has a 20 year useful life and a new trade name, TRI Pointe Homes, resulting from the Merger which has an indefinite useful life. For further details on the TRI Pointe Homes trade name see Note 2, </w:t>
      </w:r>
      <w:r>
        <w:rPr>
          <w:rFonts w:ascii="Arial" w:cs="Arial" w:eastAsia="Arial" w:hAnsi="Arial"/>
          <w:sz w:val="18"/>
          <w:szCs w:val="18"/>
          <w:i w:val="1"/>
          <w:iCs w:val="1"/>
          <w:color w:val="auto"/>
        </w:rPr>
        <w:t>Merger with Weyerhaeuser Real Estate Company.</w:t>
      </w:r>
    </w:p>
    <w:p>
      <w:pPr>
        <w:spacing w:after="0" w:line="181" w:lineRule="exact"/>
        <w:rPr>
          <w:sz w:val="20"/>
          <w:szCs w:val="20"/>
          <w:color w:val="auto"/>
        </w:rPr>
      </w:pPr>
    </w:p>
    <w:p>
      <w:pPr>
        <w:ind w:left="520"/>
        <w:spacing w:after="0"/>
        <w:rPr>
          <w:sz w:val="20"/>
          <w:szCs w:val="20"/>
          <w:color w:val="auto"/>
        </w:rPr>
      </w:pPr>
      <w:r>
        <w:rPr>
          <w:rFonts w:ascii="Arial" w:cs="Arial" w:eastAsia="Arial" w:hAnsi="Arial"/>
          <w:sz w:val="18"/>
          <w:szCs w:val="18"/>
          <w:color w:val="auto"/>
        </w:rPr>
        <w:t>Goodwill and other intangible assets consisted of the following (in thousands):</w:t>
      </w:r>
    </w:p>
    <w:p>
      <w:pPr>
        <w:spacing w:after="0" w:line="230"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5000" w:type="dxa"/>
            <w:vAlign w:val="bottom"/>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700" w:type="dxa"/>
            <w:vAlign w:val="bottom"/>
            <w:tcBorders>
              <w:bottom w:val="single" w:sz="8" w:color="auto"/>
            </w:tcBorders>
          </w:tcPr>
          <w:p>
            <w:pPr>
              <w:spacing w:after="0"/>
              <w:rPr>
                <w:sz w:val="14"/>
                <w:szCs w:val="14"/>
                <w:color w:val="auto"/>
              </w:rPr>
            </w:pPr>
          </w:p>
        </w:tc>
        <w:tc>
          <w:tcPr>
            <w:tcW w:w="1320" w:type="dxa"/>
            <w:vAlign w:val="bottom"/>
            <w:tcBorders>
              <w:bottom w:val="single" w:sz="8" w:color="auto"/>
            </w:tcBorders>
            <w:gridSpan w:val="4"/>
          </w:tcPr>
          <w:p>
            <w:pPr>
              <w:jc w:val="right"/>
              <w:ind w:right="100"/>
              <w:spacing w:after="0"/>
              <w:rPr>
                <w:sz w:val="20"/>
                <w:szCs w:val="20"/>
                <w:color w:val="auto"/>
              </w:rPr>
            </w:pPr>
            <w:r>
              <w:rPr>
                <w:rFonts w:ascii="Arial" w:cs="Arial" w:eastAsia="Arial" w:hAnsi="Arial"/>
                <w:sz w:val="14"/>
                <w:szCs w:val="14"/>
                <w:b w:val="1"/>
                <w:bCs w:val="1"/>
                <w:color w:val="auto"/>
              </w:rPr>
              <w:t>March 31, 2015</w:t>
            </w:r>
          </w:p>
        </w:tc>
        <w:tc>
          <w:tcPr>
            <w:tcW w:w="100" w:type="dxa"/>
            <w:vAlign w:val="bottom"/>
            <w:tcBorders>
              <w:bottom w:val="single" w:sz="8" w:color="auto"/>
            </w:tcBorders>
          </w:tcPr>
          <w:p>
            <w:pPr>
              <w:spacing w:after="0"/>
              <w:rPr>
                <w:sz w:val="14"/>
                <w:szCs w:val="14"/>
                <w:color w:val="auto"/>
              </w:rPr>
            </w:pPr>
          </w:p>
        </w:tc>
        <w:tc>
          <w:tcPr>
            <w:tcW w:w="740" w:type="dxa"/>
            <w:vAlign w:val="bottom"/>
            <w:tcBorders>
              <w:bottom w:val="single" w:sz="8" w:color="auto"/>
            </w:tcBorders>
          </w:tcPr>
          <w:p>
            <w:pPr>
              <w:spacing w:after="0"/>
              <w:rPr>
                <w:sz w:val="14"/>
                <w:szCs w:val="14"/>
                <w:color w:val="auto"/>
              </w:rPr>
            </w:pPr>
          </w:p>
        </w:tc>
        <w:tc>
          <w:tcPr>
            <w:tcW w:w="22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740" w:type="dxa"/>
            <w:vAlign w:val="bottom"/>
            <w:tcBorders>
              <w:bottom w:val="single" w:sz="8" w:color="auto"/>
            </w:tcBorders>
          </w:tcPr>
          <w:p>
            <w:pPr>
              <w:spacing w:after="0"/>
              <w:rPr>
                <w:sz w:val="14"/>
                <w:szCs w:val="14"/>
                <w:color w:val="auto"/>
              </w:rPr>
            </w:pPr>
          </w:p>
        </w:tc>
        <w:tc>
          <w:tcPr>
            <w:tcW w:w="1380" w:type="dxa"/>
            <w:vAlign w:val="bottom"/>
            <w:tcBorders>
              <w:bottom w:val="single" w:sz="8" w:color="auto"/>
            </w:tcBorders>
            <w:gridSpan w:val="4"/>
          </w:tcPr>
          <w:p>
            <w:pPr>
              <w:jc w:val="right"/>
              <w:ind w:right="100"/>
              <w:spacing w:after="0"/>
              <w:rPr>
                <w:sz w:val="20"/>
                <w:szCs w:val="20"/>
                <w:color w:val="auto"/>
              </w:rPr>
            </w:pPr>
            <w:r>
              <w:rPr>
                <w:rFonts w:ascii="Arial" w:cs="Arial" w:eastAsia="Arial" w:hAnsi="Arial"/>
                <w:sz w:val="14"/>
                <w:szCs w:val="14"/>
                <w:b w:val="1"/>
                <w:bCs w:val="1"/>
                <w:color w:val="auto"/>
                <w:w w:val="99"/>
              </w:rPr>
              <w:t>December 31, 2014</w:t>
            </w:r>
          </w:p>
        </w:tc>
        <w:tc>
          <w:tcPr>
            <w:tcW w:w="120" w:type="dxa"/>
            <w:vAlign w:val="bottom"/>
            <w:tcBorders>
              <w:bottom w:val="single" w:sz="8" w:color="auto"/>
            </w:tcBorders>
          </w:tcPr>
          <w:p>
            <w:pPr>
              <w:spacing w:after="0"/>
              <w:rPr>
                <w:sz w:val="14"/>
                <w:szCs w:val="14"/>
                <w:color w:val="auto"/>
              </w:rPr>
            </w:pPr>
          </w:p>
        </w:tc>
        <w:tc>
          <w:tcPr>
            <w:tcW w:w="760" w:type="dxa"/>
            <w:vAlign w:val="bottom"/>
            <w:tcBorders>
              <w:bottom w:val="single" w:sz="8" w:color="auto"/>
            </w:tcBorders>
          </w:tcPr>
          <w:p>
            <w:pPr>
              <w:spacing w:after="0"/>
              <w:rPr>
                <w:sz w:val="14"/>
                <w:szCs w:val="14"/>
                <w:color w:val="auto"/>
              </w:rPr>
            </w:pPr>
          </w:p>
        </w:tc>
        <w:tc>
          <w:tcPr>
            <w:tcW w:w="120" w:type="dxa"/>
            <w:vAlign w:val="bottom"/>
          </w:tcPr>
          <w:p>
            <w:pPr>
              <w:spacing w:after="0"/>
              <w:rPr>
                <w:sz w:val="14"/>
                <w:szCs w:val="14"/>
                <w:color w:val="auto"/>
              </w:rPr>
            </w:pPr>
          </w:p>
        </w:tc>
      </w:tr>
      <w:tr>
        <w:trPr>
          <w:trHeight w:val="146"/>
        </w:trPr>
        <w:tc>
          <w:tcPr>
            <w:tcW w:w="50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00" w:type="dxa"/>
            <w:vAlign w:val="bottom"/>
          </w:tcPr>
          <w:p>
            <w:pPr>
              <w:jc w:val="center"/>
              <w:ind w:right="39"/>
              <w:spacing w:after="0" w:line="147" w:lineRule="exact"/>
              <w:rPr>
                <w:sz w:val="20"/>
                <w:szCs w:val="20"/>
                <w:color w:val="auto"/>
              </w:rPr>
            </w:pPr>
            <w:r>
              <w:rPr>
                <w:rFonts w:ascii="Arial" w:cs="Arial" w:eastAsia="Arial" w:hAnsi="Arial"/>
                <w:sz w:val="14"/>
                <w:szCs w:val="14"/>
                <w:b w:val="1"/>
                <w:bCs w:val="1"/>
                <w:color w:val="auto"/>
                <w:w w:val="83"/>
              </w:rPr>
              <w:t>Gross</w:t>
            </w:r>
          </w:p>
        </w:tc>
        <w:tc>
          <w:tcPr>
            <w:tcW w:w="22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40" w:type="dxa"/>
            <w:vAlign w:val="bottom"/>
          </w:tcPr>
          <w:p>
            <w:pPr>
              <w:jc w:val="center"/>
              <w:ind w:right="39"/>
              <w:spacing w:after="0" w:line="147" w:lineRule="exact"/>
              <w:rPr>
                <w:sz w:val="20"/>
                <w:szCs w:val="20"/>
                <w:color w:val="auto"/>
              </w:rPr>
            </w:pPr>
            <w:r>
              <w:rPr>
                <w:rFonts w:ascii="Arial" w:cs="Arial" w:eastAsia="Arial" w:hAnsi="Arial"/>
                <w:sz w:val="14"/>
                <w:szCs w:val="14"/>
                <w:b w:val="1"/>
                <w:bCs w:val="1"/>
                <w:color w:val="auto"/>
                <w:w w:val="97"/>
              </w:rPr>
              <w:t>Net</w:t>
            </w:r>
          </w:p>
        </w:tc>
        <w:tc>
          <w:tcPr>
            <w:tcW w:w="2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40" w:type="dxa"/>
            <w:vAlign w:val="bottom"/>
          </w:tcPr>
          <w:p>
            <w:pPr>
              <w:jc w:val="center"/>
              <w:ind w:right="39"/>
              <w:spacing w:after="0" w:line="147" w:lineRule="exact"/>
              <w:rPr>
                <w:sz w:val="20"/>
                <w:szCs w:val="20"/>
                <w:color w:val="auto"/>
              </w:rPr>
            </w:pPr>
            <w:r>
              <w:rPr>
                <w:rFonts w:ascii="Arial" w:cs="Arial" w:eastAsia="Arial" w:hAnsi="Arial"/>
                <w:sz w:val="14"/>
                <w:szCs w:val="14"/>
                <w:b w:val="1"/>
                <w:bCs w:val="1"/>
                <w:color w:val="auto"/>
                <w:w w:val="83"/>
              </w:rPr>
              <w:t>Gross</w:t>
            </w:r>
          </w:p>
        </w:tc>
        <w:tc>
          <w:tcPr>
            <w:tcW w:w="22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60" w:type="dxa"/>
            <w:vAlign w:val="bottom"/>
          </w:tcPr>
          <w:p>
            <w:pPr>
              <w:jc w:val="center"/>
              <w:ind w:right="59"/>
              <w:spacing w:after="0" w:line="147" w:lineRule="exact"/>
              <w:rPr>
                <w:sz w:val="20"/>
                <w:szCs w:val="20"/>
                <w:color w:val="auto"/>
              </w:rPr>
            </w:pPr>
            <w:r>
              <w:rPr>
                <w:rFonts w:ascii="Arial" w:cs="Arial" w:eastAsia="Arial" w:hAnsi="Arial"/>
                <w:sz w:val="14"/>
                <w:szCs w:val="14"/>
                <w:b w:val="1"/>
                <w:bCs w:val="1"/>
                <w:color w:val="auto"/>
                <w:w w:val="97"/>
              </w:rPr>
              <w:t>Net</w:t>
            </w:r>
          </w:p>
        </w:tc>
        <w:tc>
          <w:tcPr>
            <w:tcW w:w="120" w:type="dxa"/>
            <w:vAlign w:val="bottom"/>
          </w:tcPr>
          <w:p>
            <w:pPr>
              <w:spacing w:after="0"/>
              <w:rPr>
                <w:sz w:val="12"/>
                <w:szCs w:val="12"/>
                <w:color w:val="auto"/>
              </w:rPr>
            </w:pPr>
          </w:p>
        </w:tc>
      </w:tr>
      <w:tr>
        <w:trPr>
          <w:trHeight w:val="162"/>
        </w:trPr>
        <w:tc>
          <w:tcPr>
            <w:tcW w:w="50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700" w:type="dxa"/>
            <w:vAlign w:val="bottom"/>
          </w:tcPr>
          <w:p>
            <w:pPr>
              <w:jc w:val="center"/>
              <w:ind w:right="39"/>
              <w:spacing w:after="0"/>
              <w:rPr>
                <w:sz w:val="20"/>
                <w:szCs w:val="20"/>
                <w:color w:val="auto"/>
              </w:rPr>
            </w:pPr>
            <w:r>
              <w:rPr>
                <w:rFonts w:ascii="Arial" w:cs="Arial" w:eastAsia="Arial" w:hAnsi="Arial"/>
                <w:sz w:val="14"/>
                <w:szCs w:val="14"/>
                <w:b w:val="1"/>
                <w:bCs w:val="1"/>
                <w:color w:val="auto"/>
              </w:rPr>
              <w:t>Carrying</w:t>
            </w:r>
          </w:p>
        </w:tc>
        <w:tc>
          <w:tcPr>
            <w:tcW w:w="220" w:type="dxa"/>
            <w:vAlign w:val="bottom"/>
          </w:tcPr>
          <w:p>
            <w:pPr>
              <w:spacing w:after="0"/>
              <w:rPr>
                <w:sz w:val="14"/>
                <w:szCs w:val="14"/>
                <w:color w:val="auto"/>
              </w:rPr>
            </w:pPr>
          </w:p>
        </w:tc>
        <w:tc>
          <w:tcPr>
            <w:tcW w:w="1100" w:type="dxa"/>
            <w:vAlign w:val="bottom"/>
            <w:gridSpan w:val="3"/>
          </w:tcPr>
          <w:p>
            <w:pPr>
              <w:jc w:val="right"/>
              <w:ind w:right="180"/>
              <w:spacing w:after="0"/>
              <w:rPr>
                <w:sz w:val="20"/>
                <w:szCs w:val="20"/>
                <w:color w:val="auto"/>
              </w:rPr>
            </w:pPr>
            <w:r>
              <w:rPr>
                <w:rFonts w:ascii="Arial" w:cs="Arial" w:eastAsia="Arial" w:hAnsi="Arial"/>
                <w:sz w:val="14"/>
                <w:szCs w:val="14"/>
                <w:b w:val="1"/>
                <w:bCs w:val="1"/>
                <w:color w:val="auto"/>
                <w:w w:val="93"/>
              </w:rPr>
              <w:t>Accumulated</w:t>
            </w:r>
          </w:p>
        </w:tc>
        <w:tc>
          <w:tcPr>
            <w:tcW w:w="100" w:type="dxa"/>
            <w:vAlign w:val="bottom"/>
          </w:tcPr>
          <w:p>
            <w:pPr>
              <w:spacing w:after="0"/>
              <w:rPr>
                <w:sz w:val="14"/>
                <w:szCs w:val="14"/>
                <w:color w:val="auto"/>
              </w:rPr>
            </w:pPr>
          </w:p>
        </w:tc>
        <w:tc>
          <w:tcPr>
            <w:tcW w:w="740" w:type="dxa"/>
            <w:vAlign w:val="bottom"/>
          </w:tcPr>
          <w:p>
            <w:pPr>
              <w:jc w:val="center"/>
              <w:ind w:right="39"/>
              <w:spacing w:after="0"/>
              <w:rPr>
                <w:sz w:val="20"/>
                <w:szCs w:val="20"/>
                <w:color w:val="auto"/>
              </w:rPr>
            </w:pPr>
            <w:r>
              <w:rPr>
                <w:rFonts w:ascii="Arial" w:cs="Arial" w:eastAsia="Arial" w:hAnsi="Arial"/>
                <w:sz w:val="14"/>
                <w:szCs w:val="14"/>
                <w:b w:val="1"/>
                <w:bCs w:val="1"/>
                <w:color w:val="auto"/>
              </w:rPr>
              <w:t>Carrying</w:t>
            </w:r>
          </w:p>
        </w:tc>
        <w:tc>
          <w:tcPr>
            <w:tcW w:w="2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740" w:type="dxa"/>
            <w:vAlign w:val="bottom"/>
          </w:tcPr>
          <w:p>
            <w:pPr>
              <w:jc w:val="center"/>
              <w:ind w:right="39"/>
              <w:spacing w:after="0"/>
              <w:rPr>
                <w:sz w:val="20"/>
                <w:szCs w:val="20"/>
                <w:color w:val="auto"/>
              </w:rPr>
            </w:pPr>
            <w:r>
              <w:rPr>
                <w:rFonts w:ascii="Arial" w:cs="Arial" w:eastAsia="Arial" w:hAnsi="Arial"/>
                <w:sz w:val="14"/>
                <w:szCs w:val="14"/>
                <w:b w:val="1"/>
                <w:bCs w:val="1"/>
                <w:color w:val="auto"/>
              </w:rPr>
              <w:t>Carrying</w:t>
            </w:r>
          </w:p>
        </w:tc>
        <w:tc>
          <w:tcPr>
            <w:tcW w:w="220" w:type="dxa"/>
            <w:vAlign w:val="bottom"/>
          </w:tcPr>
          <w:p>
            <w:pPr>
              <w:spacing w:after="0"/>
              <w:rPr>
                <w:sz w:val="14"/>
                <w:szCs w:val="14"/>
                <w:color w:val="auto"/>
              </w:rPr>
            </w:pPr>
          </w:p>
        </w:tc>
        <w:tc>
          <w:tcPr>
            <w:tcW w:w="1160" w:type="dxa"/>
            <w:vAlign w:val="bottom"/>
            <w:gridSpan w:val="3"/>
          </w:tcPr>
          <w:p>
            <w:pPr>
              <w:jc w:val="right"/>
              <w:ind w:right="300"/>
              <w:spacing w:after="0"/>
              <w:rPr>
                <w:sz w:val="20"/>
                <w:szCs w:val="20"/>
                <w:color w:val="auto"/>
              </w:rPr>
            </w:pPr>
            <w:r>
              <w:rPr>
                <w:rFonts w:ascii="Arial" w:cs="Arial" w:eastAsia="Arial" w:hAnsi="Arial"/>
                <w:sz w:val="14"/>
                <w:szCs w:val="14"/>
                <w:b w:val="1"/>
                <w:bCs w:val="1"/>
                <w:color w:val="auto"/>
                <w:w w:val="95"/>
              </w:rPr>
              <w:t>Accumulated</w:t>
            </w:r>
          </w:p>
        </w:tc>
        <w:tc>
          <w:tcPr>
            <w:tcW w:w="120" w:type="dxa"/>
            <w:vAlign w:val="bottom"/>
          </w:tcPr>
          <w:p>
            <w:pPr>
              <w:spacing w:after="0"/>
              <w:rPr>
                <w:sz w:val="14"/>
                <w:szCs w:val="14"/>
                <w:color w:val="auto"/>
              </w:rPr>
            </w:pPr>
          </w:p>
        </w:tc>
        <w:tc>
          <w:tcPr>
            <w:tcW w:w="88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rPr>
              <w:t>Carrying</w:t>
            </w:r>
          </w:p>
        </w:tc>
      </w:tr>
      <w:tr>
        <w:trPr>
          <w:trHeight w:val="171"/>
        </w:trPr>
        <w:tc>
          <w:tcPr>
            <w:tcW w:w="50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700" w:type="dxa"/>
            <w:vAlign w:val="bottom"/>
          </w:tcPr>
          <w:p>
            <w:pPr>
              <w:jc w:val="center"/>
              <w:ind w:right="39"/>
              <w:spacing w:after="0"/>
              <w:rPr>
                <w:sz w:val="20"/>
                <w:szCs w:val="20"/>
                <w:color w:val="auto"/>
              </w:rPr>
            </w:pPr>
            <w:r>
              <w:rPr>
                <w:rFonts w:ascii="Arial" w:cs="Arial" w:eastAsia="Arial" w:hAnsi="Arial"/>
                <w:sz w:val="14"/>
                <w:szCs w:val="14"/>
                <w:b w:val="1"/>
                <w:bCs w:val="1"/>
                <w:color w:val="auto"/>
                <w:w w:val="94"/>
              </w:rPr>
              <w:t>Amount</w:t>
            </w:r>
          </w:p>
        </w:tc>
        <w:tc>
          <w:tcPr>
            <w:tcW w:w="220" w:type="dxa"/>
            <w:vAlign w:val="bottom"/>
          </w:tcPr>
          <w:p>
            <w:pPr>
              <w:spacing w:after="0"/>
              <w:rPr>
                <w:sz w:val="14"/>
                <w:szCs w:val="14"/>
                <w:color w:val="auto"/>
              </w:rPr>
            </w:pPr>
          </w:p>
        </w:tc>
        <w:tc>
          <w:tcPr>
            <w:tcW w:w="1100" w:type="dxa"/>
            <w:vAlign w:val="bottom"/>
            <w:gridSpan w:val="3"/>
          </w:tcPr>
          <w:p>
            <w:pPr>
              <w:jc w:val="right"/>
              <w:ind w:right="180"/>
              <w:spacing w:after="0"/>
              <w:rPr>
                <w:sz w:val="20"/>
                <w:szCs w:val="20"/>
                <w:color w:val="auto"/>
              </w:rPr>
            </w:pPr>
            <w:r>
              <w:rPr>
                <w:rFonts w:ascii="Arial" w:cs="Arial" w:eastAsia="Arial" w:hAnsi="Arial"/>
                <w:sz w:val="14"/>
                <w:szCs w:val="14"/>
                <w:b w:val="1"/>
                <w:bCs w:val="1"/>
                <w:color w:val="auto"/>
                <w:w w:val="95"/>
              </w:rPr>
              <w:t>Amortization</w:t>
            </w:r>
          </w:p>
        </w:tc>
        <w:tc>
          <w:tcPr>
            <w:tcW w:w="100" w:type="dxa"/>
            <w:vAlign w:val="bottom"/>
          </w:tcPr>
          <w:p>
            <w:pPr>
              <w:spacing w:after="0"/>
              <w:rPr>
                <w:sz w:val="14"/>
                <w:szCs w:val="14"/>
                <w:color w:val="auto"/>
              </w:rPr>
            </w:pPr>
          </w:p>
        </w:tc>
        <w:tc>
          <w:tcPr>
            <w:tcW w:w="740" w:type="dxa"/>
            <w:vAlign w:val="bottom"/>
          </w:tcPr>
          <w:p>
            <w:pPr>
              <w:jc w:val="center"/>
              <w:ind w:right="39"/>
              <w:spacing w:after="0"/>
              <w:rPr>
                <w:sz w:val="20"/>
                <w:szCs w:val="20"/>
                <w:color w:val="auto"/>
              </w:rPr>
            </w:pPr>
            <w:r>
              <w:rPr>
                <w:rFonts w:ascii="Arial" w:cs="Arial" w:eastAsia="Arial" w:hAnsi="Arial"/>
                <w:sz w:val="14"/>
                <w:szCs w:val="14"/>
                <w:b w:val="1"/>
                <w:bCs w:val="1"/>
                <w:color w:val="auto"/>
                <w:w w:val="94"/>
              </w:rPr>
              <w:t>Amount</w:t>
            </w:r>
          </w:p>
        </w:tc>
        <w:tc>
          <w:tcPr>
            <w:tcW w:w="2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740" w:type="dxa"/>
            <w:vAlign w:val="bottom"/>
          </w:tcPr>
          <w:p>
            <w:pPr>
              <w:jc w:val="center"/>
              <w:ind w:right="39"/>
              <w:spacing w:after="0"/>
              <w:rPr>
                <w:sz w:val="20"/>
                <w:szCs w:val="20"/>
                <w:color w:val="auto"/>
              </w:rPr>
            </w:pPr>
            <w:r>
              <w:rPr>
                <w:rFonts w:ascii="Arial" w:cs="Arial" w:eastAsia="Arial" w:hAnsi="Arial"/>
                <w:sz w:val="14"/>
                <w:szCs w:val="14"/>
                <w:b w:val="1"/>
                <w:bCs w:val="1"/>
                <w:color w:val="auto"/>
                <w:w w:val="94"/>
              </w:rPr>
              <w:t>Amount</w:t>
            </w:r>
          </w:p>
        </w:tc>
        <w:tc>
          <w:tcPr>
            <w:tcW w:w="220" w:type="dxa"/>
            <w:vAlign w:val="bottom"/>
          </w:tcPr>
          <w:p>
            <w:pPr>
              <w:spacing w:after="0"/>
              <w:rPr>
                <w:sz w:val="14"/>
                <w:szCs w:val="14"/>
                <w:color w:val="auto"/>
              </w:rPr>
            </w:pPr>
          </w:p>
        </w:tc>
        <w:tc>
          <w:tcPr>
            <w:tcW w:w="1160" w:type="dxa"/>
            <w:vAlign w:val="bottom"/>
            <w:gridSpan w:val="3"/>
          </w:tcPr>
          <w:p>
            <w:pPr>
              <w:jc w:val="right"/>
              <w:ind w:right="300"/>
              <w:spacing w:after="0"/>
              <w:rPr>
                <w:sz w:val="20"/>
                <w:szCs w:val="20"/>
                <w:color w:val="auto"/>
              </w:rPr>
            </w:pPr>
            <w:r>
              <w:rPr>
                <w:rFonts w:ascii="Arial" w:cs="Arial" w:eastAsia="Arial" w:hAnsi="Arial"/>
                <w:sz w:val="14"/>
                <w:szCs w:val="14"/>
                <w:b w:val="1"/>
                <w:bCs w:val="1"/>
                <w:color w:val="auto"/>
                <w:w w:val="98"/>
              </w:rPr>
              <w:t>Amortization</w:t>
            </w:r>
          </w:p>
        </w:tc>
        <w:tc>
          <w:tcPr>
            <w:tcW w:w="120" w:type="dxa"/>
            <w:vAlign w:val="bottom"/>
          </w:tcPr>
          <w:p>
            <w:pPr>
              <w:spacing w:after="0"/>
              <w:rPr>
                <w:sz w:val="14"/>
                <w:szCs w:val="14"/>
                <w:color w:val="auto"/>
              </w:rPr>
            </w:pPr>
          </w:p>
        </w:tc>
        <w:tc>
          <w:tcPr>
            <w:tcW w:w="88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w w:val="94"/>
              </w:rPr>
              <w:t>Amount</w:t>
            </w:r>
          </w:p>
        </w:tc>
      </w:tr>
      <w:tr>
        <w:trPr>
          <w:trHeight w:val="223"/>
        </w:trPr>
        <w:tc>
          <w:tcPr>
            <w:tcW w:w="5000" w:type="dxa"/>
            <w:vAlign w:val="bottom"/>
            <w:tcBorders>
              <w:top w:val="single" w:sz="8" w:color="CFF0FC"/>
            </w:tcBorders>
            <w:shd w:val="clear" w:color="auto" w:fill="CFF0FC"/>
          </w:tcPr>
          <w:p>
            <w:pPr>
              <w:spacing w:after="0"/>
              <w:rPr>
                <w:sz w:val="20"/>
                <w:szCs w:val="20"/>
                <w:color w:val="auto"/>
              </w:rPr>
            </w:pPr>
            <w:r>
              <w:rPr>
                <w:rFonts w:ascii="Arial" w:cs="Arial" w:eastAsia="Arial" w:hAnsi="Arial"/>
                <w:sz w:val="18"/>
                <w:szCs w:val="18"/>
                <w:color w:val="auto"/>
              </w:rPr>
              <w:t>Goodwill</w:t>
            </w:r>
          </w:p>
        </w:tc>
        <w:tc>
          <w:tcPr>
            <w:tcW w:w="12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70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139,304</w:t>
            </w:r>
          </w:p>
        </w:tc>
        <w:tc>
          <w:tcPr>
            <w:tcW w:w="220" w:type="dxa"/>
            <w:vAlign w:val="bottom"/>
            <w:tcBorders>
              <w:top w:val="single" w:sz="8" w:color="CFF0FC"/>
            </w:tcBorders>
            <w:shd w:val="clear" w:color="auto" w:fill="CFF0FC"/>
          </w:tcPr>
          <w:p>
            <w:pPr>
              <w:spacing w:after="0"/>
              <w:rPr>
                <w:sz w:val="19"/>
                <w:szCs w:val="19"/>
                <w:color w:val="auto"/>
              </w:rPr>
            </w:pPr>
          </w:p>
        </w:tc>
        <w:tc>
          <w:tcPr>
            <w:tcW w:w="240" w:type="dxa"/>
            <w:vAlign w:val="bottom"/>
            <w:tcBorders>
              <w:top w:val="single" w:sz="8" w:color="auto"/>
            </w:tcBorders>
            <w:shd w:val="clear" w:color="auto" w:fill="CFF0FC"/>
          </w:tcPr>
          <w:p>
            <w:pPr>
              <w:jc w:val="right"/>
              <w:ind w:right="59"/>
              <w:spacing w:after="0"/>
              <w:rPr>
                <w:sz w:val="20"/>
                <w:szCs w:val="20"/>
                <w:color w:val="auto"/>
              </w:rPr>
            </w:pPr>
            <w:r>
              <w:rPr>
                <w:rFonts w:ascii="Arial" w:cs="Arial" w:eastAsia="Arial" w:hAnsi="Arial"/>
                <w:sz w:val="18"/>
                <w:szCs w:val="18"/>
                <w:color w:val="auto"/>
                <w:w w:val="79"/>
              </w:rPr>
              <w:t>$</w:t>
            </w:r>
          </w:p>
        </w:tc>
        <w:tc>
          <w:tcPr>
            <w:tcW w:w="64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220" w:type="dxa"/>
            <w:vAlign w:val="bottom"/>
            <w:tcBorders>
              <w:top w:val="single" w:sz="8" w:color="CFF0FC"/>
            </w:tcBorders>
            <w:shd w:val="clear" w:color="auto" w:fill="CFF0FC"/>
          </w:tcPr>
          <w:p>
            <w:pPr>
              <w:spacing w:after="0"/>
              <w:rPr>
                <w:sz w:val="19"/>
                <w:szCs w:val="19"/>
                <w:color w:val="auto"/>
              </w:rPr>
            </w:pPr>
          </w:p>
        </w:tc>
        <w:tc>
          <w:tcPr>
            <w:tcW w:w="10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5"/>
                <w:szCs w:val="15"/>
                <w:color w:val="auto"/>
                <w:w w:val="71"/>
              </w:rPr>
              <w:t>$</w:t>
            </w:r>
          </w:p>
        </w:tc>
        <w:tc>
          <w:tcPr>
            <w:tcW w:w="74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139,304</w:t>
            </w:r>
          </w:p>
        </w:tc>
        <w:tc>
          <w:tcPr>
            <w:tcW w:w="220" w:type="dxa"/>
            <w:vAlign w:val="bottom"/>
            <w:tcBorders>
              <w:top w:val="single" w:sz="8" w:color="CFF0FC"/>
            </w:tcBorders>
            <w:shd w:val="clear" w:color="auto" w:fill="CFF0FC"/>
          </w:tcPr>
          <w:p>
            <w:pPr>
              <w:spacing w:after="0"/>
              <w:rPr>
                <w:sz w:val="19"/>
                <w:szCs w:val="19"/>
                <w:color w:val="auto"/>
              </w:rPr>
            </w:pPr>
          </w:p>
        </w:tc>
        <w:tc>
          <w:tcPr>
            <w:tcW w:w="10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5"/>
                <w:szCs w:val="15"/>
                <w:color w:val="auto"/>
                <w:w w:val="71"/>
              </w:rPr>
              <w:t>$</w:t>
            </w:r>
          </w:p>
        </w:tc>
        <w:tc>
          <w:tcPr>
            <w:tcW w:w="74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139,304</w:t>
            </w:r>
          </w:p>
        </w:tc>
        <w:tc>
          <w:tcPr>
            <w:tcW w:w="220" w:type="dxa"/>
            <w:vAlign w:val="bottom"/>
            <w:tcBorders>
              <w:top w:val="single" w:sz="8" w:color="CFF0FC"/>
            </w:tcBorders>
            <w:shd w:val="clear" w:color="auto" w:fill="CFF0FC"/>
          </w:tcPr>
          <w:p>
            <w:pPr>
              <w:spacing w:after="0"/>
              <w:rPr>
                <w:sz w:val="19"/>
                <w:szCs w:val="19"/>
                <w:color w:val="auto"/>
              </w:rPr>
            </w:pPr>
          </w:p>
        </w:tc>
        <w:tc>
          <w:tcPr>
            <w:tcW w:w="260" w:type="dxa"/>
            <w:vAlign w:val="bottom"/>
            <w:tcBorders>
              <w:top w:val="single" w:sz="8" w:color="auto"/>
            </w:tcBorders>
            <w:shd w:val="clear" w:color="auto" w:fill="CFF0FC"/>
          </w:tcPr>
          <w:p>
            <w:pPr>
              <w:jc w:val="right"/>
              <w:ind w:right="107"/>
              <w:spacing w:after="0"/>
              <w:rPr>
                <w:sz w:val="20"/>
                <w:szCs w:val="20"/>
                <w:color w:val="auto"/>
              </w:rPr>
            </w:pPr>
            <w:r>
              <w:rPr>
                <w:rFonts w:ascii="Arial" w:cs="Arial" w:eastAsia="Arial" w:hAnsi="Arial"/>
                <w:sz w:val="15"/>
                <w:szCs w:val="15"/>
                <w:color w:val="auto"/>
                <w:w w:val="71"/>
              </w:rPr>
              <w:t>$</w:t>
            </w:r>
          </w:p>
        </w:tc>
        <w:tc>
          <w:tcPr>
            <w:tcW w:w="66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240" w:type="dxa"/>
            <w:vAlign w:val="bottom"/>
            <w:tcBorders>
              <w:top w:val="single" w:sz="8" w:color="CFF0FC"/>
            </w:tcBorders>
            <w:shd w:val="clear" w:color="auto" w:fill="CFF0FC"/>
          </w:tcPr>
          <w:p>
            <w:pPr>
              <w:spacing w:after="0"/>
              <w:rPr>
                <w:sz w:val="19"/>
                <w:szCs w:val="19"/>
                <w:color w:val="auto"/>
              </w:rPr>
            </w:pPr>
          </w:p>
        </w:tc>
        <w:tc>
          <w:tcPr>
            <w:tcW w:w="12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76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139,304</w:t>
            </w:r>
          </w:p>
        </w:tc>
        <w:tc>
          <w:tcPr>
            <w:tcW w:w="120" w:type="dxa"/>
            <w:vAlign w:val="bottom"/>
            <w:tcBorders>
              <w:top w:val="single" w:sz="8" w:color="CFF0FC"/>
            </w:tcBorders>
            <w:shd w:val="clear" w:color="auto" w:fill="CFF0FC"/>
          </w:tcPr>
          <w:p>
            <w:pPr>
              <w:spacing w:after="0"/>
              <w:rPr>
                <w:sz w:val="19"/>
                <w:szCs w:val="19"/>
                <w:color w:val="auto"/>
              </w:rPr>
            </w:pPr>
          </w:p>
        </w:tc>
      </w:tr>
      <w:tr>
        <w:trPr>
          <w:trHeight w:val="230"/>
        </w:trPr>
        <w:tc>
          <w:tcPr>
            <w:tcW w:w="5000" w:type="dxa"/>
            <w:vAlign w:val="bottom"/>
          </w:tcPr>
          <w:p>
            <w:pPr>
              <w:spacing w:after="0"/>
              <w:rPr>
                <w:sz w:val="20"/>
                <w:szCs w:val="20"/>
                <w:color w:val="auto"/>
              </w:rPr>
            </w:pPr>
            <w:r>
              <w:rPr>
                <w:rFonts w:ascii="Arial" w:cs="Arial" w:eastAsia="Arial" w:hAnsi="Arial"/>
                <w:sz w:val="18"/>
                <w:szCs w:val="18"/>
                <w:color w:val="auto"/>
              </w:rPr>
              <w:t>Trade names</w:t>
            </w:r>
          </w:p>
        </w:tc>
        <w:tc>
          <w:tcPr>
            <w:tcW w:w="120" w:type="dxa"/>
            <w:vAlign w:val="bottom"/>
          </w:tcPr>
          <w:p>
            <w:pPr>
              <w:spacing w:after="0"/>
              <w:rPr>
                <w:sz w:val="19"/>
                <w:szCs w:val="19"/>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27,979</w:t>
            </w:r>
          </w:p>
        </w:tc>
        <w:tc>
          <w:tcPr>
            <w:tcW w:w="22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860" w:type="dxa"/>
            <w:vAlign w:val="bottom"/>
            <w:gridSpan w:val="2"/>
          </w:tcPr>
          <w:p>
            <w:pPr>
              <w:jc w:val="right"/>
              <w:ind w:right="80"/>
              <w:spacing w:after="0"/>
              <w:rPr>
                <w:sz w:val="20"/>
                <w:szCs w:val="20"/>
                <w:color w:val="auto"/>
              </w:rPr>
            </w:pPr>
            <w:r>
              <w:rPr>
                <w:rFonts w:ascii="Arial" w:cs="Arial" w:eastAsia="Arial" w:hAnsi="Arial"/>
                <w:sz w:val="18"/>
                <w:szCs w:val="18"/>
                <w:color w:val="auto"/>
              </w:rPr>
              <w:t>(4,854)</w:t>
            </w:r>
          </w:p>
        </w:tc>
        <w:tc>
          <w:tcPr>
            <w:tcW w:w="100" w:type="dxa"/>
            <w:vAlign w:val="bottom"/>
          </w:tcPr>
          <w:p>
            <w:pPr>
              <w:spacing w:after="0"/>
              <w:rPr>
                <w:sz w:val="19"/>
                <w:szCs w:val="19"/>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23,125</w:t>
            </w:r>
          </w:p>
        </w:tc>
        <w:tc>
          <w:tcPr>
            <w:tcW w:w="2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27,979</w:t>
            </w:r>
          </w:p>
        </w:tc>
        <w:tc>
          <w:tcPr>
            <w:tcW w:w="22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900" w:type="dxa"/>
            <w:vAlign w:val="bottom"/>
            <w:gridSpan w:val="2"/>
          </w:tcPr>
          <w:p>
            <w:pPr>
              <w:jc w:val="right"/>
              <w:ind w:right="180"/>
              <w:spacing w:after="0"/>
              <w:rPr>
                <w:sz w:val="20"/>
                <w:szCs w:val="20"/>
                <w:color w:val="auto"/>
              </w:rPr>
            </w:pPr>
            <w:r>
              <w:rPr>
                <w:rFonts w:ascii="Arial" w:cs="Arial" w:eastAsia="Arial" w:hAnsi="Arial"/>
                <w:sz w:val="18"/>
                <w:szCs w:val="18"/>
                <w:color w:val="auto"/>
              </w:rPr>
              <w:t>(4,720)</w:t>
            </w:r>
          </w:p>
        </w:tc>
        <w:tc>
          <w:tcPr>
            <w:tcW w:w="120" w:type="dxa"/>
            <w:vAlign w:val="bottom"/>
          </w:tcPr>
          <w:p>
            <w:pPr>
              <w:spacing w:after="0"/>
              <w:rPr>
                <w:sz w:val="19"/>
                <w:szCs w:val="19"/>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23,259</w:t>
            </w:r>
          </w:p>
        </w:tc>
        <w:tc>
          <w:tcPr>
            <w:tcW w:w="120" w:type="dxa"/>
            <w:vAlign w:val="bottom"/>
          </w:tcPr>
          <w:p>
            <w:pPr>
              <w:spacing w:after="0"/>
              <w:rPr>
                <w:sz w:val="19"/>
                <w:szCs w:val="19"/>
                <w:color w:val="auto"/>
              </w:rPr>
            </w:pPr>
          </w:p>
        </w:tc>
      </w:tr>
      <w:tr>
        <w:trPr>
          <w:trHeight w:val="223"/>
        </w:trPr>
        <w:tc>
          <w:tcPr>
            <w:tcW w:w="5000" w:type="dxa"/>
            <w:vAlign w:val="bottom"/>
            <w:tcBorders>
              <w:top w:val="single" w:sz="8" w:color="CFF0FC"/>
              <w:bottom w:val="single" w:sz="8" w:color="CFF0FC"/>
            </w:tcBorders>
            <w:shd w:val="clear" w:color="auto" w:fill="CFF0FC"/>
          </w:tcPr>
          <w:p>
            <w:pPr>
              <w:spacing w:after="0"/>
              <w:rPr>
                <w:sz w:val="20"/>
                <w:szCs w:val="20"/>
                <w:color w:val="auto"/>
              </w:rPr>
            </w:pPr>
            <w:r>
              <w:rPr>
                <w:rFonts w:ascii="Arial" w:cs="Arial" w:eastAsia="Arial" w:hAnsi="Arial"/>
                <w:sz w:val="18"/>
                <w:szCs w:val="18"/>
                <w:color w:val="auto"/>
              </w:rPr>
              <w:t>Total</w:t>
            </w:r>
          </w:p>
        </w:tc>
        <w:tc>
          <w:tcPr>
            <w:tcW w:w="12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70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167,283</w:t>
            </w:r>
          </w:p>
        </w:tc>
        <w:tc>
          <w:tcPr>
            <w:tcW w:w="220" w:type="dxa"/>
            <w:vAlign w:val="bottom"/>
            <w:tcBorders>
              <w:top w:val="single" w:sz="8" w:color="CFF0FC"/>
              <w:bottom w:val="single" w:sz="8" w:color="CFF0FC"/>
            </w:tcBorders>
            <w:shd w:val="clear" w:color="auto" w:fill="CFF0FC"/>
          </w:tcPr>
          <w:p>
            <w:pPr>
              <w:spacing w:after="0"/>
              <w:rPr>
                <w:sz w:val="19"/>
                <w:szCs w:val="19"/>
                <w:color w:val="auto"/>
              </w:rPr>
            </w:pPr>
          </w:p>
        </w:tc>
        <w:tc>
          <w:tcPr>
            <w:tcW w:w="240" w:type="dxa"/>
            <w:vAlign w:val="bottom"/>
            <w:tcBorders>
              <w:top w:val="single" w:sz="8" w:color="auto"/>
              <w:bottom w:val="single" w:sz="8" w:color="auto"/>
            </w:tcBorders>
            <w:shd w:val="clear" w:color="auto" w:fill="CFF0FC"/>
          </w:tcPr>
          <w:p>
            <w:pPr>
              <w:jc w:val="right"/>
              <w:ind w:right="59"/>
              <w:spacing w:after="0"/>
              <w:rPr>
                <w:sz w:val="20"/>
                <w:szCs w:val="20"/>
                <w:color w:val="auto"/>
              </w:rPr>
            </w:pPr>
            <w:r>
              <w:rPr>
                <w:rFonts w:ascii="Arial" w:cs="Arial" w:eastAsia="Arial" w:hAnsi="Arial"/>
                <w:sz w:val="18"/>
                <w:szCs w:val="18"/>
                <w:color w:val="auto"/>
                <w:w w:val="79"/>
              </w:rPr>
              <w:t>$</w:t>
            </w:r>
          </w:p>
        </w:tc>
        <w:tc>
          <w:tcPr>
            <w:tcW w:w="64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(4,854</w:t>
            </w:r>
          </w:p>
        </w:tc>
        <w:tc>
          <w:tcPr>
            <w:tcW w:w="220" w:type="dxa"/>
            <w:vAlign w:val="bottom"/>
            <w:tcBorders>
              <w:top w:val="single" w:sz="8" w:color="CFF0FC"/>
              <w:bottom w:val="single" w:sz="8" w:color="CFF0FC"/>
            </w:tcBorders>
            <w:shd w:val="clear" w:color="auto" w:fill="CFF0FC"/>
          </w:tcPr>
          <w:p>
            <w:pPr>
              <w:jc w:val="right"/>
              <w:ind w:right="80"/>
              <w:spacing w:after="0"/>
              <w:rPr>
                <w:sz w:val="20"/>
                <w:szCs w:val="20"/>
                <w:color w:val="auto"/>
              </w:rPr>
            </w:pPr>
            <w:r>
              <w:rPr>
                <w:rFonts w:ascii="Arial" w:cs="Arial" w:eastAsia="Arial" w:hAnsi="Arial"/>
                <w:sz w:val="16"/>
                <w:szCs w:val="16"/>
                <w:color w:val="auto"/>
                <w:w w:val="74"/>
              </w:rPr>
              <w:t>)</w:t>
            </w:r>
          </w:p>
        </w:tc>
        <w:tc>
          <w:tcPr>
            <w:tcW w:w="10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5"/>
                <w:szCs w:val="15"/>
                <w:color w:val="auto"/>
                <w:w w:val="71"/>
              </w:rPr>
              <w:t>$</w:t>
            </w:r>
          </w:p>
        </w:tc>
        <w:tc>
          <w:tcPr>
            <w:tcW w:w="74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162,429</w:t>
            </w:r>
          </w:p>
        </w:tc>
        <w:tc>
          <w:tcPr>
            <w:tcW w:w="220" w:type="dxa"/>
            <w:vAlign w:val="bottom"/>
            <w:tcBorders>
              <w:top w:val="single" w:sz="8" w:color="CFF0FC"/>
              <w:bottom w:val="single" w:sz="8" w:color="CFF0FC"/>
            </w:tcBorders>
            <w:shd w:val="clear" w:color="auto" w:fill="CFF0FC"/>
          </w:tcPr>
          <w:p>
            <w:pPr>
              <w:spacing w:after="0"/>
              <w:rPr>
                <w:sz w:val="19"/>
                <w:szCs w:val="19"/>
                <w:color w:val="auto"/>
              </w:rPr>
            </w:pPr>
          </w:p>
        </w:tc>
        <w:tc>
          <w:tcPr>
            <w:tcW w:w="10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5"/>
                <w:szCs w:val="15"/>
                <w:color w:val="auto"/>
                <w:w w:val="71"/>
              </w:rPr>
              <w:t>$</w:t>
            </w:r>
          </w:p>
        </w:tc>
        <w:tc>
          <w:tcPr>
            <w:tcW w:w="74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167,283</w:t>
            </w:r>
          </w:p>
        </w:tc>
        <w:tc>
          <w:tcPr>
            <w:tcW w:w="220" w:type="dxa"/>
            <w:vAlign w:val="bottom"/>
            <w:tcBorders>
              <w:top w:val="single" w:sz="8" w:color="CFF0FC"/>
              <w:bottom w:val="single" w:sz="8" w:color="CFF0FC"/>
            </w:tcBorders>
            <w:shd w:val="clear" w:color="auto" w:fill="CFF0FC"/>
          </w:tcPr>
          <w:p>
            <w:pPr>
              <w:spacing w:after="0"/>
              <w:rPr>
                <w:sz w:val="19"/>
                <w:szCs w:val="19"/>
                <w:color w:val="auto"/>
              </w:rPr>
            </w:pPr>
          </w:p>
        </w:tc>
        <w:tc>
          <w:tcPr>
            <w:tcW w:w="260" w:type="dxa"/>
            <w:vAlign w:val="bottom"/>
            <w:tcBorders>
              <w:top w:val="single" w:sz="8" w:color="auto"/>
              <w:bottom w:val="single" w:sz="8" w:color="auto"/>
            </w:tcBorders>
            <w:shd w:val="clear" w:color="auto" w:fill="CFF0FC"/>
          </w:tcPr>
          <w:p>
            <w:pPr>
              <w:jc w:val="right"/>
              <w:ind w:right="107"/>
              <w:spacing w:after="0"/>
              <w:rPr>
                <w:sz w:val="20"/>
                <w:szCs w:val="20"/>
                <w:color w:val="auto"/>
              </w:rPr>
            </w:pPr>
            <w:r>
              <w:rPr>
                <w:rFonts w:ascii="Arial" w:cs="Arial" w:eastAsia="Arial" w:hAnsi="Arial"/>
                <w:sz w:val="15"/>
                <w:szCs w:val="15"/>
                <w:color w:val="auto"/>
                <w:w w:val="71"/>
              </w:rPr>
              <w:t>$</w:t>
            </w:r>
          </w:p>
        </w:tc>
        <w:tc>
          <w:tcPr>
            <w:tcW w:w="66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(4,720)</w:t>
            </w:r>
          </w:p>
        </w:tc>
        <w:tc>
          <w:tcPr>
            <w:tcW w:w="240" w:type="dxa"/>
            <w:vAlign w:val="bottom"/>
            <w:tcBorders>
              <w:top w:val="single" w:sz="8" w:color="CFF0FC"/>
              <w:bottom w:val="single" w:sz="8" w:color="CFF0FC"/>
            </w:tcBorders>
            <w:shd w:val="clear" w:color="auto" w:fill="CFF0FC"/>
          </w:tcPr>
          <w:p>
            <w:pPr>
              <w:spacing w:after="0"/>
              <w:rPr>
                <w:sz w:val="19"/>
                <w:szCs w:val="19"/>
                <w:color w:val="auto"/>
              </w:rPr>
            </w:pPr>
          </w:p>
        </w:tc>
        <w:tc>
          <w:tcPr>
            <w:tcW w:w="12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76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162,563</w:t>
            </w:r>
          </w:p>
        </w:tc>
        <w:tc>
          <w:tcPr>
            <w:tcW w:w="120" w:type="dxa"/>
            <w:vAlign w:val="bottom"/>
            <w:tcBorders>
              <w:top w:val="single" w:sz="8" w:color="CFF0FC"/>
              <w:bottom w:val="single" w:sz="8" w:color="CFF0FC"/>
            </w:tcBorders>
            <w:shd w:val="clear" w:color="auto" w:fill="CFF0FC"/>
          </w:tcPr>
          <w:p>
            <w:pPr>
              <w:spacing w:after="0"/>
              <w:rPr>
                <w:sz w:val="19"/>
                <w:szCs w:val="19"/>
                <w:color w:val="auto"/>
              </w:rPr>
            </w:pPr>
          </w:p>
        </w:tc>
      </w:tr>
      <w:tr>
        <w:trPr>
          <w:trHeight w:val="20"/>
        </w:trPr>
        <w:tc>
          <w:tcPr>
            <w:tcW w:w="50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r>
    </w:tbl>
    <w:p>
      <w:pPr>
        <w:spacing w:after="0" w:line="202" w:lineRule="exact"/>
        <w:rPr>
          <w:sz w:val="20"/>
          <w:szCs w:val="20"/>
          <w:color w:val="auto"/>
        </w:rPr>
      </w:pPr>
    </w:p>
    <w:p>
      <w:pPr>
        <w:jc w:val="both"/>
        <w:ind w:right="40" w:firstLine="518"/>
        <w:spacing w:after="0" w:line="286" w:lineRule="auto"/>
        <w:rPr>
          <w:sz w:val="20"/>
          <w:szCs w:val="20"/>
          <w:color w:val="auto"/>
        </w:rPr>
      </w:pPr>
      <w:r>
        <w:rPr>
          <w:rFonts w:ascii="Arial" w:cs="Arial" w:eastAsia="Arial" w:hAnsi="Arial"/>
          <w:sz w:val="17"/>
          <w:szCs w:val="17"/>
          <w:color w:val="auto"/>
        </w:rPr>
        <w:t>The remaining useful life of our amortizing intangible asset related to Maracay was 10.9 and 11.2 years as of March 31, 2015 and December 31, 2014, respectively. Amortization expense related to this intangible asset was $134,000 for the three month period ended March 31, 2015 and 2014, respectively, and was charged to sales and marketing expense. Our indefinite life intangible asset related to TRI Pointe Homes is not amortizing.</w:t>
      </w:r>
    </w:p>
    <w:p>
      <w:pPr>
        <w:spacing w:after="0" w:line="166" w:lineRule="exact"/>
        <w:rPr>
          <w:sz w:val="20"/>
          <w:szCs w:val="20"/>
          <w:color w:val="auto"/>
        </w:rPr>
      </w:pPr>
    </w:p>
    <w:p>
      <w:pPr>
        <w:ind w:left="520"/>
        <w:spacing w:after="0"/>
        <w:rPr>
          <w:sz w:val="20"/>
          <w:szCs w:val="20"/>
          <w:color w:val="auto"/>
        </w:rPr>
      </w:pPr>
      <w:r>
        <w:rPr>
          <w:rFonts w:ascii="Arial" w:cs="Arial" w:eastAsia="Arial" w:hAnsi="Arial"/>
          <w:sz w:val="18"/>
          <w:szCs w:val="18"/>
          <w:color w:val="auto"/>
        </w:rPr>
        <w:t>Expected amortization of our intangible asset related to Maracay for the next five years and thereafter is (in thousands):</w:t>
      </w:r>
    </w:p>
    <w:p>
      <w:pPr>
        <w:spacing w:after="0" w:line="230" w:lineRule="exact"/>
        <w:rPr>
          <w:sz w:val="20"/>
          <w:szCs w:val="20"/>
          <w:color w:val="auto"/>
        </w:rPr>
      </w:pPr>
    </w:p>
    <w:tbl>
      <w:tblPr>
        <w:tblLayout w:type="fixed"/>
        <w:tblInd w:w="2300" w:type="dxa"/>
        <w:tblCellMar>
          <w:top w:w="0" w:type="dxa"/>
          <w:left w:w="0" w:type="dxa"/>
          <w:bottom w:w="0" w:type="dxa"/>
          <w:right w:w="0" w:type="dxa"/>
        </w:tblCellMar>
      </w:tblPr>
      <w:tr>
        <w:trPr>
          <w:trHeight w:val="162"/>
        </w:trPr>
        <w:tc>
          <w:tcPr>
            <w:tcW w:w="560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060" w:type="dxa"/>
            <w:vAlign w:val="bottom"/>
            <w:gridSpan w:val="2"/>
          </w:tcPr>
          <w:p>
            <w:pPr>
              <w:ind w:left="80"/>
              <w:spacing w:after="0"/>
              <w:rPr>
                <w:sz w:val="20"/>
                <w:szCs w:val="20"/>
                <w:color w:val="auto"/>
              </w:rPr>
            </w:pPr>
            <w:r>
              <w:rPr>
                <w:rFonts w:ascii="Arial" w:cs="Arial" w:eastAsia="Arial" w:hAnsi="Arial"/>
                <w:sz w:val="14"/>
                <w:szCs w:val="14"/>
                <w:b w:val="1"/>
                <w:bCs w:val="1"/>
                <w:color w:val="auto"/>
              </w:rPr>
              <w:t>March 31,</w:t>
            </w:r>
          </w:p>
        </w:tc>
      </w:tr>
      <w:tr>
        <w:trPr>
          <w:trHeight w:val="171"/>
        </w:trPr>
        <w:tc>
          <w:tcPr>
            <w:tcW w:w="5600" w:type="dxa"/>
            <w:vAlign w:val="bottom"/>
            <w:tcBorders>
              <w:bottom w:val="single" w:sz="8" w:color="CFF0FC"/>
            </w:tcBorders>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980" w:type="dxa"/>
            <w:vAlign w:val="bottom"/>
            <w:tcBorders>
              <w:bottom w:val="single" w:sz="8" w:color="auto"/>
            </w:tcBorders>
          </w:tcPr>
          <w:p>
            <w:pPr>
              <w:jc w:val="right"/>
              <w:ind w:right="354"/>
              <w:spacing w:after="0"/>
              <w:rPr>
                <w:sz w:val="20"/>
                <w:szCs w:val="20"/>
                <w:color w:val="auto"/>
              </w:rPr>
            </w:pPr>
            <w:r>
              <w:rPr>
                <w:rFonts w:ascii="Arial" w:cs="Arial" w:eastAsia="Arial" w:hAnsi="Arial"/>
                <w:sz w:val="14"/>
                <w:szCs w:val="14"/>
                <w:b w:val="1"/>
                <w:bCs w:val="1"/>
                <w:color w:val="auto"/>
              </w:rPr>
              <w:t>2015</w:t>
            </w:r>
          </w:p>
        </w:tc>
        <w:tc>
          <w:tcPr>
            <w:tcW w:w="80" w:type="dxa"/>
            <w:vAlign w:val="bottom"/>
            <w:tcBorders>
              <w:bottom w:val="single" w:sz="8" w:color="CFF0FC"/>
            </w:tcBorders>
          </w:tcPr>
          <w:p>
            <w:pPr>
              <w:spacing w:after="0"/>
              <w:rPr>
                <w:sz w:val="14"/>
                <w:szCs w:val="14"/>
                <w:color w:val="auto"/>
              </w:rPr>
            </w:pPr>
          </w:p>
        </w:tc>
      </w:tr>
      <w:tr>
        <w:trPr>
          <w:trHeight w:val="223"/>
        </w:trPr>
        <w:tc>
          <w:tcPr>
            <w:tcW w:w="5600" w:type="dxa"/>
            <w:vAlign w:val="bottom"/>
            <w:shd w:val="clear" w:color="auto" w:fill="CFF0FC"/>
          </w:tcPr>
          <w:p>
            <w:pPr>
              <w:spacing w:after="0"/>
              <w:rPr>
                <w:sz w:val="20"/>
                <w:szCs w:val="20"/>
                <w:color w:val="auto"/>
              </w:rPr>
            </w:pPr>
            <w:r>
              <w:rPr>
                <w:rFonts w:ascii="Arial" w:cs="Arial" w:eastAsia="Arial" w:hAnsi="Arial"/>
                <w:sz w:val="18"/>
                <w:szCs w:val="18"/>
                <w:color w:val="auto"/>
              </w:rPr>
              <w:t>Remainder of 2015</w:t>
            </w:r>
          </w:p>
        </w:tc>
        <w:tc>
          <w:tcPr>
            <w:tcW w:w="180" w:type="dxa"/>
            <w:vAlign w:val="bottom"/>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9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401</w:t>
            </w:r>
          </w:p>
        </w:tc>
        <w:tc>
          <w:tcPr>
            <w:tcW w:w="80" w:type="dxa"/>
            <w:vAlign w:val="bottom"/>
            <w:shd w:val="clear" w:color="auto" w:fill="CFF0FC"/>
          </w:tcPr>
          <w:p>
            <w:pPr>
              <w:spacing w:after="0"/>
              <w:rPr>
                <w:sz w:val="19"/>
                <w:szCs w:val="19"/>
                <w:color w:val="auto"/>
              </w:rPr>
            </w:pPr>
          </w:p>
        </w:tc>
      </w:tr>
      <w:tr>
        <w:trPr>
          <w:trHeight w:val="230"/>
        </w:trPr>
        <w:tc>
          <w:tcPr>
            <w:tcW w:w="5600" w:type="dxa"/>
            <w:vAlign w:val="bottom"/>
          </w:tcPr>
          <w:p>
            <w:pPr>
              <w:spacing w:after="0"/>
              <w:rPr>
                <w:sz w:val="20"/>
                <w:szCs w:val="20"/>
                <w:color w:val="auto"/>
              </w:rPr>
            </w:pPr>
            <w:r>
              <w:rPr>
                <w:rFonts w:ascii="Arial" w:cs="Arial" w:eastAsia="Arial" w:hAnsi="Arial"/>
                <w:sz w:val="18"/>
                <w:szCs w:val="18"/>
                <w:color w:val="auto"/>
              </w:rPr>
              <w:t>2016</w:t>
            </w:r>
          </w:p>
        </w:tc>
        <w:tc>
          <w:tcPr>
            <w:tcW w:w="180" w:type="dxa"/>
            <w:vAlign w:val="bottom"/>
          </w:tcPr>
          <w:p>
            <w:pPr>
              <w:spacing w:after="0"/>
              <w:rPr>
                <w:sz w:val="19"/>
                <w:szCs w:val="19"/>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534</w:t>
            </w:r>
          </w:p>
        </w:tc>
        <w:tc>
          <w:tcPr>
            <w:tcW w:w="80" w:type="dxa"/>
            <w:vAlign w:val="bottom"/>
          </w:tcPr>
          <w:p>
            <w:pPr>
              <w:spacing w:after="0"/>
              <w:rPr>
                <w:sz w:val="19"/>
                <w:szCs w:val="19"/>
                <w:color w:val="auto"/>
              </w:rPr>
            </w:pPr>
          </w:p>
        </w:tc>
      </w:tr>
      <w:tr>
        <w:trPr>
          <w:trHeight w:val="230"/>
        </w:trPr>
        <w:tc>
          <w:tcPr>
            <w:tcW w:w="5600" w:type="dxa"/>
            <w:vAlign w:val="bottom"/>
            <w:shd w:val="clear" w:color="auto" w:fill="CFF0FC"/>
          </w:tcPr>
          <w:p>
            <w:pPr>
              <w:spacing w:after="0"/>
              <w:rPr>
                <w:sz w:val="20"/>
                <w:szCs w:val="20"/>
                <w:color w:val="auto"/>
              </w:rPr>
            </w:pPr>
            <w:r>
              <w:rPr>
                <w:rFonts w:ascii="Arial" w:cs="Arial" w:eastAsia="Arial" w:hAnsi="Arial"/>
                <w:sz w:val="18"/>
                <w:szCs w:val="18"/>
                <w:color w:val="auto"/>
              </w:rPr>
              <w:t>2017</w:t>
            </w:r>
          </w:p>
        </w:tc>
        <w:tc>
          <w:tcPr>
            <w:tcW w:w="180" w:type="dxa"/>
            <w:vAlign w:val="bottom"/>
            <w:shd w:val="clear" w:color="auto" w:fill="CFF0FC"/>
          </w:tcPr>
          <w:p>
            <w:pPr>
              <w:spacing w:after="0"/>
              <w:rPr>
                <w:sz w:val="19"/>
                <w:szCs w:val="19"/>
                <w:color w:val="auto"/>
              </w:rPr>
            </w:pPr>
          </w:p>
        </w:tc>
        <w:tc>
          <w:tcPr>
            <w:tcW w:w="9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534</w:t>
            </w:r>
          </w:p>
        </w:tc>
        <w:tc>
          <w:tcPr>
            <w:tcW w:w="80" w:type="dxa"/>
            <w:vAlign w:val="bottom"/>
            <w:shd w:val="clear" w:color="auto" w:fill="CFF0FC"/>
          </w:tcPr>
          <w:p>
            <w:pPr>
              <w:spacing w:after="0"/>
              <w:rPr>
                <w:sz w:val="19"/>
                <w:szCs w:val="19"/>
                <w:color w:val="auto"/>
              </w:rPr>
            </w:pPr>
          </w:p>
        </w:tc>
      </w:tr>
      <w:tr>
        <w:trPr>
          <w:trHeight w:val="230"/>
        </w:trPr>
        <w:tc>
          <w:tcPr>
            <w:tcW w:w="5600" w:type="dxa"/>
            <w:vAlign w:val="bottom"/>
          </w:tcPr>
          <w:p>
            <w:pPr>
              <w:spacing w:after="0"/>
              <w:rPr>
                <w:sz w:val="20"/>
                <w:szCs w:val="20"/>
                <w:color w:val="auto"/>
              </w:rPr>
            </w:pPr>
            <w:r>
              <w:rPr>
                <w:rFonts w:ascii="Arial" w:cs="Arial" w:eastAsia="Arial" w:hAnsi="Arial"/>
                <w:sz w:val="18"/>
                <w:szCs w:val="18"/>
                <w:color w:val="auto"/>
              </w:rPr>
              <w:t>2018</w:t>
            </w:r>
          </w:p>
        </w:tc>
        <w:tc>
          <w:tcPr>
            <w:tcW w:w="180" w:type="dxa"/>
            <w:vAlign w:val="bottom"/>
          </w:tcPr>
          <w:p>
            <w:pPr>
              <w:spacing w:after="0"/>
              <w:rPr>
                <w:sz w:val="19"/>
                <w:szCs w:val="19"/>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534</w:t>
            </w:r>
          </w:p>
        </w:tc>
        <w:tc>
          <w:tcPr>
            <w:tcW w:w="80" w:type="dxa"/>
            <w:vAlign w:val="bottom"/>
          </w:tcPr>
          <w:p>
            <w:pPr>
              <w:spacing w:after="0"/>
              <w:rPr>
                <w:sz w:val="19"/>
                <w:szCs w:val="19"/>
                <w:color w:val="auto"/>
              </w:rPr>
            </w:pPr>
          </w:p>
        </w:tc>
      </w:tr>
      <w:tr>
        <w:trPr>
          <w:trHeight w:val="230"/>
        </w:trPr>
        <w:tc>
          <w:tcPr>
            <w:tcW w:w="5600" w:type="dxa"/>
            <w:vAlign w:val="bottom"/>
            <w:shd w:val="clear" w:color="auto" w:fill="CFF0FC"/>
          </w:tcPr>
          <w:p>
            <w:pPr>
              <w:spacing w:after="0"/>
              <w:rPr>
                <w:sz w:val="20"/>
                <w:szCs w:val="20"/>
                <w:color w:val="auto"/>
              </w:rPr>
            </w:pPr>
            <w:r>
              <w:rPr>
                <w:rFonts w:ascii="Arial" w:cs="Arial" w:eastAsia="Arial" w:hAnsi="Arial"/>
                <w:sz w:val="18"/>
                <w:szCs w:val="18"/>
                <w:color w:val="auto"/>
              </w:rPr>
              <w:t>2019</w:t>
            </w:r>
          </w:p>
        </w:tc>
        <w:tc>
          <w:tcPr>
            <w:tcW w:w="180" w:type="dxa"/>
            <w:vAlign w:val="bottom"/>
            <w:shd w:val="clear" w:color="auto" w:fill="CFF0FC"/>
          </w:tcPr>
          <w:p>
            <w:pPr>
              <w:spacing w:after="0"/>
              <w:rPr>
                <w:sz w:val="19"/>
                <w:szCs w:val="19"/>
                <w:color w:val="auto"/>
              </w:rPr>
            </w:pPr>
          </w:p>
        </w:tc>
        <w:tc>
          <w:tcPr>
            <w:tcW w:w="9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534</w:t>
            </w:r>
          </w:p>
        </w:tc>
        <w:tc>
          <w:tcPr>
            <w:tcW w:w="80" w:type="dxa"/>
            <w:vAlign w:val="bottom"/>
            <w:shd w:val="clear" w:color="auto" w:fill="CFF0FC"/>
          </w:tcPr>
          <w:p>
            <w:pPr>
              <w:spacing w:after="0"/>
              <w:rPr>
                <w:sz w:val="19"/>
                <w:szCs w:val="19"/>
                <w:color w:val="auto"/>
              </w:rPr>
            </w:pPr>
          </w:p>
        </w:tc>
      </w:tr>
      <w:tr>
        <w:trPr>
          <w:trHeight w:val="230"/>
        </w:trPr>
        <w:tc>
          <w:tcPr>
            <w:tcW w:w="5600" w:type="dxa"/>
            <w:vAlign w:val="bottom"/>
            <w:tcBorders>
              <w:bottom w:val="single" w:sz="8" w:color="CFF0FC"/>
            </w:tcBorders>
          </w:tcPr>
          <w:p>
            <w:pPr>
              <w:spacing w:after="0"/>
              <w:rPr>
                <w:sz w:val="20"/>
                <w:szCs w:val="20"/>
                <w:color w:val="auto"/>
              </w:rPr>
            </w:pPr>
            <w:r>
              <w:rPr>
                <w:rFonts w:ascii="Arial" w:cs="Arial" w:eastAsia="Arial" w:hAnsi="Arial"/>
                <w:sz w:val="18"/>
                <w:szCs w:val="18"/>
                <w:color w:val="auto"/>
              </w:rPr>
              <w:t>Thereafter</w:t>
            </w:r>
          </w:p>
        </w:tc>
        <w:tc>
          <w:tcPr>
            <w:tcW w:w="180" w:type="dxa"/>
            <w:vAlign w:val="bottom"/>
            <w:tcBorders>
              <w:bottom w:val="single" w:sz="8" w:color="auto"/>
            </w:tcBorders>
          </w:tcPr>
          <w:p>
            <w:pPr>
              <w:spacing w:after="0"/>
              <w:rPr>
                <w:sz w:val="19"/>
                <w:szCs w:val="19"/>
                <w:color w:val="auto"/>
              </w:rPr>
            </w:pPr>
          </w:p>
        </w:tc>
        <w:tc>
          <w:tcPr>
            <w:tcW w:w="9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3,288</w:t>
            </w:r>
          </w:p>
        </w:tc>
        <w:tc>
          <w:tcPr>
            <w:tcW w:w="80" w:type="dxa"/>
            <w:vAlign w:val="bottom"/>
            <w:tcBorders>
              <w:bottom w:val="single" w:sz="8" w:color="CFF0FC"/>
            </w:tcBorders>
          </w:tcPr>
          <w:p>
            <w:pPr>
              <w:spacing w:after="0"/>
              <w:rPr>
                <w:sz w:val="19"/>
                <w:szCs w:val="19"/>
                <w:color w:val="auto"/>
              </w:rPr>
            </w:pPr>
          </w:p>
        </w:tc>
      </w:tr>
      <w:tr>
        <w:trPr>
          <w:trHeight w:val="223"/>
        </w:trPr>
        <w:tc>
          <w:tcPr>
            <w:tcW w:w="5600" w:type="dxa"/>
            <w:vAlign w:val="bottom"/>
            <w:tcBorders>
              <w:bottom w:val="single" w:sz="8" w:color="CFF0FC"/>
            </w:tcBorders>
            <w:shd w:val="clear" w:color="auto" w:fill="CFF0FC"/>
          </w:tcPr>
          <w:p>
            <w:pPr>
              <w:spacing w:after="0"/>
              <w:rPr>
                <w:sz w:val="20"/>
                <w:szCs w:val="20"/>
                <w:color w:val="auto"/>
              </w:rPr>
            </w:pPr>
            <w:r>
              <w:rPr>
                <w:rFonts w:ascii="Arial" w:cs="Arial" w:eastAsia="Arial" w:hAnsi="Arial"/>
                <w:sz w:val="18"/>
                <w:szCs w:val="18"/>
                <w:color w:val="auto"/>
              </w:rPr>
              <w:t>Total</w:t>
            </w:r>
          </w:p>
        </w:tc>
        <w:tc>
          <w:tcPr>
            <w:tcW w:w="18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98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5,825</w:t>
            </w:r>
          </w:p>
        </w:tc>
        <w:tc>
          <w:tcPr>
            <w:tcW w:w="80" w:type="dxa"/>
            <w:vAlign w:val="bottom"/>
            <w:tcBorders>
              <w:bottom w:val="single" w:sz="8" w:color="CFF0FC"/>
            </w:tcBorders>
            <w:shd w:val="clear" w:color="auto" w:fill="CFF0FC"/>
          </w:tcPr>
          <w:p>
            <w:pPr>
              <w:spacing w:after="0"/>
              <w:rPr>
                <w:sz w:val="19"/>
                <w:szCs w:val="19"/>
                <w:color w:val="auto"/>
              </w:rPr>
            </w:pPr>
          </w:p>
        </w:tc>
      </w:tr>
      <w:tr>
        <w:trPr>
          <w:trHeight w:val="20"/>
        </w:trPr>
        <w:tc>
          <w:tcPr>
            <w:tcW w:w="56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- 16 -</w:t>
      </w:r>
    </w:p>
    <w:p>
      <w:pPr>
        <w:sectPr>
          <w:pgSz w:w="11900" w:h="16838" w:orient="portrait"/>
          <w:cols w:equalWidth="0" w:num="1">
            <w:col w:w="11420"/>
          </w:cols>
          <w:pgMar w:left="240" w:top="355" w:right="239" w:bottom="1440" w:gutter="0" w:footer="0" w:header="0"/>
        </w:sectPr>
      </w:pPr>
    </w:p>
    <w:bookmarkStart w:id="16" w:name="page17"/>
    <w:bookmarkEnd w:id="16"/>
    <w:tbl>
      <w:tblPr>
        <w:tblLayout w:type="fixed"/>
        <w:tblInd w:w="0" w:type="dxa"/>
        <w:tblCellMar>
          <w:top w:w="0" w:type="dxa"/>
          <w:left w:w="0" w:type="dxa"/>
          <w:bottom w:w="0" w:type="dxa"/>
          <w:right w:w="0" w:type="dxa"/>
        </w:tblCellMar>
      </w:tblPr>
      <w:tr>
        <w:trPr>
          <w:trHeight w:val="234"/>
        </w:trPr>
        <w:tc>
          <w:tcPr>
            <w:tcW w:w="380" w:type="dxa"/>
            <w:vAlign w:val="bottom"/>
          </w:tcPr>
          <w:p>
            <w:pPr>
              <w:jc w:val="right"/>
              <w:ind w:right="70"/>
              <w:spacing w:after="0"/>
              <w:rPr>
                <w:sz w:val="20"/>
                <w:szCs w:val="20"/>
                <w:color w:val="auto"/>
              </w:rPr>
            </w:pPr>
            <w:r>
              <w:rPr>
                <w:rFonts w:ascii="Arial" w:cs="Arial" w:eastAsia="Arial" w:hAnsi="Arial"/>
                <w:sz w:val="18"/>
                <w:szCs w:val="18"/>
                <w:b w:val="1"/>
                <w:bCs w:val="1"/>
                <w:color w:val="auto"/>
                <w:w w:val="79"/>
              </w:rPr>
              <w:t>11.</w:t>
            </w:r>
          </w:p>
        </w:tc>
        <w:tc>
          <w:tcPr>
            <w:tcW w:w="6900" w:type="dxa"/>
            <w:vAlign w:val="bottom"/>
            <w:gridSpan w:val="2"/>
          </w:tcPr>
          <w:p>
            <w:pPr>
              <w:ind w:left="160"/>
              <w:spacing w:after="0"/>
              <w:rPr>
                <w:sz w:val="20"/>
                <w:szCs w:val="20"/>
                <w:color w:val="auto"/>
              </w:rPr>
            </w:pPr>
            <w:r>
              <w:rPr>
                <w:rFonts w:ascii="Arial" w:cs="Arial" w:eastAsia="Arial" w:hAnsi="Arial"/>
                <w:sz w:val="18"/>
                <w:szCs w:val="18"/>
                <w:b w:val="1"/>
                <w:bCs w:val="1"/>
                <w:color w:val="auto"/>
              </w:rPr>
              <w:t>Other Assets</w:t>
            </w:r>
          </w:p>
        </w:tc>
        <w:tc>
          <w:tcPr>
            <w:tcW w:w="160" w:type="dxa"/>
            <w:vAlign w:val="bottom"/>
          </w:tcPr>
          <w:p>
            <w:pPr>
              <w:spacing w:after="0"/>
              <w:rPr>
                <w:sz w:val="20"/>
                <w:szCs w:val="20"/>
                <w:color w:val="auto"/>
              </w:rPr>
            </w:pPr>
          </w:p>
        </w:tc>
        <w:tc>
          <w:tcPr>
            <w:tcW w:w="94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000" w:type="dxa"/>
            <w:vAlign w:val="bottom"/>
          </w:tcPr>
          <w:p>
            <w:pPr>
              <w:spacing w:after="0"/>
              <w:rPr>
                <w:sz w:val="20"/>
                <w:szCs w:val="20"/>
                <w:color w:val="auto"/>
              </w:rPr>
            </w:pPr>
          </w:p>
        </w:tc>
        <w:tc>
          <w:tcPr>
            <w:tcW w:w="80" w:type="dxa"/>
            <w:vAlign w:val="bottom"/>
          </w:tcPr>
          <w:p>
            <w:pPr>
              <w:spacing w:after="0"/>
              <w:rPr>
                <w:sz w:val="20"/>
                <w:szCs w:val="20"/>
                <w:color w:val="auto"/>
              </w:rPr>
            </w:pPr>
          </w:p>
        </w:tc>
      </w:tr>
      <w:tr>
        <w:trPr>
          <w:trHeight w:val="324"/>
        </w:trPr>
        <w:tc>
          <w:tcPr>
            <w:tcW w:w="380" w:type="dxa"/>
            <w:vAlign w:val="bottom"/>
          </w:tcPr>
          <w:p>
            <w:pPr>
              <w:spacing w:after="0"/>
              <w:rPr>
                <w:sz w:val="24"/>
                <w:szCs w:val="24"/>
                <w:color w:val="auto"/>
              </w:rPr>
            </w:pPr>
          </w:p>
        </w:tc>
        <w:tc>
          <w:tcPr>
            <w:tcW w:w="6900" w:type="dxa"/>
            <w:vAlign w:val="bottom"/>
            <w:gridSpan w:val="2"/>
          </w:tcPr>
          <w:p>
            <w:pPr>
              <w:ind w:left="140"/>
              <w:spacing w:after="0"/>
              <w:rPr>
                <w:sz w:val="20"/>
                <w:szCs w:val="20"/>
                <w:color w:val="auto"/>
              </w:rPr>
            </w:pPr>
            <w:r>
              <w:rPr>
                <w:rFonts w:ascii="Arial" w:cs="Arial" w:eastAsia="Arial" w:hAnsi="Arial"/>
                <w:sz w:val="18"/>
                <w:szCs w:val="18"/>
                <w:color w:val="auto"/>
              </w:rPr>
              <w:t>Other assets consisted of the following (in thousands):</w:t>
            </w:r>
          </w:p>
        </w:tc>
        <w:tc>
          <w:tcPr>
            <w:tcW w:w="16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80" w:type="dxa"/>
            <w:vAlign w:val="bottom"/>
          </w:tcPr>
          <w:p>
            <w:pPr>
              <w:spacing w:after="0"/>
              <w:rPr>
                <w:sz w:val="24"/>
                <w:szCs w:val="24"/>
                <w:color w:val="auto"/>
              </w:rPr>
            </w:pPr>
          </w:p>
        </w:tc>
      </w:tr>
      <w:tr>
        <w:trPr>
          <w:trHeight w:val="369"/>
        </w:trPr>
        <w:tc>
          <w:tcPr>
            <w:tcW w:w="380" w:type="dxa"/>
            <w:vAlign w:val="bottom"/>
          </w:tcPr>
          <w:p>
            <w:pPr>
              <w:spacing w:after="0"/>
              <w:rPr>
                <w:sz w:val="24"/>
                <w:szCs w:val="24"/>
                <w:color w:val="auto"/>
              </w:rPr>
            </w:pPr>
          </w:p>
        </w:tc>
        <w:tc>
          <w:tcPr>
            <w:tcW w:w="1340" w:type="dxa"/>
            <w:vAlign w:val="bottom"/>
          </w:tcPr>
          <w:p>
            <w:pPr>
              <w:spacing w:after="0"/>
              <w:rPr>
                <w:sz w:val="24"/>
                <w:szCs w:val="24"/>
                <w:color w:val="auto"/>
              </w:rPr>
            </w:pPr>
          </w:p>
        </w:tc>
        <w:tc>
          <w:tcPr>
            <w:tcW w:w="55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80" w:type="dxa"/>
            <w:vAlign w:val="bottom"/>
            <w:gridSpan w:val="2"/>
          </w:tcPr>
          <w:p>
            <w:pPr>
              <w:ind w:left="80"/>
              <w:spacing w:after="0"/>
              <w:rPr>
                <w:sz w:val="20"/>
                <w:szCs w:val="20"/>
                <w:color w:val="auto"/>
              </w:rPr>
            </w:pPr>
            <w:r>
              <w:rPr>
                <w:rFonts w:ascii="Arial" w:cs="Arial" w:eastAsia="Arial" w:hAnsi="Arial"/>
                <w:sz w:val="14"/>
                <w:szCs w:val="14"/>
                <w:b w:val="1"/>
                <w:bCs w:val="1"/>
                <w:color w:val="auto"/>
              </w:rPr>
              <w:t>March 31,</w:t>
            </w:r>
          </w:p>
        </w:tc>
        <w:tc>
          <w:tcPr>
            <w:tcW w:w="100" w:type="dxa"/>
            <w:vAlign w:val="bottom"/>
          </w:tcPr>
          <w:p>
            <w:pPr>
              <w:spacing w:after="0"/>
              <w:rPr>
                <w:sz w:val="24"/>
                <w:szCs w:val="24"/>
                <w:color w:val="auto"/>
              </w:rPr>
            </w:pPr>
          </w:p>
        </w:tc>
        <w:tc>
          <w:tcPr>
            <w:tcW w:w="1080" w:type="dxa"/>
            <w:vAlign w:val="bottom"/>
            <w:gridSpan w:val="2"/>
          </w:tcPr>
          <w:p>
            <w:pPr>
              <w:ind w:left="20"/>
              <w:spacing w:after="0"/>
              <w:rPr>
                <w:sz w:val="20"/>
                <w:szCs w:val="20"/>
                <w:color w:val="auto"/>
              </w:rPr>
            </w:pPr>
            <w:r>
              <w:rPr>
                <w:rFonts w:ascii="Arial" w:cs="Arial" w:eastAsia="Arial" w:hAnsi="Arial"/>
                <w:sz w:val="14"/>
                <w:szCs w:val="14"/>
                <w:b w:val="1"/>
                <w:bCs w:val="1"/>
                <w:color w:val="auto"/>
              </w:rPr>
              <w:t>December 31,</w:t>
            </w:r>
          </w:p>
        </w:tc>
      </w:tr>
      <w:tr>
        <w:trPr>
          <w:trHeight w:val="171"/>
        </w:trPr>
        <w:tc>
          <w:tcPr>
            <w:tcW w:w="38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5560" w:type="dxa"/>
            <w:vAlign w:val="bottom"/>
            <w:tcBorders>
              <w:bottom w:val="single" w:sz="8" w:color="CFF0FC"/>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940" w:type="dxa"/>
            <w:vAlign w:val="bottom"/>
            <w:tcBorders>
              <w:bottom w:val="single" w:sz="8" w:color="auto"/>
            </w:tcBorders>
          </w:tcPr>
          <w:p>
            <w:pPr>
              <w:jc w:val="right"/>
              <w:ind w:right="314"/>
              <w:spacing w:after="0"/>
              <w:rPr>
                <w:sz w:val="20"/>
                <w:szCs w:val="20"/>
                <w:color w:val="auto"/>
              </w:rPr>
            </w:pPr>
            <w:r>
              <w:rPr>
                <w:rFonts w:ascii="Arial" w:cs="Arial" w:eastAsia="Arial" w:hAnsi="Arial"/>
                <w:sz w:val="14"/>
                <w:szCs w:val="14"/>
                <w:b w:val="1"/>
                <w:bCs w:val="1"/>
                <w:color w:val="auto"/>
              </w:rPr>
              <w:t>2015</w:t>
            </w:r>
          </w:p>
        </w:tc>
        <w:tc>
          <w:tcPr>
            <w:tcW w:w="140" w:type="dxa"/>
            <w:vAlign w:val="bottom"/>
            <w:tcBorders>
              <w:bottom w:val="single" w:sz="8" w:color="CFF0FC"/>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1000" w:type="dxa"/>
            <w:vAlign w:val="bottom"/>
            <w:tcBorders>
              <w:bottom w:val="single" w:sz="8" w:color="auto"/>
            </w:tcBorders>
          </w:tcPr>
          <w:p>
            <w:pPr>
              <w:jc w:val="right"/>
              <w:ind w:right="334"/>
              <w:spacing w:after="0"/>
              <w:rPr>
                <w:sz w:val="20"/>
                <w:szCs w:val="20"/>
                <w:color w:val="auto"/>
              </w:rPr>
            </w:pPr>
            <w:r>
              <w:rPr>
                <w:rFonts w:ascii="Arial" w:cs="Arial" w:eastAsia="Arial" w:hAnsi="Arial"/>
                <w:sz w:val="14"/>
                <w:szCs w:val="14"/>
                <w:b w:val="1"/>
                <w:bCs w:val="1"/>
                <w:color w:val="auto"/>
              </w:rPr>
              <w:t>2014</w:t>
            </w:r>
          </w:p>
        </w:tc>
        <w:tc>
          <w:tcPr>
            <w:tcW w:w="80" w:type="dxa"/>
            <w:vAlign w:val="bottom"/>
            <w:tcBorders>
              <w:bottom w:val="single" w:sz="8" w:color="CFF0FC"/>
            </w:tcBorders>
          </w:tcPr>
          <w:p>
            <w:pPr>
              <w:spacing w:after="0"/>
              <w:rPr>
                <w:sz w:val="14"/>
                <w:szCs w:val="14"/>
                <w:color w:val="auto"/>
              </w:rPr>
            </w:pPr>
          </w:p>
        </w:tc>
      </w:tr>
      <w:tr>
        <w:trPr>
          <w:trHeight w:val="223"/>
        </w:trPr>
        <w:tc>
          <w:tcPr>
            <w:tcW w:w="380" w:type="dxa"/>
            <w:vAlign w:val="bottom"/>
          </w:tcPr>
          <w:p>
            <w:pPr>
              <w:spacing w:after="0"/>
              <w:rPr>
                <w:sz w:val="19"/>
                <w:szCs w:val="19"/>
                <w:color w:val="auto"/>
              </w:rPr>
            </w:pPr>
          </w:p>
        </w:tc>
        <w:tc>
          <w:tcPr>
            <w:tcW w:w="1340" w:type="dxa"/>
            <w:vAlign w:val="bottom"/>
          </w:tcPr>
          <w:p>
            <w:pPr>
              <w:spacing w:after="0"/>
              <w:rPr>
                <w:sz w:val="19"/>
                <w:szCs w:val="19"/>
                <w:color w:val="auto"/>
              </w:rPr>
            </w:pPr>
          </w:p>
        </w:tc>
        <w:tc>
          <w:tcPr>
            <w:tcW w:w="5560" w:type="dxa"/>
            <w:vAlign w:val="bottom"/>
            <w:shd w:val="clear" w:color="auto" w:fill="CFF0FC"/>
          </w:tcPr>
          <w:p>
            <w:pPr>
              <w:spacing w:after="0"/>
              <w:rPr>
                <w:sz w:val="20"/>
                <w:szCs w:val="20"/>
                <w:color w:val="auto"/>
              </w:rPr>
            </w:pPr>
            <w:r>
              <w:rPr>
                <w:rFonts w:ascii="Arial" w:cs="Arial" w:eastAsia="Arial" w:hAnsi="Arial"/>
                <w:sz w:val="18"/>
                <w:szCs w:val="18"/>
                <w:color w:val="auto"/>
              </w:rPr>
              <w:t>Prepaid expenses</w:t>
            </w:r>
          </w:p>
        </w:tc>
        <w:tc>
          <w:tcPr>
            <w:tcW w:w="160" w:type="dxa"/>
            <w:vAlign w:val="bottom"/>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9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26,200</w:t>
            </w:r>
          </w:p>
        </w:tc>
        <w:tc>
          <w:tcPr>
            <w:tcW w:w="140" w:type="dxa"/>
            <w:vAlign w:val="bottom"/>
            <w:shd w:val="clear" w:color="auto" w:fill="CFF0FC"/>
          </w:tcPr>
          <w:p>
            <w:pPr>
              <w:spacing w:after="0"/>
              <w:rPr>
                <w:sz w:val="19"/>
                <w:szCs w:val="19"/>
                <w:color w:val="auto"/>
              </w:rPr>
            </w:pPr>
          </w:p>
        </w:tc>
        <w:tc>
          <w:tcPr>
            <w:tcW w:w="100" w:type="dxa"/>
            <w:vAlign w:val="bottom"/>
            <w:shd w:val="clear" w:color="auto" w:fill="CFF0FC"/>
          </w:tcPr>
          <w:p>
            <w:pPr>
              <w:jc w:val="right"/>
              <w:spacing w:after="0"/>
              <w:rPr>
                <w:sz w:val="20"/>
                <w:szCs w:val="20"/>
                <w:color w:val="auto"/>
              </w:rPr>
            </w:pPr>
            <w:r>
              <w:rPr>
                <w:rFonts w:ascii="Arial" w:cs="Arial" w:eastAsia="Arial" w:hAnsi="Arial"/>
                <w:sz w:val="15"/>
                <w:szCs w:val="15"/>
                <w:color w:val="auto"/>
                <w:w w:val="71"/>
              </w:rPr>
              <w:t>$</w:t>
            </w:r>
          </w:p>
        </w:tc>
        <w:tc>
          <w:tcPr>
            <w:tcW w:w="10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29,111</w:t>
            </w:r>
          </w:p>
        </w:tc>
        <w:tc>
          <w:tcPr>
            <w:tcW w:w="80" w:type="dxa"/>
            <w:vAlign w:val="bottom"/>
            <w:shd w:val="clear" w:color="auto" w:fill="CFF0FC"/>
          </w:tcPr>
          <w:p>
            <w:pPr>
              <w:spacing w:after="0"/>
              <w:rPr>
                <w:sz w:val="19"/>
                <w:szCs w:val="19"/>
                <w:color w:val="auto"/>
              </w:rPr>
            </w:pPr>
          </w:p>
        </w:tc>
      </w:tr>
      <w:tr>
        <w:trPr>
          <w:trHeight w:val="230"/>
        </w:trPr>
        <w:tc>
          <w:tcPr>
            <w:tcW w:w="380" w:type="dxa"/>
            <w:vAlign w:val="bottom"/>
          </w:tcPr>
          <w:p>
            <w:pPr>
              <w:spacing w:after="0"/>
              <w:rPr>
                <w:sz w:val="19"/>
                <w:szCs w:val="19"/>
                <w:color w:val="auto"/>
              </w:rPr>
            </w:pPr>
          </w:p>
        </w:tc>
        <w:tc>
          <w:tcPr>
            <w:tcW w:w="1340" w:type="dxa"/>
            <w:vAlign w:val="bottom"/>
          </w:tcPr>
          <w:p>
            <w:pPr>
              <w:spacing w:after="0"/>
              <w:rPr>
                <w:sz w:val="19"/>
                <w:szCs w:val="19"/>
                <w:color w:val="auto"/>
              </w:rPr>
            </w:pPr>
          </w:p>
        </w:tc>
        <w:tc>
          <w:tcPr>
            <w:tcW w:w="5560" w:type="dxa"/>
            <w:vAlign w:val="bottom"/>
          </w:tcPr>
          <w:p>
            <w:pPr>
              <w:spacing w:after="0"/>
              <w:rPr>
                <w:sz w:val="20"/>
                <w:szCs w:val="20"/>
                <w:color w:val="auto"/>
              </w:rPr>
            </w:pPr>
            <w:r>
              <w:rPr>
                <w:rFonts w:ascii="Arial" w:cs="Arial" w:eastAsia="Arial" w:hAnsi="Arial"/>
                <w:sz w:val="18"/>
                <w:szCs w:val="18"/>
                <w:color w:val="auto"/>
              </w:rPr>
              <w:t>Refundable fees and other deposits</w:t>
            </w:r>
          </w:p>
        </w:tc>
        <w:tc>
          <w:tcPr>
            <w:tcW w:w="160" w:type="dxa"/>
            <w:vAlign w:val="bottom"/>
          </w:tcPr>
          <w:p>
            <w:pPr>
              <w:spacing w:after="0"/>
              <w:rPr>
                <w:sz w:val="19"/>
                <w:szCs w:val="19"/>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15,976</w:t>
            </w:r>
          </w:p>
        </w:tc>
        <w:tc>
          <w:tcPr>
            <w:tcW w:w="1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15,581</w:t>
            </w:r>
          </w:p>
        </w:tc>
        <w:tc>
          <w:tcPr>
            <w:tcW w:w="80" w:type="dxa"/>
            <w:vAlign w:val="bottom"/>
          </w:tcPr>
          <w:p>
            <w:pPr>
              <w:spacing w:after="0"/>
              <w:rPr>
                <w:sz w:val="19"/>
                <w:szCs w:val="19"/>
                <w:color w:val="auto"/>
              </w:rPr>
            </w:pPr>
          </w:p>
        </w:tc>
      </w:tr>
      <w:tr>
        <w:trPr>
          <w:trHeight w:val="230"/>
        </w:trPr>
        <w:tc>
          <w:tcPr>
            <w:tcW w:w="380" w:type="dxa"/>
            <w:vAlign w:val="bottom"/>
          </w:tcPr>
          <w:p>
            <w:pPr>
              <w:spacing w:after="0"/>
              <w:rPr>
                <w:sz w:val="19"/>
                <w:szCs w:val="19"/>
                <w:color w:val="auto"/>
              </w:rPr>
            </w:pPr>
          </w:p>
        </w:tc>
        <w:tc>
          <w:tcPr>
            <w:tcW w:w="1340" w:type="dxa"/>
            <w:vAlign w:val="bottom"/>
          </w:tcPr>
          <w:p>
            <w:pPr>
              <w:spacing w:after="0"/>
              <w:rPr>
                <w:sz w:val="19"/>
                <w:szCs w:val="19"/>
                <w:color w:val="auto"/>
              </w:rPr>
            </w:pPr>
          </w:p>
        </w:tc>
        <w:tc>
          <w:tcPr>
            <w:tcW w:w="5560" w:type="dxa"/>
            <w:vAlign w:val="bottom"/>
            <w:shd w:val="clear" w:color="auto" w:fill="CFF0FC"/>
          </w:tcPr>
          <w:p>
            <w:pPr>
              <w:spacing w:after="0"/>
              <w:rPr>
                <w:sz w:val="20"/>
                <w:szCs w:val="20"/>
                <w:color w:val="auto"/>
              </w:rPr>
            </w:pPr>
            <w:r>
              <w:rPr>
                <w:rFonts w:ascii="Arial" w:cs="Arial" w:eastAsia="Arial" w:hAnsi="Arial"/>
                <w:sz w:val="18"/>
                <w:szCs w:val="18"/>
                <w:color w:val="auto"/>
              </w:rPr>
              <w:t>Development rights, held for future use or sale</w:t>
            </w:r>
          </w:p>
        </w:tc>
        <w:tc>
          <w:tcPr>
            <w:tcW w:w="160" w:type="dxa"/>
            <w:vAlign w:val="bottom"/>
            <w:shd w:val="clear" w:color="auto" w:fill="CFF0FC"/>
          </w:tcPr>
          <w:p>
            <w:pPr>
              <w:spacing w:after="0"/>
              <w:rPr>
                <w:sz w:val="19"/>
                <w:szCs w:val="19"/>
                <w:color w:val="auto"/>
              </w:rPr>
            </w:pPr>
          </w:p>
        </w:tc>
        <w:tc>
          <w:tcPr>
            <w:tcW w:w="9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7,409</w:t>
            </w:r>
          </w:p>
        </w:tc>
        <w:tc>
          <w:tcPr>
            <w:tcW w:w="14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0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7,409</w:t>
            </w:r>
          </w:p>
        </w:tc>
        <w:tc>
          <w:tcPr>
            <w:tcW w:w="80" w:type="dxa"/>
            <w:vAlign w:val="bottom"/>
            <w:shd w:val="clear" w:color="auto" w:fill="CFF0FC"/>
          </w:tcPr>
          <w:p>
            <w:pPr>
              <w:spacing w:after="0"/>
              <w:rPr>
                <w:sz w:val="19"/>
                <w:szCs w:val="19"/>
                <w:color w:val="auto"/>
              </w:rPr>
            </w:pPr>
          </w:p>
        </w:tc>
      </w:tr>
      <w:tr>
        <w:trPr>
          <w:trHeight w:val="230"/>
        </w:trPr>
        <w:tc>
          <w:tcPr>
            <w:tcW w:w="380" w:type="dxa"/>
            <w:vAlign w:val="bottom"/>
          </w:tcPr>
          <w:p>
            <w:pPr>
              <w:spacing w:after="0"/>
              <w:rPr>
                <w:sz w:val="19"/>
                <w:szCs w:val="19"/>
                <w:color w:val="auto"/>
              </w:rPr>
            </w:pPr>
          </w:p>
        </w:tc>
        <w:tc>
          <w:tcPr>
            <w:tcW w:w="1340" w:type="dxa"/>
            <w:vAlign w:val="bottom"/>
          </w:tcPr>
          <w:p>
            <w:pPr>
              <w:spacing w:after="0"/>
              <w:rPr>
                <w:sz w:val="19"/>
                <w:szCs w:val="19"/>
                <w:color w:val="auto"/>
              </w:rPr>
            </w:pPr>
          </w:p>
        </w:tc>
        <w:tc>
          <w:tcPr>
            <w:tcW w:w="5560" w:type="dxa"/>
            <w:vAlign w:val="bottom"/>
          </w:tcPr>
          <w:p>
            <w:pPr>
              <w:spacing w:after="0"/>
              <w:rPr>
                <w:sz w:val="20"/>
                <w:szCs w:val="20"/>
                <w:color w:val="auto"/>
              </w:rPr>
            </w:pPr>
            <w:r>
              <w:rPr>
                <w:rFonts w:ascii="Arial" w:cs="Arial" w:eastAsia="Arial" w:hAnsi="Arial"/>
                <w:sz w:val="18"/>
                <w:szCs w:val="18"/>
                <w:color w:val="auto"/>
              </w:rPr>
              <w:t>Deferred loan costs on Senior Notes</w:t>
            </w:r>
          </w:p>
        </w:tc>
        <w:tc>
          <w:tcPr>
            <w:tcW w:w="160" w:type="dxa"/>
            <w:vAlign w:val="bottom"/>
          </w:tcPr>
          <w:p>
            <w:pPr>
              <w:spacing w:after="0"/>
              <w:rPr>
                <w:sz w:val="19"/>
                <w:szCs w:val="19"/>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22,876</w:t>
            </w:r>
          </w:p>
        </w:tc>
        <w:tc>
          <w:tcPr>
            <w:tcW w:w="1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23,686</w:t>
            </w:r>
          </w:p>
        </w:tc>
        <w:tc>
          <w:tcPr>
            <w:tcW w:w="80" w:type="dxa"/>
            <w:vAlign w:val="bottom"/>
          </w:tcPr>
          <w:p>
            <w:pPr>
              <w:spacing w:after="0"/>
              <w:rPr>
                <w:sz w:val="19"/>
                <w:szCs w:val="19"/>
                <w:color w:val="auto"/>
              </w:rPr>
            </w:pPr>
          </w:p>
        </w:tc>
      </w:tr>
      <w:tr>
        <w:trPr>
          <w:trHeight w:val="230"/>
        </w:trPr>
        <w:tc>
          <w:tcPr>
            <w:tcW w:w="380" w:type="dxa"/>
            <w:vAlign w:val="bottom"/>
          </w:tcPr>
          <w:p>
            <w:pPr>
              <w:spacing w:after="0"/>
              <w:rPr>
                <w:sz w:val="19"/>
                <w:szCs w:val="19"/>
                <w:color w:val="auto"/>
              </w:rPr>
            </w:pPr>
          </w:p>
        </w:tc>
        <w:tc>
          <w:tcPr>
            <w:tcW w:w="1340" w:type="dxa"/>
            <w:vAlign w:val="bottom"/>
          </w:tcPr>
          <w:p>
            <w:pPr>
              <w:spacing w:after="0"/>
              <w:rPr>
                <w:sz w:val="19"/>
                <w:szCs w:val="19"/>
                <w:color w:val="auto"/>
              </w:rPr>
            </w:pPr>
          </w:p>
        </w:tc>
        <w:tc>
          <w:tcPr>
            <w:tcW w:w="5560" w:type="dxa"/>
            <w:vAlign w:val="bottom"/>
            <w:shd w:val="clear" w:color="auto" w:fill="CFF0FC"/>
          </w:tcPr>
          <w:p>
            <w:pPr>
              <w:spacing w:after="0"/>
              <w:rPr>
                <w:sz w:val="20"/>
                <w:szCs w:val="20"/>
                <w:color w:val="auto"/>
              </w:rPr>
            </w:pPr>
            <w:r>
              <w:rPr>
                <w:rFonts w:ascii="Arial" w:cs="Arial" w:eastAsia="Arial" w:hAnsi="Arial"/>
                <w:sz w:val="18"/>
                <w:szCs w:val="18"/>
                <w:color w:val="auto"/>
              </w:rPr>
              <w:t>Operating properties and equipment, net</w:t>
            </w:r>
          </w:p>
        </w:tc>
        <w:tc>
          <w:tcPr>
            <w:tcW w:w="160" w:type="dxa"/>
            <w:vAlign w:val="bottom"/>
            <w:shd w:val="clear" w:color="auto" w:fill="CFF0FC"/>
          </w:tcPr>
          <w:p>
            <w:pPr>
              <w:spacing w:after="0"/>
              <w:rPr>
                <w:sz w:val="19"/>
                <w:szCs w:val="19"/>
                <w:color w:val="auto"/>
              </w:rPr>
            </w:pPr>
          </w:p>
        </w:tc>
        <w:tc>
          <w:tcPr>
            <w:tcW w:w="9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10,990</w:t>
            </w:r>
          </w:p>
        </w:tc>
        <w:tc>
          <w:tcPr>
            <w:tcW w:w="14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0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11,719</w:t>
            </w:r>
          </w:p>
        </w:tc>
        <w:tc>
          <w:tcPr>
            <w:tcW w:w="80" w:type="dxa"/>
            <w:vAlign w:val="bottom"/>
            <w:shd w:val="clear" w:color="auto" w:fill="CFF0FC"/>
          </w:tcPr>
          <w:p>
            <w:pPr>
              <w:spacing w:after="0"/>
              <w:rPr>
                <w:sz w:val="19"/>
                <w:szCs w:val="19"/>
                <w:color w:val="auto"/>
              </w:rPr>
            </w:pPr>
          </w:p>
        </w:tc>
      </w:tr>
      <w:tr>
        <w:trPr>
          <w:trHeight w:val="230"/>
        </w:trPr>
        <w:tc>
          <w:tcPr>
            <w:tcW w:w="380" w:type="dxa"/>
            <w:vAlign w:val="bottom"/>
          </w:tcPr>
          <w:p>
            <w:pPr>
              <w:spacing w:after="0"/>
              <w:rPr>
                <w:sz w:val="19"/>
                <w:szCs w:val="19"/>
                <w:color w:val="auto"/>
              </w:rPr>
            </w:pPr>
          </w:p>
        </w:tc>
        <w:tc>
          <w:tcPr>
            <w:tcW w:w="1340" w:type="dxa"/>
            <w:vAlign w:val="bottom"/>
          </w:tcPr>
          <w:p>
            <w:pPr>
              <w:spacing w:after="0"/>
              <w:rPr>
                <w:sz w:val="19"/>
                <w:szCs w:val="19"/>
                <w:color w:val="auto"/>
              </w:rPr>
            </w:pPr>
          </w:p>
        </w:tc>
        <w:tc>
          <w:tcPr>
            <w:tcW w:w="5560" w:type="dxa"/>
            <w:vAlign w:val="bottom"/>
          </w:tcPr>
          <w:p>
            <w:pPr>
              <w:spacing w:after="0"/>
              <w:rPr>
                <w:sz w:val="20"/>
                <w:szCs w:val="20"/>
                <w:color w:val="auto"/>
              </w:rPr>
            </w:pPr>
            <w:r>
              <w:rPr>
                <w:rFonts w:ascii="Arial" w:cs="Arial" w:eastAsia="Arial" w:hAnsi="Arial"/>
                <w:sz w:val="18"/>
                <w:szCs w:val="18"/>
                <w:color w:val="auto"/>
              </w:rPr>
              <w:t>Income tax receivable</w:t>
            </w:r>
          </w:p>
        </w:tc>
        <w:tc>
          <w:tcPr>
            <w:tcW w:w="160" w:type="dxa"/>
            <w:vAlign w:val="bottom"/>
          </w:tcPr>
          <w:p>
            <w:pPr>
              <w:spacing w:after="0"/>
              <w:rPr>
                <w:sz w:val="19"/>
                <w:szCs w:val="19"/>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7,606</w:t>
            </w:r>
          </w:p>
        </w:tc>
        <w:tc>
          <w:tcPr>
            <w:tcW w:w="1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10,713</w:t>
            </w:r>
          </w:p>
        </w:tc>
        <w:tc>
          <w:tcPr>
            <w:tcW w:w="80" w:type="dxa"/>
            <w:vAlign w:val="bottom"/>
          </w:tcPr>
          <w:p>
            <w:pPr>
              <w:spacing w:after="0"/>
              <w:rPr>
                <w:sz w:val="19"/>
                <w:szCs w:val="19"/>
                <w:color w:val="auto"/>
              </w:rPr>
            </w:pPr>
          </w:p>
        </w:tc>
      </w:tr>
      <w:tr>
        <w:trPr>
          <w:trHeight w:val="230"/>
        </w:trPr>
        <w:tc>
          <w:tcPr>
            <w:tcW w:w="380" w:type="dxa"/>
            <w:vAlign w:val="bottom"/>
          </w:tcPr>
          <w:p>
            <w:pPr>
              <w:spacing w:after="0"/>
              <w:rPr>
                <w:sz w:val="19"/>
                <w:szCs w:val="19"/>
                <w:color w:val="auto"/>
              </w:rPr>
            </w:pPr>
          </w:p>
        </w:tc>
        <w:tc>
          <w:tcPr>
            <w:tcW w:w="1340" w:type="dxa"/>
            <w:vAlign w:val="bottom"/>
          </w:tcPr>
          <w:p>
            <w:pPr>
              <w:spacing w:after="0"/>
              <w:rPr>
                <w:sz w:val="19"/>
                <w:szCs w:val="19"/>
                <w:color w:val="auto"/>
              </w:rPr>
            </w:pPr>
          </w:p>
        </w:tc>
        <w:tc>
          <w:tcPr>
            <w:tcW w:w="5560" w:type="dxa"/>
            <w:vAlign w:val="bottom"/>
            <w:shd w:val="clear" w:color="auto" w:fill="CFF0FC"/>
          </w:tcPr>
          <w:p>
            <w:pPr>
              <w:spacing w:after="0"/>
              <w:rPr>
                <w:sz w:val="20"/>
                <w:szCs w:val="20"/>
                <w:color w:val="auto"/>
              </w:rPr>
            </w:pPr>
            <w:r>
              <w:rPr>
                <w:rFonts w:ascii="Arial" w:cs="Arial" w:eastAsia="Arial" w:hAnsi="Arial"/>
                <w:sz w:val="18"/>
                <w:szCs w:val="18"/>
                <w:color w:val="auto"/>
              </w:rPr>
              <w:t>Other</w:t>
            </w:r>
          </w:p>
        </w:tc>
        <w:tc>
          <w:tcPr>
            <w:tcW w:w="160" w:type="dxa"/>
            <w:vAlign w:val="bottom"/>
            <w:tcBorders>
              <w:bottom w:val="single" w:sz="8" w:color="auto"/>
            </w:tcBorders>
            <w:shd w:val="clear" w:color="auto" w:fill="CFF0FC"/>
          </w:tcPr>
          <w:p>
            <w:pPr>
              <w:spacing w:after="0"/>
              <w:rPr>
                <w:sz w:val="19"/>
                <w:szCs w:val="19"/>
                <w:color w:val="auto"/>
              </w:rPr>
            </w:pPr>
          </w:p>
        </w:tc>
        <w:tc>
          <w:tcPr>
            <w:tcW w:w="94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6,337</w:t>
            </w:r>
          </w:p>
        </w:tc>
        <w:tc>
          <w:tcPr>
            <w:tcW w:w="140" w:type="dxa"/>
            <w:vAlign w:val="bottom"/>
            <w:shd w:val="clear" w:color="auto" w:fill="CFF0FC"/>
          </w:tcPr>
          <w:p>
            <w:pPr>
              <w:spacing w:after="0"/>
              <w:rPr>
                <w:sz w:val="19"/>
                <w:szCs w:val="19"/>
                <w:color w:val="auto"/>
              </w:rPr>
            </w:pPr>
          </w:p>
        </w:tc>
        <w:tc>
          <w:tcPr>
            <w:tcW w:w="100" w:type="dxa"/>
            <w:vAlign w:val="bottom"/>
            <w:tcBorders>
              <w:bottom w:val="single" w:sz="8" w:color="auto"/>
            </w:tcBorders>
            <w:shd w:val="clear" w:color="auto" w:fill="CFF0FC"/>
          </w:tcPr>
          <w:p>
            <w:pPr>
              <w:spacing w:after="0"/>
              <w:rPr>
                <w:sz w:val="19"/>
                <w:szCs w:val="19"/>
                <w:color w:val="auto"/>
              </w:rPr>
            </w:pPr>
          </w:p>
        </w:tc>
        <w:tc>
          <w:tcPr>
            <w:tcW w:w="100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7,186</w:t>
            </w:r>
          </w:p>
        </w:tc>
        <w:tc>
          <w:tcPr>
            <w:tcW w:w="80" w:type="dxa"/>
            <w:vAlign w:val="bottom"/>
            <w:shd w:val="clear" w:color="auto" w:fill="CFF0FC"/>
          </w:tcPr>
          <w:p>
            <w:pPr>
              <w:spacing w:after="0"/>
              <w:rPr>
                <w:sz w:val="19"/>
                <w:szCs w:val="19"/>
                <w:color w:val="auto"/>
              </w:rPr>
            </w:pPr>
          </w:p>
        </w:tc>
      </w:tr>
      <w:tr>
        <w:trPr>
          <w:trHeight w:val="223"/>
        </w:trPr>
        <w:tc>
          <w:tcPr>
            <w:tcW w:w="380" w:type="dxa"/>
            <w:vAlign w:val="bottom"/>
          </w:tcPr>
          <w:p>
            <w:pPr>
              <w:spacing w:after="0"/>
              <w:rPr>
                <w:sz w:val="19"/>
                <w:szCs w:val="19"/>
                <w:color w:val="auto"/>
              </w:rPr>
            </w:pPr>
          </w:p>
        </w:tc>
        <w:tc>
          <w:tcPr>
            <w:tcW w:w="6900" w:type="dxa"/>
            <w:vAlign w:val="bottom"/>
            <w:gridSpan w:val="2"/>
          </w:tcPr>
          <w:p>
            <w:pPr>
              <w:ind w:left="1340"/>
              <w:spacing w:after="0"/>
              <w:rPr>
                <w:sz w:val="20"/>
                <w:szCs w:val="20"/>
                <w:color w:val="auto"/>
              </w:rPr>
            </w:pPr>
            <w:r>
              <w:rPr>
                <w:rFonts w:ascii="Arial" w:cs="Arial" w:eastAsia="Arial" w:hAnsi="Arial"/>
                <w:sz w:val="18"/>
                <w:szCs w:val="18"/>
                <w:color w:val="auto"/>
              </w:rPr>
              <w:t>Total</w:t>
            </w:r>
          </w:p>
        </w:tc>
        <w:tc>
          <w:tcPr>
            <w:tcW w:w="1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97,394</w:t>
            </w:r>
          </w:p>
        </w:tc>
        <w:tc>
          <w:tcPr>
            <w:tcW w:w="140" w:type="dxa"/>
            <w:vAlign w:val="bottom"/>
          </w:tcPr>
          <w:p>
            <w:pPr>
              <w:spacing w:after="0"/>
              <w:rPr>
                <w:sz w:val="19"/>
                <w:szCs w:val="19"/>
                <w:color w:val="auto"/>
              </w:rPr>
            </w:pPr>
          </w:p>
        </w:tc>
        <w:tc>
          <w:tcPr>
            <w:tcW w:w="10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10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105,405</w:t>
            </w:r>
          </w:p>
        </w:tc>
        <w:tc>
          <w:tcPr>
            <w:tcW w:w="80" w:type="dxa"/>
            <w:vAlign w:val="bottom"/>
          </w:tcPr>
          <w:p>
            <w:pPr>
              <w:spacing w:after="0"/>
              <w:rPr>
                <w:sz w:val="19"/>
                <w:szCs w:val="19"/>
                <w:color w:val="auto"/>
              </w:rPr>
            </w:pPr>
          </w:p>
        </w:tc>
      </w:tr>
      <w:tr>
        <w:trPr>
          <w:trHeight w:val="20"/>
        </w:trPr>
        <w:tc>
          <w:tcPr>
            <w:tcW w:w="380" w:type="dxa"/>
            <w:vAlign w:val="bottom"/>
          </w:tcPr>
          <w:p>
            <w:pPr>
              <w:spacing w:after="0" w:line="20" w:lineRule="exact"/>
              <w:rPr>
                <w:sz w:val="1"/>
                <w:szCs w:val="1"/>
                <w:color w:val="auto"/>
              </w:rPr>
            </w:pPr>
          </w:p>
        </w:tc>
        <w:tc>
          <w:tcPr>
            <w:tcW w:w="1340" w:type="dxa"/>
            <w:vAlign w:val="bottom"/>
          </w:tcPr>
          <w:p>
            <w:pPr>
              <w:spacing w:after="0" w:line="20" w:lineRule="exact"/>
              <w:rPr>
                <w:sz w:val="1"/>
                <w:szCs w:val="1"/>
                <w:color w:val="auto"/>
              </w:rPr>
            </w:pPr>
          </w:p>
        </w:tc>
        <w:tc>
          <w:tcPr>
            <w:tcW w:w="556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r>
    </w:tbl>
    <w:p>
      <w:pPr>
        <w:spacing w:after="0" w:line="387" w:lineRule="exact"/>
        <w:rPr>
          <w:sz w:val="20"/>
          <w:szCs w:val="20"/>
          <w:color w:val="auto"/>
        </w:rPr>
      </w:pPr>
    </w:p>
    <w:p>
      <w:pPr>
        <w:ind w:left="540" w:hanging="532"/>
        <w:spacing w:after="0"/>
        <w:tabs>
          <w:tab w:leader="none" w:pos="540" w:val="left"/>
        </w:tabs>
        <w:numPr>
          <w:ilvl w:val="0"/>
          <w:numId w:val="12"/>
        </w:numPr>
        <w:rPr>
          <w:rFonts w:ascii="Arial" w:cs="Arial" w:eastAsia="Arial" w:hAnsi="Arial"/>
          <w:sz w:val="18"/>
          <w:szCs w:val="18"/>
          <w:b w:val="1"/>
          <w:bCs w:val="1"/>
          <w:color w:val="auto"/>
        </w:rPr>
      </w:pPr>
      <w:r>
        <w:rPr>
          <w:rFonts w:ascii="Arial" w:cs="Arial" w:eastAsia="Arial" w:hAnsi="Arial"/>
          <w:sz w:val="18"/>
          <w:szCs w:val="18"/>
          <w:b w:val="1"/>
          <w:bCs w:val="1"/>
          <w:color w:val="auto"/>
        </w:rPr>
        <w:t>Accrued Expenses and Other Liabilities</w:t>
      </w:r>
    </w:p>
    <w:p>
      <w:pPr>
        <w:spacing w:after="0" w:line="121" w:lineRule="exact"/>
        <w:rPr>
          <w:rFonts w:ascii="Arial" w:cs="Arial" w:eastAsia="Arial" w:hAnsi="Arial"/>
          <w:sz w:val="18"/>
          <w:szCs w:val="18"/>
          <w:b w:val="1"/>
          <w:bCs w:val="1"/>
          <w:color w:val="auto"/>
        </w:rPr>
      </w:pPr>
    </w:p>
    <w:p>
      <w:pPr>
        <w:ind w:left="520"/>
        <w:spacing w:after="0"/>
        <w:rPr>
          <w:rFonts w:ascii="Arial" w:cs="Arial" w:eastAsia="Arial" w:hAnsi="Arial"/>
          <w:sz w:val="18"/>
          <w:szCs w:val="18"/>
          <w:b w:val="1"/>
          <w:bCs w:val="1"/>
          <w:color w:val="auto"/>
        </w:rPr>
      </w:pPr>
      <w:r>
        <w:rPr>
          <w:rFonts w:ascii="Arial" w:cs="Arial" w:eastAsia="Arial" w:hAnsi="Arial"/>
          <w:sz w:val="18"/>
          <w:szCs w:val="18"/>
          <w:color w:val="auto"/>
        </w:rPr>
        <w:t>Accrued expenses and other liabilities consisted of the following (in thousands):</w:t>
      </w:r>
    </w:p>
    <w:p>
      <w:pPr>
        <w:spacing w:after="0" w:line="257" w:lineRule="exact"/>
        <w:rPr>
          <w:sz w:val="20"/>
          <w:szCs w:val="20"/>
          <w:color w:val="auto"/>
        </w:rPr>
      </w:pPr>
    </w:p>
    <w:tbl>
      <w:tblPr>
        <w:tblLayout w:type="fixed"/>
        <w:tblInd w:w="0" w:type="dxa"/>
        <w:tblCellMar>
          <w:top w:w="0" w:type="dxa"/>
          <w:left w:w="0" w:type="dxa"/>
          <w:bottom w:w="0" w:type="dxa"/>
          <w:right w:w="0" w:type="dxa"/>
        </w:tblCellMar>
      </w:tblPr>
      <w:tr>
        <w:trPr>
          <w:trHeight w:val="162"/>
        </w:trPr>
        <w:tc>
          <w:tcPr>
            <w:tcW w:w="38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55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080" w:type="dxa"/>
            <w:vAlign w:val="bottom"/>
            <w:gridSpan w:val="2"/>
          </w:tcPr>
          <w:p>
            <w:pPr>
              <w:jc w:val="center"/>
              <w:ind w:right="300"/>
              <w:spacing w:after="0"/>
              <w:rPr>
                <w:sz w:val="20"/>
                <w:szCs w:val="20"/>
                <w:color w:val="auto"/>
              </w:rPr>
            </w:pPr>
            <w:r>
              <w:rPr>
                <w:rFonts w:ascii="Arial" w:cs="Arial" w:eastAsia="Arial" w:hAnsi="Arial"/>
                <w:sz w:val="14"/>
                <w:szCs w:val="14"/>
                <w:b w:val="1"/>
                <w:bCs w:val="1"/>
                <w:color w:val="auto"/>
                <w:w w:val="95"/>
              </w:rPr>
              <w:t>March 31,</w:t>
            </w:r>
          </w:p>
        </w:tc>
        <w:tc>
          <w:tcPr>
            <w:tcW w:w="100" w:type="dxa"/>
            <w:vAlign w:val="bottom"/>
          </w:tcPr>
          <w:p>
            <w:pPr>
              <w:spacing w:after="0"/>
              <w:rPr>
                <w:sz w:val="14"/>
                <w:szCs w:val="14"/>
                <w:color w:val="auto"/>
              </w:rPr>
            </w:pPr>
          </w:p>
        </w:tc>
        <w:tc>
          <w:tcPr>
            <w:tcW w:w="2780" w:type="dxa"/>
            <w:vAlign w:val="bottom"/>
            <w:gridSpan w:val="3"/>
          </w:tcPr>
          <w:p>
            <w:pPr>
              <w:jc w:val="center"/>
              <w:ind w:right="1900"/>
              <w:spacing w:after="0"/>
              <w:rPr>
                <w:sz w:val="20"/>
                <w:szCs w:val="20"/>
                <w:color w:val="auto"/>
              </w:rPr>
            </w:pPr>
            <w:r>
              <w:rPr>
                <w:rFonts w:ascii="Arial" w:cs="Arial" w:eastAsia="Arial" w:hAnsi="Arial"/>
                <w:sz w:val="14"/>
                <w:szCs w:val="14"/>
                <w:b w:val="1"/>
                <w:bCs w:val="1"/>
                <w:color w:val="auto"/>
                <w:w w:val="92"/>
              </w:rPr>
              <w:t>December 31,</w:t>
            </w:r>
          </w:p>
        </w:tc>
        <w:tc>
          <w:tcPr>
            <w:tcW w:w="0" w:type="dxa"/>
            <w:vAlign w:val="bottom"/>
          </w:tcPr>
          <w:p>
            <w:pPr>
              <w:spacing w:after="0"/>
              <w:rPr>
                <w:sz w:val="1"/>
                <w:szCs w:val="1"/>
                <w:color w:val="auto"/>
              </w:rPr>
            </w:pPr>
          </w:p>
        </w:tc>
      </w:tr>
      <w:tr>
        <w:trPr>
          <w:trHeight w:val="171"/>
        </w:trPr>
        <w:tc>
          <w:tcPr>
            <w:tcW w:w="38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5560" w:type="dxa"/>
            <w:vAlign w:val="bottom"/>
            <w:tcBorders>
              <w:bottom w:val="single" w:sz="8" w:color="CFF0FC"/>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940" w:type="dxa"/>
            <w:vAlign w:val="bottom"/>
            <w:tcBorders>
              <w:bottom w:val="single" w:sz="8" w:color="auto"/>
            </w:tcBorders>
          </w:tcPr>
          <w:p>
            <w:pPr>
              <w:jc w:val="center"/>
              <w:ind w:right="74"/>
              <w:spacing w:after="0"/>
              <w:rPr>
                <w:sz w:val="20"/>
                <w:szCs w:val="20"/>
                <w:color w:val="auto"/>
              </w:rPr>
            </w:pPr>
            <w:r>
              <w:rPr>
                <w:rFonts w:ascii="Arial" w:cs="Arial" w:eastAsia="Arial" w:hAnsi="Arial"/>
                <w:sz w:val="14"/>
                <w:szCs w:val="14"/>
                <w:b w:val="1"/>
                <w:bCs w:val="1"/>
                <w:color w:val="auto"/>
                <w:w w:val="96"/>
              </w:rPr>
              <w:t>2015</w:t>
            </w:r>
          </w:p>
        </w:tc>
        <w:tc>
          <w:tcPr>
            <w:tcW w:w="140" w:type="dxa"/>
            <w:vAlign w:val="bottom"/>
            <w:tcBorders>
              <w:bottom w:val="single" w:sz="8" w:color="CFF0FC"/>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1000" w:type="dxa"/>
            <w:vAlign w:val="bottom"/>
            <w:tcBorders>
              <w:bottom w:val="single" w:sz="8" w:color="auto"/>
            </w:tcBorders>
          </w:tcPr>
          <w:p>
            <w:pPr>
              <w:jc w:val="center"/>
              <w:ind w:right="34"/>
              <w:spacing w:after="0"/>
              <w:rPr>
                <w:sz w:val="20"/>
                <w:szCs w:val="20"/>
                <w:color w:val="auto"/>
              </w:rPr>
            </w:pPr>
            <w:r>
              <w:rPr>
                <w:rFonts w:ascii="Arial" w:cs="Arial" w:eastAsia="Arial" w:hAnsi="Arial"/>
                <w:sz w:val="14"/>
                <w:szCs w:val="14"/>
                <w:b w:val="1"/>
                <w:bCs w:val="1"/>
                <w:color w:val="auto"/>
                <w:w w:val="89"/>
              </w:rPr>
              <w:t>2014</w:t>
            </w:r>
          </w:p>
        </w:tc>
        <w:tc>
          <w:tcPr>
            <w:tcW w:w="80" w:type="dxa"/>
            <w:vAlign w:val="bottom"/>
            <w:tcBorders>
              <w:bottom w:val="single" w:sz="8" w:color="CFF0FC"/>
            </w:tcBorders>
          </w:tcPr>
          <w:p>
            <w:pPr>
              <w:spacing w:after="0"/>
              <w:rPr>
                <w:sz w:val="14"/>
                <w:szCs w:val="14"/>
                <w:color w:val="auto"/>
              </w:rPr>
            </w:pPr>
          </w:p>
        </w:tc>
        <w:tc>
          <w:tcPr>
            <w:tcW w:w="17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23"/>
        </w:trPr>
        <w:tc>
          <w:tcPr>
            <w:tcW w:w="380" w:type="dxa"/>
            <w:vAlign w:val="bottom"/>
          </w:tcPr>
          <w:p>
            <w:pPr>
              <w:spacing w:after="0"/>
              <w:rPr>
                <w:sz w:val="19"/>
                <w:szCs w:val="19"/>
                <w:color w:val="auto"/>
              </w:rPr>
            </w:pPr>
          </w:p>
        </w:tc>
        <w:tc>
          <w:tcPr>
            <w:tcW w:w="1340" w:type="dxa"/>
            <w:vAlign w:val="bottom"/>
          </w:tcPr>
          <w:p>
            <w:pPr>
              <w:spacing w:after="0"/>
              <w:rPr>
                <w:sz w:val="19"/>
                <w:szCs w:val="19"/>
                <w:color w:val="auto"/>
              </w:rPr>
            </w:pPr>
          </w:p>
        </w:tc>
        <w:tc>
          <w:tcPr>
            <w:tcW w:w="5560" w:type="dxa"/>
            <w:vAlign w:val="bottom"/>
            <w:shd w:val="clear" w:color="auto" w:fill="CFF0FC"/>
          </w:tcPr>
          <w:p>
            <w:pPr>
              <w:spacing w:after="0"/>
              <w:rPr>
                <w:sz w:val="20"/>
                <w:szCs w:val="20"/>
                <w:color w:val="auto"/>
              </w:rPr>
            </w:pPr>
            <w:r>
              <w:rPr>
                <w:rFonts w:ascii="Arial" w:cs="Arial" w:eastAsia="Arial" w:hAnsi="Arial"/>
                <w:sz w:val="18"/>
                <w:szCs w:val="18"/>
                <w:color w:val="auto"/>
              </w:rPr>
              <w:t>Accrued payroll and related costs</w:t>
            </w:r>
          </w:p>
        </w:tc>
        <w:tc>
          <w:tcPr>
            <w:tcW w:w="160" w:type="dxa"/>
            <w:vAlign w:val="bottom"/>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9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16,558</w:t>
            </w:r>
          </w:p>
        </w:tc>
        <w:tc>
          <w:tcPr>
            <w:tcW w:w="140" w:type="dxa"/>
            <w:vAlign w:val="bottom"/>
            <w:shd w:val="clear" w:color="auto" w:fill="CFF0FC"/>
          </w:tcPr>
          <w:p>
            <w:pPr>
              <w:spacing w:after="0"/>
              <w:rPr>
                <w:sz w:val="19"/>
                <w:szCs w:val="19"/>
                <w:color w:val="auto"/>
              </w:rPr>
            </w:pPr>
          </w:p>
        </w:tc>
        <w:tc>
          <w:tcPr>
            <w:tcW w:w="100" w:type="dxa"/>
            <w:vAlign w:val="bottom"/>
            <w:shd w:val="clear" w:color="auto" w:fill="CFF0FC"/>
          </w:tcPr>
          <w:p>
            <w:pPr>
              <w:jc w:val="right"/>
              <w:spacing w:after="0"/>
              <w:rPr>
                <w:sz w:val="20"/>
                <w:szCs w:val="20"/>
                <w:color w:val="auto"/>
              </w:rPr>
            </w:pPr>
            <w:r>
              <w:rPr>
                <w:rFonts w:ascii="Arial" w:cs="Arial" w:eastAsia="Arial" w:hAnsi="Arial"/>
                <w:sz w:val="15"/>
                <w:szCs w:val="15"/>
                <w:color w:val="auto"/>
                <w:w w:val="71"/>
              </w:rPr>
              <w:t>$</w:t>
            </w:r>
          </w:p>
        </w:tc>
        <w:tc>
          <w:tcPr>
            <w:tcW w:w="10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24,717</w:t>
            </w:r>
          </w:p>
        </w:tc>
        <w:tc>
          <w:tcPr>
            <w:tcW w:w="80" w:type="dxa"/>
            <w:vAlign w:val="bottom"/>
            <w:shd w:val="clear" w:color="auto" w:fill="CFF0FC"/>
          </w:tcPr>
          <w:p>
            <w:pPr>
              <w:spacing w:after="0"/>
              <w:rPr>
                <w:sz w:val="19"/>
                <w:szCs w:val="19"/>
                <w:color w:val="auto"/>
              </w:rPr>
            </w:pPr>
          </w:p>
        </w:tc>
        <w:tc>
          <w:tcPr>
            <w:tcW w:w="17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380" w:type="dxa"/>
            <w:vAlign w:val="bottom"/>
          </w:tcPr>
          <w:p>
            <w:pPr>
              <w:spacing w:after="0"/>
              <w:rPr>
                <w:sz w:val="19"/>
                <w:szCs w:val="19"/>
                <w:color w:val="auto"/>
              </w:rPr>
            </w:pPr>
          </w:p>
        </w:tc>
        <w:tc>
          <w:tcPr>
            <w:tcW w:w="1340" w:type="dxa"/>
            <w:vAlign w:val="bottom"/>
          </w:tcPr>
          <w:p>
            <w:pPr>
              <w:spacing w:after="0"/>
              <w:rPr>
                <w:sz w:val="19"/>
                <w:szCs w:val="19"/>
                <w:color w:val="auto"/>
              </w:rPr>
            </w:pPr>
          </w:p>
        </w:tc>
        <w:tc>
          <w:tcPr>
            <w:tcW w:w="5560" w:type="dxa"/>
            <w:vAlign w:val="bottom"/>
          </w:tcPr>
          <w:p>
            <w:pPr>
              <w:spacing w:after="0"/>
              <w:rPr>
                <w:sz w:val="20"/>
                <w:szCs w:val="20"/>
                <w:color w:val="auto"/>
              </w:rPr>
            </w:pPr>
            <w:r>
              <w:rPr>
                <w:rFonts w:ascii="Arial" w:cs="Arial" w:eastAsia="Arial" w:hAnsi="Arial"/>
                <w:sz w:val="18"/>
                <w:szCs w:val="18"/>
                <w:color w:val="auto"/>
              </w:rPr>
              <w:t>Warranty reserves (Note 15)</w:t>
            </w:r>
          </w:p>
        </w:tc>
        <w:tc>
          <w:tcPr>
            <w:tcW w:w="160" w:type="dxa"/>
            <w:vAlign w:val="bottom"/>
          </w:tcPr>
          <w:p>
            <w:pPr>
              <w:spacing w:after="0"/>
              <w:rPr>
                <w:sz w:val="19"/>
                <w:szCs w:val="19"/>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33,965</w:t>
            </w:r>
          </w:p>
        </w:tc>
        <w:tc>
          <w:tcPr>
            <w:tcW w:w="1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33,270</w:t>
            </w:r>
          </w:p>
        </w:tc>
        <w:tc>
          <w:tcPr>
            <w:tcW w:w="80" w:type="dxa"/>
            <w:vAlign w:val="bottom"/>
          </w:tcPr>
          <w:p>
            <w:pPr>
              <w:spacing w:after="0"/>
              <w:rPr>
                <w:sz w:val="19"/>
                <w:szCs w:val="19"/>
                <w:color w:val="auto"/>
              </w:rPr>
            </w:pPr>
          </w:p>
        </w:tc>
        <w:tc>
          <w:tcPr>
            <w:tcW w:w="17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380" w:type="dxa"/>
            <w:vAlign w:val="bottom"/>
          </w:tcPr>
          <w:p>
            <w:pPr>
              <w:spacing w:after="0"/>
              <w:rPr>
                <w:sz w:val="19"/>
                <w:szCs w:val="19"/>
                <w:color w:val="auto"/>
              </w:rPr>
            </w:pPr>
          </w:p>
        </w:tc>
        <w:tc>
          <w:tcPr>
            <w:tcW w:w="1340" w:type="dxa"/>
            <w:vAlign w:val="bottom"/>
          </w:tcPr>
          <w:p>
            <w:pPr>
              <w:spacing w:after="0"/>
              <w:rPr>
                <w:sz w:val="19"/>
                <w:szCs w:val="19"/>
                <w:color w:val="auto"/>
              </w:rPr>
            </w:pPr>
          </w:p>
        </w:tc>
        <w:tc>
          <w:tcPr>
            <w:tcW w:w="5560" w:type="dxa"/>
            <w:vAlign w:val="bottom"/>
            <w:shd w:val="clear" w:color="auto" w:fill="CFF0FC"/>
          </w:tcPr>
          <w:p>
            <w:pPr>
              <w:spacing w:after="0"/>
              <w:rPr>
                <w:sz w:val="20"/>
                <w:szCs w:val="20"/>
                <w:color w:val="auto"/>
              </w:rPr>
            </w:pPr>
            <w:r>
              <w:rPr>
                <w:rFonts w:ascii="Arial" w:cs="Arial" w:eastAsia="Arial" w:hAnsi="Arial"/>
                <w:sz w:val="18"/>
                <w:szCs w:val="18"/>
                <w:color w:val="auto"/>
              </w:rPr>
              <w:t>Estimated cost for completion</w:t>
            </w:r>
          </w:p>
        </w:tc>
        <w:tc>
          <w:tcPr>
            <w:tcW w:w="160" w:type="dxa"/>
            <w:vAlign w:val="bottom"/>
            <w:shd w:val="clear" w:color="auto" w:fill="CFF0FC"/>
          </w:tcPr>
          <w:p>
            <w:pPr>
              <w:spacing w:after="0"/>
              <w:rPr>
                <w:sz w:val="19"/>
                <w:szCs w:val="19"/>
                <w:color w:val="auto"/>
              </w:rPr>
            </w:pPr>
          </w:p>
        </w:tc>
        <w:tc>
          <w:tcPr>
            <w:tcW w:w="9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53,737</w:t>
            </w:r>
          </w:p>
        </w:tc>
        <w:tc>
          <w:tcPr>
            <w:tcW w:w="14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0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54,437</w:t>
            </w:r>
          </w:p>
        </w:tc>
        <w:tc>
          <w:tcPr>
            <w:tcW w:w="80" w:type="dxa"/>
            <w:vAlign w:val="bottom"/>
            <w:shd w:val="clear" w:color="auto" w:fill="CFF0FC"/>
          </w:tcPr>
          <w:p>
            <w:pPr>
              <w:spacing w:after="0"/>
              <w:rPr>
                <w:sz w:val="19"/>
                <w:szCs w:val="19"/>
                <w:color w:val="auto"/>
              </w:rPr>
            </w:pPr>
          </w:p>
        </w:tc>
        <w:tc>
          <w:tcPr>
            <w:tcW w:w="17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380" w:type="dxa"/>
            <w:vAlign w:val="bottom"/>
          </w:tcPr>
          <w:p>
            <w:pPr>
              <w:spacing w:after="0"/>
              <w:rPr>
                <w:sz w:val="19"/>
                <w:szCs w:val="19"/>
                <w:color w:val="auto"/>
              </w:rPr>
            </w:pPr>
          </w:p>
        </w:tc>
        <w:tc>
          <w:tcPr>
            <w:tcW w:w="1340" w:type="dxa"/>
            <w:vAlign w:val="bottom"/>
          </w:tcPr>
          <w:p>
            <w:pPr>
              <w:spacing w:after="0"/>
              <w:rPr>
                <w:sz w:val="19"/>
                <w:szCs w:val="19"/>
                <w:color w:val="auto"/>
              </w:rPr>
            </w:pPr>
          </w:p>
        </w:tc>
        <w:tc>
          <w:tcPr>
            <w:tcW w:w="5560" w:type="dxa"/>
            <w:vAlign w:val="bottom"/>
          </w:tcPr>
          <w:p>
            <w:pPr>
              <w:spacing w:after="0"/>
              <w:rPr>
                <w:sz w:val="20"/>
                <w:szCs w:val="20"/>
                <w:color w:val="auto"/>
              </w:rPr>
            </w:pPr>
            <w:r>
              <w:rPr>
                <w:rFonts w:ascii="Arial" w:cs="Arial" w:eastAsia="Arial" w:hAnsi="Arial"/>
                <w:sz w:val="18"/>
                <w:szCs w:val="18"/>
                <w:color w:val="auto"/>
              </w:rPr>
              <w:t>Customer deposits</w:t>
            </w:r>
          </w:p>
        </w:tc>
        <w:tc>
          <w:tcPr>
            <w:tcW w:w="160" w:type="dxa"/>
            <w:vAlign w:val="bottom"/>
          </w:tcPr>
          <w:p>
            <w:pPr>
              <w:spacing w:after="0"/>
              <w:rPr>
                <w:sz w:val="19"/>
                <w:szCs w:val="19"/>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16,536</w:t>
            </w:r>
          </w:p>
        </w:tc>
        <w:tc>
          <w:tcPr>
            <w:tcW w:w="1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14,229</w:t>
            </w:r>
          </w:p>
        </w:tc>
        <w:tc>
          <w:tcPr>
            <w:tcW w:w="80" w:type="dxa"/>
            <w:vAlign w:val="bottom"/>
          </w:tcPr>
          <w:p>
            <w:pPr>
              <w:spacing w:after="0"/>
              <w:rPr>
                <w:sz w:val="19"/>
                <w:szCs w:val="19"/>
                <w:color w:val="auto"/>
              </w:rPr>
            </w:pPr>
          </w:p>
        </w:tc>
        <w:tc>
          <w:tcPr>
            <w:tcW w:w="17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380" w:type="dxa"/>
            <w:vAlign w:val="bottom"/>
          </w:tcPr>
          <w:p>
            <w:pPr>
              <w:spacing w:after="0"/>
              <w:rPr>
                <w:sz w:val="19"/>
                <w:szCs w:val="19"/>
                <w:color w:val="auto"/>
              </w:rPr>
            </w:pPr>
          </w:p>
        </w:tc>
        <w:tc>
          <w:tcPr>
            <w:tcW w:w="1340" w:type="dxa"/>
            <w:vAlign w:val="bottom"/>
          </w:tcPr>
          <w:p>
            <w:pPr>
              <w:spacing w:after="0"/>
              <w:rPr>
                <w:sz w:val="19"/>
                <w:szCs w:val="19"/>
                <w:color w:val="auto"/>
              </w:rPr>
            </w:pPr>
          </w:p>
        </w:tc>
        <w:tc>
          <w:tcPr>
            <w:tcW w:w="5560" w:type="dxa"/>
            <w:vAlign w:val="bottom"/>
            <w:shd w:val="clear" w:color="auto" w:fill="CFF0FC"/>
          </w:tcPr>
          <w:p>
            <w:pPr>
              <w:spacing w:after="0"/>
              <w:rPr>
                <w:sz w:val="20"/>
                <w:szCs w:val="20"/>
                <w:color w:val="auto"/>
              </w:rPr>
            </w:pPr>
            <w:r>
              <w:rPr>
                <w:rFonts w:ascii="Arial" w:cs="Arial" w:eastAsia="Arial" w:hAnsi="Arial"/>
                <w:sz w:val="18"/>
                <w:szCs w:val="18"/>
                <w:color w:val="auto"/>
              </w:rPr>
              <w:t>Debt (nonrecourse) held by VIEs (Note 9)</w:t>
            </w:r>
          </w:p>
        </w:tc>
        <w:tc>
          <w:tcPr>
            <w:tcW w:w="160" w:type="dxa"/>
            <w:vAlign w:val="bottom"/>
            <w:shd w:val="clear" w:color="auto" w:fill="CFF0FC"/>
          </w:tcPr>
          <w:p>
            <w:pPr>
              <w:spacing w:after="0"/>
              <w:rPr>
                <w:sz w:val="19"/>
                <w:szCs w:val="19"/>
                <w:color w:val="auto"/>
              </w:rPr>
            </w:pPr>
          </w:p>
        </w:tc>
        <w:tc>
          <w:tcPr>
            <w:tcW w:w="9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8,770</w:t>
            </w:r>
          </w:p>
        </w:tc>
        <w:tc>
          <w:tcPr>
            <w:tcW w:w="14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0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9,512</w:t>
            </w:r>
          </w:p>
        </w:tc>
        <w:tc>
          <w:tcPr>
            <w:tcW w:w="80" w:type="dxa"/>
            <w:vAlign w:val="bottom"/>
            <w:shd w:val="clear" w:color="auto" w:fill="CFF0FC"/>
          </w:tcPr>
          <w:p>
            <w:pPr>
              <w:spacing w:after="0"/>
              <w:rPr>
                <w:sz w:val="19"/>
                <w:szCs w:val="19"/>
                <w:color w:val="auto"/>
              </w:rPr>
            </w:pPr>
          </w:p>
        </w:tc>
        <w:tc>
          <w:tcPr>
            <w:tcW w:w="17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380" w:type="dxa"/>
            <w:vAlign w:val="bottom"/>
          </w:tcPr>
          <w:p>
            <w:pPr>
              <w:spacing w:after="0"/>
              <w:rPr>
                <w:sz w:val="19"/>
                <w:szCs w:val="19"/>
                <w:color w:val="auto"/>
              </w:rPr>
            </w:pPr>
          </w:p>
        </w:tc>
        <w:tc>
          <w:tcPr>
            <w:tcW w:w="1340" w:type="dxa"/>
            <w:vAlign w:val="bottom"/>
          </w:tcPr>
          <w:p>
            <w:pPr>
              <w:spacing w:after="0"/>
              <w:rPr>
                <w:sz w:val="19"/>
                <w:szCs w:val="19"/>
                <w:color w:val="auto"/>
              </w:rPr>
            </w:pPr>
          </w:p>
        </w:tc>
        <w:tc>
          <w:tcPr>
            <w:tcW w:w="5560" w:type="dxa"/>
            <w:vAlign w:val="bottom"/>
          </w:tcPr>
          <w:p>
            <w:pPr>
              <w:spacing w:after="0"/>
              <w:rPr>
                <w:sz w:val="20"/>
                <w:szCs w:val="20"/>
                <w:color w:val="auto"/>
              </w:rPr>
            </w:pPr>
            <w:r>
              <w:rPr>
                <w:rFonts w:ascii="Arial" w:cs="Arial" w:eastAsia="Arial" w:hAnsi="Arial"/>
                <w:sz w:val="18"/>
                <w:szCs w:val="18"/>
                <w:color w:val="auto"/>
              </w:rPr>
              <w:t>Income tax liability to Weyerhaeuser (Note 18)</w:t>
            </w:r>
          </w:p>
        </w:tc>
        <w:tc>
          <w:tcPr>
            <w:tcW w:w="160" w:type="dxa"/>
            <w:vAlign w:val="bottom"/>
          </w:tcPr>
          <w:p>
            <w:pPr>
              <w:spacing w:after="0"/>
              <w:rPr>
                <w:sz w:val="19"/>
                <w:szCs w:val="19"/>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15,747</w:t>
            </w:r>
          </w:p>
        </w:tc>
        <w:tc>
          <w:tcPr>
            <w:tcW w:w="1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15,659</w:t>
            </w:r>
          </w:p>
        </w:tc>
        <w:tc>
          <w:tcPr>
            <w:tcW w:w="80" w:type="dxa"/>
            <w:vAlign w:val="bottom"/>
          </w:tcPr>
          <w:p>
            <w:pPr>
              <w:spacing w:after="0"/>
              <w:rPr>
                <w:sz w:val="19"/>
                <w:szCs w:val="19"/>
                <w:color w:val="auto"/>
              </w:rPr>
            </w:pPr>
          </w:p>
        </w:tc>
        <w:tc>
          <w:tcPr>
            <w:tcW w:w="17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380" w:type="dxa"/>
            <w:vAlign w:val="bottom"/>
          </w:tcPr>
          <w:p>
            <w:pPr>
              <w:spacing w:after="0"/>
              <w:rPr>
                <w:sz w:val="19"/>
                <w:szCs w:val="19"/>
                <w:color w:val="auto"/>
              </w:rPr>
            </w:pPr>
          </w:p>
        </w:tc>
        <w:tc>
          <w:tcPr>
            <w:tcW w:w="1340" w:type="dxa"/>
            <w:vAlign w:val="bottom"/>
          </w:tcPr>
          <w:p>
            <w:pPr>
              <w:spacing w:after="0"/>
              <w:rPr>
                <w:sz w:val="19"/>
                <w:szCs w:val="19"/>
                <w:color w:val="auto"/>
              </w:rPr>
            </w:pPr>
          </w:p>
        </w:tc>
        <w:tc>
          <w:tcPr>
            <w:tcW w:w="5560" w:type="dxa"/>
            <w:vAlign w:val="bottom"/>
            <w:shd w:val="clear" w:color="auto" w:fill="CFF0FC"/>
          </w:tcPr>
          <w:p>
            <w:pPr>
              <w:spacing w:after="0"/>
              <w:rPr>
                <w:sz w:val="20"/>
                <w:szCs w:val="20"/>
                <w:color w:val="auto"/>
              </w:rPr>
            </w:pPr>
            <w:r>
              <w:rPr>
                <w:rFonts w:ascii="Arial" w:cs="Arial" w:eastAsia="Arial" w:hAnsi="Arial"/>
                <w:sz w:val="18"/>
                <w:szCs w:val="18"/>
                <w:color w:val="auto"/>
              </w:rPr>
              <w:t>Liability for uncertain tax positions (Note 17)</w:t>
            </w:r>
          </w:p>
        </w:tc>
        <w:tc>
          <w:tcPr>
            <w:tcW w:w="160" w:type="dxa"/>
            <w:vAlign w:val="bottom"/>
            <w:shd w:val="clear" w:color="auto" w:fill="CFF0FC"/>
          </w:tcPr>
          <w:p>
            <w:pPr>
              <w:spacing w:after="0"/>
              <w:rPr>
                <w:sz w:val="19"/>
                <w:szCs w:val="19"/>
                <w:color w:val="auto"/>
              </w:rPr>
            </w:pPr>
          </w:p>
        </w:tc>
        <w:tc>
          <w:tcPr>
            <w:tcW w:w="9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14,685</w:t>
            </w:r>
          </w:p>
        </w:tc>
        <w:tc>
          <w:tcPr>
            <w:tcW w:w="14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0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13,797</w:t>
            </w:r>
          </w:p>
        </w:tc>
        <w:tc>
          <w:tcPr>
            <w:tcW w:w="80" w:type="dxa"/>
            <w:vAlign w:val="bottom"/>
            <w:shd w:val="clear" w:color="auto" w:fill="CFF0FC"/>
          </w:tcPr>
          <w:p>
            <w:pPr>
              <w:spacing w:after="0"/>
              <w:rPr>
                <w:sz w:val="19"/>
                <w:szCs w:val="19"/>
                <w:color w:val="auto"/>
              </w:rPr>
            </w:pPr>
          </w:p>
        </w:tc>
        <w:tc>
          <w:tcPr>
            <w:tcW w:w="17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380" w:type="dxa"/>
            <w:vAlign w:val="bottom"/>
          </w:tcPr>
          <w:p>
            <w:pPr>
              <w:spacing w:after="0"/>
              <w:rPr>
                <w:sz w:val="19"/>
                <w:szCs w:val="19"/>
                <w:color w:val="auto"/>
              </w:rPr>
            </w:pPr>
          </w:p>
        </w:tc>
        <w:tc>
          <w:tcPr>
            <w:tcW w:w="1340" w:type="dxa"/>
            <w:vAlign w:val="bottom"/>
          </w:tcPr>
          <w:p>
            <w:pPr>
              <w:spacing w:after="0"/>
              <w:rPr>
                <w:sz w:val="19"/>
                <w:szCs w:val="19"/>
                <w:color w:val="auto"/>
              </w:rPr>
            </w:pPr>
          </w:p>
        </w:tc>
        <w:tc>
          <w:tcPr>
            <w:tcW w:w="5560" w:type="dxa"/>
            <w:vAlign w:val="bottom"/>
          </w:tcPr>
          <w:p>
            <w:pPr>
              <w:spacing w:after="0"/>
              <w:rPr>
                <w:sz w:val="20"/>
                <w:szCs w:val="20"/>
                <w:color w:val="auto"/>
              </w:rPr>
            </w:pPr>
            <w:r>
              <w:rPr>
                <w:rFonts w:ascii="Arial" w:cs="Arial" w:eastAsia="Arial" w:hAnsi="Arial"/>
                <w:sz w:val="18"/>
                <w:szCs w:val="18"/>
                <w:color w:val="auto"/>
              </w:rPr>
              <w:t>Accrued interest on Senior Notes and notes payable</w:t>
            </w:r>
          </w:p>
        </w:tc>
        <w:tc>
          <w:tcPr>
            <w:tcW w:w="160" w:type="dxa"/>
            <w:vAlign w:val="bottom"/>
          </w:tcPr>
          <w:p>
            <w:pPr>
              <w:spacing w:after="0"/>
              <w:rPr>
                <w:sz w:val="19"/>
                <w:szCs w:val="19"/>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14,683</w:t>
            </w:r>
          </w:p>
        </w:tc>
        <w:tc>
          <w:tcPr>
            <w:tcW w:w="1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3,059</w:t>
            </w:r>
          </w:p>
        </w:tc>
        <w:tc>
          <w:tcPr>
            <w:tcW w:w="80" w:type="dxa"/>
            <w:vAlign w:val="bottom"/>
          </w:tcPr>
          <w:p>
            <w:pPr>
              <w:spacing w:after="0"/>
              <w:rPr>
                <w:sz w:val="19"/>
                <w:szCs w:val="19"/>
                <w:color w:val="auto"/>
              </w:rPr>
            </w:pPr>
          </w:p>
        </w:tc>
        <w:tc>
          <w:tcPr>
            <w:tcW w:w="17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380" w:type="dxa"/>
            <w:vAlign w:val="bottom"/>
          </w:tcPr>
          <w:p>
            <w:pPr>
              <w:spacing w:after="0"/>
              <w:rPr>
                <w:sz w:val="19"/>
                <w:szCs w:val="19"/>
                <w:color w:val="auto"/>
              </w:rPr>
            </w:pPr>
          </w:p>
        </w:tc>
        <w:tc>
          <w:tcPr>
            <w:tcW w:w="1340" w:type="dxa"/>
            <w:vAlign w:val="bottom"/>
          </w:tcPr>
          <w:p>
            <w:pPr>
              <w:spacing w:after="0"/>
              <w:rPr>
                <w:sz w:val="19"/>
                <w:szCs w:val="19"/>
                <w:color w:val="auto"/>
              </w:rPr>
            </w:pPr>
          </w:p>
        </w:tc>
        <w:tc>
          <w:tcPr>
            <w:tcW w:w="5560" w:type="dxa"/>
            <w:vAlign w:val="bottom"/>
            <w:shd w:val="clear" w:color="auto" w:fill="CFF0FC"/>
          </w:tcPr>
          <w:p>
            <w:pPr>
              <w:spacing w:after="0"/>
              <w:rPr>
                <w:sz w:val="20"/>
                <w:szCs w:val="20"/>
                <w:color w:val="auto"/>
              </w:rPr>
            </w:pPr>
            <w:r>
              <w:rPr>
                <w:rFonts w:ascii="Arial" w:cs="Arial" w:eastAsia="Arial" w:hAnsi="Arial"/>
                <w:sz w:val="18"/>
                <w:szCs w:val="18"/>
                <w:color w:val="auto"/>
              </w:rPr>
              <w:t>Accrued insurance expense</w:t>
            </w:r>
          </w:p>
        </w:tc>
        <w:tc>
          <w:tcPr>
            <w:tcW w:w="160" w:type="dxa"/>
            <w:vAlign w:val="bottom"/>
            <w:shd w:val="clear" w:color="auto" w:fill="CFF0FC"/>
          </w:tcPr>
          <w:p>
            <w:pPr>
              <w:spacing w:after="0"/>
              <w:rPr>
                <w:sz w:val="19"/>
                <w:szCs w:val="19"/>
                <w:color w:val="auto"/>
              </w:rPr>
            </w:pPr>
          </w:p>
        </w:tc>
        <w:tc>
          <w:tcPr>
            <w:tcW w:w="9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6,508</w:t>
            </w:r>
          </w:p>
        </w:tc>
        <w:tc>
          <w:tcPr>
            <w:tcW w:w="14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0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9,180</w:t>
            </w:r>
          </w:p>
        </w:tc>
        <w:tc>
          <w:tcPr>
            <w:tcW w:w="80" w:type="dxa"/>
            <w:vAlign w:val="bottom"/>
            <w:shd w:val="clear" w:color="auto" w:fill="CFF0FC"/>
          </w:tcPr>
          <w:p>
            <w:pPr>
              <w:spacing w:after="0"/>
              <w:rPr>
                <w:sz w:val="19"/>
                <w:szCs w:val="19"/>
                <w:color w:val="auto"/>
              </w:rPr>
            </w:pPr>
          </w:p>
        </w:tc>
        <w:tc>
          <w:tcPr>
            <w:tcW w:w="17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380" w:type="dxa"/>
            <w:vAlign w:val="bottom"/>
          </w:tcPr>
          <w:p>
            <w:pPr>
              <w:spacing w:after="0"/>
              <w:rPr>
                <w:sz w:val="19"/>
                <w:szCs w:val="19"/>
                <w:color w:val="auto"/>
              </w:rPr>
            </w:pPr>
          </w:p>
        </w:tc>
        <w:tc>
          <w:tcPr>
            <w:tcW w:w="1340" w:type="dxa"/>
            <w:vAlign w:val="bottom"/>
          </w:tcPr>
          <w:p>
            <w:pPr>
              <w:spacing w:after="0"/>
              <w:rPr>
                <w:sz w:val="19"/>
                <w:szCs w:val="19"/>
                <w:color w:val="auto"/>
              </w:rPr>
            </w:pPr>
          </w:p>
        </w:tc>
        <w:tc>
          <w:tcPr>
            <w:tcW w:w="5560" w:type="dxa"/>
            <w:vAlign w:val="bottom"/>
            <w:tcBorders>
              <w:bottom w:val="single" w:sz="8" w:color="CFF0FC"/>
            </w:tcBorders>
          </w:tcPr>
          <w:p>
            <w:pPr>
              <w:spacing w:after="0"/>
              <w:rPr>
                <w:sz w:val="20"/>
                <w:szCs w:val="20"/>
                <w:color w:val="auto"/>
              </w:rPr>
            </w:pPr>
            <w:r>
              <w:rPr>
                <w:rFonts w:ascii="Arial" w:cs="Arial" w:eastAsia="Arial" w:hAnsi="Arial"/>
                <w:sz w:val="18"/>
                <w:szCs w:val="18"/>
                <w:color w:val="auto"/>
              </w:rPr>
              <w:t>Other</w:t>
            </w:r>
          </w:p>
        </w:tc>
        <w:tc>
          <w:tcPr>
            <w:tcW w:w="160" w:type="dxa"/>
            <w:vAlign w:val="bottom"/>
            <w:tcBorders>
              <w:bottom w:val="single" w:sz="8" w:color="auto"/>
            </w:tcBorders>
          </w:tcPr>
          <w:p>
            <w:pPr>
              <w:spacing w:after="0"/>
              <w:rPr>
                <w:sz w:val="19"/>
                <w:szCs w:val="19"/>
                <w:color w:val="auto"/>
              </w:rPr>
            </w:pP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29,412</w:t>
            </w:r>
          </w:p>
        </w:tc>
        <w:tc>
          <w:tcPr>
            <w:tcW w:w="140" w:type="dxa"/>
            <w:vAlign w:val="bottom"/>
            <w:tcBorders>
              <w:bottom w:val="single" w:sz="8" w:color="CFF0FC"/>
            </w:tcBorders>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10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32,149</w:t>
            </w:r>
          </w:p>
        </w:tc>
        <w:tc>
          <w:tcPr>
            <w:tcW w:w="80" w:type="dxa"/>
            <w:vAlign w:val="bottom"/>
            <w:tcBorders>
              <w:bottom w:val="single" w:sz="8" w:color="CFF0FC"/>
            </w:tcBorders>
          </w:tcPr>
          <w:p>
            <w:pPr>
              <w:spacing w:after="0"/>
              <w:rPr>
                <w:sz w:val="19"/>
                <w:szCs w:val="19"/>
                <w:color w:val="auto"/>
              </w:rPr>
            </w:pPr>
          </w:p>
        </w:tc>
        <w:tc>
          <w:tcPr>
            <w:tcW w:w="17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380" w:type="dxa"/>
            <w:vAlign w:val="bottom"/>
          </w:tcPr>
          <w:p>
            <w:pPr>
              <w:spacing w:after="0"/>
              <w:rPr>
                <w:sz w:val="19"/>
                <w:szCs w:val="19"/>
                <w:color w:val="auto"/>
              </w:rPr>
            </w:pPr>
          </w:p>
        </w:tc>
        <w:tc>
          <w:tcPr>
            <w:tcW w:w="1340" w:type="dxa"/>
            <w:vAlign w:val="bottom"/>
          </w:tcPr>
          <w:p>
            <w:pPr>
              <w:spacing w:after="0"/>
              <w:rPr>
                <w:sz w:val="19"/>
                <w:szCs w:val="19"/>
                <w:color w:val="auto"/>
              </w:rPr>
            </w:pPr>
          </w:p>
        </w:tc>
        <w:tc>
          <w:tcPr>
            <w:tcW w:w="5560" w:type="dxa"/>
            <w:vAlign w:val="bottom"/>
            <w:tcBorders>
              <w:bottom w:val="single" w:sz="8" w:color="CFF0FC"/>
            </w:tcBorders>
            <w:shd w:val="clear" w:color="auto" w:fill="CFF0FC"/>
          </w:tcPr>
          <w:p>
            <w:pPr>
              <w:spacing w:after="0"/>
              <w:rPr>
                <w:sz w:val="20"/>
                <w:szCs w:val="20"/>
                <w:color w:val="auto"/>
              </w:rPr>
            </w:pPr>
            <w:r>
              <w:rPr>
                <w:rFonts w:ascii="Arial" w:cs="Arial" w:eastAsia="Arial" w:hAnsi="Arial"/>
                <w:sz w:val="18"/>
                <w:szCs w:val="18"/>
                <w:color w:val="auto"/>
              </w:rPr>
              <w:t>Total</w:t>
            </w:r>
          </w:p>
        </w:tc>
        <w:tc>
          <w:tcPr>
            <w:tcW w:w="16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94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210,601</w:t>
            </w:r>
          </w:p>
        </w:tc>
        <w:tc>
          <w:tcPr>
            <w:tcW w:w="140" w:type="dxa"/>
            <w:vAlign w:val="bottom"/>
            <w:tcBorders>
              <w:bottom w:val="single" w:sz="8" w:color="CFF0FC"/>
            </w:tcBorders>
            <w:shd w:val="clear" w:color="auto" w:fill="CFF0FC"/>
          </w:tcPr>
          <w:p>
            <w:pPr>
              <w:spacing w:after="0"/>
              <w:rPr>
                <w:sz w:val="19"/>
                <w:szCs w:val="19"/>
                <w:color w:val="auto"/>
              </w:rPr>
            </w:pPr>
          </w:p>
        </w:tc>
        <w:tc>
          <w:tcPr>
            <w:tcW w:w="10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5"/>
                <w:szCs w:val="15"/>
                <w:color w:val="auto"/>
                <w:w w:val="71"/>
              </w:rPr>
              <w:t>$</w:t>
            </w:r>
          </w:p>
        </w:tc>
        <w:tc>
          <w:tcPr>
            <w:tcW w:w="100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210,009</w:t>
            </w:r>
          </w:p>
        </w:tc>
        <w:tc>
          <w:tcPr>
            <w:tcW w:w="80" w:type="dxa"/>
            <w:vAlign w:val="bottom"/>
            <w:tcBorders>
              <w:bottom w:val="single" w:sz="8" w:color="CFF0FC"/>
            </w:tcBorders>
            <w:shd w:val="clear" w:color="auto" w:fill="CFF0FC"/>
          </w:tcPr>
          <w:p>
            <w:pPr>
              <w:spacing w:after="0"/>
              <w:rPr>
                <w:sz w:val="19"/>
                <w:szCs w:val="19"/>
                <w:color w:val="auto"/>
              </w:rPr>
            </w:pPr>
          </w:p>
        </w:tc>
        <w:tc>
          <w:tcPr>
            <w:tcW w:w="17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380" w:type="dxa"/>
            <w:vAlign w:val="bottom"/>
            <w:vMerge w:val="restart"/>
          </w:tcPr>
          <w:p>
            <w:pPr>
              <w:jc w:val="right"/>
              <w:ind w:right="50"/>
              <w:spacing w:after="0"/>
              <w:rPr>
                <w:sz w:val="20"/>
                <w:szCs w:val="20"/>
                <w:color w:val="auto"/>
              </w:rPr>
            </w:pPr>
            <w:r>
              <w:rPr>
                <w:rFonts w:ascii="Arial" w:cs="Arial" w:eastAsia="Arial" w:hAnsi="Arial"/>
                <w:sz w:val="18"/>
                <w:szCs w:val="18"/>
                <w:b w:val="1"/>
                <w:bCs w:val="1"/>
                <w:color w:val="auto"/>
                <w:w w:val="87"/>
              </w:rPr>
              <w:t>13.</w:t>
            </w:r>
          </w:p>
        </w:tc>
        <w:tc>
          <w:tcPr>
            <w:tcW w:w="6900" w:type="dxa"/>
            <w:vAlign w:val="bottom"/>
            <w:gridSpan w:val="2"/>
            <w:vMerge w:val="restart"/>
          </w:tcPr>
          <w:p>
            <w:pPr>
              <w:ind w:left="160"/>
              <w:spacing w:after="0"/>
              <w:rPr>
                <w:sz w:val="20"/>
                <w:szCs w:val="20"/>
                <w:color w:val="auto"/>
              </w:rPr>
            </w:pPr>
            <w:r>
              <w:rPr>
                <w:rFonts w:ascii="Arial" w:cs="Arial" w:eastAsia="Arial" w:hAnsi="Arial"/>
                <w:sz w:val="18"/>
                <w:szCs w:val="18"/>
                <w:b w:val="1"/>
                <w:bCs w:val="1"/>
                <w:color w:val="auto"/>
              </w:rPr>
              <w:t>Senior Notes and Notes Payable and Other Borrowings</w:t>
            </w:r>
          </w:p>
        </w:tc>
        <w:tc>
          <w:tcPr>
            <w:tcW w:w="16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7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602"/>
        </w:trPr>
        <w:tc>
          <w:tcPr>
            <w:tcW w:w="380" w:type="dxa"/>
            <w:vAlign w:val="bottom"/>
            <w:vMerge w:val="continue"/>
          </w:tcPr>
          <w:p>
            <w:pPr>
              <w:spacing w:after="0"/>
              <w:rPr>
                <w:sz w:val="24"/>
                <w:szCs w:val="24"/>
                <w:color w:val="auto"/>
              </w:rPr>
            </w:pPr>
          </w:p>
        </w:tc>
        <w:tc>
          <w:tcPr>
            <w:tcW w:w="6900" w:type="dxa"/>
            <w:vAlign w:val="bottom"/>
            <w:gridSpan w:val="2"/>
            <w:vMerge w:val="continue"/>
          </w:tcPr>
          <w:p>
            <w:pPr>
              <w:spacing w:after="0"/>
              <w:rPr>
                <w:sz w:val="24"/>
                <w:szCs w:val="24"/>
                <w:color w:val="auto"/>
              </w:rPr>
            </w:pPr>
          </w:p>
        </w:tc>
        <w:tc>
          <w:tcPr>
            <w:tcW w:w="16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7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24"/>
        </w:trPr>
        <w:tc>
          <w:tcPr>
            <w:tcW w:w="380" w:type="dxa"/>
            <w:vAlign w:val="bottom"/>
          </w:tcPr>
          <w:p>
            <w:pPr>
              <w:spacing w:after="0"/>
              <w:rPr>
                <w:sz w:val="24"/>
                <w:szCs w:val="24"/>
                <w:color w:val="auto"/>
              </w:rPr>
            </w:pPr>
          </w:p>
        </w:tc>
        <w:tc>
          <w:tcPr>
            <w:tcW w:w="6900" w:type="dxa"/>
            <w:vAlign w:val="bottom"/>
            <w:gridSpan w:val="2"/>
          </w:tcPr>
          <w:p>
            <w:pPr>
              <w:ind w:left="140"/>
              <w:spacing w:after="0"/>
              <w:rPr>
                <w:sz w:val="20"/>
                <w:szCs w:val="20"/>
                <w:color w:val="auto"/>
              </w:rPr>
            </w:pPr>
            <w:r>
              <w:rPr>
                <w:rFonts w:ascii="Arial" w:cs="Arial" w:eastAsia="Arial" w:hAnsi="Arial"/>
                <w:sz w:val="18"/>
                <w:szCs w:val="18"/>
                <w:b w:val="1"/>
                <w:bCs w:val="1"/>
                <w:i w:val="1"/>
                <w:iCs w:val="1"/>
                <w:color w:val="auto"/>
              </w:rPr>
              <w:t>Senior Notes</w:t>
            </w:r>
          </w:p>
        </w:tc>
        <w:tc>
          <w:tcPr>
            <w:tcW w:w="16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7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24"/>
        </w:trPr>
        <w:tc>
          <w:tcPr>
            <w:tcW w:w="380" w:type="dxa"/>
            <w:vAlign w:val="bottom"/>
          </w:tcPr>
          <w:p>
            <w:pPr>
              <w:spacing w:after="0"/>
              <w:rPr>
                <w:sz w:val="24"/>
                <w:szCs w:val="24"/>
                <w:color w:val="auto"/>
              </w:rPr>
            </w:pPr>
          </w:p>
        </w:tc>
        <w:tc>
          <w:tcPr>
            <w:tcW w:w="6900" w:type="dxa"/>
            <w:vAlign w:val="bottom"/>
            <w:gridSpan w:val="2"/>
          </w:tcPr>
          <w:p>
            <w:pPr>
              <w:ind w:left="140"/>
              <w:spacing w:after="0"/>
              <w:rPr>
                <w:sz w:val="20"/>
                <w:szCs w:val="20"/>
                <w:color w:val="auto"/>
              </w:rPr>
            </w:pPr>
            <w:r>
              <w:rPr>
                <w:rFonts w:ascii="Arial" w:cs="Arial" w:eastAsia="Arial" w:hAnsi="Arial"/>
                <w:sz w:val="18"/>
                <w:szCs w:val="18"/>
                <w:color w:val="auto"/>
              </w:rPr>
              <w:t>Senior notes consisted of the following (in thousands):</w:t>
            </w:r>
          </w:p>
        </w:tc>
        <w:tc>
          <w:tcPr>
            <w:tcW w:w="16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7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96"/>
        </w:trPr>
        <w:tc>
          <w:tcPr>
            <w:tcW w:w="380" w:type="dxa"/>
            <w:vAlign w:val="bottom"/>
          </w:tcPr>
          <w:p>
            <w:pPr>
              <w:spacing w:after="0"/>
              <w:rPr>
                <w:sz w:val="24"/>
                <w:szCs w:val="24"/>
                <w:color w:val="auto"/>
              </w:rPr>
            </w:pPr>
          </w:p>
        </w:tc>
        <w:tc>
          <w:tcPr>
            <w:tcW w:w="1340" w:type="dxa"/>
            <w:vAlign w:val="bottom"/>
          </w:tcPr>
          <w:p>
            <w:pPr>
              <w:spacing w:after="0"/>
              <w:rPr>
                <w:sz w:val="24"/>
                <w:szCs w:val="24"/>
                <w:color w:val="auto"/>
              </w:rPr>
            </w:pPr>
          </w:p>
        </w:tc>
        <w:tc>
          <w:tcPr>
            <w:tcW w:w="55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80" w:type="dxa"/>
            <w:vAlign w:val="bottom"/>
            <w:gridSpan w:val="2"/>
          </w:tcPr>
          <w:p>
            <w:pPr>
              <w:jc w:val="center"/>
              <w:ind w:right="300"/>
              <w:spacing w:after="0"/>
              <w:rPr>
                <w:sz w:val="20"/>
                <w:szCs w:val="20"/>
                <w:color w:val="auto"/>
              </w:rPr>
            </w:pPr>
            <w:r>
              <w:rPr>
                <w:rFonts w:ascii="Arial" w:cs="Arial" w:eastAsia="Arial" w:hAnsi="Arial"/>
                <w:sz w:val="14"/>
                <w:szCs w:val="14"/>
                <w:b w:val="1"/>
                <w:bCs w:val="1"/>
                <w:color w:val="auto"/>
                <w:w w:val="95"/>
              </w:rPr>
              <w:t>March 31,</w:t>
            </w:r>
          </w:p>
        </w:tc>
        <w:tc>
          <w:tcPr>
            <w:tcW w:w="100" w:type="dxa"/>
            <w:vAlign w:val="bottom"/>
          </w:tcPr>
          <w:p>
            <w:pPr>
              <w:spacing w:after="0"/>
              <w:rPr>
                <w:sz w:val="24"/>
                <w:szCs w:val="24"/>
                <w:color w:val="auto"/>
              </w:rPr>
            </w:pPr>
          </w:p>
        </w:tc>
        <w:tc>
          <w:tcPr>
            <w:tcW w:w="2780" w:type="dxa"/>
            <w:vAlign w:val="bottom"/>
            <w:gridSpan w:val="3"/>
          </w:tcPr>
          <w:p>
            <w:pPr>
              <w:jc w:val="center"/>
              <w:ind w:right="1900"/>
              <w:spacing w:after="0"/>
              <w:rPr>
                <w:sz w:val="20"/>
                <w:szCs w:val="20"/>
                <w:color w:val="auto"/>
              </w:rPr>
            </w:pPr>
            <w:r>
              <w:rPr>
                <w:rFonts w:ascii="Arial" w:cs="Arial" w:eastAsia="Arial" w:hAnsi="Arial"/>
                <w:sz w:val="14"/>
                <w:szCs w:val="14"/>
                <w:b w:val="1"/>
                <w:bCs w:val="1"/>
                <w:color w:val="auto"/>
                <w:w w:val="92"/>
              </w:rPr>
              <w:t>December 31,</w:t>
            </w:r>
          </w:p>
        </w:tc>
        <w:tc>
          <w:tcPr>
            <w:tcW w:w="0" w:type="dxa"/>
            <w:vAlign w:val="bottom"/>
          </w:tcPr>
          <w:p>
            <w:pPr>
              <w:spacing w:after="0"/>
              <w:rPr>
                <w:sz w:val="1"/>
                <w:szCs w:val="1"/>
                <w:color w:val="auto"/>
              </w:rPr>
            </w:pPr>
          </w:p>
        </w:tc>
      </w:tr>
      <w:tr>
        <w:trPr>
          <w:trHeight w:val="171"/>
        </w:trPr>
        <w:tc>
          <w:tcPr>
            <w:tcW w:w="38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5560" w:type="dxa"/>
            <w:vAlign w:val="bottom"/>
            <w:tcBorders>
              <w:bottom w:val="single" w:sz="8" w:color="CFF0FC"/>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940" w:type="dxa"/>
            <w:vAlign w:val="bottom"/>
            <w:tcBorders>
              <w:bottom w:val="single" w:sz="8" w:color="auto"/>
            </w:tcBorders>
          </w:tcPr>
          <w:p>
            <w:pPr>
              <w:jc w:val="center"/>
              <w:ind w:right="74"/>
              <w:spacing w:after="0"/>
              <w:rPr>
                <w:sz w:val="20"/>
                <w:szCs w:val="20"/>
                <w:color w:val="auto"/>
              </w:rPr>
            </w:pPr>
            <w:r>
              <w:rPr>
                <w:rFonts w:ascii="Arial" w:cs="Arial" w:eastAsia="Arial" w:hAnsi="Arial"/>
                <w:sz w:val="14"/>
                <w:szCs w:val="14"/>
                <w:b w:val="1"/>
                <w:bCs w:val="1"/>
                <w:color w:val="auto"/>
                <w:w w:val="96"/>
              </w:rPr>
              <w:t>2015</w:t>
            </w:r>
          </w:p>
        </w:tc>
        <w:tc>
          <w:tcPr>
            <w:tcW w:w="140" w:type="dxa"/>
            <w:vAlign w:val="bottom"/>
            <w:tcBorders>
              <w:bottom w:val="single" w:sz="8" w:color="CFF0FC"/>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1000" w:type="dxa"/>
            <w:vAlign w:val="bottom"/>
            <w:tcBorders>
              <w:bottom w:val="single" w:sz="8" w:color="auto"/>
            </w:tcBorders>
          </w:tcPr>
          <w:p>
            <w:pPr>
              <w:jc w:val="center"/>
              <w:ind w:right="34"/>
              <w:spacing w:after="0"/>
              <w:rPr>
                <w:sz w:val="20"/>
                <w:szCs w:val="20"/>
                <w:color w:val="auto"/>
              </w:rPr>
            </w:pPr>
            <w:r>
              <w:rPr>
                <w:rFonts w:ascii="Arial" w:cs="Arial" w:eastAsia="Arial" w:hAnsi="Arial"/>
                <w:sz w:val="14"/>
                <w:szCs w:val="14"/>
                <w:b w:val="1"/>
                <w:bCs w:val="1"/>
                <w:color w:val="auto"/>
                <w:w w:val="89"/>
              </w:rPr>
              <w:t>2014</w:t>
            </w:r>
          </w:p>
        </w:tc>
        <w:tc>
          <w:tcPr>
            <w:tcW w:w="80" w:type="dxa"/>
            <w:vAlign w:val="bottom"/>
            <w:tcBorders>
              <w:bottom w:val="single" w:sz="8" w:color="CFF0FC"/>
            </w:tcBorders>
          </w:tcPr>
          <w:p>
            <w:pPr>
              <w:spacing w:after="0"/>
              <w:rPr>
                <w:sz w:val="14"/>
                <w:szCs w:val="14"/>
                <w:color w:val="auto"/>
              </w:rPr>
            </w:pPr>
          </w:p>
        </w:tc>
        <w:tc>
          <w:tcPr>
            <w:tcW w:w="17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23"/>
        </w:trPr>
        <w:tc>
          <w:tcPr>
            <w:tcW w:w="380" w:type="dxa"/>
            <w:vAlign w:val="bottom"/>
          </w:tcPr>
          <w:p>
            <w:pPr>
              <w:spacing w:after="0"/>
              <w:rPr>
                <w:sz w:val="19"/>
                <w:szCs w:val="19"/>
                <w:color w:val="auto"/>
              </w:rPr>
            </w:pPr>
          </w:p>
        </w:tc>
        <w:tc>
          <w:tcPr>
            <w:tcW w:w="1340" w:type="dxa"/>
            <w:vAlign w:val="bottom"/>
          </w:tcPr>
          <w:p>
            <w:pPr>
              <w:spacing w:after="0"/>
              <w:rPr>
                <w:sz w:val="19"/>
                <w:szCs w:val="19"/>
                <w:color w:val="auto"/>
              </w:rPr>
            </w:pPr>
          </w:p>
        </w:tc>
        <w:tc>
          <w:tcPr>
            <w:tcW w:w="5560" w:type="dxa"/>
            <w:vAlign w:val="bottom"/>
            <w:shd w:val="clear" w:color="auto" w:fill="CFF0FC"/>
          </w:tcPr>
          <w:p>
            <w:pPr>
              <w:spacing w:after="0"/>
              <w:rPr>
                <w:sz w:val="20"/>
                <w:szCs w:val="20"/>
                <w:color w:val="auto"/>
              </w:rPr>
            </w:pPr>
            <w:r>
              <w:rPr>
                <w:rFonts w:ascii="Arial" w:cs="Arial" w:eastAsia="Arial" w:hAnsi="Arial"/>
                <w:sz w:val="18"/>
                <w:szCs w:val="18"/>
                <w:color w:val="auto"/>
              </w:rPr>
              <w:t>4.375% Senior Notes due June 15, 2019, net of discount</w:t>
            </w:r>
          </w:p>
        </w:tc>
        <w:tc>
          <w:tcPr>
            <w:tcW w:w="160" w:type="dxa"/>
            <w:vAlign w:val="bottom"/>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9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445,727</w:t>
            </w:r>
          </w:p>
        </w:tc>
        <w:tc>
          <w:tcPr>
            <w:tcW w:w="140" w:type="dxa"/>
            <w:vAlign w:val="bottom"/>
            <w:shd w:val="clear" w:color="auto" w:fill="CFF0FC"/>
          </w:tcPr>
          <w:p>
            <w:pPr>
              <w:spacing w:after="0"/>
              <w:rPr>
                <w:sz w:val="19"/>
                <w:szCs w:val="19"/>
                <w:color w:val="auto"/>
              </w:rPr>
            </w:pPr>
          </w:p>
        </w:tc>
        <w:tc>
          <w:tcPr>
            <w:tcW w:w="100" w:type="dxa"/>
            <w:vAlign w:val="bottom"/>
            <w:shd w:val="clear" w:color="auto" w:fill="CFF0FC"/>
          </w:tcPr>
          <w:p>
            <w:pPr>
              <w:jc w:val="right"/>
              <w:spacing w:after="0"/>
              <w:rPr>
                <w:sz w:val="20"/>
                <w:szCs w:val="20"/>
                <w:color w:val="auto"/>
              </w:rPr>
            </w:pPr>
            <w:r>
              <w:rPr>
                <w:rFonts w:ascii="Arial" w:cs="Arial" w:eastAsia="Arial" w:hAnsi="Arial"/>
                <w:sz w:val="15"/>
                <w:szCs w:val="15"/>
                <w:color w:val="auto"/>
                <w:w w:val="71"/>
              </w:rPr>
              <w:t>$</w:t>
            </w:r>
          </w:p>
        </w:tc>
        <w:tc>
          <w:tcPr>
            <w:tcW w:w="10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445,501</w:t>
            </w:r>
          </w:p>
        </w:tc>
        <w:tc>
          <w:tcPr>
            <w:tcW w:w="80" w:type="dxa"/>
            <w:vAlign w:val="bottom"/>
            <w:shd w:val="clear" w:color="auto" w:fill="CFF0FC"/>
          </w:tcPr>
          <w:p>
            <w:pPr>
              <w:spacing w:after="0"/>
              <w:rPr>
                <w:sz w:val="19"/>
                <w:szCs w:val="19"/>
                <w:color w:val="auto"/>
              </w:rPr>
            </w:pPr>
          </w:p>
        </w:tc>
        <w:tc>
          <w:tcPr>
            <w:tcW w:w="17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380" w:type="dxa"/>
            <w:vAlign w:val="bottom"/>
          </w:tcPr>
          <w:p>
            <w:pPr>
              <w:spacing w:after="0"/>
              <w:rPr>
                <w:sz w:val="19"/>
                <w:szCs w:val="19"/>
                <w:color w:val="auto"/>
              </w:rPr>
            </w:pPr>
          </w:p>
        </w:tc>
        <w:tc>
          <w:tcPr>
            <w:tcW w:w="1340" w:type="dxa"/>
            <w:vAlign w:val="bottom"/>
          </w:tcPr>
          <w:p>
            <w:pPr>
              <w:spacing w:after="0"/>
              <w:rPr>
                <w:sz w:val="19"/>
                <w:szCs w:val="19"/>
                <w:color w:val="auto"/>
              </w:rPr>
            </w:pPr>
          </w:p>
        </w:tc>
        <w:tc>
          <w:tcPr>
            <w:tcW w:w="5560" w:type="dxa"/>
            <w:vAlign w:val="bottom"/>
            <w:tcBorders>
              <w:bottom w:val="single" w:sz="8" w:color="CFF0FC"/>
            </w:tcBorders>
          </w:tcPr>
          <w:p>
            <w:pPr>
              <w:spacing w:after="0"/>
              <w:rPr>
                <w:sz w:val="20"/>
                <w:szCs w:val="20"/>
                <w:color w:val="auto"/>
              </w:rPr>
            </w:pPr>
            <w:r>
              <w:rPr>
                <w:rFonts w:ascii="Arial" w:cs="Arial" w:eastAsia="Arial" w:hAnsi="Arial"/>
                <w:sz w:val="18"/>
                <w:szCs w:val="18"/>
                <w:color w:val="auto"/>
              </w:rPr>
              <w:t>5.875% Senior Notes due June 15, 2024, net of discount</w:t>
            </w:r>
          </w:p>
        </w:tc>
        <w:tc>
          <w:tcPr>
            <w:tcW w:w="160" w:type="dxa"/>
            <w:vAlign w:val="bottom"/>
            <w:tcBorders>
              <w:bottom w:val="single" w:sz="8" w:color="auto"/>
            </w:tcBorders>
          </w:tcPr>
          <w:p>
            <w:pPr>
              <w:spacing w:after="0"/>
              <w:rPr>
                <w:sz w:val="19"/>
                <w:szCs w:val="19"/>
                <w:color w:val="auto"/>
              </w:rPr>
            </w:pP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442,155</w:t>
            </w:r>
          </w:p>
        </w:tc>
        <w:tc>
          <w:tcPr>
            <w:tcW w:w="140" w:type="dxa"/>
            <w:vAlign w:val="bottom"/>
            <w:tcBorders>
              <w:bottom w:val="single" w:sz="8" w:color="CFF0FC"/>
            </w:tcBorders>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10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442,001</w:t>
            </w:r>
          </w:p>
        </w:tc>
        <w:tc>
          <w:tcPr>
            <w:tcW w:w="80" w:type="dxa"/>
            <w:vAlign w:val="bottom"/>
            <w:tcBorders>
              <w:bottom w:val="single" w:sz="8" w:color="CFF0FC"/>
            </w:tcBorders>
          </w:tcPr>
          <w:p>
            <w:pPr>
              <w:spacing w:after="0"/>
              <w:rPr>
                <w:sz w:val="19"/>
                <w:szCs w:val="19"/>
                <w:color w:val="auto"/>
              </w:rPr>
            </w:pPr>
          </w:p>
        </w:tc>
        <w:tc>
          <w:tcPr>
            <w:tcW w:w="17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380" w:type="dxa"/>
            <w:vAlign w:val="bottom"/>
          </w:tcPr>
          <w:p>
            <w:pPr>
              <w:spacing w:after="0"/>
              <w:rPr>
                <w:sz w:val="19"/>
                <w:szCs w:val="19"/>
                <w:color w:val="auto"/>
              </w:rPr>
            </w:pPr>
          </w:p>
        </w:tc>
        <w:tc>
          <w:tcPr>
            <w:tcW w:w="1340" w:type="dxa"/>
            <w:vAlign w:val="bottom"/>
          </w:tcPr>
          <w:p>
            <w:pPr>
              <w:spacing w:after="0"/>
              <w:rPr>
                <w:sz w:val="19"/>
                <w:szCs w:val="19"/>
                <w:color w:val="auto"/>
              </w:rPr>
            </w:pPr>
          </w:p>
        </w:tc>
        <w:tc>
          <w:tcPr>
            <w:tcW w:w="5560" w:type="dxa"/>
            <w:vAlign w:val="bottom"/>
            <w:tcBorders>
              <w:bottom w:val="single" w:sz="8" w:color="CFF0FC"/>
            </w:tcBorders>
            <w:shd w:val="clear" w:color="auto" w:fill="CFF0FC"/>
          </w:tcPr>
          <w:p>
            <w:pPr>
              <w:spacing w:after="0"/>
              <w:rPr>
                <w:sz w:val="20"/>
                <w:szCs w:val="20"/>
                <w:color w:val="auto"/>
              </w:rPr>
            </w:pPr>
            <w:r>
              <w:rPr>
                <w:rFonts w:ascii="Arial" w:cs="Arial" w:eastAsia="Arial" w:hAnsi="Arial"/>
                <w:sz w:val="18"/>
                <w:szCs w:val="18"/>
                <w:color w:val="auto"/>
              </w:rPr>
              <w:t>Total</w:t>
            </w:r>
          </w:p>
        </w:tc>
        <w:tc>
          <w:tcPr>
            <w:tcW w:w="16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94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887,882</w:t>
            </w:r>
          </w:p>
        </w:tc>
        <w:tc>
          <w:tcPr>
            <w:tcW w:w="140" w:type="dxa"/>
            <w:vAlign w:val="bottom"/>
            <w:tcBorders>
              <w:bottom w:val="single" w:sz="8" w:color="CFF0FC"/>
            </w:tcBorders>
            <w:shd w:val="clear" w:color="auto" w:fill="CFF0FC"/>
          </w:tcPr>
          <w:p>
            <w:pPr>
              <w:spacing w:after="0"/>
              <w:rPr>
                <w:sz w:val="19"/>
                <w:szCs w:val="19"/>
                <w:color w:val="auto"/>
              </w:rPr>
            </w:pPr>
          </w:p>
        </w:tc>
        <w:tc>
          <w:tcPr>
            <w:tcW w:w="10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5"/>
                <w:szCs w:val="15"/>
                <w:color w:val="auto"/>
                <w:w w:val="71"/>
              </w:rPr>
              <w:t>$</w:t>
            </w:r>
          </w:p>
        </w:tc>
        <w:tc>
          <w:tcPr>
            <w:tcW w:w="100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887,502</w:t>
            </w:r>
          </w:p>
        </w:tc>
        <w:tc>
          <w:tcPr>
            <w:tcW w:w="80" w:type="dxa"/>
            <w:vAlign w:val="bottom"/>
            <w:tcBorders>
              <w:bottom w:val="single" w:sz="8" w:color="CFF0FC"/>
            </w:tcBorders>
            <w:shd w:val="clear" w:color="auto" w:fill="CFF0FC"/>
          </w:tcPr>
          <w:p>
            <w:pPr>
              <w:spacing w:after="0"/>
              <w:rPr>
                <w:sz w:val="19"/>
                <w:szCs w:val="19"/>
                <w:color w:val="auto"/>
              </w:rPr>
            </w:pPr>
          </w:p>
        </w:tc>
        <w:tc>
          <w:tcPr>
            <w:tcW w:w="17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380" w:type="dxa"/>
            <w:vAlign w:val="bottom"/>
          </w:tcPr>
          <w:p>
            <w:pPr>
              <w:spacing w:after="0" w:line="20" w:lineRule="exact"/>
              <w:rPr>
                <w:sz w:val="1"/>
                <w:szCs w:val="1"/>
                <w:color w:val="auto"/>
              </w:rPr>
            </w:pPr>
          </w:p>
        </w:tc>
        <w:tc>
          <w:tcPr>
            <w:tcW w:w="6900" w:type="dxa"/>
            <w:vAlign w:val="bottom"/>
            <w:gridSpan w:val="2"/>
          </w:tcPr>
          <w:p>
            <w:pPr>
              <w:spacing w:after="0" w:line="20" w:lineRule="exact"/>
              <w:rPr>
                <w:sz w:val="1"/>
                <w:szCs w:val="1"/>
                <w:color w:val="auto"/>
              </w:rPr>
            </w:pPr>
          </w:p>
        </w:tc>
        <w:tc>
          <w:tcPr>
            <w:tcW w:w="1100" w:type="dxa"/>
            <w:vAlign w:val="bottom"/>
            <w:tcBorders>
              <w:bottom w:val="single" w:sz="8" w:color="auto"/>
            </w:tcBorders>
            <w:gridSpan w:val="2"/>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100" w:type="dxa"/>
            <w:vAlign w:val="bottom"/>
            <w:tcBorders>
              <w:bottom w:val="single" w:sz="8" w:color="auto"/>
            </w:tcBorders>
            <w:gridSpan w:val="2"/>
          </w:tcPr>
          <w:p>
            <w:pPr>
              <w:spacing w:after="0" w:line="20" w:lineRule="exact"/>
              <w:rPr>
                <w:sz w:val="1"/>
                <w:szCs w:val="1"/>
                <w:color w:val="auto"/>
              </w:rPr>
            </w:pPr>
          </w:p>
        </w:tc>
        <w:tc>
          <w:tcPr>
            <w:tcW w:w="1780" w:type="dxa"/>
            <w:vAlign w:val="bottom"/>
            <w:gridSpan w:val="2"/>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13"/>
        </w:trPr>
        <w:tc>
          <w:tcPr>
            <w:tcW w:w="380" w:type="dxa"/>
            <w:vAlign w:val="bottom"/>
          </w:tcPr>
          <w:p>
            <w:pPr>
              <w:spacing w:after="0"/>
              <w:rPr>
                <w:sz w:val="24"/>
                <w:szCs w:val="24"/>
                <w:color w:val="auto"/>
              </w:rPr>
            </w:pPr>
          </w:p>
        </w:tc>
        <w:tc>
          <w:tcPr>
            <w:tcW w:w="11020" w:type="dxa"/>
            <w:vAlign w:val="bottom"/>
            <w:gridSpan w:val="9"/>
          </w:tcPr>
          <w:p>
            <w:pPr>
              <w:ind w:left="140"/>
              <w:spacing w:after="0"/>
              <w:rPr>
                <w:sz w:val="20"/>
                <w:szCs w:val="20"/>
                <w:color w:val="auto"/>
              </w:rPr>
            </w:pPr>
            <w:r>
              <w:rPr>
                <w:rFonts w:ascii="Arial" w:cs="Arial" w:eastAsia="Arial" w:hAnsi="Arial"/>
                <w:sz w:val="18"/>
                <w:szCs w:val="18"/>
                <w:color w:val="auto"/>
                <w:w w:val="90"/>
              </w:rPr>
              <w:t xml:space="preserve">As discussed in Note 2, </w:t>
            </w:r>
            <w:r>
              <w:rPr>
                <w:rFonts w:ascii="Arial" w:cs="Arial" w:eastAsia="Arial" w:hAnsi="Arial"/>
                <w:sz w:val="18"/>
                <w:szCs w:val="18"/>
                <w:i w:val="1"/>
                <w:iCs w:val="1"/>
                <w:color w:val="auto"/>
                <w:w w:val="90"/>
              </w:rPr>
              <w:t>Merger with Weyerhaeuser Real Estate Company</w:t>
            </w:r>
            <w:r>
              <w:rPr>
                <w:rFonts w:ascii="Arial" w:cs="Arial" w:eastAsia="Arial" w:hAnsi="Arial"/>
                <w:sz w:val="18"/>
                <w:szCs w:val="18"/>
                <w:color w:val="auto"/>
                <w:w w:val="90"/>
              </w:rPr>
              <w:t>, on the Closing Date, TRI Pointe assumed WRECO’s obligations as issuer of</w:t>
            </w:r>
          </w:p>
        </w:tc>
        <w:tc>
          <w:tcPr>
            <w:tcW w:w="0" w:type="dxa"/>
            <w:vAlign w:val="bottom"/>
          </w:tcPr>
          <w:p>
            <w:pPr>
              <w:spacing w:after="0"/>
              <w:rPr>
                <w:sz w:val="1"/>
                <w:szCs w:val="1"/>
                <w:color w:val="auto"/>
              </w:rPr>
            </w:pPr>
          </w:p>
        </w:tc>
      </w:tr>
    </w:tbl>
    <w:p>
      <w:pPr>
        <w:ind w:right="120"/>
        <w:spacing w:after="0" w:line="277" w:lineRule="auto"/>
        <w:rPr>
          <w:sz w:val="20"/>
          <w:szCs w:val="20"/>
          <w:color w:val="auto"/>
        </w:rPr>
      </w:pPr>
      <w:r>
        <w:rPr>
          <w:rFonts w:ascii="Arial" w:cs="Arial" w:eastAsia="Arial" w:hAnsi="Arial"/>
          <w:sz w:val="17"/>
          <w:szCs w:val="17"/>
          <w:color w:val="auto"/>
        </w:rPr>
        <w:t>the 2019 Notes and the 2024 Notes (collectively, the “Senior Notes”). The 2019 Notes were issued at 98.89% of their aggregate principal amount and the 2024 Notes were issued at 98.15% of their aggregate principal amount. The net proceeds of $861.3 million, after debt issuance costs and discounts, from the offering were deposited into two separate escrow accounts following the closing of the offering on June 13, 2014.</w:t>
      </w:r>
    </w:p>
    <w:p>
      <w:pPr>
        <w:spacing w:after="0" w:line="173" w:lineRule="exact"/>
        <w:rPr>
          <w:sz w:val="20"/>
          <w:szCs w:val="20"/>
          <w:color w:val="auto"/>
        </w:rPr>
      </w:pPr>
    </w:p>
    <w:p>
      <w:pPr>
        <w:ind w:right="180" w:firstLine="518"/>
        <w:spacing w:after="0" w:line="259" w:lineRule="auto"/>
        <w:rPr>
          <w:sz w:val="20"/>
          <w:szCs w:val="20"/>
          <w:color w:val="auto"/>
        </w:rPr>
      </w:pPr>
      <w:r>
        <w:rPr>
          <w:rFonts w:ascii="Arial" w:cs="Arial" w:eastAsia="Arial" w:hAnsi="Arial"/>
          <w:sz w:val="18"/>
          <w:szCs w:val="18"/>
          <w:color w:val="auto"/>
        </w:rPr>
        <w:t>The 2019 Notes and the 2024 Notes mature on June 15, 2019 and June 15, 2024, respectively. Interest is payable semiannually in arrears on June 15 and December 15. As of March 31, 2015, no principal has been paid on the Senior Notes, and there was $22.9 million of capitalized debt financing costs, included in other assets on our consolidated balance sheet, related to the Senior Notes that will amortize over the lives of the Senior Notes. Accrued interest related to the Senior Notes was $13.5 million as of March 31, 2015.</w:t>
      </w:r>
    </w:p>
    <w:p>
      <w:pPr>
        <w:spacing w:after="0" w:line="200" w:lineRule="exact"/>
        <w:rPr>
          <w:sz w:val="20"/>
          <w:szCs w:val="20"/>
          <w:color w:val="auto"/>
        </w:rPr>
      </w:pPr>
    </w:p>
    <w:p>
      <w:pPr>
        <w:spacing w:after="0" w:line="23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- 17 -</w:t>
      </w:r>
    </w:p>
    <w:p>
      <w:pPr>
        <w:sectPr>
          <w:pgSz w:w="11900" w:h="16838" w:orient="portrait"/>
          <w:cols w:equalWidth="0" w:num="1">
            <w:col w:w="11400"/>
          </w:cols>
          <w:pgMar w:left="240" w:top="135" w:right="259" w:bottom="1440" w:gutter="0" w:footer="0" w:header="0"/>
        </w:sectPr>
      </w:pPr>
    </w:p>
    <w:bookmarkStart w:id="17" w:name="page18"/>
    <w:bookmarkEnd w:id="17"/>
    <w:p>
      <w:pPr>
        <w:ind w:left="520"/>
        <w:spacing w:after="0"/>
        <w:rPr>
          <w:sz w:val="20"/>
          <w:szCs w:val="20"/>
          <w:color w:val="auto"/>
        </w:rPr>
      </w:pPr>
      <w:r>
        <w:rPr>
          <w:rFonts w:ascii="Arial" w:cs="Arial" w:eastAsia="Arial" w:hAnsi="Arial"/>
          <w:sz w:val="18"/>
          <w:szCs w:val="18"/>
          <w:b w:val="1"/>
          <w:bCs w:val="1"/>
          <w:i w:val="1"/>
          <w:iCs w:val="1"/>
          <w:color w:val="auto"/>
        </w:rPr>
        <w:t>Notes Payable and Other Borrowings</w:t>
      </w:r>
    </w:p>
    <w:p>
      <w:pPr>
        <w:spacing w:after="0" w:line="117" w:lineRule="exact"/>
        <w:rPr>
          <w:sz w:val="20"/>
          <w:szCs w:val="20"/>
          <w:color w:val="auto"/>
        </w:rPr>
      </w:pPr>
    </w:p>
    <w:p>
      <w:pPr>
        <w:ind w:left="520"/>
        <w:spacing w:after="0"/>
        <w:rPr>
          <w:sz w:val="20"/>
          <w:szCs w:val="20"/>
          <w:color w:val="auto"/>
        </w:rPr>
      </w:pPr>
      <w:r>
        <w:rPr>
          <w:rFonts w:ascii="Arial" w:cs="Arial" w:eastAsia="Arial" w:hAnsi="Arial"/>
          <w:sz w:val="18"/>
          <w:szCs w:val="18"/>
          <w:color w:val="auto"/>
        </w:rPr>
        <w:t>Notes payable and other borrowings consisted of the following (in thousands):</w:t>
      </w:r>
    </w:p>
    <w:p>
      <w:pPr>
        <w:spacing w:after="0" w:line="325" w:lineRule="exact"/>
        <w:rPr>
          <w:sz w:val="20"/>
          <w:szCs w:val="20"/>
          <w:color w:val="auto"/>
        </w:rPr>
      </w:pPr>
    </w:p>
    <w:tbl>
      <w:tblPr>
        <w:tblLayout w:type="fixed"/>
        <w:tblInd w:w="1720" w:type="dxa"/>
        <w:tblCellMar>
          <w:top w:w="0" w:type="dxa"/>
          <w:left w:w="0" w:type="dxa"/>
          <w:bottom w:w="0" w:type="dxa"/>
          <w:right w:w="0" w:type="dxa"/>
        </w:tblCellMar>
      </w:tblPr>
      <w:tr>
        <w:trPr>
          <w:trHeight w:val="162"/>
        </w:trPr>
        <w:tc>
          <w:tcPr>
            <w:tcW w:w="55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080" w:type="dxa"/>
            <w:vAlign w:val="bottom"/>
            <w:gridSpan w:val="2"/>
          </w:tcPr>
          <w:p>
            <w:pPr>
              <w:ind w:left="80"/>
              <w:spacing w:after="0"/>
              <w:rPr>
                <w:sz w:val="20"/>
                <w:szCs w:val="20"/>
                <w:color w:val="auto"/>
              </w:rPr>
            </w:pPr>
            <w:r>
              <w:rPr>
                <w:rFonts w:ascii="Arial" w:cs="Arial" w:eastAsia="Arial" w:hAnsi="Arial"/>
                <w:sz w:val="14"/>
                <w:szCs w:val="14"/>
                <w:b w:val="1"/>
                <w:bCs w:val="1"/>
                <w:color w:val="auto"/>
              </w:rPr>
              <w:t>March 31,</w:t>
            </w:r>
          </w:p>
        </w:tc>
        <w:tc>
          <w:tcPr>
            <w:tcW w:w="100" w:type="dxa"/>
            <w:vAlign w:val="bottom"/>
          </w:tcPr>
          <w:p>
            <w:pPr>
              <w:spacing w:after="0"/>
              <w:rPr>
                <w:sz w:val="14"/>
                <w:szCs w:val="14"/>
                <w:color w:val="auto"/>
              </w:rPr>
            </w:pPr>
          </w:p>
        </w:tc>
        <w:tc>
          <w:tcPr>
            <w:tcW w:w="1080" w:type="dxa"/>
            <w:vAlign w:val="bottom"/>
            <w:gridSpan w:val="2"/>
          </w:tcPr>
          <w:p>
            <w:pPr>
              <w:ind w:left="20"/>
              <w:spacing w:after="0"/>
              <w:rPr>
                <w:sz w:val="20"/>
                <w:szCs w:val="20"/>
                <w:color w:val="auto"/>
              </w:rPr>
            </w:pPr>
            <w:r>
              <w:rPr>
                <w:rFonts w:ascii="Arial" w:cs="Arial" w:eastAsia="Arial" w:hAnsi="Arial"/>
                <w:sz w:val="14"/>
                <w:szCs w:val="14"/>
                <w:b w:val="1"/>
                <w:bCs w:val="1"/>
                <w:color w:val="auto"/>
              </w:rPr>
              <w:t>December 31,</w:t>
            </w:r>
          </w:p>
        </w:tc>
      </w:tr>
      <w:tr>
        <w:trPr>
          <w:trHeight w:val="171"/>
        </w:trPr>
        <w:tc>
          <w:tcPr>
            <w:tcW w:w="5560" w:type="dxa"/>
            <w:vAlign w:val="bottom"/>
            <w:tcBorders>
              <w:bottom w:val="single" w:sz="8" w:color="CFF0FC"/>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940" w:type="dxa"/>
            <w:vAlign w:val="bottom"/>
            <w:tcBorders>
              <w:bottom w:val="single" w:sz="8" w:color="auto"/>
            </w:tcBorders>
          </w:tcPr>
          <w:p>
            <w:pPr>
              <w:jc w:val="right"/>
              <w:ind w:right="317"/>
              <w:spacing w:after="0"/>
              <w:rPr>
                <w:sz w:val="20"/>
                <w:szCs w:val="20"/>
                <w:color w:val="auto"/>
              </w:rPr>
            </w:pPr>
            <w:r>
              <w:rPr>
                <w:rFonts w:ascii="Arial" w:cs="Arial" w:eastAsia="Arial" w:hAnsi="Arial"/>
                <w:sz w:val="14"/>
                <w:szCs w:val="14"/>
                <w:b w:val="1"/>
                <w:bCs w:val="1"/>
                <w:color w:val="auto"/>
              </w:rPr>
              <w:t>2015</w:t>
            </w:r>
          </w:p>
        </w:tc>
        <w:tc>
          <w:tcPr>
            <w:tcW w:w="140" w:type="dxa"/>
            <w:vAlign w:val="bottom"/>
            <w:tcBorders>
              <w:bottom w:val="single" w:sz="8" w:color="CFF0FC"/>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1000" w:type="dxa"/>
            <w:vAlign w:val="bottom"/>
            <w:tcBorders>
              <w:bottom w:val="single" w:sz="8" w:color="auto"/>
            </w:tcBorders>
          </w:tcPr>
          <w:p>
            <w:pPr>
              <w:jc w:val="right"/>
              <w:ind w:right="337"/>
              <w:spacing w:after="0"/>
              <w:rPr>
                <w:sz w:val="20"/>
                <w:szCs w:val="20"/>
                <w:color w:val="auto"/>
              </w:rPr>
            </w:pPr>
            <w:r>
              <w:rPr>
                <w:rFonts w:ascii="Arial" w:cs="Arial" w:eastAsia="Arial" w:hAnsi="Arial"/>
                <w:sz w:val="14"/>
                <w:szCs w:val="14"/>
                <w:b w:val="1"/>
                <w:bCs w:val="1"/>
                <w:color w:val="auto"/>
              </w:rPr>
              <w:t>2014</w:t>
            </w:r>
          </w:p>
        </w:tc>
        <w:tc>
          <w:tcPr>
            <w:tcW w:w="80" w:type="dxa"/>
            <w:vAlign w:val="bottom"/>
            <w:tcBorders>
              <w:bottom w:val="single" w:sz="8" w:color="CFF0FC"/>
            </w:tcBorders>
          </w:tcPr>
          <w:p>
            <w:pPr>
              <w:spacing w:after="0"/>
              <w:rPr>
                <w:sz w:val="14"/>
                <w:szCs w:val="14"/>
                <w:color w:val="auto"/>
              </w:rPr>
            </w:pPr>
          </w:p>
        </w:tc>
      </w:tr>
      <w:tr>
        <w:trPr>
          <w:trHeight w:val="223"/>
        </w:trPr>
        <w:tc>
          <w:tcPr>
            <w:tcW w:w="5560" w:type="dxa"/>
            <w:vAlign w:val="bottom"/>
            <w:shd w:val="clear" w:color="auto" w:fill="CFF0FC"/>
          </w:tcPr>
          <w:p>
            <w:pPr>
              <w:spacing w:after="0"/>
              <w:rPr>
                <w:sz w:val="20"/>
                <w:szCs w:val="20"/>
                <w:color w:val="auto"/>
              </w:rPr>
            </w:pPr>
            <w:r>
              <w:rPr>
                <w:rFonts w:ascii="Arial" w:cs="Arial" w:eastAsia="Arial" w:hAnsi="Arial"/>
                <w:sz w:val="18"/>
                <w:szCs w:val="18"/>
                <w:color w:val="auto"/>
              </w:rPr>
              <w:t>Unsecured revolving credit facility</w:t>
            </w:r>
          </w:p>
        </w:tc>
        <w:tc>
          <w:tcPr>
            <w:tcW w:w="160" w:type="dxa"/>
            <w:vAlign w:val="bottom"/>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9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309,392</w:t>
            </w:r>
          </w:p>
        </w:tc>
        <w:tc>
          <w:tcPr>
            <w:tcW w:w="140" w:type="dxa"/>
            <w:vAlign w:val="bottom"/>
            <w:shd w:val="clear" w:color="auto" w:fill="CFF0FC"/>
          </w:tcPr>
          <w:p>
            <w:pPr>
              <w:spacing w:after="0"/>
              <w:rPr>
                <w:sz w:val="19"/>
                <w:szCs w:val="19"/>
                <w:color w:val="auto"/>
              </w:rPr>
            </w:pPr>
          </w:p>
        </w:tc>
        <w:tc>
          <w:tcPr>
            <w:tcW w:w="100" w:type="dxa"/>
            <w:vAlign w:val="bottom"/>
            <w:shd w:val="clear" w:color="auto" w:fill="CFF0FC"/>
          </w:tcPr>
          <w:p>
            <w:pPr>
              <w:jc w:val="right"/>
              <w:spacing w:after="0"/>
              <w:rPr>
                <w:sz w:val="20"/>
                <w:szCs w:val="20"/>
                <w:color w:val="auto"/>
              </w:rPr>
            </w:pPr>
            <w:r>
              <w:rPr>
                <w:rFonts w:ascii="Arial" w:cs="Arial" w:eastAsia="Arial" w:hAnsi="Arial"/>
                <w:sz w:val="15"/>
                <w:szCs w:val="15"/>
                <w:color w:val="auto"/>
                <w:w w:val="71"/>
              </w:rPr>
              <w:t>$</w:t>
            </w:r>
          </w:p>
        </w:tc>
        <w:tc>
          <w:tcPr>
            <w:tcW w:w="10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260,000</w:t>
            </w:r>
          </w:p>
        </w:tc>
        <w:tc>
          <w:tcPr>
            <w:tcW w:w="80" w:type="dxa"/>
            <w:vAlign w:val="bottom"/>
            <w:shd w:val="clear" w:color="auto" w:fill="CFF0FC"/>
          </w:tcPr>
          <w:p>
            <w:pPr>
              <w:spacing w:after="0"/>
              <w:rPr>
                <w:sz w:val="19"/>
                <w:szCs w:val="19"/>
                <w:color w:val="auto"/>
              </w:rPr>
            </w:pPr>
          </w:p>
        </w:tc>
      </w:tr>
      <w:tr>
        <w:trPr>
          <w:trHeight w:val="230"/>
        </w:trPr>
        <w:tc>
          <w:tcPr>
            <w:tcW w:w="5560" w:type="dxa"/>
            <w:vAlign w:val="bottom"/>
            <w:tcBorders>
              <w:bottom w:val="single" w:sz="8" w:color="CFF0FC"/>
            </w:tcBorders>
          </w:tcPr>
          <w:p>
            <w:pPr>
              <w:spacing w:after="0"/>
              <w:rPr>
                <w:sz w:val="20"/>
                <w:szCs w:val="20"/>
                <w:color w:val="auto"/>
              </w:rPr>
            </w:pPr>
            <w:r>
              <w:rPr>
                <w:rFonts w:ascii="Arial" w:cs="Arial" w:eastAsia="Arial" w:hAnsi="Arial"/>
                <w:sz w:val="18"/>
                <w:szCs w:val="18"/>
                <w:color w:val="auto"/>
              </w:rPr>
              <w:t>Seller financed loans</w:t>
            </w:r>
          </w:p>
        </w:tc>
        <w:tc>
          <w:tcPr>
            <w:tcW w:w="160" w:type="dxa"/>
            <w:vAlign w:val="bottom"/>
            <w:tcBorders>
              <w:bottom w:val="single" w:sz="8" w:color="auto"/>
            </w:tcBorders>
          </w:tcPr>
          <w:p>
            <w:pPr>
              <w:spacing w:after="0"/>
              <w:rPr>
                <w:sz w:val="19"/>
                <w:szCs w:val="19"/>
                <w:color w:val="auto"/>
              </w:rPr>
            </w:pP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12,750</w:t>
            </w:r>
          </w:p>
        </w:tc>
        <w:tc>
          <w:tcPr>
            <w:tcW w:w="140" w:type="dxa"/>
            <w:vAlign w:val="bottom"/>
            <w:tcBorders>
              <w:bottom w:val="single" w:sz="8" w:color="CFF0FC"/>
            </w:tcBorders>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10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14,677</w:t>
            </w:r>
          </w:p>
        </w:tc>
        <w:tc>
          <w:tcPr>
            <w:tcW w:w="80" w:type="dxa"/>
            <w:vAlign w:val="bottom"/>
            <w:tcBorders>
              <w:bottom w:val="single" w:sz="8" w:color="CFF0FC"/>
            </w:tcBorders>
          </w:tcPr>
          <w:p>
            <w:pPr>
              <w:spacing w:after="0"/>
              <w:rPr>
                <w:sz w:val="19"/>
                <w:szCs w:val="19"/>
                <w:color w:val="auto"/>
              </w:rPr>
            </w:pPr>
          </w:p>
        </w:tc>
      </w:tr>
      <w:tr>
        <w:trPr>
          <w:trHeight w:val="223"/>
        </w:trPr>
        <w:tc>
          <w:tcPr>
            <w:tcW w:w="5560" w:type="dxa"/>
            <w:vAlign w:val="bottom"/>
            <w:tcBorders>
              <w:bottom w:val="single" w:sz="8" w:color="CFF0FC"/>
            </w:tcBorders>
            <w:shd w:val="clear" w:color="auto" w:fill="CFF0FC"/>
          </w:tcPr>
          <w:p>
            <w:pPr>
              <w:spacing w:after="0"/>
              <w:rPr>
                <w:sz w:val="20"/>
                <w:szCs w:val="20"/>
                <w:color w:val="auto"/>
              </w:rPr>
            </w:pPr>
            <w:r>
              <w:rPr>
                <w:rFonts w:ascii="Arial" w:cs="Arial" w:eastAsia="Arial" w:hAnsi="Arial"/>
                <w:sz w:val="18"/>
                <w:szCs w:val="18"/>
                <w:color w:val="auto"/>
              </w:rPr>
              <w:t>Total</w:t>
            </w:r>
          </w:p>
        </w:tc>
        <w:tc>
          <w:tcPr>
            <w:tcW w:w="16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94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322,142</w:t>
            </w:r>
          </w:p>
        </w:tc>
        <w:tc>
          <w:tcPr>
            <w:tcW w:w="140" w:type="dxa"/>
            <w:vAlign w:val="bottom"/>
            <w:tcBorders>
              <w:bottom w:val="single" w:sz="8" w:color="CFF0FC"/>
            </w:tcBorders>
            <w:shd w:val="clear" w:color="auto" w:fill="CFF0FC"/>
          </w:tcPr>
          <w:p>
            <w:pPr>
              <w:spacing w:after="0"/>
              <w:rPr>
                <w:sz w:val="19"/>
                <w:szCs w:val="19"/>
                <w:color w:val="auto"/>
              </w:rPr>
            </w:pPr>
          </w:p>
        </w:tc>
        <w:tc>
          <w:tcPr>
            <w:tcW w:w="10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5"/>
                <w:szCs w:val="15"/>
                <w:color w:val="auto"/>
                <w:w w:val="71"/>
              </w:rPr>
              <w:t>$</w:t>
            </w:r>
          </w:p>
        </w:tc>
        <w:tc>
          <w:tcPr>
            <w:tcW w:w="100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274,677</w:t>
            </w:r>
          </w:p>
        </w:tc>
        <w:tc>
          <w:tcPr>
            <w:tcW w:w="80" w:type="dxa"/>
            <w:vAlign w:val="bottom"/>
            <w:tcBorders>
              <w:bottom w:val="single" w:sz="8" w:color="CFF0FC"/>
            </w:tcBorders>
            <w:shd w:val="clear" w:color="auto" w:fill="CFF0FC"/>
          </w:tcPr>
          <w:p>
            <w:pPr>
              <w:spacing w:after="0"/>
              <w:rPr>
                <w:sz w:val="19"/>
                <w:szCs w:val="19"/>
                <w:color w:val="auto"/>
              </w:rPr>
            </w:pPr>
          </w:p>
        </w:tc>
      </w:tr>
      <w:tr>
        <w:trPr>
          <w:trHeight w:val="20"/>
        </w:trPr>
        <w:tc>
          <w:tcPr>
            <w:tcW w:w="556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r>
    </w:tbl>
    <w:p>
      <w:pPr>
        <w:spacing w:after="0" w:line="350" w:lineRule="exact"/>
        <w:rPr>
          <w:sz w:val="20"/>
          <w:szCs w:val="20"/>
          <w:color w:val="auto"/>
        </w:rPr>
      </w:pPr>
    </w:p>
    <w:p>
      <w:pPr>
        <w:ind w:left="520"/>
        <w:spacing w:after="0"/>
        <w:rPr>
          <w:sz w:val="20"/>
          <w:szCs w:val="20"/>
          <w:color w:val="auto"/>
        </w:rPr>
      </w:pPr>
      <w:r>
        <w:rPr>
          <w:rFonts w:ascii="Arial" w:cs="Arial" w:eastAsia="Arial" w:hAnsi="Arial"/>
          <w:sz w:val="18"/>
          <w:szCs w:val="18"/>
          <w:b w:val="1"/>
          <w:bCs w:val="1"/>
          <w:i w:val="1"/>
          <w:iCs w:val="1"/>
          <w:color w:val="auto"/>
        </w:rPr>
        <w:t>Unsecured Revolving Credit Facility</w:t>
      </w:r>
    </w:p>
    <w:p>
      <w:pPr>
        <w:spacing w:after="0" w:line="117" w:lineRule="exact"/>
        <w:rPr>
          <w:sz w:val="20"/>
          <w:szCs w:val="20"/>
          <w:color w:val="auto"/>
        </w:rPr>
      </w:pPr>
    </w:p>
    <w:p>
      <w:pPr>
        <w:ind w:right="20" w:firstLine="518"/>
        <w:spacing w:after="0" w:line="271" w:lineRule="auto"/>
        <w:rPr>
          <w:sz w:val="20"/>
          <w:szCs w:val="20"/>
          <w:color w:val="auto"/>
        </w:rPr>
      </w:pPr>
      <w:r>
        <w:rPr>
          <w:rFonts w:ascii="Arial" w:cs="Arial" w:eastAsia="Arial" w:hAnsi="Arial"/>
          <w:sz w:val="17"/>
          <w:szCs w:val="17"/>
          <w:color w:val="auto"/>
        </w:rPr>
        <w:t>In June 2014, the Company entered into an unsecured $425 million revolving credit facility (the “Credit Facility”) with various lenders, with one lender serving as the administrative agent for the Credit Facility. The Credit Facility matures on July 1, 2018, and contains a sublimit of $75 million for letters of credit. The Company may borrow under the Credit Facility in the ordinary course of business to fund its operations, including its land development and homebuilding activities. Borrowings under the Credit Facility will be governed by, among other things, a borrowing base. Interest rates on borrowings under the Credit Facility will be based on either a daily Eurocurrency base rate or a Eurocurrency rate, in either case, plus a spread ranging from 2.15% to 2.85%, depending on the Company’s leverage ratio. As of March 31, 2015, the outstanding balance under the Credit Facility was $309.4 million with an interest rate of 2.73% per annum and $103.8 million of availability after considering the borrowing base provisions and outstanding letters of credit. Accrued interest related to the Credit Facility was $567,000 as of March 31, 2015.</w:t>
      </w:r>
    </w:p>
    <w:p>
      <w:pPr>
        <w:spacing w:after="0" w:line="179" w:lineRule="exact"/>
        <w:rPr>
          <w:sz w:val="20"/>
          <w:szCs w:val="20"/>
          <w:color w:val="auto"/>
        </w:rPr>
      </w:pPr>
    </w:p>
    <w:p>
      <w:pPr>
        <w:ind w:firstLine="518"/>
        <w:spacing w:after="0" w:line="277" w:lineRule="auto"/>
        <w:rPr>
          <w:sz w:val="20"/>
          <w:szCs w:val="20"/>
          <w:color w:val="auto"/>
        </w:rPr>
      </w:pPr>
      <w:r>
        <w:rPr>
          <w:rFonts w:ascii="Arial" w:cs="Arial" w:eastAsia="Arial" w:hAnsi="Arial"/>
          <w:sz w:val="18"/>
          <w:szCs w:val="18"/>
          <w:color w:val="auto"/>
        </w:rPr>
        <w:t>At March 31, 2015 we had outstanding letters of credit of $11.8 million. These letters of credit were issued to secure various financial obligations. We believe it is not probable that any outstanding letters of credit will be drawn upon.</w:t>
      </w:r>
    </w:p>
    <w:p>
      <w:pPr>
        <w:spacing w:after="0" w:line="279" w:lineRule="exact"/>
        <w:rPr>
          <w:sz w:val="20"/>
          <w:szCs w:val="20"/>
          <w:color w:val="auto"/>
        </w:rPr>
      </w:pPr>
    </w:p>
    <w:p>
      <w:pPr>
        <w:ind w:left="520"/>
        <w:spacing w:after="0"/>
        <w:rPr>
          <w:sz w:val="20"/>
          <w:szCs w:val="20"/>
          <w:color w:val="auto"/>
        </w:rPr>
      </w:pPr>
      <w:r>
        <w:rPr>
          <w:rFonts w:ascii="Arial" w:cs="Arial" w:eastAsia="Arial" w:hAnsi="Arial"/>
          <w:sz w:val="18"/>
          <w:szCs w:val="18"/>
          <w:b w:val="1"/>
          <w:bCs w:val="1"/>
          <w:i w:val="1"/>
          <w:iCs w:val="1"/>
          <w:color w:val="auto"/>
        </w:rPr>
        <w:t>Seller Financed Loans</w:t>
      </w:r>
    </w:p>
    <w:p>
      <w:pPr>
        <w:spacing w:after="0" w:line="117" w:lineRule="exact"/>
        <w:rPr>
          <w:sz w:val="20"/>
          <w:szCs w:val="20"/>
          <w:color w:val="auto"/>
        </w:rPr>
      </w:pPr>
    </w:p>
    <w:p>
      <w:pPr>
        <w:ind w:left="520"/>
        <w:spacing w:after="0"/>
        <w:rPr>
          <w:sz w:val="20"/>
          <w:szCs w:val="20"/>
          <w:color w:val="auto"/>
        </w:rPr>
      </w:pPr>
      <w:r>
        <w:rPr>
          <w:rFonts w:ascii="Arial" w:cs="Arial" w:eastAsia="Arial" w:hAnsi="Arial"/>
          <w:sz w:val="18"/>
          <w:szCs w:val="18"/>
          <w:color w:val="auto"/>
        </w:rPr>
        <w:t>As of March 31, 2015, the Company had $12.8 million outstanding related to seller financed loans to acquire lots for the construction of</w:t>
      </w:r>
    </w:p>
    <w:p>
      <w:pPr>
        <w:spacing w:after="0" w:line="23" w:lineRule="exact"/>
        <w:rPr>
          <w:sz w:val="20"/>
          <w:szCs w:val="20"/>
          <w:color w:val="auto"/>
        </w:rPr>
      </w:pPr>
    </w:p>
    <w:p>
      <w:pPr>
        <w:ind w:right="140"/>
        <w:spacing w:after="0" w:line="277" w:lineRule="auto"/>
        <w:rPr>
          <w:sz w:val="20"/>
          <w:szCs w:val="20"/>
          <w:color w:val="auto"/>
        </w:rPr>
      </w:pPr>
      <w:r>
        <w:rPr>
          <w:rFonts w:ascii="Arial" w:cs="Arial" w:eastAsia="Arial" w:hAnsi="Arial"/>
          <w:sz w:val="17"/>
          <w:szCs w:val="17"/>
          <w:color w:val="auto"/>
        </w:rPr>
        <w:t>homes. Principal and interest payments on these loans are due at various maturity dates, including at the time individual homes associated with the acquired land are delivered. The seller financed loans accrue interest at a weighted average rate of 6.95% per annum, with interest calculated on a daily basis. Any remaining unpaid balance on these loans is due in May 2016. Accrued interest on these loans were $654,000 as of March 31, 2015.</w:t>
      </w:r>
    </w:p>
    <w:p>
      <w:pPr>
        <w:spacing w:after="0" w:line="281" w:lineRule="exact"/>
        <w:rPr>
          <w:sz w:val="20"/>
          <w:szCs w:val="20"/>
          <w:color w:val="auto"/>
        </w:rPr>
      </w:pPr>
    </w:p>
    <w:p>
      <w:pPr>
        <w:ind w:left="520"/>
        <w:spacing w:after="0"/>
        <w:rPr>
          <w:sz w:val="20"/>
          <w:szCs w:val="20"/>
          <w:color w:val="auto"/>
        </w:rPr>
      </w:pPr>
      <w:r>
        <w:rPr>
          <w:rFonts w:ascii="Arial" w:cs="Arial" w:eastAsia="Arial" w:hAnsi="Arial"/>
          <w:sz w:val="18"/>
          <w:szCs w:val="18"/>
          <w:b w:val="1"/>
          <w:bCs w:val="1"/>
          <w:i w:val="1"/>
          <w:iCs w:val="1"/>
          <w:color w:val="auto"/>
        </w:rPr>
        <w:t>Interest Incurred</w:t>
      </w:r>
    </w:p>
    <w:p>
      <w:pPr>
        <w:spacing w:after="0" w:line="117" w:lineRule="exact"/>
        <w:rPr>
          <w:sz w:val="20"/>
          <w:szCs w:val="20"/>
          <w:color w:val="auto"/>
        </w:rPr>
      </w:pPr>
    </w:p>
    <w:p>
      <w:pPr>
        <w:ind w:right="20" w:firstLine="518"/>
        <w:spacing w:after="0" w:line="257" w:lineRule="auto"/>
        <w:rPr>
          <w:sz w:val="20"/>
          <w:szCs w:val="20"/>
          <w:color w:val="auto"/>
        </w:rPr>
      </w:pPr>
      <w:r>
        <w:rPr>
          <w:rFonts w:ascii="Arial" w:cs="Arial" w:eastAsia="Arial" w:hAnsi="Arial"/>
          <w:sz w:val="18"/>
          <w:szCs w:val="18"/>
          <w:color w:val="auto"/>
        </w:rPr>
        <w:t>During the three month periods ended March 31, 2015 and 2014, the Company incurred interest of $15.2 million and $4.0 million, respectively, related to all notes payable, Senior Notes and debt payable to Weyerhaeuser outstanding during the period. Of the interest incurred, $15.2 million and $3.8 million was capitalized to inventory for the period ended March 31, 2015 and 2014, respectively. Included in interest incurred was amortization of deferred financing and Senior Note discount costs of $1.2 million for the period ended March 31, 2015. Accrued interest related to all outstanding debt at March 31, 2015 and December 31, 2014 was $14.7 million and $3.1 million, respectively.</w:t>
      </w:r>
    </w:p>
    <w:p>
      <w:pPr>
        <w:spacing w:after="0" w:line="296" w:lineRule="exact"/>
        <w:rPr>
          <w:sz w:val="20"/>
          <w:szCs w:val="20"/>
          <w:color w:val="auto"/>
        </w:rPr>
      </w:pPr>
    </w:p>
    <w:p>
      <w:pPr>
        <w:ind w:left="520"/>
        <w:spacing w:after="0"/>
        <w:rPr>
          <w:sz w:val="20"/>
          <w:szCs w:val="20"/>
          <w:color w:val="auto"/>
        </w:rPr>
      </w:pPr>
      <w:r>
        <w:rPr>
          <w:rFonts w:ascii="Arial" w:cs="Arial" w:eastAsia="Arial" w:hAnsi="Arial"/>
          <w:sz w:val="18"/>
          <w:szCs w:val="18"/>
          <w:b w:val="1"/>
          <w:bCs w:val="1"/>
          <w:i w:val="1"/>
          <w:iCs w:val="1"/>
          <w:color w:val="auto"/>
        </w:rPr>
        <w:t>Covenant Requirements</w:t>
      </w:r>
    </w:p>
    <w:p>
      <w:pPr>
        <w:spacing w:after="0" w:line="117" w:lineRule="exact"/>
        <w:rPr>
          <w:sz w:val="20"/>
          <w:szCs w:val="20"/>
          <w:color w:val="auto"/>
        </w:rPr>
      </w:pPr>
    </w:p>
    <w:p>
      <w:pPr>
        <w:ind w:right="240" w:firstLine="518"/>
        <w:spacing w:after="0" w:line="342" w:lineRule="auto"/>
        <w:rPr>
          <w:sz w:val="20"/>
          <w:szCs w:val="20"/>
          <w:color w:val="auto"/>
        </w:rPr>
      </w:pPr>
      <w:r>
        <w:rPr>
          <w:rFonts w:ascii="Arial" w:cs="Arial" w:eastAsia="Arial" w:hAnsi="Arial"/>
          <w:sz w:val="16"/>
          <w:szCs w:val="16"/>
          <w:color w:val="auto"/>
        </w:rPr>
        <w:t>The Senior Notes contain covenants that restrict our ability to, among other things, create liens or other encumbrances, enter into sale and leaseback transactions, or merge or sell all or substantially all of our assets. These limitations are subject to a number of qualifications and exceptions.</w:t>
      </w:r>
    </w:p>
    <w:p>
      <w:pPr>
        <w:spacing w:after="0" w:line="124" w:lineRule="exact"/>
        <w:rPr>
          <w:sz w:val="20"/>
          <w:szCs w:val="20"/>
          <w:color w:val="auto"/>
        </w:rPr>
      </w:pPr>
    </w:p>
    <w:p>
      <w:pPr>
        <w:ind w:right="20" w:firstLine="518"/>
        <w:spacing w:after="0" w:line="277" w:lineRule="auto"/>
        <w:rPr>
          <w:sz w:val="20"/>
          <w:szCs w:val="20"/>
          <w:color w:val="auto"/>
        </w:rPr>
      </w:pPr>
      <w:r>
        <w:rPr>
          <w:rFonts w:ascii="Arial" w:cs="Arial" w:eastAsia="Arial" w:hAnsi="Arial"/>
          <w:sz w:val="18"/>
          <w:szCs w:val="18"/>
          <w:color w:val="auto"/>
        </w:rPr>
        <w:t>Under the Credit Facility, the Company is required to comply with certain financial covenants, including but not limited to (i) a minimum consolidated tangible net worth; (ii) a maximum total leverage ratio; and (iii) a minimum interest coverage ratio.</w:t>
      </w:r>
    </w:p>
    <w:p>
      <w:pPr>
        <w:spacing w:after="0" w:line="170" w:lineRule="exact"/>
        <w:rPr>
          <w:sz w:val="20"/>
          <w:szCs w:val="20"/>
          <w:color w:val="auto"/>
        </w:rPr>
      </w:pPr>
    </w:p>
    <w:p>
      <w:pPr>
        <w:ind w:left="520"/>
        <w:spacing w:after="0"/>
        <w:rPr>
          <w:sz w:val="20"/>
          <w:szCs w:val="20"/>
          <w:color w:val="auto"/>
        </w:rPr>
      </w:pPr>
      <w:r>
        <w:rPr>
          <w:rFonts w:ascii="Arial" w:cs="Arial" w:eastAsia="Arial" w:hAnsi="Arial"/>
          <w:sz w:val="18"/>
          <w:szCs w:val="18"/>
          <w:color w:val="auto"/>
        </w:rPr>
        <w:t>The Company was in compliance with all applicable financial covenants as of March 31, 2015 and December 31, 2014.</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- 18 -</w:t>
      </w:r>
    </w:p>
    <w:p>
      <w:pPr>
        <w:sectPr>
          <w:pgSz w:w="11900" w:h="16838" w:orient="portrait"/>
          <w:cols w:equalWidth="0" w:num="1">
            <w:col w:w="11420"/>
          </w:cols>
          <w:pgMar w:left="240" w:top="463" w:right="239" w:bottom="1440" w:gutter="0" w:footer="0" w:header="0"/>
        </w:sectPr>
      </w:pPr>
    </w:p>
    <w:bookmarkStart w:id="18" w:name="page19"/>
    <w:bookmarkEnd w:id="18"/>
    <w:p>
      <w:pPr>
        <w:ind w:left="520" w:right="8960" w:hanging="512"/>
        <w:spacing w:after="0" w:line="425" w:lineRule="auto"/>
        <w:tabs>
          <w:tab w:leader="none" w:pos="529" w:val="left"/>
        </w:tabs>
        <w:numPr>
          <w:ilvl w:val="0"/>
          <w:numId w:val="13"/>
        </w:numPr>
        <w:rPr>
          <w:rFonts w:ascii="Arial" w:cs="Arial" w:eastAsia="Arial" w:hAnsi="Arial"/>
          <w:sz w:val="16"/>
          <w:szCs w:val="16"/>
          <w:b w:val="1"/>
          <w:bCs w:val="1"/>
          <w:color w:val="auto"/>
        </w:rPr>
      </w:pPr>
      <w:r>
        <w:rPr>
          <w:rFonts w:ascii="Arial" w:cs="Arial" w:eastAsia="Arial" w:hAnsi="Arial"/>
          <w:sz w:val="16"/>
          <w:szCs w:val="16"/>
          <w:b w:val="1"/>
          <w:bCs w:val="1"/>
          <w:color w:val="auto"/>
        </w:rPr>
        <w:t xml:space="preserve">Fair Value Disclosures </w:t>
      </w:r>
      <w:r>
        <w:rPr>
          <w:rFonts w:ascii="Arial" w:cs="Arial" w:eastAsia="Arial" w:hAnsi="Arial"/>
          <w:sz w:val="16"/>
          <w:szCs w:val="16"/>
          <w:b w:val="1"/>
          <w:bCs w:val="1"/>
          <w:i w:val="1"/>
          <w:iCs w:val="1"/>
          <w:color w:val="auto"/>
        </w:rPr>
        <w:t>Fair Value Measurements</w:t>
      </w:r>
    </w:p>
    <w:p>
      <w:pPr>
        <w:spacing w:after="0" w:line="1" w:lineRule="exact"/>
        <w:rPr>
          <w:sz w:val="20"/>
          <w:szCs w:val="20"/>
          <w:color w:val="auto"/>
        </w:rPr>
      </w:pPr>
    </w:p>
    <w:p>
      <w:pPr>
        <w:jc w:val="both"/>
        <w:ind w:right="460" w:firstLine="518"/>
        <w:spacing w:after="0" w:line="264" w:lineRule="auto"/>
        <w:rPr>
          <w:sz w:val="20"/>
          <w:szCs w:val="20"/>
          <w:color w:val="auto"/>
        </w:rPr>
      </w:pPr>
      <w:r>
        <w:rPr>
          <w:rFonts w:ascii="Arial" w:cs="Arial" w:eastAsia="Arial" w:hAnsi="Arial"/>
          <w:sz w:val="18"/>
          <w:szCs w:val="18"/>
          <w:color w:val="auto"/>
        </w:rPr>
        <w:t xml:space="preserve">ASC Topic 820, </w:t>
      </w:r>
      <w:r>
        <w:rPr>
          <w:rFonts w:ascii="Arial" w:cs="Arial" w:eastAsia="Arial" w:hAnsi="Arial"/>
          <w:sz w:val="18"/>
          <w:szCs w:val="18"/>
          <w:i w:val="1"/>
          <w:iCs w:val="1"/>
          <w:color w:val="auto"/>
        </w:rPr>
        <w:t>Fair Value Measurements and Disclosures</w:t>
      </w:r>
      <w:r>
        <w:rPr>
          <w:rFonts w:ascii="Arial" w:cs="Arial" w:eastAsia="Arial" w:hAnsi="Arial"/>
          <w:sz w:val="18"/>
          <w:szCs w:val="18"/>
          <w:color w:val="auto"/>
        </w:rPr>
        <w:t>, defines “fair value” as the price that would be received for selling an asset or paid to transfer a liability in an orderly transaction between market participants at measurement date and requires assets and liabilities carried at fair value to be classified and disclosed in the following three categories:</w:t>
      </w:r>
    </w:p>
    <w:p>
      <w:pPr>
        <w:spacing w:after="0" w:line="73" w:lineRule="exact"/>
        <w:rPr>
          <w:sz w:val="20"/>
          <w:szCs w:val="20"/>
          <w:color w:val="auto"/>
        </w:rPr>
      </w:pPr>
    </w:p>
    <w:p>
      <w:pPr>
        <w:ind w:left="980" w:hanging="364"/>
        <w:spacing w:after="0"/>
        <w:tabs>
          <w:tab w:leader="none" w:pos="980" w:val="left"/>
        </w:tabs>
        <w:numPr>
          <w:ilvl w:val="0"/>
          <w:numId w:val="14"/>
        </w:numPr>
        <w:rPr>
          <w:rFonts w:ascii="Arial" w:cs="Arial" w:eastAsia="Arial" w:hAnsi="Arial"/>
          <w:sz w:val="18"/>
          <w:szCs w:val="18"/>
          <w:color w:val="auto"/>
        </w:rPr>
      </w:pPr>
      <w:r>
        <w:rPr>
          <w:rFonts w:ascii="Arial" w:cs="Arial" w:eastAsia="Arial" w:hAnsi="Arial"/>
          <w:sz w:val="18"/>
          <w:szCs w:val="18"/>
          <w:color w:val="auto"/>
        </w:rPr>
        <w:t>Level 1—Quoted prices for identical instruments in active markets</w:t>
      </w:r>
    </w:p>
    <w:p>
      <w:pPr>
        <w:spacing w:after="0" w:line="117" w:lineRule="exact"/>
        <w:rPr>
          <w:rFonts w:ascii="Arial" w:cs="Arial" w:eastAsia="Arial" w:hAnsi="Arial"/>
          <w:sz w:val="18"/>
          <w:szCs w:val="18"/>
          <w:color w:val="auto"/>
        </w:rPr>
      </w:pPr>
    </w:p>
    <w:p>
      <w:pPr>
        <w:jc w:val="both"/>
        <w:ind w:left="980" w:right="100" w:hanging="364"/>
        <w:spacing w:after="0" w:line="342" w:lineRule="auto"/>
        <w:tabs>
          <w:tab w:leader="none" w:pos="980" w:val="left"/>
        </w:tabs>
        <w:numPr>
          <w:ilvl w:val="0"/>
          <w:numId w:val="14"/>
        </w:numPr>
        <w:rPr>
          <w:rFonts w:ascii="Arial" w:cs="Arial" w:eastAsia="Arial" w:hAnsi="Arial"/>
          <w:sz w:val="16"/>
          <w:szCs w:val="16"/>
          <w:color w:val="auto"/>
        </w:rPr>
      </w:pPr>
      <w:r>
        <w:rPr>
          <w:rFonts w:ascii="Arial" w:cs="Arial" w:eastAsia="Arial" w:hAnsi="Arial"/>
          <w:sz w:val="16"/>
          <w:szCs w:val="16"/>
          <w:color w:val="auto"/>
        </w:rPr>
        <w:t>Level 2—Quoted prices for similar instruments in active markets; quoted prices for identical or similar instruments in markets that are inactive; and model-derived valuations in which all significant inputs and significant value drivers are observable in active markets at measurement date</w:t>
      </w:r>
    </w:p>
    <w:p>
      <w:pPr>
        <w:spacing w:after="0" w:line="15" w:lineRule="exact"/>
        <w:rPr>
          <w:rFonts w:ascii="Arial" w:cs="Arial" w:eastAsia="Arial" w:hAnsi="Arial"/>
          <w:sz w:val="16"/>
          <w:szCs w:val="16"/>
          <w:color w:val="auto"/>
        </w:rPr>
      </w:pPr>
    </w:p>
    <w:p>
      <w:pPr>
        <w:ind w:left="980" w:right="560" w:hanging="364"/>
        <w:spacing w:after="0" w:line="277" w:lineRule="auto"/>
        <w:tabs>
          <w:tab w:leader="none" w:pos="980" w:val="left"/>
        </w:tabs>
        <w:numPr>
          <w:ilvl w:val="0"/>
          <w:numId w:val="14"/>
        </w:numPr>
        <w:rPr>
          <w:rFonts w:ascii="Arial" w:cs="Arial" w:eastAsia="Arial" w:hAnsi="Arial"/>
          <w:sz w:val="18"/>
          <w:szCs w:val="18"/>
          <w:color w:val="auto"/>
        </w:rPr>
      </w:pPr>
      <w:r>
        <w:rPr>
          <w:rFonts w:ascii="Arial" w:cs="Arial" w:eastAsia="Arial" w:hAnsi="Arial"/>
          <w:sz w:val="18"/>
          <w:szCs w:val="18"/>
          <w:color w:val="auto"/>
        </w:rPr>
        <w:t>Level 3—Valuations derived from techniques where one or more significant inputs or significant value drivers are unobservable in active markets at measurement date</w:t>
      </w:r>
    </w:p>
    <w:p>
      <w:pPr>
        <w:spacing w:after="0" w:line="279" w:lineRule="exact"/>
        <w:rPr>
          <w:sz w:val="20"/>
          <w:szCs w:val="20"/>
          <w:color w:val="auto"/>
        </w:rPr>
      </w:pPr>
    </w:p>
    <w:p>
      <w:pPr>
        <w:ind w:left="520"/>
        <w:spacing w:after="0"/>
        <w:rPr>
          <w:sz w:val="20"/>
          <w:szCs w:val="20"/>
          <w:color w:val="auto"/>
        </w:rPr>
      </w:pPr>
      <w:r>
        <w:rPr>
          <w:rFonts w:ascii="Arial" w:cs="Arial" w:eastAsia="Arial" w:hAnsi="Arial"/>
          <w:sz w:val="18"/>
          <w:szCs w:val="18"/>
          <w:b w:val="1"/>
          <w:bCs w:val="1"/>
          <w:i w:val="1"/>
          <w:iCs w:val="1"/>
          <w:color w:val="auto"/>
        </w:rPr>
        <w:t>Fair Value of Financial Instruments</w:t>
      </w:r>
    </w:p>
    <w:p>
      <w:pPr>
        <w:spacing w:after="0" w:line="117" w:lineRule="exact"/>
        <w:rPr>
          <w:sz w:val="20"/>
          <w:szCs w:val="20"/>
          <w:color w:val="auto"/>
        </w:rPr>
      </w:pPr>
    </w:p>
    <w:p>
      <w:pPr>
        <w:ind w:right="600" w:firstLine="518"/>
        <w:spacing w:after="0" w:line="277" w:lineRule="auto"/>
        <w:rPr>
          <w:sz w:val="20"/>
          <w:szCs w:val="20"/>
          <w:color w:val="auto"/>
        </w:rPr>
      </w:pPr>
      <w:r>
        <w:rPr>
          <w:rFonts w:ascii="Arial" w:cs="Arial" w:eastAsia="Arial" w:hAnsi="Arial"/>
          <w:sz w:val="18"/>
          <w:szCs w:val="18"/>
          <w:color w:val="auto"/>
        </w:rPr>
        <w:t>A summary of assets and liabilities at March 31, 2015 and December 31, 2014, related to our financial instruments, measured at fair value on a recurring basis, is set forth below (in thousands):</w:t>
      </w:r>
    </w:p>
    <w:p>
      <w:pPr>
        <w:spacing w:after="0" w:line="176"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5500" w:type="dxa"/>
            <w:vAlign w:val="bottom"/>
          </w:tcPr>
          <w:p>
            <w:pPr>
              <w:spacing w:after="0"/>
              <w:rPr>
                <w:sz w:val="14"/>
                <w:szCs w:val="14"/>
                <w:color w:val="auto"/>
              </w:rPr>
            </w:pPr>
          </w:p>
        </w:tc>
        <w:tc>
          <w:tcPr>
            <w:tcW w:w="1200" w:type="dxa"/>
            <w:vAlign w:val="bottom"/>
            <w:gridSpan w:val="2"/>
            <w:vMerge w:val="restart"/>
          </w:tcPr>
          <w:p>
            <w:pPr>
              <w:jc w:val="center"/>
              <w:ind w:right="140"/>
              <w:spacing w:after="0"/>
              <w:rPr>
                <w:sz w:val="20"/>
                <w:szCs w:val="20"/>
                <w:color w:val="auto"/>
              </w:rPr>
            </w:pPr>
            <w:r>
              <w:rPr>
                <w:rFonts w:ascii="Arial" w:cs="Arial" w:eastAsia="Arial" w:hAnsi="Arial"/>
                <w:sz w:val="14"/>
                <w:szCs w:val="14"/>
                <w:b w:val="1"/>
                <w:bCs w:val="1"/>
                <w:color w:val="auto"/>
                <w:w w:val="95"/>
              </w:rPr>
              <w:t>Hierarchy</w:t>
            </w:r>
          </w:p>
        </w:tc>
        <w:tc>
          <w:tcPr>
            <w:tcW w:w="100" w:type="dxa"/>
            <w:vAlign w:val="bottom"/>
          </w:tcPr>
          <w:p>
            <w:pPr>
              <w:spacing w:after="0"/>
              <w:rPr>
                <w:sz w:val="14"/>
                <w:szCs w:val="14"/>
                <w:color w:val="auto"/>
              </w:rPr>
            </w:pPr>
          </w:p>
        </w:tc>
        <w:tc>
          <w:tcPr>
            <w:tcW w:w="2260" w:type="dxa"/>
            <w:vAlign w:val="bottom"/>
            <w:gridSpan w:val="5"/>
          </w:tcPr>
          <w:p>
            <w:pPr>
              <w:ind w:left="480"/>
              <w:spacing w:after="0"/>
              <w:rPr>
                <w:sz w:val="20"/>
                <w:szCs w:val="20"/>
                <w:color w:val="auto"/>
              </w:rPr>
            </w:pPr>
            <w:r>
              <w:rPr>
                <w:rFonts w:ascii="Arial" w:cs="Arial" w:eastAsia="Arial" w:hAnsi="Arial"/>
                <w:sz w:val="14"/>
                <w:szCs w:val="14"/>
                <w:b w:val="1"/>
                <w:bCs w:val="1"/>
                <w:color w:val="auto"/>
              </w:rPr>
              <w:t>March 31, 2015</w:t>
            </w:r>
          </w:p>
        </w:tc>
        <w:tc>
          <w:tcPr>
            <w:tcW w:w="100" w:type="dxa"/>
            <w:vAlign w:val="bottom"/>
          </w:tcPr>
          <w:p>
            <w:pPr>
              <w:spacing w:after="0"/>
              <w:rPr>
                <w:sz w:val="14"/>
                <w:szCs w:val="14"/>
                <w:color w:val="auto"/>
              </w:rPr>
            </w:pPr>
          </w:p>
        </w:tc>
        <w:tc>
          <w:tcPr>
            <w:tcW w:w="2260" w:type="dxa"/>
            <w:vAlign w:val="bottom"/>
            <w:gridSpan w:val="5"/>
          </w:tcPr>
          <w:p>
            <w:pPr>
              <w:ind w:left="420"/>
              <w:spacing w:after="0"/>
              <w:rPr>
                <w:sz w:val="20"/>
                <w:szCs w:val="20"/>
                <w:color w:val="auto"/>
              </w:rPr>
            </w:pPr>
            <w:r>
              <w:rPr>
                <w:rFonts w:ascii="Arial" w:cs="Arial" w:eastAsia="Arial" w:hAnsi="Arial"/>
                <w:sz w:val="14"/>
                <w:szCs w:val="14"/>
                <w:b w:val="1"/>
                <w:bCs w:val="1"/>
                <w:color w:val="auto"/>
              </w:rPr>
              <w:t>December 31, 2014</w:t>
            </w:r>
          </w:p>
        </w:tc>
        <w:tc>
          <w:tcPr>
            <w:tcW w:w="0" w:type="dxa"/>
            <w:vAlign w:val="bottom"/>
          </w:tcPr>
          <w:p>
            <w:pPr>
              <w:spacing w:after="0"/>
              <w:rPr>
                <w:sz w:val="1"/>
                <w:szCs w:val="1"/>
                <w:color w:val="auto"/>
              </w:rPr>
            </w:pPr>
          </w:p>
        </w:tc>
      </w:tr>
      <w:tr>
        <w:trPr>
          <w:trHeight w:val="156"/>
        </w:trPr>
        <w:tc>
          <w:tcPr>
            <w:tcW w:w="5500" w:type="dxa"/>
            <w:vAlign w:val="bottom"/>
          </w:tcPr>
          <w:p>
            <w:pPr>
              <w:spacing w:after="0"/>
              <w:rPr>
                <w:sz w:val="13"/>
                <w:szCs w:val="13"/>
                <w:color w:val="auto"/>
              </w:rPr>
            </w:pPr>
          </w:p>
        </w:tc>
        <w:tc>
          <w:tcPr>
            <w:tcW w:w="1200" w:type="dxa"/>
            <w:vAlign w:val="bottom"/>
            <w:gridSpan w:val="2"/>
            <w:vMerge w:val="continue"/>
          </w:tcPr>
          <w:p>
            <w:pPr>
              <w:spacing w:after="0"/>
              <w:rPr>
                <w:sz w:val="13"/>
                <w:szCs w:val="13"/>
                <w:color w:val="auto"/>
              </w:rPr>
            </w:pPr>
          </w:p>
        </w:tc>
        <w:tc>
          <w:tcPr>
            <w:tcW w:w="100" w:type="dxa"/>
            <w:vAlign w:val="bottom"/>
            <w:tcBorders>
              <w:top w:val="single" w:sz="8" w:color="auto"/>
            </w:tcBorders>
          </w:tcPr>
          <w:p>
            <w:pPr>
              <w:spacing w:after="0"/>
              <w:rPr>
                <w:sz w:val="13"/>
                <w:szCs w:val="13"/>
                <w:color w:val="auto"/>
              </w:rPr>
            </w:pPr>
          </w:p>
        </w:tc>
        <w:tc>
          <w:tcPr>
            <w:tcW w:w="860" w:type="dxa"/>
            <w:vAlign w:val="bottom"/>
            <w:tcBorders>
              <w:top w:val="single" w:sz="8" w:color="auto"/>
            </w:tcBorders>
          </w:tcPr>
          <w:p>
            <w:pPr>
              <w:jc w:val="right"/>
              <w:ind w:right="57"/>
              <w:spacing w:after="0" w:line="155" w:lineRule="exact"/>
              <w:rPr>
                <w:sz w:val="20"/>
                <w:szCs w:val="20"/>
                <w:color w:val="auto"/>
              </w:rPr>
            </w:pPr>
            <w:r>
              <w:rPr>
                <w:rFonts w:ascii="Arial" w:cs="Arial" w:eastAsia="Arial" w:hAnsi="Arial"/>
                <w:sz w:val="14"/>
                <w:szCs w:val="14"/>
                <w:b w:val="1"/>
                <w:bCs w:val="1"/>
                <w:color w:val="auto"/>
                <w:w w:val="91"/>
              </w:rPr>
              <w:t>Book Value</w:t>
            </w:r>
          </w:p>
        </w:tc>
        <w:tc>
          <w:tcPr>
            <w:tcW w:w="200" w:type="dxa"/>
            <w:vAlign w:val="bottom"/>
            <w:tcBorders>
              <w:top w:val="single" w:sz="8" w:color="auto"/>
            </w:tcBorders>
          </w:tcPr>
          <w:p>
            <w:pPr>
              <w:spacing w:after="0"/>
              <w:rPr>
                <w:sz w:val="13"/>
                <w:szCs w:val="13"/>
                <w:color w:val="auto"/>
              </w:rPr>
            </w:pPr>
          </w:p>
        </w:tc>
        <w:tc>
          <w:tcPr>
            <w:tcW w:w="140" w:type="dxa"/>
            <w:vAlign w:val="bottom"/>
            <w:tcBorders>
              <w:top w:val="single" w:sz="8" w:color="auto"/>
            </w:tcBorders>
          </w:tcPr>
          <w:p>
            <w:pPr>
              <w:spacing w:after="0"/>
              <w:rPr>
                <w:sz w:val="13"/>
                <w:szCs w:val="13"/>
                <w:color w:val="auto"/>
              </w:rPr>
            </w:pPr>
          </w:p>
        </w:tc>
        <w:tc>
          <w:tcPr>
            <w:tcW w:w="840" w:type="dxa"/>
            <w:vAlign w:val="bottom"/>
            <w:tcBorders>
              <w:top w:val="single" w:sz="8" w:color="auto"/>
            </w:tcBorders>
          </w:tcPr>
          <w:p>
            <w:pPr>
              <w:jc w:val="right"/>
              <w:ind w:right="74"/>
              <w:spacing w:after="0" w:line="155" w:lineRule="exact"/>
              <w:rPr>
                <w:sz w:val="20"/>
                <w:szCs w:val="20"/>
                <w:color w:val="auto"/>
              </w:rPr>
            </w:pPr>
            <w:r>
              <w:rPr>
                <w:rFonts w:ascii="Arial" w:cs="Arial" w:eastAsia="Arial" w:hAnsi="Arial"/>
                <w:sz w:val="14"/>
                <w:szCs w:val="14"/>
                <w:b w:val="1"/>
                <w:bCs w:val="1"/>
                <w:color w:val="auto"/>
                <w:w w:val="98"/>
              </w:rPr>
              <w:t>Fair Value</w:t>
            </w:r>
          </w:p>
        </w:tc>
        <w:tc>
          <w:tcPr>
            <w:tcW w:w="220" w:type="dxa"/>
            <w:vAlign w:val="bottom"/>
          </w:tcPr>
          <w:p>
            <w:pPr>
              <w:spacing w:after="0"/>
              <w:rPr>
                <w:sz w:val="13"/>
                <w:szCs w:val="13"/>
                <w:color w:val="auto"/>
              </w:rPr>
            </w:pPr>
          </w:p>
        </w:tc>
        <w:tc>
          <w:tcPr>
            <w:tcW w:w="100" w:type="dxa"/>
            <w:vAlign w:val="bottom"/>
            <w:tcBorders>
              <w:top w:val="single" w:sz="8" w:color="auto"/>
            </w:tcBorders>
          </w:tcPr>
          <w:p>
            <w:pPr>
              <w:spacing w:after="0"/>
              <w:rPr>
                <w:sz w:val="13"/>
                <w:szCs w:val="13"/>
                <w:color w:val="auto"/>
              </w:rPr>
            </w:pPr>
          </w:p>
        </w:tc>
        <w:tc>
          <w:tcPr>
            <w:tcW w:w="1120" w:type="dxa"/>
            <w:vAlign w:val="bottom"/>
            <w:tcBorders>
              <w:top w:val="single" w:sz="8" w:color="auto"/>
            </w:tcBorders>
            <w:gridSpan w:val="2"/>
          </w:tcPr>
          <w:p>
            <w:pPr>
              <w:ind w:left="40"/>
              <w:spacing w:after="0" w:line="155" w:lineRule="exact"/>
              <w:rPr>
                <w:sz w:val="20"/>
                <w:szCs w:val="20"/>
                <w:color w:val="auto"/>
              </w:rPr>
            </w:pPr>
            <w:r>
              <w:rPr>
                <w:rFonts w:ascii="Arial" w:cs="Arial" w:eastAsia="Arial" w:hAnsi="Arial"/>
                <w:sz w:val="14"/>
                <w:szCs w:val="14"/>
                <w:b w:val="1"/>
                <w:bCs w:val="1"/>
                <w:color w:val="auto"/>
              </w:rPr>
              <w:t>Book Value</w:t>
            </w:r>
          </w:p>
        </w:tc>
        <w:tc>
          <w:tcPr>
            <w:tcW w:w="140" w:type="dxa"/>
            <w:vAlign w:val="bottom"/>
            <w:tcBorders>
              <w:top w:val="single" w:sz="8" w:color="auto"/>
            </w:tcBorders>
          </w:tcPr>
          <w:p>
            <w:pPr>
              <w:spacing w:after="0"/>
              <w:rPr>
                <w:sz w:val="13"/>
                <w:szCs w:val="13"/>
                <w:color w:val="auto"/>
              </w:rPr>
            </w:pPr>
          </w:p>
        </w:tc>
        <w:tc>
          <w:tcPr>
            <w:tcW w:w="880" w:type="dxa"/>
            <w:vAlign w:val="bottom"/>
            <w:tcBorders>
              <w:top w:val="single" w:sz="8" w:color="auto"/>
            </w:tcBorders>
          </w:tcPr>
          <w:p>
            <w:pPr>
              <w:jc w:val="right"/>
              <w:ind w:right="114"/>
              <w:spacing w:after="0" w:line="155" w:lineRule="exact"/>
              <w:rPr>
                <w:sz w:val="20"/>
                <w:szCs w:val="20"/>
                <w:color w:val="auto"/>
              </w:rPr>
            </w:pPr>
            <w:r>
              <w:rPr>
                <w:rFonts w:ascii="Arial" w:cs="Arial" w:eastAsia="Arial" w:hAnsi="Arial"/>
                <w:sz w:val="14"/>
                <w:szCs w:val="14"/>
                <w:b w:val="1"/>
                <w:bCs w:val="1"/>
                <w:color w:val="auto"/>
                <w:w w:val="98"/>
              </w:rPr>
              <w:t>Fair Value</w:t>
            </w:r>
          </w:p>
        </w:tc>
        <w:tc>
          <w:tcPr>
            <w:tcW w:w="1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23"/>
        </w:trPr>
        <w:tc>
          <w:tcPr>
            <w:tcW w:w="5500" w:type="dxa"/>
            <w:vAlign w:val="bottom"/>
            <w:tcBorders>
              <w:top w:val="single" w:sz="8" w:color="CFF0FC"/>
            </w:tcBorders>
            <w:shd w:val="clear" w:color="auto" w:fill="CFF0FC"/>
          </w:tcPr>
          <w:p>
            <w:pPr>
              <w:spacing w:after="0"/>
              <w:rPr>
                <w:sz w:val="20"/>
                <w:szCs w:val="20"/>
                <w:color w:val="auto"/>
              </w:rPr>
            </w:pPr>
            <w:r>
              <w:rPr>
                <w:rFonts w:ascii="Arial" w:cs="Arial" w:eastAsia="Arial" w:hAnsi="Arial"/>
                <w:sz w:val="18"/>
                <w:szCs w:val="18"/>
                <w:color w:val="auto"/>
              </w:rPr>
              <w:t xml:space="preserve">Receivables </w:t>
            </w:r>
            <w:r>
              <w:rPr>
                <w:rFonts w:ascii="Arial" w:cs="Arial" w:eastAsia="Arial" w:hAnsi="Arial"/>
                <w:sz w:val="15"/>
                <w:szCs w:val="15"/>
                <w:color w:val="auto"/>
              </w:rPr>
              <w:t>(1)</w:t>
            </w:r>
          </w:p>
        </w:tc>
        <w:tc>
          <w:tcPr>
            <w:tcW w:w="1080" w:type="dxa"/>
            <w:vAlign w:val="bottom"/>
            <w:tcBorders>
              <w:top w:val="single" w:sz="8" w:color="auto"/>
            </w:tcBorders>
            <w:shd w:val="clear" w:color="auto" w:fill="CFF0FC"/>
          </w:tcPr>
          <w:p>
            <w:pPr>
              <w:jc w:val="center"/>
              <w:spacing w:after="0"/>
              <w:rPr>
                <w:sz w:val="20"/>
                <w:szCs w:val="20"/>
                <w:color w:val="auto"/>
              </w:rPr>
            </w:pPr>
            <w:r>
              <w:rPr>
                <w:rFonts w:ascii="Arial" w:cs="Arial" w:eastAsia="Arial" w:hAnsi="Arial"/>
                <w:sz w:val="18"/>
                <w:szCs w:val="18"/>
                <w:color w:val="auto"/>
                <w:w w:val="92"/>
              </w:rPr>
              <w:t>Level 3</w:t>
            </w:r>
          </w:p>
        </w:tc>
        <w:tc>
          <w:tcPr>
            <w:tcW w:w="120" w:type="dxa"/>
            <w:vAlign w:val="bottom"/>
            <w:tcBorders>
              <w:top w:val="single" w:sz="8" w:color="CFF0FC"/>
            </w:tcBorders>
            <w:shd w:val="clear" w:color="auto" w:fill="CFF0FC"/>
          </w:tcPr>
          <w:p>
            <w:pPr>
              <w:spacing w:after="0"/>
              <w:rPr>
                <w:sz w:val="19"/>
                <w:szCs w:val="19"/>
                <w:color w:val="auto"/>
              </w:rPr>
            </w:pPr>
          </w:p>
        </w:tc>
        <w:tc>
          <w:tcPr>
            <w:tcW w:w="10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5"/>
                <w:szCs w:val="15"/>
                <w:color w:val="auto"/>
                <w:w w:val="71"/>
              </w:rPr>
              <w:t>$</w:t>
            </w:r>
          </w:p>
        </w:tc>
        <w:tc>
          <w:tcPr>
            <w:tcW w:w="86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23,012</w:t>
            </w:r>
          </w:p>
        </w:tc>
        <w:tc>
          <w:tcPr>
            <w:tcW w:w="200" w:type="dxa"/>
            <w:vAlign w:val="bottom"/>
            <w:tcBorders>
              <w:top w:val="single" w:sz="8" w:color="CFF0FC"/>
            </w:tcBorders>
            <w:shd w:val="clear" w:color="auto" w:fill="CFF0FC"/>
          </w:tcPr>
          <w:p>
            <w:pPr>
              <w:spacing w:after="0"/>
              <w:rPr>
                <w:sz w:val="19"/>
                <w:szCs w:val="19"/>
                <w:color w:val="auto"/>
              </w:rPr>
            </w:pPr>
          </w:p>
        </w:tc>
        <w:tc>
          <w:tcPr>
            <w:tcW w:w="14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84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23,012</w:t>
            </w:r>
          </w:p>
        </w:tc>
        <w:tc>
          <w:tcPr>
            <w:tcW w:w="220" w:type="dxa"/>
            <w:vAlign w:val="bottom"/>
            <w:tcBorders>
              <w:top w:val="single" w:sz="8" w:color="CFF0FC"/>
            </w:tcBorders>
            <w:shd w:val="clear" w:color="auto" w:fill="CFF0FC"/>
          </w:tcPr>
          <w:p>
            <w:pPr>
              <w:spacing w:after="0"/>
              <w:rPr>
                <w:sz w:val="19"/>
                <w:szCs w:val="19"/>
                <w:color w:val="auto"/>
              </w:rPr>
            </w:pPr>
          </w:p>
        </w:tc>
        <w:tc>
          <w:tcPr>
            <w:tcW w:w="10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5"/>
                <w:szCs w:val="15"/>
                <w:color w:val="auto"/>
                <w:w w:val="71"/>
              </w:rPr>
              <w:t>$</w:t>
            </w:r>
          </w:p>
        </w:tc>
        <w:tc>
          <w:tcPr>
            <w:tcW w:w="88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20,118</w:t>
            </w:r>
          </w:p>
        </w:tc>
        <w:tc>
          <w:tcPr>
            <w:tcW w:w="240" w:type="dxa"/>
            <w:vAlign w:val="bottom"/>
            <w:tcBorders>
              <w:top w:val="single" w:sz="8" w:color="CFF0FC"/>
            </w:tcBorders>
            <w:shd w:val="clear" w:color="auto" w:fill="CFF0FC"/>
          </w:tcPr>
          <w:p>
            <w:pPr>
              <w:spacing w:after="0"/>
              <w:rPr>
                <w:sz w:val="19"/>
                <w:szCs w:val="19"/>
                <w:color w:val="auto"/>
              </w:rPr>
            </w:pPr>
          </w:p>
        </w:tc>
        <w:tc>
          <w:tcPr>
            <w:tcW w:w="14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88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20,118</w:t>
            </w:r>
          </w:p>
        </w:tc>
        <w:tc>
          <w:tcPr>
            <w:tcW w:w="120" w:type="dxa"/>
            <w:vAlign w:val="bottom"/>
            <w:tcBorders>
              <w:top w:val="single" w:sz="8" w:color="CFF0FC"/>
            </w:tcBorders>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5500" w:type="dxa"/>
            <w:vAlign w:val="bottom"/>
          </w:tcPr>
          <w:p>
            <w:pPr>
              <w:spacing w:after="0"/>
              <w:rPr>
                <w:sz w:val="20"/>
                <w:szCs w:val="20"/>
                <w:color w:val="auto"/>
              </w:rPr>
            </w:pPr>
            <w:r>
              <w:rPr>
                <w:rFonts w:ascii="Arial" w:cs="Arial" w:eastAsia="Arial" w:hAnsi="Arial"/>
                <w:sz w:val="18"/>
                <w:szCs w:val="18"/>
                <w:color w:val="auto"/>
              </w:rPr>
              <w:t xml:space="preserve">Senior Notes </w:t>
            </w:r>
            <w:r>
              <w:rPr>
                <w:rFonts w:ascii="Arial" w:cs="Arial" w:eastAsia="Arial" w:hAnsi="Arial"/>
                <w:sz w:val="15"/>
                <w:szCs w:val="15"/>
                <w:color w:val="auto"/>
              </w:rPr>
              <w:t>(2)</w:t>
            </w:r>
          </w:p>
        </w:tc>
        <w:tc>
          <w:tcPr>
            <w:tcW w:w="1200" w:type="dxa"/>
            <w:vAlign w:val="bottom"/>
            <w:gridSpan w:val="2"/>
          </w:tcPr>
          <w:p>
            <w:pPr>
              <w:jc w:val="center"/>
              <w:ind w:right="140"/>
              <w:spacing w:after="0"/>
              <w:rPr>
                <w:sz w:val="20"/>
                <w:szCs w:val="20"/>
                <w:color w:val="auto"/>
              </w:rPr>
            </w:pPr>
            <w:r>
              <w:rPr>
                <w:rFonts w:ascii="Arial" w:cs="Arial" w:eastAsia="Arial" w:hAnsi="Arial"/>
                <w:sz w:val="18"/>
                <w:szCs w:val="18"/>
                <w:color w:val="auto"/>
                <w:w w:val="92"/>
              </w:rPr>
              <w:t>Level 2</w:t>
            </w:r>
          </w:p>
        </w:tc>
        <w:tc>
          <w:tcPr>
            <w:tcW w:w="100" w:type="dxa"/>
            <w:vAlign w:val="bottom"/>
          </w:tcPr>
          <w:p>
            <w:pPr>
              <w:spacing w:after="0"/>
              <w:rPr>
                <w:sz w:val="19"/>
                <w:szCs w:val="19"/>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887,882</w:t>
            </w:r>
          </w:p>
        </w:tc>
        <w:tc>
          <w:tcPr>
            <w:tcW w:w="2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rPr>
              <w:t>880,875</w:t>
            </w:r>
          </w:p>
        </w:tc>
        <w:tc>
          <w:tcPr>
            <w:tcW w:w="2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887,502</w:t>
            </w:r>
          </w:p>
        </w:tc>
        <w:tc>
          <w:tcPr>
            <w:tcW w:w="24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896,625</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5500" w:type="dxa"/>
            <w:vAlign w:val="bottom"/>
            <w:shd w:val="clear" w:color="auto" w:fill="CFF0FC"/>
          </w:tcPr>
          <w:p>
            <w:pPr>
              <w:spacing w:after="0"/>
              <w:rPr>
                <w:sz w:val="20"/>
                <w:szCs w:val="20"/>
                <w:color w:val="auto"/>
              </w:rPr>
            </w:pPr>
            <w:r>
              <w:rPr>
                <w:rFonts w:ascii="Arial" w:cs="Arial" w:eastAsia="Arial" w:hAnsi="Arial"/>
                <w:sz w:val="18"/>
                <w:szCs w:val="18"/>
                <w:color w:val="auto"/>
              </w:rPr>
              <w:t xml:space="preserve">Notes payable and other borrowings </w:t>
            </w:r>
            <w:r>
              <w:rPr>
                <w:rFonts w:ascii="Arial" w:cs="Arial" w:eastAsia="Arial" w:hAnsi="Arial"/>
                <w:sz w:val="15"/>
                <w:szCs w:val="15"/>
                <w:color w:val="auto"/>
              </w:rPr>
              <w:t>(3)</w:t>
            </w:r>
          </w:p>
        </w:tc>
        <w:tc>
          <w:tcPr>
            <w:tcW w:w="1200" w:type="dxa"/>
            <w:vAlign w:val="bottom"/>
            <w:gridSpan w:val="2"/>
            <w:shd w:val="clear" w:color="auto" w:fill="CFF0FC"/>
          </w:tcPr>
          <w:p>
            <w:pPr>
              <w:jc w:val="center"/>
              <w:ind w:right="140"/>
              <w:spacing w:after="0"/>
              <w:rPr>
                <w:sz w:val="20"/>
                <w:szCs w:val="20"/>
                <w:color w:val="auto"/>
              </w:rPr>
            </w:pPr>
            <w:r>
              <w:rPr>
                <w:rFonts w:ascii="Arial" w:cs="Arial" w:eastAsia="Arial" w:hAnsi="Arial"/>
                <w:sz w:val="18"/>
                <w:szCs w:val="18"/>
                <w:color w:val="auto"/>
                <w:w w:val="92"/>
              </w:rPr>
              <w:t>Level 3</w:t>
            </w:r>
          </w:p>
        </w:tc>
        <w:tc>
          <w:tcPr>
            <w:tcW w:w="100" w:type="dxa"/>
            <w:vAlign w:val="bottom"/>
            <w:shd w:val="clear" w:color="auto" w:fill="CFF0FC"/>
          </w:tcPr>
          <w:p>
            <w:pPr>
              <w:spacing w:after="0"/>
              <w:rPr>
                <w:sz w:val="19"/>
                <w:szCs w:val="19"/>
                <w:color w:val="auto"/>
              </w:rPr>
            </w:pPr>
          </w:p>
        </w:tc>
        <w:tc>
          <w:tcPr>
            <w:tcW w:w="8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322,142</w:t>
            </w:r>
          </w:p>
        </w:tc>
        <w:tc>
          <w:tcPr>
            <w:tcW w:w="200" w:type="dxa"/>
            <w:vAlign w:val="bottom"/>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8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322,142</w:t>
            </w:r>
          </w:p>
        </w:tc>
        <w:tc>
          <w:tcPr>
            <w:tcW w:w="22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8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274,677</w:t>
            </w:r>
          </w:p>
        </w:tc>
        <w:tc>
          <w:tcPr>
            <w:tcW w:w="240" w:type="dxa"/>
            <w:vAlign w:val="bottom"/>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8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274,677</w:t>
            </w:r>
          </w:p>
        </w:tc>
        <w:tc>
          <w:tcPr>
            <w:tcW w:w="1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bl>
    <w:p>
      <w:pPr>
        <w:spacing w:after="0" w:line="202" w:lineRule="exact"/>
        <w:rPr>
          <w:sz w:val="20"/>
          <w:szCs w:val="20"/>
          <w:color w:val="auto"/>
        </w:rPr>
      </w:pPr>
    </w:p>
    <w:p>
      <w:pPr>
        <w:ind w:left="520"/>
        <w:spacing w:after="0"/>
        <w:rPr>
          <w:sz w:val="20"/>
          <w:szCs w:val="20"/>
          <w:color w:val="auto"/>
        </w:rPr>
      </w:pPr>
      <w:r>
        <w:rPr>
          <w:rFonts w:ascii="Arial" w:cs="Arial" w:eastAsia="Arial" w:hAnsi="Arial"/>
          <w:sz w:val="18"/>
          <w:szCs w:val="18"/>
          <w:color w:val="auto"/>
        </w:rPr>
        <w:t>At March 31, 2015 and December 31, 2014, the carrying value of cash and cash equivalents approximated fair value.</w:t>
      </w:r>
    </w:p>
    <w:p>
      <w:pPr>
        <w:spacing w:after="0" w:line="252" w:lineRule="exact"/>
        <w:rPr>
          <w:sz w:val="20"/>
          <w:szCs w:val="20"/>
          <w:color w:val="auto"/>
        </w:rPr>
      </w:pPr>
    </w:p>
    <w:p>
      <w:pPr>
        <w:ind w:left="760" w:right="120" w:hanging="372"/>
        <w:spacing w:after="0" w:line="256" w:lineRule="auto"/>
        <w:tabs>
          <w:tab w:leader="none" w:pos="760" w:val="left"/>
        </w:tabs>
        <w:numPr>
          <w:ilvl w:val="0"/>
          <w:numId w:val="15"/>
        </w:numPr>
        <w:rPr>
          <w:rFonts w:ascii="Arial" w:cs="Arial" w:eastAsia="Arial" w:hAnsi="Arial"/>
          <w:sz w:val="15"/>
          <w:szCs w:val="15"/>
          <w:color w:val="auto"/>
        </w:rPr>
      </w:pPr>
      <w:r>
        <w:rPr>
          <w:rFonts w:ascii="Arial" w:cs="Arial" w:eastAsia="Arial" w:hAnsi="Arial"/>
          <w:sz w:val="18"/>
          <w:szCs w:val="18"/>
          <w:color w:val="auto"/>
        </w:rPr>
        <w:t>The estimated fair value of our receivables was based on the discounted value of the expected future cash flows using current rates for similar receivables. The book value of our receivables equaled the fair value as of March 31, 2015 and December 31, 2014 due to the short-term nature of the remaining receivables.</w:t>
      </w:r>
    </w:p>
    <w:p>
      <w:pPr>
        <w:ind w:left="760" w:hanging="372"/>
        <w:spacing w:after="0"/>
        <w:tabs>
          <w:tab w:leader="none" w:pos="760" w:val="left"/>
        </w:tabs>
        <w:numPr>
          <w:ilvl w:val="0"/>
          <w:numId w:val="15"/>
        </w:numPr>
        <w:rPr>
          <w:rFonts w:ascii="Arial" w:cs="Arial" w:eastAsia="Arial" w:hAnsi="Arial"/>
          <w:sz w:val="15"/>
          <w:szCs w:val="15"/>
          <w:color w:val="auto"/>
        </w:rPr>
      </w:pPr>
      <w:r>
        <w:rPr>
          <w:rFonts w:ascii="Arial" w:cs="Arial" w:eastAsia="Arial" w:hAnsi="Arial"/>
          <w:sz w:val="18"/>
          <w:szCs w:val="18"/>
          <w:color w:val="auto"/>
        </w:rPr>
        <w:t>The estimated fair value of our Senior Notes at March 31, 2015 and December 31, 2014 is based on quoted market prices.</w:t>
      </w:r>
    </w:p>
    <w:p>
      <w:pPr>
        <w:spacing w:after="0" w:line="9" w:lineRule="exact"/>
        <w:rPr>
          <w:rFonts w:ascii="Arial" w:cs="Arial" w:eastAsia="Arial" w:hAnsi="Arial"/>
          <w:sz w:val="15"/>
          <w:szCs w:val="15"/>
          <w:color w:val="auto"/>
        </w:rPr>
      </w:pPr>
    </w:p>
    <w:p>
      <w:pPr>
        <w:ind w:left="760" w:hanging="372"/>
        <w:spacing w:after="0"/>
        <w:tabs>
          <w:tab w:leader="none" w:pos="760" w:val="left"/>
        </w:tabs>
        <w:numPr>
          <w:ilvl w:val="0"/>
          <w:numId w:val="15"/>
        </w:numPr>
        <w:rPr>
          <w:rFonts w:ascii="Arial" w:cs="Arial" w:eastAsia="Arial" w:hAnsi="Arial"/>
          <w:sz w:val="15"/>
          <w:szCs w:val="15"/>
          <w:color w:val="auto"/>
        </w:rPr>
      </w:pPr>
      <w:r>
        <w:rPr>
          <w:rFonts w:ascii="Arial" w:cs="Arial" w:eastAsia="Arial" w:hAnsi="Arial"/>
          <w:sz w:val="18"/>
          <w:szCs w:val="18"/>
          <w:color w:val="auto"/>
        </w:rPr>
        <w:t>We believe that the carrying value of our notes payable and other borrowings approximates fair value.</w:t>
      </w:r>
    </w:p>
    <w:p>
      <w:pPr>
        <w:spacing w:after="0" w:line="319" w:lineRule="exact"/>
        <w:rPr>
          <w:sz w:val="20"/>
          <w:szCs w:val="20"/>
          <w:color w:val="auto"/>
        </w:rPr>
      </w:pPr>
    </w:p>
    <w:p>
      <w:pPr>
        <w:ind w:left="520"/>
        <w:spacing w:after="0"/>
        <w:rPr>
          <w:sz w:val="20"/>
          <w:szCs w:val="20"/>
          <w:color w:val="auto"/>
        </w:rPr>
      </w:pPr>
      <w:r>
        <w:rPr>
          <w:rFonts w:ascii="Arial" w:cs="Arial" w:eastAsia="Arial" w:hAnsi="Arial"/>
          <w:sz w:val="18"/>
          <w:szCs w:val="18"/>
          <w:b w:val="1"/>
          <w:bCs w:val="1"/>
          <w:i w:val="1"/>
          <w:iCs w:val="1"/>
          <w:color w:val="auto"/>
        </w:rPr>
        <w:t>Fair Value of Nonfinancial Assets</w:t>
      </w:r>
    </w:p>
    <w:p>
      <w:pPr>
        <w:spacing w:after="0" w:line="117" w:lineRule="exact"/>
        <w:rPr>
          <w:sz w:val="20"/>
          <w:szCs w:val="20"/>
          <w:color w:val="auto"/>
        </w:rPr>
      </w:pPr>
    </w:p>
    <w:p>
      <w:pPr>
        <w:ind w:right="100" w:firstLine="518"/>
        <w:spacing w:after="0" w:line="264" w:lineRule="auto"/>
        <w:rPr>
          <w:sz w:val="20"/>
          <w:szCs w:val="20"/>
          <w:color w:val="auto"/>
        </w:rPr>
      </w:pPr>
      <w:r>
        <w:rPr>
          <w:rFonts w:ascii="Arial" w:cs="Arial" w:eastAsia="Arial" w:hAnsi="Arial"/>
          <w:sz w:val="18"/>
          <w:szCs w:val="18"/>
          <w:color w:val="auto"/>
        </w:rPr>
        <w:t>Nonfinancial assets include items such as real estate inventories and long-lived assets that are measured at fair value on a nonrecurring basis when events and circumstances indicate the carrying value is not recoverable. The following table presents impairment charges and the remaining net fair value for nonfinancial assets that were measured during the periods presented (in thousands):</w:t>
      </w:r>
    </w:p>
    <w:p>
      <w:pPr>
        <w:spacing w:after="0" w:line="254" w:lineRule="exact"/>
        <w:rPr>
          <w:sz w:val="20"/>
          <w:szCs w:val="20"/>
          <w:color w:val="auto"/>
        </w:rPr>
      </w:pPr>
    </w:p>
    <w:tbl>
      <w:tblPr>
        <w:tblLayout w:type="fixed"/>
        <w:tblInd w:w="0" w:type="dxa"/>
        <w:tblCellMar>
          <w:top w:w="0" w:type="dxa"/>
          <w:left w:w="0" w:type="dxa"/>
          <w:bottom w:w="0" w:type="dxa"/>
          <w:right w:w="0" w:type="dxa"/>
        </w:tblCellMar>
      </w:tblPr>
      <w:tr>
        <w:trPr>
          <w:trHeight w:val="162"/>
        </w:trPr>
        <w:tc>
          <w:tcPr>
            <w:tcW w:w="550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380" w:type="dxa"/>
            <w:vAlign w:val="bottom"/>
            <w:gridSpan w:val="6"/>
          </w:tcPr>
          <w:p>
            <w:pPr>
              <w:jc w:val="center"/>
              <w:ind w:right="345"/>
              <w:spacing w:after="0"/>
              <w:rPr>
                <w:sz w:val="20"/>
                <w:szCs w:val="20"/>
                <w:color w:val="auto"/>
              </w:rPr>
            </w:pPr>
            <w:r>
              <w:rPr>
                <w:rFonts w:ascii="Arial" w:cs="Arial" w:eastAsia="Arial" w:hAnsi="Arial"/>
                <w:sz w:val="14"/>
                <w:szCs w:val="14"/>
                <w:b w:val="1"/>
                <w:bCs w:val="1"/>
                <w:color w:val="auto"/>
                <w:w w:val="93"/>
              </w:rPr>
              <w:t>Year Ended</w:t>
            </w:r>
          </w:p>
        </w:tc>
        <w:tc>
          <w:tcPr>
            <w:tcW w:w="2260" w:type="dxa"/>
            <w:vAlign w:val="bottom"/>
            <w:gridSpan w:val="5"/>
          </w:tcPr>
          <w:p>
            <w:pPr>
              <w:jc w:val="center"/>
              <w:ind w:right="240"/>
              <w:spacing w:after="0"/>
              <w:rPr>
                <w:sz w:val="20"/>
                <w:szCs w:val="20"/>
                <w:color w:val="auto"/>
              </w:rPr>
            </w:pPr>
            <w:r>
              <w:rPr>
                <w:rFonts w:ascii="Arial" w:cs="Arial" w:eastAsia="Arial" w:hAnsi="Arial"/>
                <w:sz w:val="14"/>
                <w:szCs w:val="14"/>
                <w:b w:val="1"/>
                <w:bCs w:val="1"/>
                <w:color w:val="auto"/>
                <w:w w:val="96"/>
              </w:rPr>
              <w:t>Year Ended</w:t>
            </w:r>
          </w:p>
        </w:tc>
      </w:tr>
      <w:tr>
        <w:trPr>
          <w:trHeight w:val="171"/>
        </w:trPr>
        <w:tc>
          <w:tcPr>
            <w:tcW w:w="550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380" w:type="dxa"/>
            <w:vAlign w:val="bottom"/>
            <w:gridSpan w:val="6"/>
          </w:tcPr>
          <w:p>
            <w:pPr>
              <w:jc w:val="center"/>
              <w:ind w:right="345"/>
              <w:spacing w:after="0"/>
              <w:rPr>
                <w:sz w:val="20"/>
                <w:szCs w:val="20"/>
                <w:color w:val="auto"/>
              </w:rPr>
            </w:pPr>
            <w:r>
              <w:rPr>
                <w:rFonts w:ascii="Arial" w:cs="Arial" w:eastAsia="Arial" w:hAnsi="Arial"/>
                <w:sz w:val="14"/>
                <w:szCs w:val="14"/>
                <w:b w:val="1"/>
                <w:bCs w:val="1"/>
                <w:color w:val="auto"/>
                <w:w w:val="96"/>
              </w:rPr>
              <w:t>March 31, 2015</w:t>
            </w:r>
          </w:p>
        </w:tc>
        <w:tc>
          <w:tcPr>
            <w:tcW w:w="2260" w:type="dxa"/>
            <w:vAlign w:val="bottom"/>
            <w:gridSpan w:val="5"/>
          </w:tcPr>
          <w:p>
            <w:pPr>
              <w:jc w:val="center"/>
              <w:ind w:right="240"/>
              <w:spacing w:after="0"/>
              <w:rPr>
                <w:sz w:val="20"/>
                <w:szCs w:val="20"/>
                <w:color w:val="auto"/>
              </w:rPr>
            </w:pPr>
            <w:r>
              <w:rPr>
                <w:rFonts w:ascii="Arial" w:cs="Arial" w:eastAsia="Arial" w:hAnsi="Arial"/>
                <w:sz w:val="14"/>
                <w:szCs w:val="14"/>
                <w:b w:val="1"/>
                <w:bCs w:val="1"/>
                <w:color w:val="auto"/>
                <w:w w:val="93"/>
              </w:rPr>
              <w:t>December 31, 2014</w:t>
            </w:r>
          </w:p>
        </w:tc>
      </w:tr>
      <w:tr>
        <w:trPr>
          <w:trHeight w:val="146"/>
        </w:trPr>
        <w:tc>
          <w:tcPr>
            <w:tcW w:w="5500" w:type="dxa"/>
            <w:vAlign w:val="bottom"/>
          </w:tcPr>
          <w:p>
            <w:pPr>
              <w:spacing w:after="0"/>
              <w:rPr>
                <w:sz w:val="12"/>
                <w:szCs w:val="12"/>
                <w:color w:val="auto"/>
              </w:rPr>
            </w:pPr>
          </w:p>
        </w:tc>
        <w:tc>
          <w:tcPr>
            <w:tcW w:w="10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0" w:type="dxa"/>
            <w:vAlign w:val="bottom"/>
            <w:tcBorders>
              <w:top w:val="single" w:sz="8" w:color="auto"/>
            </w:tcBorders>
          </w:tcPr>
          <w:p>
            <w:pPr>
              <w:spacing w:after="0"/>
              <w:rPr>
                <w:sz w:val="12"/>
                <w:szCs w:val="12"/>
                <w:color w:val="auto"/>
              </w:rPr>
            </w:pPr>
          </w:p>
        </w:tc>
        <w:tc>
          <w:tcPr>
            <w:tcW w:w="880" w:type="dxa"/>
            <w:vAlign w:val="bottom"/>
            <w:tcBorders>
              <w:top w:val="single" w:sz="8" w:color="auto"/>
            </w:tcBorders>
          </w:tcPr>
          <w:p>
            <w:pPr>
              <w:spacing w:after="0"/>
              <w:rPr>
                <w:sz w:val="12"/>
                <w:szCs w:val="12"/>
                <w:color w:val="auto"/>
              </w:rPr>
            </w:pPr>
          </w:p>
        </w:tc>
        <w:tc>
          <w:tcPr>
            <w:tcW w:w="200" w:type="dxa"/>
            <w:vAlign w:val="bottom"/>
            <w:tcBorders>
              <w:top w:val="single" w:sz="8" w:color="auto"/>
            </w:tcBorders>
          </w:tcPr>
          <w:p>
            <w:pPr>
              <w:spacing w:after="0"/>
              <w:rPr>
                <w:sz w:val="12"/>
                <w:szCs w:val="12"/>
                <w:color w:val="auto"/>
              </w:rPr>
            </w:pPr>
          </w:p>
        </w:tc>
        <w:tc>
          <w:tcPr>
            <w:tcW w:w="100" w:type="dxa"/>
            <w:vAlign w:val="bottom"/>
            <w:tcBorders>
              <w:top w:val="single" w:sz="8" w:color="auto"/>
            </w:tcBorders>
          </w:tcPr>
          <w:p>
            <w:pPr>
              <w:spacing w:after="0"/>
              <w:rPr>
                <w:sz w:val="12"/>
                <w:szCs w:val="12"/>
                <w:color w:val="auto"/>
              </w:rPr>
            </w:pPr>
          </w:p>
        </w:tc>
        <w:tc>
          <w:tcPr>
            <w:tcW w:w="880" w:type="dxa"/>
            <w:vAlign w:val="bottom"/>
            <w:tcBorders>
              <w:top w:val="single" w:sz="8" w:color="auto"/>
            </w:tcBorders>
          </w:tcPr>
          <w:p>
            <w:pPr>
              <w:jc w:val="center"/>
              <w:ind w:right="24"/>
              <w:spacing w:after="0" w:line="147" w:lineRule="exact"/>
              <w:rPr>
                <w:sz w:val="20"/>
                <w:szCs w:val="20"/>
                <w:color w:val="auto"/>
              </w:rPr>
            </w:pPr>
            <w:r>
              <w:rPr>
                <w:rFonts w:ascii="Arial" w:cs="Arial" w:eastAsia="Arial" w:hAnsi="Arial"/>
                <w:sz w:val="14"/>
                <w:szCs w:val="14"/>
                <w:b w:val="1"/>
                <w:bCs w:val="1"/>
                <w:color w:val="auto"/>
                <w:w w:val="98"/>
              </w:rPr>
              <w:t>Fair Value</w:t>
            </w:r>
          </w:p>
        </w:tc>
        <w:tc>
          <w:tcPr>
            <w:tcW w:w="220" w:type="dxa"/>
            <w:vAlign w:val="bottom"/>
          </w:tcPr>
          <w:p>
            <w:pPr>
              <w:spacing w:after="0"/>
              <w:rPr>
                <w:sz w:val="12"/>
                <w:szCs w:val="12"/>
                <w:color w:val="auto"/>
              </w:rPr>
            </w:pPr>
          </w:p>
        </w:tc>
        <w:tc>
          <w:tcPr>
            <w:tcW w:w="100" w:type="dxa"/>
            <w:vAlign w:val="bottom"/>
            <w:tcBorders>
              <w:top w:val="single" w:sz="8" w:color="auto"/>
            </w:tcBorders>
          </w:tcPr>
          <w:p>
            <w:pPr>
              <w:spacing w:after="0"/>
              <w:rPr>
                <w:sz w:val="12"/>
                <w:szCs w:val="12"/>
                <w:color w:val="auto"/>
              </w:rPr>
            </w:pPr>
          </w:p>
        </w:tc>
        <w:tc>
          <w:tcPr>
            <w:tcW w:w="880" w:type="dxa"/>
            <w:vAlign w:val="bottom"/>
            <w:tcBorders>
              <w:top w:val="single" w:sz="8" w:color="auto"/>
            </w:tcBorders>
          </w:tcPr>
          <w:p>
            <w:pPr>
              <w:spacing w:after="0"/>
              <w:rPr>
                <w:sz w:val="12"/>
                <w:szCs w:val="12"/>
                <w:color w:val="auto"/>
              </w:rPr>
            </w:pPr>
          </w:p>
        </w:tc>
        <w:tc>
          <w:tcPr>
            <w:tcW w:w="240" w:type="dxa"/>
            <w:vAlign w:val="bottom"/>
            <w:tcBorders>
              <w:top w:val="single" w:sz="8" w:color="auto"/>
            </w:tcBorders>
          </w:tcPr>
          <w:p>
            <w:pPr>
              <w:spacing w:after="0"/>
              <w:rPr>
                <w:sz w:val="12"/>
                <w:szCs w:val="12"/>
                <w:color w:val="auto"/>
              </w:rPr>
            </w:pPr>
          </w:p>
        </w:tc>
        <w:tc>
          <w:tcPr>
            <w:tcW w:w="120" w:type="dxa"/>
            <w:vAlign w:val="bottom"/>
            <w:tcBorders>
              <w:top w:val="single" w:sz="8" w:color="auto"/>
            </w:tcBorders>
          </w:tcPr>
          <w:p>
            <w:pPr>
              <w:spacing w:after="0"/>
              <w:rPr>
                <w:sz w:val="12"/>
                <w:szCs w:val="12"/>
                <w:color w:val="auto"/>
              </w:rPr>
            </w:pPr>
          </w:p>
        </w:tc>
        <w:tc>
          <w:tcPr>
            <w:tcW w:w="900" w:type="dxa"/>
            <w:vAlign w:val="bottom"/>
            <w:tcBorders>
              <w:top w:val="single" w:sz="8" w:color="auto"/>
            </w:tcBorders>
          </w:tcPr>
          <w:p>
            <w:pPr>
              <w:jc w:val="center"/>
              <w:ind w:right="64"/>
              <w:spacing w:after="0" w:line="147" w:lineRule="exact"/>
              <w:rPr>
                <w:sz w:val="20"/>
                <w:szCs w:val="20"/>
                <w:color w:val="auto"/>
              </w:rPr>
            </w:pPr>
            <w:r>
              <w:rPr>
                <w:rFonts w:ascii="Arial" w:cs="Arial" w:eastAsia="Arial" w:hAnsi="Arial"/>
                <w:sz w:val="14"/>
                <w:szCs w:val="14"/>
                <w:b w:val="1"/>
                <w:bCs w:val="1"/>
                <w:color w:val="auto"/>
                <w:w w:val="95"/>
              </w:rPr>
              <w:t>Fair Value</w:t>
            </w:r>
          </w:p>
        </w:tc>
        <w:tc>
          <w:tcPr>
            <w:tcW w:w="120" w:type="dxa"/>
            <w:vAlign w:val="bottom"/>
          </w:tcPr>
          <w:p>
            <w:pPr>
              <w:spacing w:after="0"/>
              <w:rPr>
                <w:sz w:val="12"/>
                <w:szCs w:val="12"/>
                <w:color w:val="auto"/>
              </w:rPr>
            </w:pPr>
          </w:p>
        </w:tc>
      </w:tr>
      <w:tr>
        <w:trPr>
          <w:trHeight w:val="162"/>
        </w:trPr>
        <w:tc>
          <w:tcPr>
            <w:tcW w:w="550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180" w:type="dxa"/>
            <w:vAlign w:val="bottom"/>
            <w:gridSpan w:val="3"/>
          </w:tcPr>
          <w:p>
            <w:pPr>
              <w:jc w:val="center"/>
              <w:ind w:right="310"/>
              <w:spacing w:after="0"/>
              <w:rPr>
                <w:sz w:val="20"/>
                <w:szCs w:val="20"/>
                <w:color w:val="auto"/>
              </w:rPr>
            </w:pPr>
            <w:r>
              <w:rPr>
                <w:rFonts w:ascii="Arial" w:cs="Arial" w:eastAsia="Arial" w:hAnsi="Arial"/>
                <w:sz w:val="14"/>
                <w:szCs w:val="14"/>
                <w:b w:val="1"/>
                <w:bCs w:val="1"/>
                <w:color w:val="auto"/>
                <w:w w:val="98"/>
              </w:rPr>
              <w:t>Impairment</w:t>
            </w:r>
          </w:p>
        </w:tc>
        <w:tc>
          <w:tcPr>
            <w:tcW w:w="1200" w:type="dxa"/>
            <w:vAlign w:val="bottom"/>
            <w:gridSpan w:val="3"/>
          </w:tcPr>
          <w:p>
            <w:pPr>
              <w:jc w:val="center"/>
              <w:ind w:right="345"/>
              <w:spacing w:after="0"/>
              <w:rPr>
                <w:sz w:val="20"/>
                <w:szCs w:val="20"/>
                <w:color w:val="auto"/>
              </w:rPr>
            </w:pPr>
            <w:r>
              <w:rPr>
                <w:rFonts w:ascii="Arial" w:cs="Arial" w:eastAsia="Arial" w:hAnsi="Arial"/>
                <w:sz w:val="14"/>
                <w:szCs w:val="14"/>
                <w:b w:val="1"/>
                <w:bCs w:val="1"/>
                <w:color w:val="auto"/>
                <w:w w:val="95"/>
              </w:rPr>
              <w:t>Net of</w:t>
            </w:r>
          </w:p>
        </w:tc>
        <w:tc>
          <w:tcPr>
            <w:tcW w:w="1120" w:type="dxa"/>
            <w:vAlign w:val="bottom"/>
            <w:gridSpan w:val="2"/>
          </w:tcPr>
          <w:p>
            <w:pPr>
              <w:jc w:val="center"/>
              <w:ind w:right="340"/>
              <w:spacing w:after="0"/>
              <w:rPr>
                <w:sz w:val="20"/>
                <w:szCs w:val="20"/>
                <w:color w:val="auto"/>
              </w:rPr>
            </w:pPr>
            <w:r>
              <w:rPr>
                <w:rFonts w:ascii="Arial" w:cs="Arial" w:eastAsia="Arial" w:hAnsi="Arial"/>
                <w:sz w:val="14"/>
                <w:szCs w:val="14"/>
                <w:b w:val="1"/>
                <w:bCs w:val="1"/>
                <w:color w:val="auto"/>
                <w:w w:val="98"/>
              </w:rPr>
              <w:t>Impairment</w:t>
            </w:r>
          </w:p>
        </w:tc>
        <w:tc>
          <w:tcPr>
            <w:tcW w:w="120" w:type="dxa"/>
            <w:vAlign w:val="bottom"/>
          </w:tcPr>
          <w:p>
            <w:pPr>
              <w:spacing w:after="0"/>
              <w:rPr>
                <w:sz w:val="14"/>
                <w:szCs w:val="14"/>
                <w:color w:val="auto"/>
              </w:rPr>
            </w:pPr>
          </w:p>
        </w:tc>
        <w:tc>
          <w:tcPr>
            <w:tcW w:w="102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w w:val="95"/>
              </w:rPr>
              <w:t>Net of</w:t>
            </w:r>
          </w:p>
        </w:tc>
      </w:tr>
      <w:tr>
        <w:trPr>
          <w:trHeight w:val="171"/>
        </w:trPr>
        <w:tc>
          <w:tcPr>
            <w:tcW w:w="5500" w:type="dxa"/>
            <w:vAlign w:val="bottom"/>
          </w:tcPr>
          <w:p>
            <w:pPr>
              <w:spacing w:after="0"/>
              <w:rPr>
                <w:sz w:val="14"/>
                <w:szCs w:val="14"/>
                <w:color w:val="auto"/>
              </w:rPr>
            </w:pPr>
          </w:p>
        </w:tc>
        <w:tc>
          <w:tcPr>
            <w:tcW w:w="1200" w:type="dxa"/>
            <w:vAlign w:val="bottom"/>
            <w:gridSpan w:val="2"/>
          </w:tcPr>
          <w:p>
            <w:pPr>
              <w:jc w:val="center"/>
              <w:ind w:right="140"/>
              <w:spacing w:after="0"/>
              <w:rPr>
                <w:sz w:val="20"/>
                <w:szCs w:val="20"/>
                <w:color w:val="auto"/>
              </w:rPr>
            </w:pPr>
            <w:r>
              <w:rPr>
                <w:rFonts w:ascii="Arial" w:cs="Arial" w:eastAsia="Arial" w:hAnsi="Arial"/>
                <w:sz w:val="14"/>
                <w:szCs w:val="14"/>
                <w:b w:val="1"/>
                <w:bCs w:val="1"/>
                <w:color w:val="auto"/>
                <w:w w:val="95"/>
              </w:rPr>
              <w:t>Hierarchy</w:t>
            </w:r>
          </w:p>
        </w:tc>
        <w:tc>
          <w:tcPr>
            <w:tcW w:w="80" w:type="dxa"/>
            <w:vAlign w:val="bottom"/>
          </w:tcPr>
          <w:p>
            <w:pPr>
              <w:spacing w:after="0"/>
              <w:rPr>
                <w:sz w:val="14"/>
                <w:szCs w:val="14"/>
                <w:color w:val="auto"/>
              </w:rPr>
            </w:pPr>
          </w:p>
        </w:tc>
        <w:tc>
          <w:tcPr>
            <w:tcW w:w="1180" w:type="dxa"/>
            <w:vAlign w:val="bottom"/>
            <w:gridSpan w:val="3"/>
          </w:tcPr>
          <w:p>
            <w:pPr>
              <w:jc w:val="center"/>
              <w:ind w:right="310"/>
              <w:spacing w:after="0"/>
              <w:rPr>
                <w:sz w:val="20"/>
                <w:szCs w:val="20"/>
                <w:color w:val="auto"/>
              </w:rPr>
            </w:pPr>
            <w:r>
              <w:rPr>
                <w:rFonts w:ascii="Arial" w:cs="Arial" w:eastAsia="Arial" w:hAnsi="Arial"/>
                <w:sz w:val="14"/>
                <w:szCs w:val="14"/>
                <w:b w:val="1"/>
                <w:bCs w:val="1"/>
                <w:color w:val="auto"/>
                <w:w w:val="95"/>
              </w:rPr>
              <w:t>Charge</w:t>
            </w:r>
          </w:p>
        </w:tc>
        <w:tc>
          <w:tcPr>
            <w:tcW w:w="1200" w:type="dxa"/>
            <w:vAlign w:val="bottom"/>
            <w:gridSpan w:val="3"/>
          </w:tcPr>
          <w:p>
            <w:pPr>
              <w:jc w:val="center"/>
              <w:ind w:right="345"/>
              <w:spacing w:after="0"/>
              <w:rPr>
                <w:sz w:val="20"/>
                <w:szCs w:val="20"/>
                <w:color w:val="auto"/>
              </w:rPr>
            </w:pPr>
            <w:r>
              <w:rPr>
                <w:rFonts w:ascii="Arial" w:cs="Arial" w:eastAsia="Arial" w:hAnsi="Arial"/>
                <w:sz w:val="14"/>
                <w:szCs w:val="14"/>
                <w:b w:val="1"/>
                <w:bCs w:val="1"/>
                <w:color w:val="auto"/>
                <w:w w:val="98"/>
              </w:rPr>
              <w:t>Impairment</w:t>
            </w:r>
          </w:p>
        </w:tc>
        <w:tc>
          <w:tcPr>
            <w:tcW w:w="1120" w:type="dxa"/>
            <w:vAlign w:val="bottom"/>
            <w:gridSpan w:val="2"/>
          </w:tcPr>
          <w:p>
            <w:pPr>
              <w:jc w:val="center"/>
              <w:ind w:right="340"/>
              <w:spacing w:after="0"/>
              <w:rPr>
                <w:sz w:val="20"/>
                <w:szCs w:val="20"/>
                <w:color w:val="auto"/>
              </w:rPr>
            </w:pPr>
            <w:r>
              <w:rPr>
                <w:rFonts w:ascii="Arial" w:cs="Arial" w:eastAsia="Arial" w:hAnsi="Arial"/>
                <w:sz w:val="14"/>
                <w:szCs w:val="14"/>
                <w:b w:val="1"/>
                <w:bCs w:val="1"/>
                <w:color w:val="auto"/>
                <w:w w:val="95"/>
              </w:rPr>
              <w:t>Charge</w:t>
            </w:r>
          </w:p>
        </w:tc>
        <w:tc>
          <w:tcPr>
            <w:tcW w:w="120" w:type="dxa"/>
            <w:vAlign w:val="bottom"/>
          </w:tcPr>
          <w:p>
            <w:pPr>
              <w:spacing w:after="0"/>
              <w:rPr>
                <w:sz w:val="14"/>
                <w:szCs w:val="14"/>
                <w:color w:val="auto"/>
              </w:rPr>
            </w:pPr>
          </w:p>
        </w:tc>
        <w:tc>
          <w:tcPr>
            <w:tcW w:w="102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w w:val="98"/>
              </w:rPr>
              <w:t>Impairment</w:t>
            </w:r>
          </w:p>
        </w:tc>
      </w:tr>
      <w:tr>
        <w:trPr>
          <w:trHeight w:val="223"/>
        </w:trPr>
        <w:tc>
          <w:tcPr>
            <w:tcW w:w="5500" w:type="dxa"/>
            <w:vAlign w:val="bottom"/>
            <w:tcBorders>
              <w:top w:val="single" w:sz="8" w:color="CFF0FC"/>
            </w:tcBorders>
            <w:shd w:val="clear" w:color="auto" w:fill="CFF0FC"/>
          </w:tcPr>
          <w:p>
            <w:pPr>
              <w:spacing w:after="0"/>
              <w:rPr>
                <w:sz w:val="20"/>
                <w:szCs w:val="20"/>
                <w:color w:val="auto"/>
              </w:rPr>
            </w:pPr>
            <w:r>
              <w:rPr>
                <w:rFonts w:ascii="Arial" w:cs="Arial" w:eastAsia="Arial" w:hAnsi="Arial"/>
                <w:sz w:val="18"/>
                <w:szCs w:val="18"/>
                <w:color w:val="auto"/>
              </w:rPr>
              <w:t>Real estate inventories</w:t>
            </w:r>
          </w:p>
        </w:tc>
        <w:tc>
          <w:tcPr>
            <w:tcW w:w="1080" w:type="dxa"/>
            <w:vAlign w:val="bottom"/>
            <w:tcBorders>
              <w:top w:val="single" w:sz="8" w:color="auto"/>
            </w:tcBorders>
            <w:shd w:val="clear" w:color="auto" w:fill="CFF0FC"/>
          </w:tcPr>
          <w:p>
            <w:pPr>
              <w:jc w:val="center"/>
              <w:spacing w:after="0"/>
              <w:rPr>
                <w:sz w:val="20"/>
                <w:szCs w:val="20"/>
                <w:color w:val="auto"/>
              </w:rPr>
            </w:pPr>
            <w:r>
              <w:rPr>
                <w:rFonts w:ascii="Arial" w:cs="Arial" w:eastAsia="Arial" w:hAnsi="Arial"/>
                <w:sz w:val="18"/>
                <w:szCs w:val="18"/>
                <w:color w:val="auto"/>
                <w:w w:val="92"/>
              </w:rPr>
              <w:t>Level 3</w:t>
            </w:r>
          </w:p>
        </w:tc>
        <w:tc>
          <w:tcPr>
            <w:tcW w:w="120" w:type="dxa"/>
            <w:vAlign w:val="bottom"/>
            <w:tcBorders>
              <w:top w:val="single" w:sz="8" w:color="CFF0FC"/>
            </w:tcBorders>
            <w:shd w:val="clear" w:color="auto" w:fill="CFF0FC"/>
          </w:tcPr>
          <w:p>
            <w:pPr>
              <w:spacing w:after="0"/>
              <w:rPr>
                <w:sz w:val="19"/>
                <w:szCs w:val="19"/>
                <w:color w:val="auto"/>
              </w:rPr>
            </w:pPr>
          </w:p>
        </w:tc>
        <w:tc>
          <w:tcPr>
            <w:tcW w:w="8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5"/>
                <w:szCs w:val="15"/>
                <w:color w:val="auto"/>
                <w:w w:val="71"/>
              </w:rPr>
              <w:t>$</w:t>
            </w:r>
          </w:p>
        </w:tc>
        <w:tc>
          <w:tcPr>
            <w:tcW w:w="880" w:type="dxa"/>
            <w:vAlign w:val="bottom"/>
            <w:tcBorders>
              <w:top w:val="single" w:sz="8" w:color="auto"/>
            </w:tcBorders>
            <w:shd w:val="clear" w:color="auto" w:fill="CFF0FC"/>
          </w:tcPr>
          <w:p>
            <w:pPr>
              <w:ind w:left="680"/>
              <w:spacing w:after="0"/>
              <w:rPr>
                <w:sz w:val="20"/>
                <w:szCs w:val="20"/>
                <w:color w:val="auto"/>
              </w:rPr>
            </w:pPr>
            <w:r>
              <w:rPr>
                <w:rFonts w:ascii="Arial" w:cs="Arial" w:eastAsia="Arial" w:hAnsi="Arial"/>
                <w:sz w:val="18"/>
                <w:szCs w:val="18"/>
                <w:color w:val="auto"/>
                <w:w w:val="99"/>
              </w:rPr>
              <w:t>—</w:t>
            </w:r>
          </w:p>
        </w:tc>
        <w:tc>
          <w:tcPr>
            <w:tcW w:w="200" w:type="dxa"/>
            <w:vAlign w:val="bottom"/>
            <w:tcBorders>
              <w:top w:val="single" w:sz="8" w:color="CFF0FC"/>
            </w:tcBorders>
            <w:shd w:val="clear" w:color="auto" w:fill="CFF0FC"/>
          </w:tcPr>
          <w:p>
            <w:pPr>
              <w:spacing w:after="0"/>
              <w:rPr>
                <w:sz w:val="19"/>
                <w:szCs w:val="19"/>
                <w:color w:val="auto"/>
              </w:rPr>
            </w:pPr>
          </w:p>
        </w:tc>
        <w:tc>
          <w:tcPr>
            <w:tcW w:w="10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880" w:type="dxa"/>
            <w:vAlign w:val="bottom"/>
            <w:tcBorders>
              <w:top w:val="single" w:sz="8" w:color="auto"/>
            </w:tcBorders>
            <w:shd w:val="clear" w:color="auto" w:fill="CFF0FC"/>
          </w:tcPr>
          <w:p>
            <w:pPr>
              <w:ind w:left="680"/>
              <w:spacing w:after="0"/>
              <w:rPr>
                <w:sz w:val="20"/>
                <w:szCs w:val="20"/>
                <w:color w:val="auto"/>
              </w:rPr>
            </w:pPr>
            <w:r>
              <w:rPr>
                <w:rFonts w:ascii="Arial" w:cs="Arial" w:eastAsia="Arial" w:hAnsi="Arial"/>
                <w:sz w:val="18"/>
                <w:szCs w:val="18"/>
                <w:color w:val="auto"/>
                <w:w w:val="99"/>
              </w:rPr>
              <w:t>—</w:t>
            </w:r>
          </w:p>
        </w:tc>
        <w:tc>
          <w:tcPr>
            <w:tcW w:w="220" w:type="dxa"/>
            <w:vAlign w:val="bottom"/>
            <w:tcBorders>
              <w:top w:val="single" w:sz="8" w:color="CFF0FC"/>
            </w:tcBorders>
            <w:shd w:val="clear" w:color="auto" w:fill="CFF0FC"/>
          </w:tcPr>
          <w:p>
            <w:pPr>
              <w:spacing w:after="0"/>
              <w:rPr>
                <w:sz w:val="19"/>
                <w:szCs w:val="19"/>
                <w:color w:val="auto"/>
              </w:rPr>
            </w:pPr>
          </w:p>
        </w:tc>
        <w:tc>
          <w:tcPr>
            <w:tcW w:w="10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5"/>
                <w:szCs w:val="15"/>
                <w:color w:val="auto"/>
                <w:w w:val="71"/>
              </w:rPr>
              <w:t>$</w:t>
            </w:r>
          </w:p>
        </w:tc>
        <w:tc>
          <w:tcPr>
            <w:tcW w:w="88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931</w:t>
            </w:r>
          </w:p>
        </w:tc>
        <w:tc>
          <w:tcPr>
            <w:tcW w:w="240" w:type="dxa"/>
            <w:vAlign w:val="bottom"/>
            <w:tcBorders>
              <w:top w:val="single" w:sz="8" w:color="CFF0FC"/>
            </w:tcBorders>
            <w:shd w:val="clear" w:color="auto" w:fill="CFF0FC"/>
          </w:tcPr>
          <w:p>
            <w:pPr>
              <w:spacing w:after="0"/>
              <w:rPr>
                <w:sz w:val="19"/>
                <w:szCs w:val="19"/>
                <w:color w:val="auto"/>
              </w:rPr>
            </w:pPr>
          </w:p>
        </w:tc>
        <w:tc>
          <w:tcPr>
            <w:tcW w:w="12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90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20,329</w:t>
            </w:r>
          </w:p>
        </w:tc>
        <w:tc>
          <w:tcPr>
            <w:tcW w:w="120" w:type="dxa"/>
            <w:vAlign w:val="bottom"/>
            <w:tcBorders>
              <w:top w:val="single" w:sz="8" w:color="CFF0FC"/>
            </w:tcBorders>
            <w:shd w:val="clear" w:color="auto" w:fill="CFF0FC"/>
          </w:tcPr>
          <w:p>
            <w:pPr>
              <w:spacing w:after="0"/>
              <w:rPr>
                <w:sz w:val="19"/>
                <w:szCs w:val="19"/>
                <w:color w:val="auto"/>
              </w:rPr>
            </w:pPr>
          </w:p>
        </w:tc>
      </w:tr>
    </w:tbl>
    <w:p>
      <w:pPr>
        <w:spacing w:after="0" w:line="387" w:lineRule="exact"/>
        <w:rPr>
          <w:sz w:val="20"/>
          <w:szCs w:val="20"/>
          <w:color w:val="auto"/>
        </w:rPr>
      </w:pPr>
    </w:p>
    <w:p>
      <w:pPr>
        <w:ind w:left="520" w:right="8340" w:hanging="512"/>
        <w:spacing w:after="0" w:line="378" w:lineRule="auto"/>
        <w:tabs>
          <w:tab w:leader="none" w:pos="529" w:val="left"/>
        </w:tabs>
        <w:numPr>
          <w:ilvl w:val="0"/>
          <w:numId w:val="16"/>
        </w:numPr>
        <w:rPr>
          <w:rFonts w:ascii="Arial" w:cs="Arial" w:eastAsia="Arial" w:hAnsi="Arial"/>
          <w:sz w:val="18"/>
          <w:szCs w:val="18"/>
          <w:b w:val="1"/>
          <w:bCs w:val="1"/>
          <w:color w:val="auto"/>
        </w:rPr>
      </w:pPr>
      <w:r>
        <w:rPr>
          <w:rFonts w:ascii="Arial" w:cs="Arial" w:eastAsia="Arial" w:hAnsi="Arial"/>
          <w:sz w:val="18"/>
          <w:szCs w:val="18"/>
          <w:b w:val="1"/>
          <w:bCs w:val="1"/>
          <w:color w:val="auto"/>
        </w:rPr>
        <w:t xml:space="preserve">Commitments and Contingencies </w:t>
      </w:r>
      <w:r>
        <w:rPr>
          <w:rFonts w:ascii="Arial" w:cs="Arial" w:eastAsia="Arial" w:hAnsi="Arial"/>
          <w:sz w:val="18"/>
          <w:szCs w:val="18"/>
          <w:b w:val="1"/>
          <w:bCs w:val="1"/>
          <w:i w:val="1"/>
          <w:iCs w:val="1"/>
          <w:color w:val="auto"/>
        </w:rPr>
        <w:t>Legal Matters</w:t>
      </w:r>
    </w:p>
    <w:p>
      <w:pPr>
        <w:ind w:firstLine="518"/>
        <w:spacing w:after="0" w:line="259" w:lineRule="auto"/>
        <w:rPr>
          <w:sz w:val="20"/>
          <w:szCs w:val="20"/>
          <w:color w:val="auto"/>
        </w:rPr>
      </w:pPr>
      <w:r>
        <w:rPr>
          <w:rFonts w:ascii="Arial" w:cs="Arial" w:eastAsia="Arial" w:hAnsi="Arial"/>
          <w:sz w:val="18"/>
          <w:szCs w:val="18"/>
          <w:color w:val="auto"/>
        </w:rPr>
        <w:t>Lawsuits, claims and proceedings have been and may be instituted or asserted against us in the normal course of business, including actions brought on behalf of various classes of claimants. We are also subject to local, state and federal laws and regulations related to land development activities, house construction standards, sales practices, employment practices and environmental protection. As a result, we are subject to periodic examinations or inquiry by agencies administering these laws and regulations.</w:t>
      </w:r>
    </w:p>
    <w:p>
      <w:pPr>
        <w:spacing w:after="0" w:line="187" w:lineRule="exact"/>
        <w:rPr>
          <w:sz w:val="20"/>
          <w:szCs w:val="20"/>
          <w:color w:val="auto"/>
        </w:rPr>
      </w:pPr>
    </w:p>
    <w:p>
      <w:pPr>
        <w:ind w:left="520"/>
        <w:spacing w:after="0"/>
        <w:rPr>
          <w:sz w:val="20"/>
          <w:szCs w:val="20"/>
          <w:color w:val="auto"/>
        </w:rPr>
      </w:pPr>
      <w:r>
        <w:rPr>
          <w:rFonts w:ascii="Arial" w:cs="Arial" w:eastAsia="Arial" w:hAnsi="Arial"/>
          <w:sz w:val="16"/>
          <w:szCs w:val="16"/>
          <w:color w:val="auto"/>
        </w:rPr>
        <w:t>We record a reserve for potential legal claims and regulatory matters when they are probable of occurring and a potential loss is reasonably estimable.</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We accrue for these matters based on facts and circumstances specific to each matter and revise these estimates when necessary.</w:t>
      </w:r>
    </w:p>
    <w:p>
      <w:pPr>
        <w:spacing w:after="0" w:line="200" w:lineRule="exact"/>
        <w:rPr>
          <w:sz w:val="20"/>
          <w:szCs w:val="20"/>
          <w:color w:val="auto"/>
        </w:rPr>
      </w:pPr>
    </w:p>
    <w:p>
      <w:pPr>
        <w:spacing w:after="0" w:line="25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- 19 -</w:t>
      </w:r>
    </w:p>
    <w:p>
      <w:pPr>
        <w:sectPr>
          <w:pgSz w:w="11900" w:h="16838" w:orient="portrait"/>
          <w:cols w:equalWidth="0" w:num="1">
            <w:col w:w="11420"/>
          </w:cols>
          <w:pgMar w:left="240" w:top="135" w:right="239" w:bottom="1440" w:gutter="0" w:footer="0" w:header="0"/>
        </w:sectPr>
      </w:pPr>
    </w:p>
    <w:bookmarkStart w:id="19" w:name="page20"/>
    <w:bookmarkEnd w:id="19"/>
    <w:p>
      <w:pPr>
        <w:ind w:right="80" w:firstLine="518"/>
        <w:spacing w:after="0" w:line="264" w:lineRule="auto"/>
        <w:rPr>
          <w:sz w:val="20"/>
          <w:szCs w:val="20"/>
          <w:color w:val="auto"/>
        </w:rPr>
      </w:pPr>
      <w:r>
        <w:rPr>
          <w:rFonts w:ascii="Arial" w:cs="Arial" w:eastAsia="Arial" w:hAnsi="Arial"/>
          <w:sz w:val="18"/>
          <w:szCs w:val="18"/>
          <w:color w:val="auto"/>
        </w:rPr>
        <w:t>In view of the inherent difficulty of predicting outcomes of legal claims and related contingencies, we generally cannot predict their ultimate resolution, related timing or eventual loss. Accordingly, it is possible that the ultimate outcome of any matter, if in excess of a related accrual or if no accrual was made, could be material to our financial statements.</w:t>
      </w:r>
    </w:p>
    <w:p>
      <w:pPr>
        <w:spacing w:after="0" w:line="181" w:lineRule="exact"/>
        <w:rPr>
          <w:sz w:val="20"/>
          <w:szCs w:val="20"/>
          <w:color w:val="auto"/>
        </w:rPr>
      </w:pPr>
    </w:p>
    <w:p>
      <w:pPr>
        <w:ind w:left="520"/>
        <w:spacing w:after="0"/>
        <w:rPr>
          <w:sz w:val="20"/>
          <w:szCs w:val="20"/>
          <w:color w:val="auto"/>
        </w:rPr>
      </w:pPr>
      <w:r>
        <w:rPr>
          <w:rFonts w:ascii="Arial" w:cs="Arial" w:eastAsia="Arial" w:hAnsi="Arial"/>
          <w:sz w:val="18"/>
          <w:szCs w:val="18"/>
          <w:b w:val="1"/>
          <w:bCs w:val="1"/>
          <w:i w:val="1"/>
          <w:iCs w:val="1"/>
          <w:color w:val="auto"/>
        </w:rPr>
        <w:t>Warranty</w:t>
      </w:r>
    </w:p>
    <w:p>
      <w:pPr>
        <w:spacing w:after="0" w:line="117" w:lineRule="exact"/>
        <w:rPr>
          <w:sz w:val="20"/>
          <w:szCs w:val="20"/>
          <w:color w:val="auto"/>
        </w:rPr>
      </w:pPr>
    </w:p>
    <w:p>
      <w:pPr>
        <w:ind w:right="40" w:firstLine="518"/>
        <w:spacing w:after="0" w:line="259" w:lineRule="auto"/>
        <w:rPr>
          <w:sz w:val="20"/>
          <w:szCs w:val="20"/>
          <w:color w:val="auto"/>
        </w:rPr>
      </w:pPr>
      <w:r>
        <w:rPr>
          <w:rFonts w:ascii="Arial" w:cs="Arial" w:eastAsia="Arial" w:hAnsi="Arial"/>
          <w:sz w:val="18"/>
          <w:szCs w:val="18"/>
          <w:color w:val="auto"/>
        </w:rPr>
        <w:t>Warranty reserves are accrued as home deliveries occur. Our warranty reserves on homes delivered will vary based on product type and geographic area and also depending on state and local laws. The warranty reserve is included in accrued expenses and other liabilities on our consolidated balance sheets and represents expected future costs based on our historical experience over previous years. Estimated warranty costs are charged to cost of home sales in the period in which the related home sales revenue is recognized.</w:t>
      </w:r>
    </w:p>
    <w:p>
      <w:pPr>
        <w:spacing w:after="0" w:line="187" w:lineRule="exact"/>
        <w:rPr>
          <w:sz w:val="20"/>
          <w:szCs w:val="20"/>
          <w:color w:val="auto"/>
        </w:rPr>
      </w:pPr>
    </w:p>
    <w:p>
      <w:pPr>
        <w:ind w:right="80" w:firstLine="518"/>
        <w:spacing w:after="0" w:line="290" w:lineRule="auto"/>
        <w:rPr>
          <w:sz w:val="20"/>
          <w:szCs w:val="20"/>
          <w:color w:val="auto"/>
        </w:rPr>
      </w:pPr>
      <w:r>
        <w:rPr>
          <w:rFonts w:ascii="Arial" w:cs="Arial" w:eastAsia="Arial" w:hAnsi="Arial"/>
          <w:sz w:val="16"/>
          <w:szCs w:val="16"/>
          <w:color w:val="auto"/>
        </w:rPr>
        <w:t>We maintain general liability insurance designed to protect us against a portion of our risk of loss from construction-related claims. We also generally require our subcontractors and design professionals to indemnify us for liabilities arising from their work, subject to various limitations. However, such indemnity is significantly limited with respect to certain subcontractors that are added to our general liability insurance policy. Included in our warranty reserve accrual are allowances to cover our estimated costs of self-insured retentions and deductible amounts under these policies and estimated costs for claims that may not be covered by applicable insurance or indemnities. Estimation of these accruals include consideration of our claims history, including current claims and estimates of claims incurred but not yet reported. In addition, we record expected recoveries from insurance carriers when proceeds are probable and estimable. Outstanding warranty insurance receivables were $9.7 million and $10.0 million as of March 31, 2015 and December 31, 2014, respectively. Warranty insurance receivables are recorded in receivables on the accompanying consolidated balance sheet.</w:t>
      </w:r>
    </w:p>
    <w:p>
      <w:pPr>
        <w:spacing w:after="0" w:line="166" w:lineRule="exact"/>
        <w:rPr>
          <w:sz w:val="20"/>
          <w:szCs w:val="20"/>
          <w:color w:val="auto"/>
        </w:rPr>
      </w:pPr>
    </w:p>
    <w:p>
      <w:pPr>
        <w:ind w:right="100" w:firstLine="518"/>
        <w:spacing w:after="0" w:line="279" w:lineRule="auto"/>
        <w:rPr>
          <w:sz w:val="20"/>
          <w:szCs w:val="20"/>
          <w:color w:val="auto"/>
        </w:rPr>
      </w:pPr>
      <w:r>
        <w:rPr>
          <w:rFonts w:ascii="Arial" w:cs="Arial" w:eastAsia="Arial" w:hAnsi="Arial"/>
          <w:sz w:val="17"/>
          <w:szCs w:val="17"/>
          <w:color w:val="auto"/>
        </w:rPr>
        <w:t>There can be no assurance that the terms and limitations of the limited warranty will be effective against claims made by homebuyers, that we will be able to renew our insurance coverage or renew it at reasonable rates, that we will not be liable for damages, cost of repairs, and/or the expense of litigation surrounding possible construction defects, soil subsidence or building related claims or that claims will not arise out of uninsurable events or circumstances not covered by insurance and not subject to effective indemnification agreements with certain subcontractors.</w:t>
      </w:r>
    </w:p>
    <w:p>
      <w:pPr>
        <w:spacing w:after="0" w:line="171" w:lineRule="exact"/>
        <w:rPr>
          <w:sz w:val="20"/>
          <w:szCs w:val="20"/>
          <w:color w:val="auto"/>
        </w:rPr>
      </w:pPr>
    </w:p>
    <w:p>
      <w:pPr>
        <w:ind w:left="520"/>
        <w:spacing w:after="0"/>
        <w:rPr>
          <w:sz w:val="20"/>
          <w:szCs w:val="20"/>
          <w:color w:val="auto"/>
        </w:rPr>
      </w:pPr>
      <w:r>
        <w:rPr>
          <w:rFonts w:ascii="Arial" w:cs="Arial" w:eastAsia="Arial" w:hAnsi="Arial"/>
          <w:sz w:val="18"/>
          <w:szCs w:val="18"/>
          <w:color w:val="auto"/>
        </w:rPr>
        <w:t>Warranty reserves consisted of the following (in thousands):</w:t>
      </w:r>
    </w:p>
    <w:p>
      <w:pPr>
        <w:spacing w:after="0" w:line="298" w:lineRule="exact"/>
        <w:rPr>
          <w:sz w:val="20"/>
          <w:szCs w:val="20"/>
          <w:color w:val="auto"/>
        </w:rPr>
      </w:pPr>
    </w:p>
    <w:tbl>
      <w:tblPr>
        <w:tblLayout w:type="fixed"/>
        <w:tblInd w:w="1720" w:type="dxa"/>
        <w:tblCellMar>
          <w:top w:w="0" w:type="dxa"/>
          <w:left w:w="0" w:type="dxa"/>
          <w:bottom w:w="0" w:type="dxa"/>
          <w:right w:w="0" w:type="dxa"/>
        </w:tblCellMar>
      </w:tblPr>
      <w:tr>
        <w:trPr>
          <w:trHeight w:val="171"/>
        </w:trPr>
        <w:tc>
          <w:tcPr>
            <w:tcW w:w="55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2300" w:type="dxa"/>
            <w:vAlign w:val="bottom"/>
            <w:gridSpan w:val="6"/>
          </w:tcPr>
          <w:p>
            <w:pPr>
              <w:jc w:val="right"/>
              <w:ind w:right="280"/>
              <w:spacing w:after="0"/>
              <w:rPr>
                <w:sz w:val="20"/>
                <w:szCs w:val="20"/>
                <w:color w:val="auto"/>
              </w:rPr>
            </w:pPr>
            <w:r>
              <w:rPr>
                <w:rFonts w:ascii="Arial" w:cs="Arial" w:eastAsia="Arial" w:hAnsi="Arial"/>
                <w:sz w:val="14"/>
                <w:szCs w:val="14"/>
                <w:b w:val="1"/>
                <w:bCs w:val="1"/>
                <w:color w:val="auto"/>
                <w:w w:val="96"/>
              </w:rPr>
              <w:t>Three Months Ended March 31,</w:t>
            </w:r>
          </w:p>
        </w:tc>
      </w:tr>
      <w:tr>
        <w:trPr>
          <w:trHeight w:val="156"/>
        </w:trPr>
        <w:tc>
          <w:tcPr>
            <w:tcW w:w="5540" w:type="dxa"/>
            <w:vAlign w:val="bottom"/>
            <w:tcBorders>
              <w:bottom w:val="single" w:sz="8" w:color="CFF0FC"/>
            </w:tcBorders>
          </w:tcPr>
          <w:p>
            <w:pPr>
              <w:spacing w:after="0"/>
              <w:rPr>
                <w:sz w:val="13"/>
                <w:szCs w:val="13"/>
                <w:color w:val="auto"/>
              </w:rPr>
            </w:pPr>
          </w:p>
        </w:tc>
        <w:tc>
          <w:tcPr>
            <w:tcW w:w="140" w:type="dxa"/>
            <w:vAlign w:val="bottom"/>
            <w:tcBorders>
              <w:top w:val="single" w:sz="8" w:color="auto"/>
              <w:bottom w:val="single" w:sz="8" w:color="auto"/>
            </w:tcBorders>
          </w:tcPr>
          <w:p>
            <w:pPr>
              <w:spacing w:after="0"/>
              <w:rPr>
                <w:sz w:val="13"/>
                <w:szCs w:val="13"/>
                <w:color w:val="auto"/>
              </w:rPr>
            </w:pPr>
          </w:p>
        </w:tc>
        <w:tc>
          <w:tcPr>
            <w:tcW w:w="960" w:type="dxa"/>
            <w:vAlign w:val="bottom"/>
            <w:tcBorders>
              <w:top w:val="single" w:sz="8" w:color="auto"/>
              <w:bottom w:val="single" w:sz="8" w:color="auto"/>
            </w:tcBorders>
          </w:tcPr>
          <w:p>
            <w:pPr>
              <w:jc w:val="right"/>
              <w:ind w:right="335"/>
              <w:spacing w:after="0" w:line="155" w:lineRule="exact"/>
              <w:rPr>
                <w:sz w:val="20"/>
                <w:szCs w:val="20"/>
                <w:color w:val="auto"/>
              </w:rPr>
            </w:pPr>
            <w:r>
              <w:rPr>
                <w:rFonts w:ascii="Arial" w:cs="Arial" w:eastAsia="Arial" w:hAnsi="Arial"/>
                <w:sz w:val="14"/>
                <w:szCs w:val="14"/>
                <w:b w:val="1"/>
                <w:bCs w:val="1"/>
                <w:color w:val="auto"/>
              </w:rPr>
              <w:t>2015</w:t>
            </w:r>
          </w:p>
        </w:tc>
        <w:tc>
          <w:tcPr>
            <w:tcW w:w="100" w:type="dxa"/>
            <w:vAlign w:val="bottom"/>
            <w:tcBorders>
              <w:top w:val="single" w:sz="8" w:color="auto"/>
              <w:bottom w:val="single" w:sz="8" w:color="CFF0FC"/>
            </w:tcBorders>
          </w:tcPr>
          <w:p>
            <w:pPr>
              <w:spacing w:after="0"/>
              <w:rPr>
                <w:sz w:val="13"/>
                <w:szCs w:val="13"/>
                <w:color w:val="auto"/>
              </w:rPr>
            </w:pPr>
          </w:p>
        </w:tc>
        <w:tc>
          <w:tcPr>
            <w:tcW w:w="40" w:type="dxa"/>
            <w:vAlign w:val="bottom"/>
            <w:tcBorders>
              <w:top w:val="single" w:sz="8" w:color="auto"/>
              <w:bottom w:val="single" w:sz="8" w:color="CFF0FC"/>
            </w:tcBorders>
          </w:tcPr>
          <w:p>
            <w:pPr>
              <w:spacing w:after="0"/>
              <w:rPr>
                <w:sz w:val="13"/>
                <w:szCs w:val="13"/>
                <w:color w:val="auto"/>
              </w:rPr>
            </w:pPr>
          </w:p>
        </w:tc>
        <w:tc>
          <w:tcPr>
            <w:tcW w:w="240" w:type="dxa"/>
            <w:vAlign w:val="bottom"/>
            <w:tcBorders>
              <w:top w:val="single" w:sz="8" w:color="auto"/>
              <w:bottom w:val="single" w:sz="8" w:color="auto"/>
            </w:tcBorders>
          </w:tcPr>
          <w:p>
            <w:pPr>
              <w:spacing w:after="0"/>
              <w:rPr>
                <w:sz w:val="13"/>
                <w:szCs w:val="13"/>
                <w:color w:val="auto"/>
              </w:rPr>
            </w:pPr>
          </w:p>
        </w:tc>
        <w:tc>
          <w:tcPr>
            <w:tcW w:w="880" w:type="dxa"/>
            <w:vAlign w:val="bottom"/>
            <w:tcBorders>
              <w:top w:val="single" w:sz="8" w:color="auto"/>
              <w:bottom w:val="single" w:sz="8" w:color="auto"/>
            </w:tcBorders>
          </w:tcPr>
          <w:p>
            <w:pPr>
              <w:jc w:val="right"/>
              <w:ind w:right="333"/>
              <w:spacing w:after="0" w:line="155" w:lineRule="exact"/>
              <w:rPr>
                <w:sz w:val="20"/>
                <w:szCs w:val="20"/>
                <w:color w:val="auto"/>
              </w:rPr>
            </w:pPr>
            <w:r>
              <w:rPr>
                <w:rFonts w:ascii="Arial" w:cs="Arial" w:eastAsia="Arial" w:hAnsi="Arial"/>
                <w:sz w:val="14"/>
                <w:szCs w:val="14"/>
                <w:b w:val="1"/>
                <w:bCs w:val="1"/>
                <w:color w:val="auto"/>
              </w:rPr>
              <w:t>2014</w:t>
            </w:r>
          </w:p>
        </w:tc>
        <w:tc>
          <w:tcPr>
            <w:tcW w:w="80" w:type="dxa"/>
            <w:vAlign w:val="bottom"/>
            <w:tcBorders>
              <w:bottom w:val="single" w:sz="8" w:color="CFF0FC"/>
            </w:tcBorders>
          </w:tcPr>
          <w:p>
            <w:pPr>
              <w:spacing w:after="0"/>
              <w:rPr>
                <w:sz w:val="13"/>
                <w:szCs w:val="13"/>
                <w:color w:val="auto"/>
              </w:rPr>
            </w:pPr>
          </w:p>
        </w:tc>
      </w:tr>
      <w:tr>
        <w:trPr>
          <w:trHeight w:val="223"/>
        </w:trPr>
        <w:tc>
          <w:tcPr>
            <w:tcW w:w="5540" w:type="dxa"/>
            <w:vAlign w:val="bottom"/>
            <w:shd w:val="clear" w:color="auto" w:fill="CFF0FC"/>
          </w:tcPr>
          <w:p>
            <w:pPr>
              <w:spacing w:after="0"/>
              <w:rPr>
                <w:sz w:val="20"/>
                <w:szCs w:val="20"/>
                <w:color w:val="auto"/>
              </w:rPr>
            </w:pPr>
            <w:r>
              <w:rPr>
                <w:rFonts w:ascii="Arial" w:cs="Arial" w:eastAsia="Arial" w:hAnsi="Arial"/>
                <w:sz w:val="18"/>
                <w:szCs w:val="18"/>
                <w:color w:val="auto"/>
              </w:rPr>
              <w:t>Warranty reserves, beginning of period</w:t>
            </w:r>
          </w:p>
        </w:tc>
        <w:tc>
          <w:tcPr>
            <w:tcW w:w="140" w:type="dxa"/>
            <w:vAlign w:val="bottom"/>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9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33,270</w:t>
            </w:r>
          </w:p>
        </w:tc>
        <w:tc>
          <w:tcPr>
            <w:tcW w:w="100" w:type="dxa"/>
            <w:vAlign w:val="bottom"/>
            <w:shd w:val="clear" w:color="auto" w:fill="CFF0FC"/>
          </w:tcPr>
          <w:p>
            <w:pPr>
              <w:spacing w:after="0"/>
              <w:rPr>
                <w:sz w:val="19"/>
                <w:szCs w:val="19"/>
                <w:color w:val="auto"/>
              </w:rPr>
            </w:pPr>
          </w:p>
        </w:tc>
        <w:tc>
          <w:tcPr>
            <w:tcW w:w="40" w:type="dxa"/>
            <w:vAlign w:val="bottom"/>
            <w:shd w:val="clear" w:color="auto" w:fill="CFF0FC"/>
          </w:tcPr>
          <w:p>
            <w:pPr>
              <w:spacing w:after="0"/>
              <w:rPr>
                <w:sz w:val="19"/>
                <w:szCs w:val="19"/>
                <w:color w:val="auto"/>
              </w:rPr>
            </w:pPr>
          </w:p>
        </w:tc>
        <w:tc>
          <w:tcPr>
            <w:tcW w:w="240" w:type="dxa"/>
            <w:vAlign w:val="bottom"/>
            <w:shd w:val="clear" w:color="auto" w:fill="CFF0FC"/>
          </w:tcPr>
          <w:p>
            <w:pPr>
              <w:jc w:val="right"/>
              <w:ind w:right="50"/>
              <w:spacing w:after="0"/>
              <w:rPr>
                <w:sz w:val="20"/>
                <w:szCs w:val="20"/>
                <w:color w:val="auto"/>
              </w:rPr>
            </w:pPr>
            <w:r>
              <w:rPr>
                <w:rFonts w:ascii="Arial" w:cs="Arial" w:eastAsia="Arial" w:hAnsi="Arial"/>
                <w:sz w:val="18"/>
                <w:szCs w:val="18"/>
                <w:color w:val="auto"/>
                <w:w w:val="79"/>
              </w:rPr>
              <w:t>$</w:t>
            </w:r>
          </w:p>
        </w:tc>
        <w:tc>
          <w:tcPr>
            <w:tcW w:w="8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24,449</w:t>
            </w:r>
          </w:p>
        </w:tc>
        <w:tc>
          <w:tcPr>
            <w:tcW w:w="80" w:type="dxa"/>
            <w:vAlign w:val="bottom"/>
            <w:shd w:val="clear" w:color="auto" w:fill="CFF0FC"/>
          </w:tcPr>
          <w:p>
            <w:pPr>
              <w:spacing w:after="0"/>
              <w:rPr>
                <w:sz w:val="19"/>
                <w:szCs w:val="19"/>
                <w:color w:val="auto"/>
              </w:rPr>
            </w:pPr>
          </w:p>
        </w:tc>
      </w:tr>
      <w:tr>
        <w:trPr>
          <w:trHeight w:val="230"/>
        </w:trPr>
        <w:tc>
          <w:tcPr>
            <w:tcW w:w="5540" w:type="dxa"/>
            <w:vAlign w:val="bottom"/>
          </w:tcPr>
          <w:p>
            <w:pPr>
              <w:ind w:left="240"/>
              <w:spacing w:after="0"/>
              <w:rPr>
                <w:sz w:val="20"/>
                <w:szCs w:val="20"/>
                <w:color w:val="auto"/>
              </w:rPr>
            </w:pPr>
            <w:r>
              <w:rPr>
                <w:rFonts w:ascii="Arial" w:cs="Arial" w:eastAsia="Arial" w:hAnsi="Arial"/>
                <w:sz w:val="18"/>
                <w:szCs w:val="18"/>
                <w:color w:val="auto"/>
              </w:rPr>
              <w:t>Warranty reserves accrued</w:t>
            </w:r>
          </w:p>
        </w:tc>
        <w:tc>
          <w:tcPr>
            <w:tcW w:w="140" w:type="dxa"/>
            <w:vAlign w:val="bottom"/>
          </w:tcPr>
          <w:p>
            <w:pPr>
              <w:spacing w:after="0"/>
              <w:rPr>
                <w:sz w:val="19"/>
                <w:szCs w:val="19"/>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2,872</w:t>
            </w:r>
          </w:p>
        </w:tc>
        <w:tc>
          <w:tcPr>
            <w:tcW w:w="10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4,392</w:t>
            </w:r>
          </w:p>
        </w:tc>
        <w:tc>
          <w:tcPr>
            <w:tcW w:w="80" w:type="dxa"/>
            <w:vAlign w:val="bottom"/>
          </w:tcPr>
          <w:p>
            <w:pPr>
              <w:spacing w:after="0"/>
              <w:rPr>
                <w:sz w:val="19"/>
                <w:szCs w:val="19"/>
                <w:color w:val="auto"/>
              </w:rPr>
            </w:pPr>
          </w:p>
        </w:tc>
      </w:tr>
      <w:tr>
        <w:trPr>
          <w:trHeight w:val="230"/>
        </w:trPr>
        <w:tc>
          <w:tcPr>
            <w:tcW w:w="5540" w:type="dxa"/>
            <w:vAlign w:val="bottom"/>
            <w:shd w:val="clear" w:color="auto" w:fill="CFF0FC"/>
          </w:tcPr>
          <w:p>
            <w:pPr>
              <w:ind w:left="240"/>
              <w:spacing w:after="0"/>
              <w:rPr>
                <w:sz w:val="20"/>
                <w:szCs w:val="20"/>
                <w:color w:val="auto"/>
              </w:rPr>
            </w:pPr>
            <w:r>
              <w:rPr>
                <w:rFonts w:ascii="Arial" w:cs="Arial" w:eastAsia="Arial" w:hAnsi="Arial"/>
                <w:sz w:val="18"/>
                <w:szCs w:val="18"/>
                <w:color w:val="auto"/>
              </w:rPr>
              <w:t>Adjustments to pre-existing reserves</w:t>
            </w:r>
          </w:p>
        </w:tc>
        <w:tc>
          <w:tcPr>
            <w:tcW w:w="140" w:type="dxa"/>
            <w:vAlign w:val="bottom"/>
            <w:shd w:val="clear" w:color="auto" w:fill="CFF0FC"/>
          </w:tcPr>
          <w:p>
            <w:pPr>
              <w:spacing w:after="0"/>
              <w:rPr>
                <w:sz w:val="19"/>
                <w:szCs w:val="19"/>
                <w:color w:val="auto"/>
              </w:rPr>
            </w:pPr>
          </w:p>
        </w:tc>
        <w:tc>
          <w:tcPr>
            <w:tcW w:w="9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301</w:t>
            </w:r>
          </w:p>
        </w:tc>
        <w:tc>
          <w:tcPr>
            <w:tcW w:w="100" w:type="dxa"/>
            <w:vAlign w:val="bottom"/>
            <w:shd w:val="clear" w:color="auto" w:fill="CFF0FC"/>
          </w:tcPr>
          <w:p>
            <w:pPr>
              <w:spacing w:after="0"/>
              <w:rPr>
                <w:sz w:val="19"/>
                <w:szCs w:val="19"/>
                <w:color w:val="auto"/>
              </w:rPr>
            </w:pPr>
          </w:p>
        </w:tc>
        <w:tc>
          <w:tcPr>
            <w:tcW w:w="4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960" w:type="dxa"/>
            <w:vAlign w:val="bottom"/>
            <w:gridSpan w:val="2"/>
            <w:shd w:val="clear" w:color="auto" w:fill="CFF0FC"/>
          </w:tcPr>
          <w:p>
            <w:pPr>
              <w:jc w:val="right"/>
              <w:ind w:right="20"/>
              <w:spacing w:after="0"/>
              <w:rPr>
                <w:sz w:val="20"/>
                <w:szCs w:val="20"/>
                <w:color w:val="auto"/>
              </w:rPr>
            </w:pPr>
            <w:r>
              <w:rPr>
                <w:rFonts w:ascii="Arial" w:cs="Arial" w:eastAsia="Arial" w:hAnsi="Arial"/>
                <w:sz w:val="18"/>
                <w:szCs w:val="18"/>
                <w:color w:val="auto"/>
              </w:rPr>
              <w:t>(1,996)</w:t>
            </w:r>
          </w:p>
        </w:tc>
      </w:tr>
      <w:tr>
        <w:trPr>
          <w:trHeight w:val="230"/>
        </w:trPr>
        <w:tc>
          <w:tcPr>
            <w:tcW w:w="5540" w:type="dxa"/>
            <w:vAlign w:val="bottom"/>
          </w:tcPr>
          <w:p>
            <w:pPr>
              <w:ind w:left="240"/>
              <w:spacing w:after="0"/>
              <w:rPr>
                <w:sz w:val="20"/>
                <w:szCs w:val="20"/>
                <w:color w:val="auto"/>
              </w:rPr>
            </w:pPr>
            <w:r>
              <w:rPr>
                <w:rFonts w:ascii="Arial" w:cs="Arial" w:eastAsia="Arial" w:hAnsi="Arial"/>
                <w:sz w:val="18"/>
                <w:szCs w:val="18"/>
                <w:color w:val="auto"/>
              </w:rPr>
              <w:t>Warranty expenditures</w:t>
            </w:r>
          </w:p>
        </w:tc>
        <w:tc>
          <w:tcPr>
            <w:tcW w:w="140" w:type="dxa"/>
            <w:vAlign w:val="bottom"/>
          </w:tcPr>
          <w:p>
            <w:pPr>
              <w:spacing w:after="0"/>
              <w:rPr>
                <w:sz w:val="19"/>
                <w:szCs w:val="19"/>
                <w:color w:val="auto"/>
              </w:rPr>
            </w:pPr>
          </w:p>
        </w:tc>
        <w:tc>
          <w:tcPr>
            <w:tcW w:w="1060" w:type="dxa"/>
            <w:vAlign w:val="bottom"/>
            <w:gridSpan w:val="2"/>
          </w:tcPr>
          <w:p>
            <w:pPr>
              <w:jc w:val="right"/>
              <w:ind w:right="40"/>
              <w:spacing w:after="0"/>
              <w:rPr>
                <w:sz w:val="20"/>
                <w:szCs w:val="20"/>
                <w:color w:val="auto"/>
              </w:rPr>
            </w:pPr>
            <w:r>
              <w:rPr>
                <w:rFonts w:ascii="Arial" w:cs="Arial" w:eastAsia="Arial" w:hAnsi="Arial"/>
                <w:sz w:val="18"/>
                <w:szCs w:val="18"/>
                <w:color w:val="auto"/>
              </w:rPr>
              <w:t>(2,478)</w:t>
            </w:r>
          </w:p>
        </w:tc>
        <w:tc>
          <w:tcPr>
            <w:tcW w:w="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960" w:type="dxa"/>
            <w:vAlign w:val="bottom"/>
            <w:gridSpan w:val="2"/>
          </w:tcPr>
          <w:p>
            <w:pPr>
              <w:jc w:val="right"/>
              <w:ind w:right="20"/>
              <w:spacing w:after="0"/>
              <w:rPr>
                <w:sz w:val="20"/>
                <w:szCs w:val="20"/>
                <w:color w:val="auto"/>
              </w:rPr>
            </w:pPr>
            <w:r>
              <w:rPr>
                <w:rFonts w:ascii="Arial" w:cs="Arial" w:eastAsia="Arial" w:hAnsi="Arial"/>
                <w:sz w:val="18"/>
                <w:szCs w:val="18"/>
                <w:color w:val="auto"/>
              </w:rPr>
              <w:t>(2,467)</w:t>
            </w:r>
          </w:p>
        </w:tc>
      </w:tr>
      <w:tr>
        <w:trPr>
          <w:trHeight w:val="223"/>
        </w:trPr>
        <w:tc>
          <w:tcPr>
            <w:tcW w:w="5540" w:type="dxa"/>
            <w:vAlign w:val="bottom"/>
            <w:tcBorders>
              <w:top w:val="single" w:sz="8" w:color="CFF0FC"/>
              <w:bottom w:val="single" w:sz="8" w:color="CFF0FC"/>
            </w:tcBorders>
            <w:shd w:val="clear" w:color="auto" w:fill="CFF0FC"/>
          </w:tcPr>
          <w:p>
            <w:pPr>
              <w:spacing w:after="0"/>
              <w:rPr>
                <w:sz w:val="20"/>
                <w:szCs w:val="20"/>
                <w:color w:val="auto"/>
              </w:rPr>
            </w:pPr>
            <w:r>
              <w:rPr>
                <w:rFonts w:ascii="Arial" w:cs="Arial" w:eastAsia="Arial" w:hAnsi="Arial"/>
                <w:sz w:val="18"/>
                <w:szCs w:val="18"/>
                <w:color w:val="auto"/>
              </w:rPr>
              <w:t>Warranty reserves, end of period</w:t>
            </w:r>
          </w:p>
        </w:tc>
        <w:tc>
          <w:tcPr>
            <w:tcW w:w="14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96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33,965</w:t>
            </w:r>
          </w:p>
        </w:tc>
        <w:tc>
          <w:tcPr>
            <w:tcW w:w="100" w:type="dxa"/>
            <w:vAlign w:val="bottom"/>
            <w:tcBorders>
              <w:top w:val="single" w:sz="8" w:color="CFF0FC"/>
              <w:bottom w:val="single" w:sz="8" w:color="CFF0FC"/>
            </w:tcBorders>
            <w:shd w:val="clear" w:color="auto" w:fill="CFF0FC"/>
          </w:tcPr>
          <w:p>
            <w:pPr>
              <w:spacing w:after="0"/>
              <w:rPr>
                <w:sz w:val="19"/>
                <w:szCs w:val="19"/>
                <w:color w:val="auto"/>
              </w:rPr>
            </w:pPr>
          </w:p>
        </w:tc>
        <w:tc>
          <w:tcPr>
            <w:tcW w:w="40" w:type="dxa"/>
            <w:vAlign w:val="bottom"/>
            <w:tcBorders>
              <w:top w:val="single" w:sz="8" w:color="CFF0FC"/>
              <w:bottom w:val="single" w:sz="8" w:color="CFF0FC"/>
            </w:tcBorders>
            <w:shd w:val="clear" w:color="auto" w:fill="CFF0FC"/>
          </w:tcPr>
          <w:p>
            <w:pPr>
              <w:spacing w:after="0"/>
              <w:rPr>
                <w:sz w:val="19"/>
                <w:szCs w:val="19"/>
                <w:color w:val="auto"/>
              </w:rPr>
            </w:pPr>
          </w:p>
        </w:tc>
        <w:tc>
          <w:tcPr>
            <w:tcW w:w="240" w:type="dxa"/>
            <w:vAlign w:val="bottom"/>
            <w:tcBorders>
              <w:top w:val="single" w:sz="8" w:color="auto"/>
              <w:bottom w:val="single" w:sz="8" w:color="auto"/>
            </w:tcBorders>
            <w:shd w:val="clear" w:color="auto" w:fill="CFF0FC"/>
          </w:tcPr>
          <w:p>
            <w:pPr>
              <w:jc w:val="right"/>
              <w:ind w:right="50"/>
              <w:spacing w:after="0"/>
              <w:rPr>
                <w:sz w:val="20"/>
                <w:szCs w:val="20"/>
                <w:color w:val="auto"/>
              </w:rPr>
            </w:pPr>
            <w:r>
              <w:rPr>
                <w:rFonts w:ascii="Arial" w:cs="Arial" w:eastAsia="Arial" w:hAnsi="Arial"/>
                <w:sz w:val="18"/>
                <w:szCs w:val="18"/>
                <w:color w:val="auto"/>
                <w:w w:val="79"/>
              </w:rPr>
              <w:t>$</w:t>
            </w:r>
          </w:p>
        </w:tc>
        <w:tc>
          <w:tcPr>
            <w:tcW w:w="88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24,378</w:t>
            </w:r>
          </w:p>
        </w:tc>
        <w:tc>
          <w:tcPr>
            <w:tcW w:w="80" w:type="dxa"/>
            <w:vAlign w:val="bottom"/>
            <w:tcBorders>
              <w:top w:val="single" w:sz="8" w:color="CFF0FC"/>
              <w:bottom w:val="single" w:sz="8" w:color="CFF0FC"/>
            </w:tcBorders>
            <w:shd w:val="clear" w:color="auto" w:fill="CFF0FC"/>
          </w:tcPr>
          <w:p>
            <w:pPr>
              <w:spacing w:after="0"/>
              <w:rPr>
                <w:sz w:val="19"/>
                <w:szCs w:val="19"/>
                <w:color w:val="auto"/>
              </w:rPr>
            </w:pPr>
          </w:p>
        </w:tc>
      </w:tr>
      <w:tr>
        <w:trPr>
          <w:trHeight w:val="20"/>
        </w:trPr>
        <w:tc>
          <w:tcPr>
            <w:tcW w:w="554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r>
    </w:tbl>
    <w:p>
      <w:pPr>
        <w:spacing w:after="0" w:line="350" w:lineRule="exact"/>
        <w:rPr>
          <w:sz w:val="20"/>
          <w:szCs w:val="20"/>
          <w:color w:val="auto"/>
        </w:rPr>
      </w:pPr>
    </w:p>
    <w:p>
      <w:pPr>
        <w:ind w:left="520"/>
        <w:spacing w:after="0"/>
        <w:rPr>
          <w:sz w:val="20"/>
          <w:szCs w:val="20"/>
          <w:color w:val="auto"/>
        </w:rPr>
      </w:pPr>
      <w:r>
        <w:rPr>
          <w:rFonts w:ascii="Arial" w:cs="Arial" w:eastAsia="Arial" w:hAnsi="Arial"/>
          <w:sz w:val="18"/>
          <w:szCs w:val="18"/>
          <w:b w:val="1"/>
          <w:bCs w:val="1"/>
          <w:i w:val="1"/>
          <w:iCs w:val="1"/>
          <w:color w:val="auto"/>
        </w:rPr>
        <w:t>Performance Bonds</w:t>
      </w:r>
    </w:p>
    <w:p>
      <w:pPr>
        <w:spacing w:after="0" w:line="117" w:lineRule="exact"/>
        <w:rPr>
          <w:sz w:val="20"/>
          <w:szCs w:val="20"/>
          <w:color w:val="auto"/>
        </w:rPr>
      </w:pPr>
    </w:p>
    <w:p>
      <w:pPr>
        <w:ind w:right="60" w:firstLine="518"/>
        <w:spacing w:after="0" w:line="264" w:lineRule="auto"/>
        <w:rPr>
          <w:sz w:val="20"/>
          <w:szCs w:val="20"/>
          <w:color w:val="auto"/>
        </w:rPr>
      </w:pPr>
      <w:r>
        <w:rPr>
          <w:rFonts w:ascii="Arial" w:cs="Arial" w:eastAsia="Arial" w:hAnsi="Arial"/>
          <w:sz w:val="18"/>
          <w:szCs w:val="18"/>
          <w:color w:val="auto"/>
        </w:rPr>
        <w:t>We obtain surety bonds in the normal course of business to ensure completion of certain infrastructure improvements of our projects. As of March 31, 2015 and December 31, 2014, the Company had outstanding surety bonds totaling $409.9 million and $355.2 million, respectively. The beneficiaries of the bonds are various municipalities.</w:t>
      </w:r>
    </w:p>
    <w:p>
      <w:pPr>
        <w:spacing w:after="0" w:line="366" w:lineRule="exact"/>
        <w:rPr>
          <w:sz w:val="20"/>
          <w:szCs w:val="20"/>
          <w:color w:val="auto"/>
        </w:rPr>
      </w:pPr>
    </w:p>
    <w:p>
      <w:pPr>
        <w:ind w:left="520" w:right="8480" w:hanging="512"/>
        <w:spacing w:after="0" w:line="425" w:lineRule="auto"/>
        <w:tabs>
          <w:tab w:leader="none" w:pos="529" w:val="left"/>
        </w:tabs>
        <w:numPr>
          <w:ilvl w:val="0"/>
          <w:numId w:val="17"/>
        </w:numPr>
        <w:rPr>
          <w:rFonts w:ascii="Arial" w:cs="Arial" w:eastAsia="Arial" w:hAnsi="Arial"/>
          <w:sz w:val="16"/>
          <w:szCs w:val="16"/>
          <w:b w:val="1"/>
          <w:bCs w:val="1"/>
          <w:color w:val="auto"/>
        </w:rPr>
      </w:pPr>
      <w:r>
        <w:rPr>
          <w:rFonts w:ascii="Arial" w:cs="Arial" w:eastAsia="Arial" w:hAnsi="Arial"/>
          <w:sz w:val="16"/>
          <w:szCs w:val="16"/>
          <w:b w:val="1"/>
          <w:bCs w:val="1"/>
          <w:color w:val="auto"/>
        </w:rPr>
        <w:t xml:space="preserve">Stock-Based Compensation </w:t>
      </w:r>
      <w:r>
        <w:rPr>
          <w:rFonts w:ascii="Arial" w:cs="Arial" w:eastAsia="Arial" w:hAnsi="Arial"/>
          <w:sz w:val="16"/>
          <w:szCs w:val="16"/>
          <w:b w:val="1"/>
          <w:bCs w:val="1"/>
          <w:i w:val="1"/>
          <w:iCs w:val="1"/>
          <w:color w:val="auto"/>
        </w:rPr>
        <w:t>2013 Long-Term Incentive Plan</w:t>
      </w:r>
    </w:p>
    <w:p>
      <w:pPr>
        <w:spacing w:after="0" w:line="1" w:lineRule="exact"/>
        <w:rPr>
          <w:sz w:val="20"/>
          <w:szCs w:val="20"/>
          <w:color w:val="auto"/>
        </w:rPr>
      </w:pPr>
    </w:p>
    <w:p>
      <w:pPr>
        <w:ind w:firstLine="518"/>
        <w:spacing w:after="0" w:line="297" w:lineRule="auto"/>
        <w:rPr>
          <w:sz w:val="20"/>
          <w:szCs w:val="20"/>
          <w:color w:val="auto"/>
        </w:rPr>
      </w:pPr>
      <w:r>
        <w:rPr>
          <w:rFonts w:ascii="Arial" w:cs="Arial" w:eastAsia="Arial" w:hAnsi="Arial"/>
          <w:sz w:val="16"/>
          <w:szCs w:val="16"/>
          <w:color w:val="auto"/>
        </w:rPr>
        <w:t>The Company’s stock compensation plan, the 2013 Long-Term Incentive Plan (the “2013 Incentive Plan”), was adopted by legacy TRI Pointe in January 2013 and amended with the approval of our stockholders in 2014. The 2013 Incentive Plan provides for the grant of equity-based awards, including options to purchase shares of common stock, stock appreciation rights, common stock, restricted stock, restricted stock units and performance awards. The 2013 Incentive Plan will automatically expire on the tenth anniversary of its effective date. Our board of directors may terminate or amend the 2013 Incentive Plan at any time, subject to any requirement of stockholder approval required by applicable law, rule or regulation.</w:t>
      </w:r>
    </w:p>
    <w:p>
      <w:pPr>
        <w:spacing w:after="0" w:line="200" w:lineRule="exact"/>
        <w:rPr>
          <w:sz w:val="20"/>
          <w:szCs w:val="20"/>
          <w:color w:val="auto"/>
        </w:rPr>
      </w:pPr>
    </w:p>
    <w:p>
      <w:pPr>
        <w:spacing w:after="0" w:line="201"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- 20 -</w:t>
      </w:r>
    </w:p>
    <w:p>
      <w:pPr>
        <w:sectPr>
          <w:pgSz w:w="11900" w:h="16838" w:orient="portrait"/>
          <w:cols w:equalWidth="0" w:num="1">
            <w:col w:w="11380"/>
          </w:cols>
          <w:pgMar w:left="240" w:top="355" w:right="279" w:bottom="1440" w:gutter="0" w:footer="0" w:header="0"/>
        </w:sectPr>
      </w:pPr>
    </w:p>
    <w:bookmarkStart w:id="20" w:name="page21"/>
    <w:bookmarkEnd w:id="20"/>
    <w:p>
      <w:pPr>
        <w:ind w:right="80" w:firstLine="518"/>
        <w:spacing w:after="0" w:line="257" w:lineRule="auto"/>
        <w:rPr>
          <w:sz w:val="20"/>
          <w:szCs w:val="20"/>
          <w:color w:val="auto"/>
        </w:rPr>
      </w:pPr>
      <w:r>
        <w:rPr>
          <w:rFonts w:ascii="Arial" w:cs="Arial" w:eastAsia="Arial" w:hAnsi="Arial"/>
          <w:sz w:val="18"/>
          <w:szCs w:val="18"/>
          <w:color w:val="auto"/>
        </w:rPr>
        <w:t>As amended, the number of shares of our common stock that may be issued under the 2013 Incentive Plan is 11,727,833 shares. To the extent that shares of our common stock subject to an outstanding option, stock appreciation right, stock award or performance award granted under the 2013 Incentive Plan are not issued or delivered by reason of the expiration, termination, cancellation or forfeiture of such award or the settlement of such award in cash, then such shares of our common stock generally shall again be available under the 2013 Incentive Plan. As of March 31, 2015 there were 9,498,660 shares available for future grant under the 2013 Incentive Plan.</w:t>
      </w:r>
    </w:p>
    <w:p>
      <w:pPr>
        <w:spacing w:after="0" w:line="296" w:lineRule="exact"/>
        <w:rPr>
          <w:sz w:val="20"/>
          <w:szCs w:val="20"/>
          <w:color w:val="auto"/>
        </w:rPr>
      </w:pPr>
    </w:p>
    <w:p>
      <w:pPr>
        <w:ind w:left="520"/>
        <w:spacing w:after="0"/>
        <w:rPr>
          <w:sz w:val="20"/>
          <w:szCs w:val="20"/>
          <w:color w:val="auto"/>
        </w:rPr>
      </w:pPr>
      <w:r>
        <w:rPr>
          <w:rFonts w:ascii="Arial" w:cs="Arial" w:eastAsia="Arial" w:hAnsi="Arial"/>
          <w:sz w:val="18"/>
          <w:szCs w:val="18"/>
          <w:b w:val="1"/>
          <w:bCs w:val="1"/>
          <w:i w:val="1"/>
          <w:iCs w:val="1"/>
          <w:color w:val="auto"/>
        </w:rPr>
        <w:t>Converted Awards</w:t>
      </w:r>
    </w:p>
    <w:p>
      <w:pPr>
        <w:spacing w:after="0" w:line="117" w:lineRule="exact"/>
        <w:rPr>
          <w:sz w:val="20"/>
          <w:szCs w:val="20"/>
          <w:color w:val="auto"/>
        </w:rPr>
      </w:pPr>
    </w:p>
    <w:p>
      <w:pPr>
        <w:ind w:right="80" w:firstLine="518"/>
        <w:spacing w:after="0" w:line="290" w:lineRule="auto"/>
        <w:rPr>
          <w:sz w:val="20"/>
          <w:szCs w:val="20"/>
          <w:color w:val="auto"/>
        </w:rPr>
      </w:pPr>
      <w:r>
        <w:rPr>
          <w:rFonts w:ascii="Arial" w:cs="Arial" w:eastAsia="Arial" w:hAnsi="Arial"/>
          <w:sz w:val="16"/>
          <w:szCs w:val="16"/>
          <w:color w:val="auto"/>
        </w:rPr>
        <w:t>Under the Transaction Agreement, each outstanding Weyerhaeuser equity award held by an employee of WRECO was converted into a similar equity award with TRI Pointe, based on the final exchange ratio of 2.1107 (the “Exchange Ratio”), rounded down to the nearest whole number of shares of common stock. The Company filed a registration statement on Form S-8 (Registration No. 333-197461) on July 16, 2014 to register 4,105,953 shares related to these equity awards. The converted awards have the same terms and conditions as the Weyerhaeuser equity awards except that all performance share units were surrendered in exchange for time-vesting restricted stock units without any performance-based vesting conditions or requirements and the exercise price of each converted stock option is equal to the original exercise price divided by the Exchange Ratio. There will be no future grants under the WRECO equity incentive plans. Refer to TRI Pointe’s Registration Statement on Form S-4, as amended (Registration No. 333-193248), for additional information on the Merger, the option exchange ratio and the treatment of equity awards under the Transaction Agreement.</w:t>
      </w:r>
    </w:p>
    <w:p>
      <w:pPr>
        <w:spacing w:after="0" w:line="166" w:lineRule="exact"/>
        <w:rPr>
          <w:sz w:val="20"/>
          <w:szCs w:val="20"/>
          <w:color w:val="auto"/>
        </w:rPr>
      </w:pPr>
    </w:p>
    <w:p>
      <w:pPr>
        <w:ind w:left="520"/>
        <w:spacing w:after="0"/>
        <w:rPr>
          <w:sz w:val="20"/>
          <w:szCs w:val="20"/>
          <w:color w:val="auto"/>
        </w:rPr>
      </w:pPr>
      <w:r>
        <w:rPr>
          <w:rFonts w:ascii="Arial" w:cs="Arial" w:eastAsia="Arial" w:hAnsi="Arial"/>
          <w:sz w:val="18"/>
          <w:szCs w:val="18"/>
          <w:color w:val="auto"/>
        </w:rPr>
        <w:t>The following table presents compensation expense recognized related to all stock-based awards (in thousands):</w:t>
      </w:r>
    </w:p>
    <w:p>
      <w:pPr>
        <w:spacing w:after="0" w:line="298" w:lineRule="exact"/>
        <w:rPr>
          <w:sz w:val="20"/>
          <w:szCs w:val="20"/>
          <w:color w:val="auto"/>
        </w:rPr>
      </w:pPr>
    </w:p>
    <w:tbl>
      <w:tblPr>
        <w:tblLayout w:type="fixed"/>
        <w:tblInd w:w="1720" w:type="dxa"/>
        <w:tblCellMar>
          <w:top w:w="0" w:type="dxa"/>
          <w:left w:w="0" w:type="dxa"/>
          <w:bottom w:w="0" w:type="dxa"/>
          <w:right w:w="0" w:type="dxa"/>
        </w:tblCellMar>
      </w:tblPr>
      <w:tr>
        <w:trPr>
          <w:trHeight w:val="171"/>
        </w:trPr>
        <w:tc>
          <w:tcPr>
            <w:tcW w:w="55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2280" w:type="dxa"/>
            <w:vAlign w:val="bottom"/>
            <w:gridSpan w:val="5"/>
          </w:tcPr>
          <w:p>
            <w:pPr>
              <w:ind w:left="40"/>
              <w:spacing w:after="0"/>
              <w:rPr>
                <w:sz w:val="20"/>
                <w:szCs w:val="20"/>
                <w:color w:val="auto"/>
              </w:rPr>
            </w:pPr>
            <w:r>
              <w:rPr>
                <w:rFonts w:ascii="Arial" w:cs="Arial" w:eastAsia="Arial" w:hAnsi="Arial"/>
                <w:sz w:val="14"/>
                <w:szCs w:val="14"/>
                <w:b w:val="1"/>
                <w:bCs w:val="1"/>
                <w:color w:val="auto"/>
              </w:rPr>
              <w:t>Three Months Ended March 31,</w:t>
            </w:r>
          </w:p>
        </w:tc>
      </w:tr>
      <w:tr>
        <w:trPr>
          <w:trHeight w:val="156"/>
        </w:trPr>
        <w:tc>
          <w:tcPr>
            <w:tcW w:w="5560" w:type="dxa"/>
            <w:vAlign w:val="bottom"/>
            <w:tcBorders>
              <w:bottom w:val="single" w:sz="8" w:color="CFF0FC"/>
            </w:tcBorders>
          </w:tcPr>
          <w:p>
            <w:pPr>
              <w:spacing w:after="0"/>
              <w:rPr>
                <w:sz w:val="13"/>
                <w:szCs w:val="13"/>
                <w:color w:val="auto"/>
              </w:rPr>
            </w:pPr>
          </w:p>
        </w:tc>
        <w:tc>
          <w:tcPr>
            <w:tcW w:w="140" w:type="dxa"/>
            <w:vAlign w:val="bottom"/>
            <w:tcBorders>
              <w:top w:val="single" w:sz="8" w:color="auto"/>
              <w:bottom w:val="single" w:sz="8" w:color="auto"/>
            </w:tcBorders>
          </w:tcPr>
          <w:p>
            <w:pPr>
              <w:spacing w:after="0"/>
              <w:rPr>
                <w:sz w:val="13"/>
                <w:szCs w:val="13"/>
                <w:color w:val="auto"/>
              </w:rPr>
            </w:pPr>
          </w:p>
        </w:tc>
        <w:tc>
          <w:tcPr>
            <w:tcW w:w="960" w:type="dxa"/>
            <w:vAlign w:val="bottom"/>
            <w:tcBorders>
              <w:top w:val="single" w:sz="8" w:color="auto"/>
              <w:bottom w:val="single" w:sz="8" w:color="auto"/>
            </w:tcBorders>
          </w:tcPr>
          <w:p>
            <w:pPr>
              <w:jc w:val="right"/>
              <w:ind w:right="322"/>
              <w:spacing w:after="0" w:line="155" w:lineRule="exact"/>
              <w:rPr>
                <w:sz w:val="20"/>
                <w:szCs w:val="20"/>
                <w:color w:val="auto"/>
              </w:rPr>
            </w:pPr>
            <w:r>
              <w:rPr>
                <w:rFonts w:ascii="Arial" w:cs="Arial" w:eastAsia="Arial" w:hAnsi="Arial"/>
                <w:sz w:val="14"/>
                <w:szCs w:val="14"/>
                <w:b w:val="1"/>
                <w:bCs w:val="1"/>
                <w:color w:val="auto"/>
              </w:rPr>
              <w:t>2015</w:t>
            </w:r>
          </w:p>
        </w:tc>
        <w:tc>
          <w:tcPr>
            <w:tcW w:w="140" w:type="dxa"/>
            <w:vAlign w:val="bottom"/>
            <w:tcBorders>
              <w:top w:val="single" w:sz="8" w:color="auto"/>
              <w:bottom w:val="single" w:sz="8" w:color="CFF0FC"/>
            </w:tcBorders>
          </w:tcPr>
          <w:p>
            <w:pPr>
              <w:spacing w:after="0"/>
              <w:rPr>
                <w:sz w:val="13"/>
                <w:szCs w:val="13"/>
                <w:color w:val="auto"/>
              </w:rPr>
            </w:pPr>
          </w:p>
        </w:tc>
        <w:tc>
          <w:tcPr>
            <w:tcW w:w="240" w:type="dxa"/>
            <w:vAlign w:val="bottom"/>
            <w:tcBorders>
              <w:top w:val="single" w:sz="8" w:color="auto"/>
              <w:bottom w:val="single" w:sz="8" w:color="auto"/>
            </w:tcBorders>
          </w:tcPr>
          <w:p>
            <w:pPr>
              <w:spacing w:after="0"/>
              <w:rPr>
                <w:sz w:val="13"/>
                <w:szCs w:val="13"/>
                <w:color w:val="auto"/>
              </w:rPr>
            </w:pPr>
          </w:p>
        </w:tc>
        <w:tc>
          <w:tcPr>
            <w:tcW w:w="860" w:type="dxa"/>
            <w:vAlign w:val="bottom"/>
            <w:tcBorders>
              <w:top w:val="single" w:sz="8" w:color="auto"/>
              <w:bottom w:val="single" w:sz="8" w:color="auto"/>
            </w:tcBorders>
          </w:tcPr>
          <w:p>
            <w:pPr>
              <w:jc w:val="right"/>
              <w:ind w:right="339"/>
              <w:spacing w:after="0" w:line="155" w:lineRule="exact"/>
              <w:rPr>
                <w:sz w:val="20"/>
                <w:szCs w:val="20"/>
                <w:color w:val="auto"/>
              </w:rPr>
            </w:pPr>
            <w:r>
              <w:rPr>
                <w:rFonts w:ascii="Arial" w:cs="Arial" w:eastAsia="Arial" w:hAnsi="Arial"/>
                <w:sz w:val="14"/>
                <w:szCs w:val="14"/>
                <w:b w:val="1"/>
                <w:bCs w:val="1"/>
                <w:color w:val="auto"/>
              </w:rPr>
              <w:t>2014</w:t>
            </w:r>
          </w:p>
        </w:tc>
        <w:tc>
          <w:tcPr>
            <w:tcW w:w="80" w:type="dxa"/>
            <w:vAlign w:val="bottom"/>
            <w:tcBorders>
              <w:bottom w:val="single" w:sz="8" w:color="CFF0FC"/>
            </w:tcBorders>
          </w:tcPr>
          <w:p>
            <w:pPr>
              <w:spacing w:after="0"/>
              <w:rPr>
                <w:sz w:val="13"/>
                <w:szCs w:val="13"/>
                <w:color w:val="auto"/>
              </w:rPr>
            </w:pPr>
          </w:p>
        </w:tc>
      </w:tr>
      <w:tr>
        <w:trPr>
          <w:trHeight w:val="223"/>
        </w:trPr>
        <w:tc>
          <w:tcPr>
            <w:tcW w:w="5560" w:type="dxa"/>
            <w:vAlign w:val="bottom"/>
            <w:tcBorders>
              <w:bottom w:val="single" w:sz="8" w:color="CFF0FC"/>
            </w:tcBorders>
            <w:shd w:val="clear" w:color="auto" w:fill="CFF0FC"/>
          </w:tcPr>
          <w:p>
            <w:pPr>
              <w:spacing w:after="0"/>
              <w:rPr>
                <w:sz w:val="20"/>
                <w:szCs w:val="20"/>
                <w:color w:val="auto"/>
              </w:rPr>
            </w:pPr>
            <w:r>
              <w:rPr>
                <w:rFonts w:ascii="Arial" w:cs="Arial" w:eastAsia="Arial" w:hAnsi="Arial"/>
                <w:sz w:val="18"/>
                <w:szCs w:val="18"/>
                <w:color w:val="auto"/>
              </w:rPr>
              <w:t>Total stock-based compensation</w:t>
            </w:r>
          </w:p>
        </w:tc>
        <w:tc>
          <w:tcPr>
            <w:tcW w:w="14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96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2,381</w:t>
            </w:r>
          </w:p>
        </w:tc>
        <w:tc>
          <w:tcPr>
            <w:tcW w:w="140" w:type="dxa"/>
            <w:vAlign w:val="bottom"/>
            <w:tcBorders>
              <w:bottom w:val="single" w:sz="8" w:color="CFF0FC"/>
            </w:tcBorders>
            <w:shd w:val="clear" w:color="auto" w:fill="CFF0FC"/>
          </w:tcPr>
          <w:p>
            <w:pPr>
              <w:spacing w:after="0"/>
              <w:rPr>
                <w:sz w:val="19"/>
                <w:szCs w:val="19"/>
                <w:color w:val="auto"/>
              </w:rPr>
            </w:pPr>
          </w:p>
        </w:tc>
        <w:tc>
          <w:tcPr>
            <w:tcW w:w="240" w:type="dxa"/>
            <w:vAlign w:val="bottom"/>
            <w:tcBorders>
              <w:bottom w:val="single" w:sz="8" w:color="auto"/>
            </w:tcBorders>
            <w:shd w:val="clear" w:color="auto" w:fill="CFF0FC"/>
          </w:tcPr>
          <w:p>
            <w:pPr>
              <w:jc w:val="right"/>
              <w:ind w:right="85"/>
              <w:spacing w:after="0"/>
              <w:rPr>
                <w:sz w:val="20"/>
                <w:szCs w:val="20"/>
                <w:color w:val="auto"/>
              </w:rPr>
            </w:pPr>
            <w:r>
              <w:rPr>
                <w:rFonts w:ascii="Arial" w:cs="Arial" w:eastAsia="Arial" w:hAnsi="Arial"/>
                <w:sz w:val="15"/>
                <w:szCs w:val="15"/>
                <w:color w:val="auto"/>
                <w:w w:val="71"/>
              </w:rPr>
              <w:t>$</w:t>
            </w:r>
          </w:p>
        </w:tc>
        <w:tc>
          <w:tcPr>
            <w:tcW w:w="86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1,293</w:t>
            </w:r>
          </w:p>
        </w:tc>
        <w:tc>
          <w:tcPr>
            <w:tcW w:w="80" w:type="dxa"/>
            <w:vAlign w:val="bottom"/>
            <w:tcBorders>
              <w:bottom w:val="single" w:sz="8" w:color="CFF0FC"/>
            </w:tcBorders>
            <w:shd w:val="clear" w:color="auto" w:fill="CFF0FC"/>
          </w:tcPr>
          <w:p>
            <w:pPr>
              <w:spacing w:after="0"/>
              <w:rPr>
                <w:sz w:val="19"/>
                <w:szCs w:val="19"/>
                <w:color w:val="auto"/>
              </w:rPr>
            </w:pPr>
          </w:p>
        </w:tc>
      </w:tr>
      <w:tr>
        <w:trPr>
          <w:trHeight w:val="20"/>
        </w:trPr>
        <w:tc>
          <w:tcPr>
            <w:tcW w:w="55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r>
    </w:tbl>
    <w:p>
      <w:pPr>
        <w:spacing w:after="0" w:line="202" w:lineRule="exact"/>
        <w:rPr>
          <w:sz w:val="20"/>
          <w:szCs w:val="20"/>
          <w:color w:val="auto"/>
        </w:rPr>
      </w:pPr>
    </w:p>
    <w:p>
      <w:pPr>
        <w:ind w:right="340" w:firstLine="518"/>
        <w:spacing w:after="0" w:line="277" w:lineRule="auto"/>
        <w:rPr>
          <w:sz w:val="20"/>
          <w:szCs w:val="20"/>
          <w:color w:val="auto"/>
        </w:rPr>
      </w:pPr>
      <w:r>
        <w:rPr>
          <w:rFonts w:ascii="Arial" w:cs="Arial" w:eastAsia="Arial" w:hAnsi="Arial"/>
          <w:sz w:val="18"/>
          <w:szCs w:val="18"/>
          <w:color w:val="auto"/>
        </w:rPr>
        <w:t>As of March 31, 2015, total unrecognized stock-based compensation related to all stock-based awards was $19.6 million and the weighted average term over which the expense was expected to be recognized was 2.2 years.</w:t>
      </w:r>
    </w:p>
    <w:p>
      <w:pPr>
        <w:spacing w:after="0" w:line="279" w:lineRule="exact"/>
        <w:rPr>
          <w:sz w:val="20"/>
          <w:szCs w:val="20"/>
          <w:color w:val="auto"/>
        </w:rPr>
      </w:pPr>
    </w:p>
    <w:p>
      <w:pPr>
        <w:ind w:left="520"/>
        <w:spacing w:after="0"/>
        <w:rPr>
          <w:sz w:val="20"/>
          <w:szCs w:val="20"/>
          <w:color w:val="auto"/>
        </w:rPr>
      </w:pPr>
      <w:r>
        <w:rPr>
          <w:rFonts w:ascii="Arial" w:cs="Arial" w:eastAsia="Arial" w:hAnsi="Arial"/>
          <w:sz w:val="18"/>
          <w:szCs w:val="18"/>
          <w:b w:val="1"/>
          <w:bCs w:val="1"/>
          <w:i w:val="1"/>
          <w:iCs w:val="1"/>
          <w:color w:val="auto"/>
        </w:rPr>
        <w:t>Summary of Stock Option Activity</w:t>
      </w:r>
    </w:p>
    <w:p>
      <w:pPr>
        <w:spacing w:after="0" w:line="117" w:lineRule="exact"/>
        <w:rPr>
          <w:sz w:val="20"/>
          <w:szCs w:val="20"/>
          <w:color w:val="auto"/>
        </w:rPr>
      </w:pPr>
    </w:p>
    <w:p>
      <w:pPr>
        <w:ind w:left="520"/>
        <w:spacing w:after="0"/>
        <w:rPr>
          <w:sz w:val="20"/>
          <w:szCs w:val="20"/>
          <w:color w:val="auto"/>
        </w:rPr>
      </w:pPr>
      <w:r>
        <w:rPr>
          <w:rFonts w:ascii="Arial" w:cs="Arial" w:eastAsia="Arial" w:hAnsi="Arial"/>
          <w:sz w:val="18"/>
          <w:szCs w:val="18"/>
          <w:color w:val="auto"/>
        </w:rPr>
        <w:t>The following table presents a summary of stock option awards for the three months ended March 31, 2015:</w:t>
      </w:r>
    </w:p>
    <w:p>
      <w:pPr>
        <w:spacing w:after="0" w:line="200" w:lineRule="exact"/>
        <w:rPr>
          <w:sz w:val="20"/>
          <w:szCs w:val="20"/>
          <w:color w:val="auto"/>
        </w:rPr>
      </w:pPr>
    </w:p>
    <w:p>
      <w:pPr>
        <w:spacing w:after="0" w:line="219" w:lineRule="exact"/>
        <w:rPr>
          <w:sz w:val="20"/>
          <w:szCs w:val="20"/>
          <w:color w:val="auto"/>
        </w:rPr>
      </w:pPr>
    </w:p>
    <w:tbl>
      <w:tblPr>
        <w:tblLayout w:type="fixed"/>
        <w:tblInd w:w="0" w:type="dxa"/>
        <w:tblCellMar>
          <w:top w:w="0" w:type="dxa"/>
          <w:left w:w="0" w:type="dxa"/>
          <w:bottom w:w="0" w:type="dxa"/>
          <w:right w:w="0" w:type="dxa"/>
        </w:tblCellMar>
      </w:tblPr>
      <w:tr>
        <w:trPr>
          <w:trHeight w:val="162"/>
        </w:trPr>
        <w:tc>
          <w:tcPr>
            <w:tcW w:w="5960" w:type="dxa"/>
            <w:vAlign w:val="bottom"/>
          </w:tcPr>
          <w:p>
            <w:pPr>
              <w:spacing w:after="0"/>
              <w:rPr>
                <w:sz w:val="14"/>
                <w:szCs w:val="14"/>
                <w:color w:val="auto"/>
              </w:rPr>
            </w:pPr>
          </w:p>
        </w:tc>
        <w:tc>
          <w:tcPr>
            <w:tcW w:w="116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200" w:type="dxa"/>
            <w:vAlign w:val="bottom"/>
            <w:gridSpan w:val="2"/>
          </w:tcPr>
          <w:p>
            <w:pPr>
              <w:jc w:val="center"/>
              <w:ind w:right="420"/>
              <w:spacing w:after="0"/>
              <w:rPr>
                <w:sz w:val="20"/>
                <w:szCs w:val="20"/>
                <w:color w:val="auto"/>
              </w:rPr>
            </w:pPr>
            <w:r>
              <w:rPr>
                <w:rFonts w:ascii="Arial" w:cs="Arial" w:eastAsia="Arial" w:hAnsi="Arial"/>
                <w:sz w:val="14"/>
                <w:szCs w:val="14"/>
                <w:b w:val="1"/>
                <w:bCs w:val="1"/>
                <w:color w:val="auto"/>
                <w:w w:val="91"/>
              </w:rPr>
              <w:t>Weighted</w:t>
            </w:r>
          </w:p>
        </w:tc>
        <w:tc>
          <w:tcPr>
            <w:tcW w:w="1380" w:type="dxa"/>
            <w:vAlign w:val="bottom"/>
            <w:gridSpan w:val="2"/>
          </w:tcPr>
          <w:p>
            <w:pPr>
              <w:jc w:val="center"/>
              <w:ind w:right="220"/>
              <w:spacing w:after="0"/>
              <w:rPr>
                <w:sz w:val="20"/>
                <w:szCs w:val="20"/>
                <w:color w:val="auto"/>
              </w:rPr>
            </w:pPr>
            <w:r>
              <w:rPr>
                <w:rFonts w:ascii="Arial" w:cs="Arial" w:eastAsia="Arial" w:hAnsi="Arial"/>
                <w:sz w:val="14"/>
                <w:szCs w:val="14"/>
                <w:b w:val="1"/>
                <w:bCs w:val="1"/>
                <w:color w:val="auto"/>
                <w:w w:val="95"/>
              </w:rPr>
              <w:t>Weighted</w:t>
            </w:r>
          </w:p>
        </w:tc>
        <w:tc>
          <w:tcPr>
            <w:tcW w:w="20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5960" w:type="dxa"/>
            <w:vAlign w:val="bottom"/>
          </w:tcPr>
          <w:p>
            <w:pPr>
              <w:spacing w:after="0"/>
              <w:rPr>
                <w:sz w:val="14"/>
                <w:szCs w:val="14"/>
                <w:color w:val="auto"/>
              </w:rPr>
            </w:pPr>
          </w:p>
        </w:tc>
        <w:tc>
          <w:tcPr>
            <w:tcW w:w="116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200" w:type="dxa"/>
            <w:vAlign w:val="bottom"/>
            <w:gridSpan w:val="2"/>
          </w:tcPr>
          <w:p>
            <w:pPr>
              <w:jc w:val="center"/>
              <w:ind w:right="420"/>
              <w:spacing w:after="0"/>
              <w:rPr>
                <w:sz w:val="20"/>
                <w:szCs w:val="20"/>
                <w:color w:val="auto"/>
              </w:rPr>
            </w:pPr>
            <w:r>
              <w:rPr>
                <w:rFonts w:ascii="Arial" w:cs="Arial" w:eastAsia="Arial" w:hAnsi="Arial"/>
                <w:sz w:val="14"/>
                <w:szCs w:val="14"/>
                <w:b w:val="1"/>
                <w:bCs w:val="1"/>
                <w:color w:val="auto"/>
                <w:w w:val="90"/>
              </w:rPr>
              <w:t>Average</w:t>
            </w:r>
          </w:p>
        </w:tc>
        <w:tc>
          <w:tcPr>
            <w:tcW w:w="1380" w:type="dxa"/>
            <w:vAlign w:val="bottom"/>
            <w:gridSpan w:val="2"/>
          </w:tcPr>
          <w:p>
            <w:pPr>
              <w:jc w:val="center"/>
              <w:ind w:right="220"/>
              <w:spacing w:after="0"/>
              <w:rPr>
                <w:sz w:val="20"/>
                <w:szCs w:val="20"/>
                <w:color w:val="auto"/>
              </w:rPr>
            </w:pPr>
            <w:r>
              <w:rPr>
                <w:rFonts w:ascii="Arial" w:cs="Arial" w:eastAsia="Arial" w:hAnsi="Arial"/>
                <w:sz w:val="14"/>
                <w:szCs w:val="14"/>
                <w:b w:val="1"/>
                <w:bCs w:val="1"/>
                <w:color w:val="auto"/>
                <w:w w:val="94"/>
              </w:rPr>
              <w:t>Average</w:t>
            </w:r>
          </w:p>
        </w:tc>
        <w:tc>
          <w:tcPr>
            <w:tcW w:w="200" w:type="dxa"/>
            <w:vAlign w:val="bottom"/>
          </w:tcPr>
          <w:p>
            <w:pPr>
              <w:spacing w:after="0"/>
              <w:rPr>
                <w:sz w:val="14"/>
                <w:szCs w:val="14"/>
                <w:color w:val="auto"/>
              </w:rPr>
            </w:pPr>
          </w:p>
        </w:tc>
        <w:tc>
          <w:tcPr>
            <w:tcW w:w="1120" w:type="dxa"/>
            <w:vAlign w:val="bottom"/>
            <w:gridSpan w:val="2"/>
          </w:tcPr>
          <w:p>
            <w:pPr>
              <w:jc w:val="center"/>
              <w:ind w:right="320"/>
              <w:spacing w:after="0"/>
              <w:rPr>
                <w:sz w:val="20"/>
                <w:szCs w:val="20"/>
                <w:color w:val="auto"/>
              </w:rPr>
            </w:pPr>
            <w:r>
              <w:rPr>
                <w:rFonts w:ascii="Arial" w:cs="Arial" w:eastAsia="Arial" w:hAnsi="Arial"/>
                <w:sz w:val="14"/>
                <w:szCs w:val="14"/>
                <w:b w:val="1"/>
                <w:bCs w:val="1"/>
                <w:color w:val="auto"/>
                <w:w w:val="92"/>
              </w:rPr>
              <w:t>Aggregate</w:t>
            </w:r>
          </w:p>
        </w:tc>
        <w:tc>
          <w:tcPr>
            <w:tcW w:w="0" w:type="dxa"/>
            <w:vAlign w:val="bottom"/>
          </w:tcPr>
          <w:p>
            <w:pPr>
              <w:spacing w:after="0"/>
              <w:rPr>
                <w:sz w:val="1"/>
                <w:szCs w:val="1"/>
                <w:color w:val="auto"/>
              </w:rPr>
            </w:pPr>
          </w:p>
        </w:tc>
      </w:tr>
      <w:tr>
        <w:trPr>
          <w:trHeight w:val="162"/>
        </w:trPr>
        <w:tc>
          <w:tcPr>
            <w:tcW w:w="5960" w:type="dxa"/>
            <w:vAlign w:val="bottom"/>
          </w:tcPr>
          <w:p>
            <w:pPr>
              <w:spacing w:after="0"/>
              <w:rPr>
                <w:sz w:val="14"/>
                <w:szCs w:val="14"/>
                <w:color w:val="auto"/>
              </w:rPr>
            </w:pPr>
          </w:p>
        </w:tc>
        <w:tc>
          <w:tcPr>
            <w:tcW w:w="116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200" w:type="dxa"/>
            <w:vAlign w:val="bottom"/>
            <w:gridSpan w:val="2"/>
          </w:tcPr>
          <w:p>
            <w:pPr>
              <w:jc w:val="center"/>
              <w:ind w:right="400"/>
              <w:spacing w:after="0"/>
              <w:rPr>
                <w:sz w:val="20"/>
                <w:szCs w:val="20"/>
                <w:color w:val="auto"/>
              </w:rPr>
            </w:pPr>
            <w:r>
              <w:rPr>
                <w:rFonts w:ascii="Arial" w:cs="Arial" w:eastAsia="Arial" w:hAnsi="Arial"/>
                <w:sz w:val="14"/>
                <w:szCs w:val="14"/>
                <w:b w:val="1"/>
                <w:bCs w:val="1"/>
                <w:color w:val="auto"/>
                <w:w w:val="90"/>
              </w:rPr>
              <w:t>Exercise</w:t>
            </w:r>
          </w:p>
        </w:tc>
        <w:tc>
          <w:tcPr>
            <w:tcW w:w="1380" w:type="dxa"/>
            <w:vAlign w:val="bottom"/>
            <w:gridSpan w:val="2"/>
          </w:tcPr>
          <w:p>
            <w:pPr>
              <w:jc w:val="center"/>
              <w:ind w:right="220"/>
              <w:spacing w:after="0"/>
              <w:rPr>
                <w:sz w:val="20"/>
                <w:szCs w:val="20"/>
                <w:color w:val="auto"/>
              </w:rPr>
            </w:pPr>
            <w:r>
              <w:rPr>
                <w:rFonts w:ascii="Arial" w:cs="Arial" w:eastAsia="Arial" w:hAnsi="Arial"/>
                <w:sz w:val="14"/>
                <w:szCs w:val="14"/>
                <w:b w:val="1"/>
                <w:bCs w:val="1"/>
                <w:color w:val="auto"/>
                <w:w w:val="94"/>
              </w:rPr>
              <w:t>Remaining</w:t>
            </w:r>
          </w:p>
        </w:tc>
        <w:tc>
          <w:tcPr>
            <w:tcW w:w="200" w:type="dxa"/>
            <w:vAlign w:val="bottom"/>
          </w:tcPr>
          <w:p>
            <w:pPr>
              <w:spacing w:after="0"/>
              <w:rPr>
                <w:sz w:val="14"/>
                <w:szCs w:val="14"/>
                <w:color w:val="auto"/>
              </w:rPr>
            </w:pPr>
          </w:p>
        </w:tc>
        <w:tc>
          <w:tcPr>
            <w:tcW w:w="1120" w:type="dxa"/>
            <w:vAlign w:val="bottom"/>
            <w:gridSpan w:val="2"/>
          </w:tcPr>
          <w:p>
            <w:pPr>
              <w:jc w:val="center"/>
              <w:ind w:right="320"/>
              <w:spacing w:after="0"/>
              <w:rPr>
                <w:sz w:val="20"/>
                <w:szCs w:val="20"/>
                <w:color w:val="auto"/>
              </w:rPr>
            </w:pPr>
            <w:r>
              <w:rPr>
                <w:rFonts w:ascii="Arial" w:cs="Arial" w:eastAsia="Arial" w:hAnsi="Arial"/>
                <w:sz w:val="14"/>
                <w:szCs w:val="14"/>
                <w:b w:val="1"/>
                <w:bCs w:val="1"/>
                <w:color w:val="auto"/>
                <w:w w:val="95"/>
              </w:rPr>
              <w:t>Intrinsic</w:t>
            </w:r>
          </w:p>
        </w:tc>
        <w:tc>
          <w:tcPr>
            <w:tcW w:w="0" w:type="dxa"/>
            <w:vAlign w:val="bottom"/>
          </w:tcPr>
          <w:p>
            <w:pPr>
              <w:spacing w:after="0"/>
              <w:rPr>
                <w:sz w:val="1"/>
                <w:szCs w:val="1"/>
                <w:color w:val="auto"/>
              </w:rPr>
            </w:pPr>
          </w:p>
        </w:tc>
      </w:tr>
      <w:tr>
        <w:trPr>
          <w:trHeight w:val="162"/>
        </w:trPr>
        <w:tc>
          <w:tcPr>
            <w:tcW w:w="5960" w:type="dxa"/>
            <w:vAlign w:val="bottom"/>
          </w:tcPr>
          <w:p>
            <w:pPr>
              <w:spacing w:after="0"/>
              <w:rPr>
                <w:sz w:val="14"/>
                <w:szCs w:val="14"/>
                <w:color w:val="auto"/>
              </w:rPr>
            </w:pPr>
          </w:p>
        </w:tc>
        <w:tc>
          <w:tcPr>
            <w:tcW w:w="116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200" w:type="dxa"/>
            <w:vAlign w:val="bottom"/>
            <w:gridSpan w:val="2"/>
          </w:tcPr>
          <w:p>
            <w:pPr>
              <w:jc w:val="center"/>
              <w:ind w:right="400"/>
              <w:spacing w:after="0"/>
              <w:rPr>
                <w:sz w:val="20"/>
                <w:szCs w:val="20"/>
                <w:color w:val="auto"/>
              </w:rPr>
            </w:pPr>
            <w:r>
              <w:rPr>
                <w:rFonts w:ascii="Arial" w:cs="Arial" w:eastAsia="Arial" w:hAnsi="Arial"/>
                <w:sz w:val="14"/>
                <w:szCs w:val="14"/>
                <w:b w:val="1"/>
                <w:bCs w:val="1"/>
                <w:color w:val="auto"/>
                <w:w w:val="93"/>
              </w:rPr>
              <w:t>Price</w:t>
            </w:r>
          </w:p>
        </w:tc>
        <w:tc>
          <w:tcPr>
            <w:tcW w:w="1380" w:type="dxa"/>
            <w:vAlign w:val="bottom"/>
            <w:gridSpan w:val="2"/>
          </w:tcPr>
          <w:p>
            <w:pPr>
              <w:jc w:val="center"/>
              <w:ind w:right="220"/>
              <w:spacing w:after="0"/>
              <w:rPr>
                <w:sz w:val="20"/>
                <w:szCs w:val="20"/>
                <w:color w:val="auto"/>
              </w:rPr>
            </w:pPr>
            <w:r>
              <w:rPr>
                <w:rFonts w:ascii="Arial" w:cs="Arial" w:eastAsia="Arial" w:hAnsi="Arial"/>
                <w:sz w:val="14"/>
                <w:szCs w:val="14"/>
                <w:b w:val="1"/>
                <w:bCs w:val="1"/>
                <w:color w:val="auto"/>
                <w:w w:val="97"/>
              </w:rPr>
              <w:t>Contractual</w:t>
            </w:r>
          </w:p>
        </w:tc>
        <w:tc>
          <w:tcPr>
            <w:tcW w:w="200" w:type="dxa"/>
            <w:vAlign w:val="bottom"/>
          </w:tcPr>
          <w:p>
            <w:pPr>
              <w:spacing w:after="0"/>
              <w:rPr>
                <w:sz w:val="14"/>
                <w:szCs w:val="14"/>
                <w:color w:val="auto"/>
              </w:rPr>
            </w:pPr>
          </w:p>
        </w:tc>
        <w:tc>
          <w:tcPr>
            <w:tcW w:w="1120" w:type="dxa"/>
            <w:vAlign w:val="bottom"/>
            <w:gridSpan w:val="2"/>
          </w:tcPr>
          <w:p>
            <w:pPr>
              <w:jc w:val="center"/>
              <w:ind w:right="320"/>
              <w:spacing w:after="0"/>
              <w:rPr>
                <w:sz w:val="20"/>
                <w:szCs w:val="20"/>
                <w:color w:val="auto"/>
              </w:rPr>
            </w:pPr>
            <w:r>
              <w:rPr>
                <w:rFonts w:ascii="Arial" w:cs="Arial" w:eastAsia="Arial" w:hAnsi="Arial"/>
                <w:sz w:val="14"/>
                <w:szCs w:val="14"/>
                <w:b w:val="1"/>
                <w:bCs w:val="1"/>
                <w:color w:val="auto"/>
                <w:w w:val="96"/>
              </w:rPr>
              <w:t>Value</w:t>
            </w:r>
          </w:p>
        </w:tc>
        <w:tc>
          <w:tcPr>
            <w:tcW w:w="0" w:type="dxa"/>
            <w:vAlign w:val="bottom"/>
          </w:tcPr>
          <w:p>
            <w:pPr>
              <w:spacing w:after="0"/>
              <w:rPr>
                <w:sz w:val="1"/>
                <w:szCs w:val="1"/>
                <w:color w:val="auto"/>
              </w:rPr>
            </w:pPr>
          </w:p>
        </w:tc>
      </w:tr>
      <w:tr>
        <w:trPr>
          <w:trHeight w:val="171"/>
        </w:trPr>
        <w:tc>
          <w:tcPr>
            <w:tcW w:w="5960" w:type="dxa"/>
            <w:vAlign w:val="bottom"/>
          </w:tcPr>
          <w:p>
            <w:pPr>
              <w:spacing w:after="0"/>
              <w:rPr>
                <w:sz w:val="14"/>
                <w:szCs w:val="14"/>
                <w:color w:val="auto"/>
              </w:rPr>
            </w:pPr>
          </w:p>
        </w:tc>
        <w:tc>
          <w:tcPr>
            <w:tcW w:w="1380" w:type="dxa"/>
            <w:vAlign w:val="bottom"/>
            <w:gridSpan w:val="2"/>
          </w:tcPr>
          <w:p>
            <w:pPr>
              <w:jc w:val="right"/>
              <w:ind w:right="560"/>
              <w:spacing w:after="0"/>
              <w:rPr>
                <w:sz w:val="20"/>
                <w:szCs w:val="20"/>
                <w:color w:val="auto"/>
              </w:rPr>
            </w:pPr>
            <w:r>
              <w:rPr>
                <w:rFonts w:ascii="Arial" w:cs="Arial" w:eastAsia="Arial" w:hAnsi="Arial"/>
                <w:sz w:val="14"/>
                <w:szCs w:val="14"/>
                <w:b w:val="1"/>
                <w:bCs w:val="1"/>
                <w:color w:val="auto"/>
              </w:rPr>
              <w:t>Options</w:t>
            </w:r>
          </w:p>
        </w:tc>
        <w:tc>
          <w:tcPr>
            <w:tcW w:w="180" w:type="dxa"/>
            <w:vAlign w:val="bottom"/>
          </w:tcPr>
          <w:p>
            <w:pPr>
              <w:spacing w:after="0"/>
              <w:rPr>
                <w:sz w:val="14"/>
                <w:szCs w:val="14"/>
                <w:color w:val="auto"/>
              </w:rPr>
            </w:pPr>
          </w:p>
        </w:tc>
        <w:tc>
          <w:tcPr>
            <w:tcW w:w="1200" w:type="dxa"/>
            <w:vAlign w:val="bottom"/>
            <w:gridSpan w:val="2"/>
          </w:tcPr>
          <w:p>
            <w:pPr>
              <w:jc w:val="center"/>
              <w:ind w:right="400"/>
              <w:spacing w:after="0"/>
              <w:rPr>
                <w:sz w:val="20"/>
                <w:szCs w:val="20"/>
                <w:color w:val="auto"/>
              </w:rPr>
            </w:pPr>
            <w:r>
              <w:rPr>
                <w:rFonts w:ascii="Arial" w:cs="Arial" w:eastAsia="Arial" w:hAnsi="Arial"/>
                <w:sz w:val="14"/>
                <w:szCs w:val="14"/>
                <w:b w:val="1"/>
                <w:bCs w:val="1"/>
                <w:color w:val="auto"/>
                <w:w w:val="91"/>
              </w:rPr>
              <w:t>Per Share</w:t>
            </w:r>
          </w:p>
        </w:tc>
        <w:tc>
          <w:tcPr>
            <w:tcW w:w="1380" w:type="dxa"/>
            <w:vAlign w:val="bottom"/>
            <w:gridSpan w:val="2"/>
          </w:tcPr>
          <w:p>
            <w:pPr>
              <w:jc w:val="center"/>
              <w:ind w:right="220"/>
              <w:spacing w:after="0"/>
              <w:rPr>
                <w:sz w:val="20"/>
                <w:szCs w:val="20"/>
                <w:color w:val="auto"/>
              </w:rPr>
            </w:pPr>
            <w:r>
              <w:rPr>
                <w:rFonts w:ascii="Arial" w:cs="Arial" w:eastAsia="Arial" w:hAnsi="Arial"/>
                <w:sz w:val="14"/>
                <w:szCs w:val="14"/>
                <w:b w:val="1"/>
                <w:bCs w:val="1"/>
                <w:color w:val="auto"/>
                <w:w w:val="96"/>
              </w:rPr>
              <w:t>Life</w:t>
            </w:r>
          </w:p>
        </w:tc>
        <w:tc>
          <w:tcPr>
            <w:tcW w:w="200" w:type="dxa"/>
            <w:vAlign w:val="bottom"/>
          </w:tcPr>
          <w:p>
            <w:pPr>
              <w:spacing w:after="0"/>
              <w:rPr>
                <w:sz w:val="14"/>
                <w:szCs w:val="14"/>
                <w:color w:val="auto"/>
              </w:rPr>
            </w:pPr>
          </w:p>
        </w:tc>
        <w:tc>
          <w:tcPr>
            <w:tcW w:w="1120" w:type="dxa"/>
            <w:vAlign w:val="bottom"/>
            <w:gridSpan w:val="2"/>
          </w:tcPr>
          <w:p>
            <w:pPr>
              <w:jc w:val="center"/>
              <w:ind w:right="320"/>
              <w:spacing w:after="0"/>
              <w:rPr>
                <w:sz w:val="20"/>
                <w:szCs w:val="20"/>
                <w:color w:val="auto"/>
              </w:rPr>
            </w:pPr>
            <w:r>
              <w:rPr>
                <w:rFonts w:ascii="Arial" w:cs="Arial" w:eastAsia="Arial" w:hAnsi="Arial"/>
                <w:sz w:val="14"/>
                <w:szCs w:val="14"/>
                <w:b w:val="1"/>
                <w:bCs w:val="1"/>
                <w:color w:val="auto"/>
                <w:w w:val="93"/>
              </w:rPr>
              <w:t>(in 000's)</w:t>
            </w:r>
          </w:p>
        </w:tc>
        <w:tc>
          <w:tcPr>
            <w:tcW w:w="0" w:type="dxa"/>
            <w:vAlign w:val="bottom"/>
          </w:tcPr>
          <w:p>
            <w:pPr>
              <w:spacing w:after="0"/>
              <w:rPr>
                <w:sz w:val="1"/>
                <w:szCs w:val="1"/>
                <w:color w:val="auto"/>
              </w:rPr>
            </w:pPr>
          </w:p>
        </w:tc>
      </w:tr>
      <w:tr>
        <w:trPr>
          <w:trHeight w:val="223"/>
        </w:trPr>
        <w:tc>
          <w:tcPr>
            <w:tcW w:w="5960" w:type="dxa"/>
            <w:vAlign w:val="bottom"/>
            <w:tcBorders>
              <w:top w:val="single" w:sz="8" w:color="CFF0FC"/>
            </w:tcBorders>
            <w:shd w:val="clear" w:color="auto" w:fill="CFF0FC"/>
          </w:tcPr>
          <w:p>
            <w:pPr>
              <w:spacing w:after="0"/>
              <w:rPr>
                <w:sz w:val="20"/>
                <w:szCs w:val="20"/>
                <w:color w:val="auto"/>
              </w:rPr>
            </w:pPr>
            <w:r>
              <w:rPr>
                <w:rFonts w:ascii="Arial" w:cs="Arial" w:eastAsia="Arial" w:hAnsi="Arial"/>
                <w:sz w:val="18"/>
                <w:szCs w:val="18"/>
                <w:color w:val="auto"/>
              </w:rPr>
              <w:t>Options outstanding at December 31, 2014</w:t>
            </w:r>
          </w:p>
        </w:tc>
        <w:tc>
          <w:tcPr>
            <w:tcW w:w="116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3,322,549</w:t>
            </w:r>
          </w:p>
        </w:tc>
        <w:tc>
          <w:tcPr>
            <w:tcW w:w="220" w:type="dxa"/>
            <w:vAlign w:val="bottom"/>
            <w:tcBorders>
              <w:top w:val="single" w:sz="8" w:color="CFF0FC"/>
            </w:tcBorders>
            <w:shd w:val="clear" w:color="auto" w:fill="CFF0FC"/>
          </w:tcPr>
          <w:p>
            <w:pPr>
              <w:spacing w:after="0"/>
              <w:rPr>
                <w:sz w:val="19"/>
                <w:szCs w:val="19"/>
                <w:color w:val="auto"/>
              </w:rPr>
            </w:pPr>
          </w:p>
        </w:tc>
        <w:tc>
          <w:tcPr>
            <w:tcW w:w="18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98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13.08</w:t>
            </w:r>
          </w:p>
        </w:tc>
        <w:tc>
          <w:tcPr>
            <w:tcW w:w="220" w:type="dxa"/>
            <w:vAlign w:val="bottom"/>
            <w:tcBorders>
              <w:top w:val="single" w:sz="8" w:color="CFF0FC"/>
            </w:tcBorders>
            <w:shd w:val="clear" w:color="auto" w:fill="CFF0FC"/>
          </w:tcPr>
          <w:p>
            <w:pPr>
              <w:spacing w:after="0"/>
              <w:rPr>
                <w:sz w:val="19"/>
                <w:szCs w:val="19"/>
                <w:color w:val="auto"/>
              </w:rPr>
            </w:pPr>
          </w:p>
        </w:tc>
        <w:tc>
          <w:tcPr>
            <w:tcW w:w="118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6.0</w:t>
            </w:r>
          </w:p>
        </w:tc>
        <w:tc>
          <w:tcPr>
            <w:tcW w:w="200" w:type="dxa"/>
            <w:vAlign w:val="bottom"/>
            <w:tcBorders>
              <w:top w:val="single" w:sz="8" w:color="CFF0FC"/>
            </w:tcBorders>
            <w:shd w:val="clear" w:color="auto" w:fill="CFF0FC"/>
          </w:tcPr>
          <w:p>
            <w:pPr>
              <w:spacing w:after="0"/>
              <w:rPr>
                <w:sz w:val="19"/>
                <w:szCs w:val="19"/>
                <w:color w:val="auto"/>
              </w:rPr>
            </w:pPr>
          </w:p>
        </w:tc>
        <w:tc>
          <w:tcPr>
            <w:tcW w:w="200" w:type="dxa"/>
            <w:vAlign w:val="bottom"/>
            <w:tcBorders>
              <w:top w:val="single" w:sz="8" w:color="auto"/>
            </w:tcBorders>
            <w:shd w:val="clear" w:color="auto" w:fill="CFF0FC"/>
          </w:tcPr>
          <w:p>
            <w:pPr>
              <w:jc w:val="right"/>
              <w:ind w:right="10"/>
              <w:spacing w:after="0"/>
              <w:rPr>
                <w:sz w:val="20"/>
                <w:szCs w:val="20"/>
                <w:color w:val="auto"/>
              </w:rPr>
            </w:pPr>
            <w:r>
              <w:rPr>
                <w:rFonts w:ascii="Arial" w:cs="Arial" w:eastAsia="Arial" w:hAnsi="Arial"/>
                <w:sz w:val="18"/>
                <w:szCs w:val="18"/>
                <w:color w:val="auto"/>
                <w:w w:val="79"/>
              </w:rPr>
              <w:t>$</w:t>
            </w:r>
          </w:p>
        </w:tc>
        <w:tc>
          <w:tcPr>
            <w:tcW w:w="100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7,841</w:t>
            </w:r>
          </w:p>
        </w:tc>
        <w:tc>
          <w:tcPr>
            <w:tcW w:w="120" w:type="dxa"/>
            <w:vAlign w:val="bottom"/>
            <w:tcBorders>
              <w:top w:val="single" w:sz="8" w:color="CFF0FC"/>
            </w:tcBorders>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5960" w:type="dxa"/>
            <w:vAlign w:val="bottom"/>
          </w:tcPr>
          <w:p>
            <w:pPr>
              <w:ind w:left="260"/>
              <w:spacing w:after="0"/>
              <w:rPr>
                <w:sz w:val="20"/>
                <w:szCs w:val="20"/>
                <w:color w:val="auto"/>
              </w:rPr>
            </w:pPr>
            <w:r>
              <w:rPr>
                <w:rFonts w:ascii="Arial" w:cs="Arial" w:eastAsia="Arial" w:hAnsi="Arial"/>
                <w:sz w:val="18"/>
                <w:szCs w:val="18"/>
                <w:color w:val="auto"/>
              </w:rPr>
              <w:t>Granted</w:t>
            </w:r>
          </w:p>
        </w:tc>
        <w:tc>
          <w:tcPr>
            <w:tcW w:w="138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19"/>
                <w:szCs w:val="19"/>
                <w:color w:val="auto"/>
              </w:rPr>
            </w:pPr>
          </w:p>
        </w:tc>
        <w:tc>
          <w:tcPr>
            <w:tcW w:w="1200" w:type="dxa"/>
            <w:vAlign w:val="bottom"/>
            <w:gridSpan w:val="2"/>
          </w:tcPr>
          <w:p>
            <w:pPr>
              <w:jc w:val="right"/>
              <w:ind w:right="240"/>
              <w:spacing w:after="0"/>
              <w:rPr>
                <w:sz w:val="20"/>
                <w:szCs w:val="20"/>
                <w:color w:val="auto"/>
              </w:rPr>
            </w:pPr>
            <w:r>
              <w:rPr>
                <w:rFonts w:ascii="Arial" w:cs="Arial" w:eastAsia="Arial" w:hAnsi="Arial"/>
                <w:sz w:val="18"/>
                <w:szCs w:val="18"/>
                <w:color w:val="auto"/>
              </w:rPr>
              <w:t>—</w:t>
            </w:r>
          </w:p>
        </w:tc>
        <w:tc>
          <w:tcPr>
            <w:tcW w:w="138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9"/>
                <w:szCs w:val="19"/>
                <w:color w:val="auto"/>
              </w:rPr>
            </w:pPr>
          </w:p>
        </w:tc>
        <w:tc>
          <w:tcPr>
            <w:tcW w:w="112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30"/>
        </w:trPr>
        <w:tc>
          <w:tcPr>
            <w:tcW w:w="5960" w:type="dxa"/>
            <w:vAlign w:val="bottom"/>
            <w:shd w:val="clear" w:color="auto" w:fill="CFF0FC"/>
          </w:tcPr>
          <w:p>
            <w:pPr>
              <w:ind w:left="260"/>
              <w:spacing w:after="0"/>
              <w:rPr>
                <w:sz w:val="20"/>
                <w:szCs w:val="20"/>
                <w:color w:val="auto"/>
              </w:rPr>
            </w:pPr>
            <w:r>
              <w:rPr>
                <w:rFonts w:ascii="Arial" w:cs="Arial" w:eastAsia="Arial" w:hAnsi="Arial"/>
                <w:sz w:val="18"/>
                <w:szCs w:val="18"/>
                <w:color w:val="auto"/>
              </w:rPr>
              <w:t>Exercised</w:t>
            </w:r>
          </w:p>
        </w:tc>
        <w:tc>
          <w:tcPr>
            <w:tcW w:w="1380" w:type="dxa"/>
            <w:vAlign w:val="bottom"/>
            <w:gridSpan w:val="2"/>
            <w:shd w:val="clear" w:color="auto" w:fill="CFF0FC"/>
          </w:tcPr>
          <w:p>
            <w:pPr>
              <w:jc w:val="right"/>
              <w:ind w:right="160"/>
              <w:spacing w:after="0"/>
              <w:rPr>
                <w:sz w:val="20"/>
                <w:szCs w:val="20"/>
                <w:color w:val="auto"/>
              </w:rPr>
            </w:pPr>
            <w:r>
              <w:rPr>
                <w:rFonts w:ascii="Arial" w:cs="Arial" w:eastAsia="Arial" w:hAnsi="Arial"/>
                <w:sz w:val="18"/>
                <w:szCs w:val="18"/>
                <w:color w:val="auto"/>
              </w:rPr>
              <w:t>(55,056)</w:t>
            </w:r>
          </w:p>
        </w:tc>
        <w:tc>
          <w:tcPr>
            <w:tcW w:w="180" w:type="dxa"/>
            <w:vAlign w:val="bottom"/>
            <w:shd w:val="clear" w:color="auto" w:fill="CFF0FC"/>
          </w:tcPr>
          <w:p>
            <w:pPr>
              <w:spacing w:after="0"/>
              <w:rPr>
                <w:sz w:val="19"/>
                <w:szCs w:val="19"/>
                <w:color w:val="auto"/>
              </w:rPr>
            </w:pPr>
          </w:p>
        </w:tc>
        <w:tc>
          <w:tcPr>
            <w:tcW w:w="9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10.51</w:t>
            </w:r>
          </w:p>
        </w:tc>
        <w:tc>
          <w:tcPr>
            <w:tcW w:w="220" w:type="dxa"/>
            <w:vAlign w:val="bottom"/>
            <w:shd w:val="clear" w:color="auto" w:fill="CFF0FC"/>
          </w:tcPr>
          <w:p>
            <w:pPr>
              <w:spacing w:after="0"/>
              <w:rPr>
                <w:sz w:val="19"/>
                <w:szCs w:val="19"/>
                <w:color w:val="auto"/>
              </w:rPr>
            </w:pPr>
          </w:p>
        </w:tc>
        <w:tc>
          <w:tcPr>
            <w:tcW w:w="118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100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5960" w:type="dxa"/>
            <w:vAlign w:val="bottom"/>
          </w:tcPr>
          <w:p>
            <w:pPr>
              <w:ind w:left="260"/>
              <w:spacing w:after="0"/>
              <w:rPr>
                <w:sz w:val="20"/>
                <w:szCs w:val="20"/>
                <w:color w:val="auto"/>
              </w:rPr>
            </w:pPr>
            <w:r>
              <w:rPr>
                <w:rFonts w:ascii="Arial" w:cs="Arial" w:eastAsia="Arial" w:hAnsi="Arial"/>
                <w:sz w:val="18"/>
                <w:szCs w:val="18"/>
                <w:color w:val="auto"/>
              </w:rPr>
              <w:t>Forfeited</w:t>
            </w:r>
          </w:p>
        </w:tc>
        <w:tc>
          <w:tcPr>
            <w:tcW w:w="1380" w:type="dxa"/>
            <w:vAlign w:val="bottom"/>
            <w:gridSpan w:val="2"/>
          </w:tcPr>
          <w:p>
            <w:pPr>
              <w:jc w:val="right"/>
              <w:ind w:right="160"/>
              <w:spacing w:after="0"/>
              <w:rPr>
                <w:sz w:val="20"/>
                <w:szCs w:val="20"/>
                <w:color w:val="auto"/>
              </w:rPr>
            </w:pPr>
            <w:r>
              <w:rPr>
                <w:rFonts w:ascii="Arial" w:cs="Arial" w:eastAsia="Arial" w:hAnsi="Arial"/>
                <w:sz w:val="18"/>
                <w:szCs w:val="18"/>
                <w:color w:val="auto"/>
              </w:rPr>
              <w:t>(5,603)</w:t>
            </w:r>
          </w:p>
        </w:tc>
        <w:tc>
          <w:tcPr>
            <w:tcW w:w="180" w:type="dxa"/>
            <w:vAlign w:val="bottom"/>
          </w:tcPr>
          <w:p>
            <w:pPr>
              <w:spacing w:after="0"/>
              <w:rPr>
                <w:sz w:val="19"/>
                <w:szCs w:val="19"/>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11.34</w:t>
            </w:r>
          </w:p>
        </w:tc>
        <w:tc>
          <w:tcPr>
            <w:tcW w:w="220" w:type="dxa"/>
            <w:vAlign w:val="bottom"/>
          </w:tcPr>
          <w:p>
            <w:pPr>
              <w:spacing w:after="0"/>
              <w:rPr>
                <w:sz w:val="19"/>
                <w:szCs w:val="19"/>
                <w:color w:val="auto"/>
              </w:rPr>
            </w:pPr>
          </w:p>
        </w:tc>
        <w:tc>
          <w:tcPr>
            <w:tcW w:w="118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0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5960" w:type="dxa"/>
            <w:vAlign w:val="bottom"/>
            <w:tcBorders>
              <w:top w:val="single" w:sz="8" w:color="CFF0FC"/>
              <w:bottom w:val="single" w:sz="8" w:color="CFF0FC"/>
            </w:tcBorders>
            <w:shd w:val="clear" w:color="auto" w:fill="CFF0FC"/>
          </w:tcPr>
          <w:p>
            <w:pPr>
              <w:spacing w:after="0"/>
              <w:rPr>
                <w:sz w:val="20"/>
                <w:szCs w:val="20"/>
                <w:color w:val="auto"/>
              </w:rPr>
            </w:pPr>
            <w:r>
              <w:rPr>
                <w:rFonts w:ascii="Arial" w:cs="Arial" w:eastAsia="Arial" w:hAnsi="Arial"/>
                <w:sz w:val="18"/>
                <w:szCs w:val="18"/>
                <w:color w:val="auto"/>
              </w:rPr>
              <w:t>Options outstanding at March 31, 2015</w:t>
            </w:r>
          </w:p>
        </w:tc>
        <w:tc>
          <w:tcPr>
            <w:tcW w:w="116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3,261,890</w:t>
            </w:r>
          </w:p>
        </w:tc>
        <w:tc>
          <w:tcPr>
            <w:tcW w:w="220" w:type="dxa"/>
            <w:vAlign w:val="bottom"/>
            <w:tcBorders>
              <w:top w:val="single" w:sz="8" w:color="CFF0FC"/>
              <w:bottom w:val="single" w:sz="8" w:color="CFF0FC"/>
            </w:tcBorders>
            <w:shd w:val="clear" w:color="auto" w:fill="CFF0FC"/>
          </w:tcPr>
          <w:p>
            <w:pPr>
              <w:spacing w:after="0"/>
              <w:rPr>
                <w:sz w:val="19"/>
                <w:szCs w:val="19"/>
                <w:color w:val="auto"/>
              </w:rPr>
            </w:pPr>
          </w:p>
        </w:tc>
        <w:tc>
          <w:tcPr>
            <w:tcW w:w="180" w:type="dxa"/>
            <w:vAlign w:val="bottom"/>
            <w:tcBorders>
              <w:top w:val="single" w:sz="8" w:color="CFF0FC"/>
              <w:bottom w:val="single" w:sz="8" w:color="CFF0FC"/>
            </w:tcBorders>
            <w:shd w:val="clear" w:color="auto" w:fill="CFF0FC"/>
          </w:tcPr>
          <w:p>
            <w:pPr>
              <w:spacing w:after="0"/>
              <w:rPr>
                <w:sz w:val="19"/>
                <w:szCs w:val="19"/>
                <w:color w:val="auto"/>
              </w:rPr>
            </w:pPr>
          </w:p>
        </w:tc>
        <w:tc>
          <w:tcPr>
            <w:tcW w:w="980" w:type="dxa"/>
            <w:vAlign w:val="bottom"/>
            <w:tcBorders>
              <w:top w:val="single" w:sz="8" w:color="CFF0FC"/>
              <w:bottom w:val="single" w:sz="8" w:color="CFF0FC"/>
            </w:tcBorders>
            <w:shd w:val="clear" w:color="auto" w:fill="CFF0FC"/>
          </w:tcPr>
          <w:p>
            <w:pPr>
              <w:jc w:val="right"/>
              <w:spacing w:after="0"/>
              <w:rPr>
                <w:sz w:val="20"/>
                <w:szCs w:val="20"/>
                <w:color w:val="auto"/>
              </w:rPr>
            </w:pPr>
            <w:r>
              <w:rPr>
                <w:rFonts w:ascii="Arial" w:cs="Arial" w:eastAsia="Arial" w:hAnsi="Arial"/>
                <w:sz w:val="18"/>
                <w:szCs w:val="18"/>
                <w:color w:val="auto"/>
              </w:rPr>
              <w:t>13.13</w:t>
            </w:r>
          </w:p>
        </w:tc>
        <w:tc>
          <w:tcPr>
            <w:tcW w:w="220" w:type="dxa"/>
            <w:vAlign w:val="bottom"/>
            <w:tcBorders>
              <w:top w:val="single" w:sz="8" w:color="CFF0FC"/>
              <w:bottom w:val="single" w:sz="8" w:color="CFF0FC"/>
            </w:tcBorders>
            <w:shd w:val="clear" w:color="auto" w:fill="CFF0FC"/>
          </w:tcPr>
          <w:p>
            <w:pPr>
              <w:spacing w:after="0"/>
              <w:rPr>
                <w:sz w:val="19"/>
                <w:szCs w:val="19"/>
                <w:color w:val="auto"/>
              </w:rPr>
            </w:pPr>
          </w:p>
        </w:tc>
        <w:tc>
          <w:tcPr>
            <w:tcW w:w="1180" w:type="dxa"/>
            <w:vAlign w:val="bottom"/>
            <w:tcBorders>
              <w:top w:val="single" w:sz="8" w:color="CFF0FC"/>
              <w:bottom w:val="single" w:sz="8" w:color="CFF0FC"/>
            </w:tcBorders>
            <w:shd w:val="clear" w:color="auto" w:fill="CFF0FC"/>
          </w:tcPr>
          <w:p>
            <w:pPr>
              <w:jc w:val="right"/>
              <w:spacing w:after="0"/>
              <w:rPr>
                <w:sz w:val="20"/>
                <w:szCs w:val="20"/>
                <w:color w:val="auto"/>
              </w:rPr>
            </w:pPr>
            <w:r>
              <w:rPr>
                <w:rFonts w:ascii="Arial" w:cs="Arial" w:eastAsia="Arial" w:hAnsi="Arial"/>
                <w:sz w:val="18"/>
                <w:szCs w:val="18"/>
                <w:color w:val="auto"/>
              </w:rPr>
              <w:t>5.8</w:t>
            </w:r>
          </w:p>
        </w:tc>
        <w:tc>
          <w:tcPr>
            <w:tcW w:w="200" w:type="dxa"/>
            <w:vAlign w:val="bottom"/>
            <w:tcBorders>
              <w:top w:val="single" w:sz="8" w:color="CFF0FC"/>
              <w:bottom w:val="single" w:sz="8" w:color="CFF0FC"/>
            </w:tcBorders>
            <w:shd w:val="clear" w:color="auto" w:fill="CFF0FC"/>
          </w:tcPr>
          <w:p>
            <w:pPr>
              <w:spacing w:after="0"/>
              <w:rPr>
                <w:sz w:val="19"/>
                <w:szCs w:val="19"/>
                <w:color w:val="auto"/>
              </w:rPr>
            </w:pPr>
          </w:p>
        </w:tc>
        <w:tc>
          <w:tcPr>
            <w:tcW w:w="200" w:type="dxa"/>
            <w:vAlign w:val="bottom"/>
            <w:tcBorders>
              <w:top w:val="single" w:sz="8" w:color="CFF0FC"/>
              <w:bottom w:val="single" w:sz="8" w:color="CFF0FC"/>
            </w:tcBorders>
            <w:shd w:val="clear" w:color="auto" w:fill="CFF0FC"/>
          </w:tcPr>
          <w:p>
            <w:pPr>
              <w:spacing w:after="0"/>
              <w:rPr>
                <w:sz w:val="19"/>
                <w:szCs w:val="19"/>
                <w:color w:val="auto"/>
              </w:rPr>
            </w:pPr>
          </w:p>
        </w:tc>
        <w:tc>
          <w:tcPr>
            <w:tcW w:w="1000" w:type="dxa"/>
            <w:vAlign w:val="bottom"/>
            <w:tcBorders>
              <w:top w:val="single" w:sz="8" w:color="CFF0FC"/>
              <w:bottom w:val="single" w:sz="8" w:color="CFF0FC"/>
            </w:tcBorders>
            <w:shd w:val="clear" w:color="auto" w:fill="CFF0FC"/>
          </w:tcPr>
          <w:p>
            <w:pPr>
              <w:jc w:val="right"/>
              <w:spacing w:after="0"/>
              <w:rPr>
                <w:sz w:val="20"/>
                <w:szCs w:val="20"/>
                <w:color w:val="auto"/>
              </w:rPr>
            </w:pPr>
            <w:r>
              <w:rPr>
                <w:rFonts w:ascii="Arial" w:cs="Arial" w:eastAsia="Arial" w:hAnsi="Arial"/>
                <w:sz w:val="18"/>
                <w:szCs w:val="18"/>
                <w:color w:val="auto"/>
              </w:rPr>
              <w:t>7,495</w:t>
            </w:r>
          </w:p>
        </w:tc>
        <w:tc>
          <w:tcPr>
            <w:tcW w:w="120" w:type="dxa"/>
            <w:vAlign w:val="bottom"/>
            <w:tcBorders>
              <w:top w:val="single" w:sz="8" w:color="CFF0FC"/>
              <w:bottom w:val="single" w:sz="8" w:color="CFF0FC"/>
            </w:tcBorders>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5960" w:type="dxa"/>
            <w:vAlign w:val="bottom"/>
            <w:vMerge w:val="restart"/>
          </w:tcPr>
          <w:p>
            <w:pPr>
              <w:spacing w:after="0"/>
              <w:rPr>
                <w:sz w:val="20"/>
                <w:szCs w:val="20"/>
                <w:color w:val="auto"/>
              </w:rPr>
            </w:pPr>
            <w:r>
              <w:rPr>
                <w:rFonts w:ascii="Arial" w:cs="Arial" w:eastAsia="Arial" w:hAnsi="Arial"/>
                <w:sz w:val="18"/>
                <w:szCs w:val="18"/>
                <w:color w:val="auto"/>
              </w:rPr>
              <w:t>Options exercisable at March 31, 2015</w:t>
            </w:r>
          </w:p>
        </w:tc>
        <w:tc>
          <w:tcPr>
            <w:tcW w:w="116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980" w:type="dxa"/>
            <w:vAlign w:val="bottom"/>
            <w:vMerge w:val="restart"/>
          </w:tcPr>
          <w:p>
            <w:pPr>
              <w:jc w:val="right"/>
              <w:spacing w:after="0"/>
              <w:rPr>
                <w:sz w:val="20"/>
                <w:szCs w:val="20"/>
                <w:color w:val="auto"/>
              </w:rPr>
            </w:pPr>
            <w:r>
              <w:rPr>
                <w:rFonts w:ascii="Arial" w:cs="Arial" w:eastAsia="Arial" w:hAnsi="Arial"/>
                <w:sz w:val="18"/>
                <w:szCs w:val="18"/>
                <w:color w:val="auto"/>
              </w:rPr>
              <w:t>12.64</w:t>
            </w:r>
          </w:p>
        </w:tc>
        <w:tc>
          <w:tcPr>
            <w:tcW w:w="220" w:type="dxa"/>
            <w:vAlign w:val="bottom"/>
          </w:tcPr>
          <w:p>
            <w:pPr>
              <w:spacing w:after="0" w:line="20" w:lineRule="exact"/>
              <w:rPr>
                <w:sz w:val="1"/>
                <w:szCs w:val="1"/>
                <w:color w:val="auto"/>
              </w:rPr>
            </w:pPr>
          </w:p>
        </w:tc>
        <w:tc>
          <w:tcPr>
            <w:tcW w:w="1180" w:type="dxa"/>
            <w:vAlign w:val="bottom"/>
            <w:vMerge w:val="restart"/>
          </w:tcPr>
          <w:p>
            <w:pPr>
              <w:jc w:val="right"/>
              <w:spacing w:after="0"/>
              <w:rPr>
                <w:sz w:val="20"/>
                <w:szCs w:val="20"/>
                <w:color w:val="auto"/>
              </w:rPr>
            </w:pPr>
            <w:r>
              <w:rPr>
                <w:rFonts w:ascii="Arial" w:cs="Arial" w:eastAsia="Arial" w:hAnsi="Arial"/>
                <w:sz w:val="18"/>
                <w:szCs w:val="18"/>
                <w:color w:val="auto"/>
              </w:rPr>
              <w:t>4.7</w:t>
            </w:r>
          </w:p>
        </w:tc>
        <w:tc>
          <w:tcPr>
            <w:tcW w:w="20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000" w:type="dxa"/>
            <w:vAlign w:val="bottom"/>
            <w:vMerge w:val="restart"/>
          </w:tcPr>
          <w:p>
            <w:pPr>
              <w:jc w:val="right"/>
              <w:spacing w:after="0"/>
              <w:rPr>
                <w:sz w:val="20"/>
                <w:szCs w:val="20"/>
                <w:color w:val="auto"/>
              </w:rPr>
            </w:pPr>
            <w:r>
              <w:rPr>
                <w:rFonts w:ascii="Arial" w:cs="Arial" w:eastAsia="Arial" w:hAnsi="Arial"/>
                <w:sz w:val="18"/>
                <w:szCs w:val="18"/>
                <w:color w:val="auto"/>
              </w:rPr>
              <w:t>6,324</w:t>
            </w: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5960" w:type="dxa"/>
            <w:vAlign w:val="bottom"/>
            <w:vMerge w:val="continue"/>
          </w:tcPr>
          <w:p>
            <w:pPr>
              <w:spacing w:after="0"/>
              <w:rPr>
                <w:sz w:val="18"/>
                <w:szCs w:val="18"/>
                <w:color w:val="auto"/>
              </w:rPr>
            </w:pPr>
          </w:p>
        </w:tc>
        <w:tc>
          <w:tcPr>
            <w:tcW w:w="11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2,262,560</w:t>
            </w:r>
          </w:p>
        </w:tc>
        <w:tc>
          <w:tcPr>
            <w:tcW w:w="2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980" w:type="dxa"/>
            <w:vAlign w:val="bottom"/>
            <w:vMerge w:val="continue"/>
          </w:tcPr>
          <w:p>
            <w:pPr>
              <w:spacing w:after="0"/>
              <w:rPr>
                <w:sz w:val="18"/>
                <w:szCs w:val="18"/>
                <w:color w:val="auto"/>
              </w:rPr>
            </w:pPr>
          </w:p>
        </w:tc>
        <w:tc>
          <w:tcPr>
            <w:tcW w:w="220" w:type="dxa"/>
            <w:vAlign w:val="bottom"/>
          </w:tcPr>
          <w:p>
            <w:pPr>
              <w:spacing w:after="0"/>
              <w:rPr>
                <w:sz w:val="18"/>
                <w:szCs w:val="18"/>
                <w:color w:val="auto"/>
              </w:rPr>
            </w:pPr>
          </w:p>
        </w:tc>
        <w:tc>
          <w:tcPr>
            <w:tcW w:w="1180" w:type="dxa"/>
            <w:vAlign w:val="bottom"/>
            <w:vMerge w:val="continue"/>
          </w:tcPr>
          <w:p>
            <w:pPr>
              <w:spacing w:after="0"/>
              <w:rPr>
                <w:sz w:val="18"/>
                <w:szCs w:val="18"/>
                <w:color w:val="auto"/>
              </w:rPr>
            </w:pPr>
          </w:p>
        </w:tc>
        <w:tc>
          <w:tcPr>
            <w:tcW w:w="2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00" w:type="dxa"/>
            <w:vAlign w:val="bottom"/>
            <w:vMerge w:val="continue"/>
          </w:tcPr>
          <w:p>
            <w:pPr>
              <w:spacing w:after="0"/>
              <w:rPr>
                <w:sz w:val="18"/>
                <w:szCs w:val="18"/>
                <w:color w:val="auto"/>
              </w:rPr>
            </w:pP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5960" w:type="dxa"/>
            <w:vAlign w:val="bottom"/>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98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18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0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39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- 21 -</w:t>
      </w:r>
    </w:p>
    <w:p>
      <w:pPr>
        <w:sectPr>
          <w:pgSz w:w="11900" w:h="16838" w:orient="portrait"/>
          <w:cols w:equalWidth="0" w:num="1">
            <w:col w:w="11420"/>
          </w:cols>
          <w:pgMar w:left="240" w:top="355" w:right="239" w:bottom="1440" w:gutter="0" w:footer="0" w:header="0"/>
        </w:sectPr>
      </w:pPr>
    </w:p>
    <w:bookmarkStart w:id="21" w:name="page22"/>
    <w:bookmarkEnd w:id="21"/>
    <w:p>
      <w:pPr>
        <w:ind w:left="520"/>
        <w:spacing w:after="0"/>
        <w:rPr>
          <w:sz w:val="20"/>
          <w:szCs w:val="20"/>
          <w:color w:val="auto"/>
        </w:rPr>
      </w:pPr>
      <w:r>
        <w:rPr>
          <w:rFonts w:ascii="Arial" w:cs="Arial" w:eastAsia="Arial" w:hAnsi="Arial"/>
          <w:sz w:val="18"/>
          <w:szCs w:val="18"/>
          <w:b w:val="1"/>
          <w:bCs w:val="1"/>
          <w:i w:val="1"/>
          <w:iCs w:val="1"/>
          <w:color w:val="auto"/>
        </w:rPr>
        <w:t>Summary of Restricted Stock Unit Activity</w:t>
      </w:r>
    </w:p>
    <w:p>
      <w:pPr>
        <w:spacing w:after="0" w:line="117" w:lineRule="exact"/>
        <w:rPr>
          <w:sz w:val="20"/>
          <w:szCs w:val="20"/>
          <w:color w:val="auto"/>
        </w:rPr>
      </w:pPr>
    </w:p>
    <w:p>
      <w:pPr>
        <w:ind w:left="520"/>
        <w:spacing w:after="0"/>
        <w:rPr>
          <w:sz w:val="20"/>
          <w:szCs w:val="20"/>
          <w:color w:val="auto"/>
        </w:rPr>
      </w:pPr>
      <w:r>
        <w:rPr>
          <w:rFonts w:ascii="Arial" w:cs="Arial" w:eastAsia="Arial" w:hAnsi="Arial"/>
          <w:sz w:val="18"/>
          <w:szCs w:val="18"/>
          <w:color w:val="auto"/>
        </w:rPr>
        <w:t>The following table presents a summary of restricted stock units (“RSUs”) for the three months ended March 31, 2015:</w:t>
      </w:r>
    </w:p>
    <w:p>
      <w:pPr>
        <w:spacing w:after="0" w:line="200" w:lineRule="exact"/>
        <w:rPr>
          <w:sz w:val="20"/>
          <w:szCs w:val="20"/>
          <w:color w:val="auto"/>
        </w:rPr>
      </w:pPr>
    </w:p>
    <w:p>
      <w:pPr>
        <w:spacing w:after="0" w:line="287" w:lineRule="exact"/>
        <w:rPr>
          <w:sz w:val="20"/>
          <w:szCs w:val="20"/>
          <w:color w:val="auto"/>
        </w:rPr>
      </w:pPr>
    </w:p>
    <w:tbl>
      <w:tblPr>
        <w:tblLayout w:type="fixed"/>
        <w:tblInd w:w="1140" w:type="dxa"/>
        <w:tblCellMar>
          <w:top w:w="0" w:type="dxa"/>
          <w:left w:w="0" w:type="dxa"/>
          <w:bottom w:w="0" w:type="dxa"/>
          <w:right w:w="0" w:type="dxa"/>
        </w:tblCellMar>
      </w:tblPr>
      <w:tr>
        <w:trPr>
          <w:trHeight w:val="162"/>
        </w:trPr>
        <w:tc>
          <w:tcPr>
            <w:tcW w:w="20" w:type="dxa"/>
            <w:vAlign w:val="bottom"/>
          </w:tcPr>
          <w:p>
            <w:pPr>
              <w:spacing w:after="0"/>
              <w:rPr>
                <w:sz w:val="14"/>
                <w:szCs w:val="14"/>
                <w:color w:val="auto"/>
              </w:rPr>
            </w:pPr>
          </w:p>
        </w:tc>
        <w:tc>
          <w:tcPr>
            <w:tcW w:w="5540" w:type="dxa"/>
            <w:vAlign w:val="bottom"/>
          </w:tcPr>
          <w:p>
            <w:pPr>
              <w:spacing w:after="0"/>
              <w:rPr>
                <w:sz w:val="14"/>
                <w:szCs w:val="14"/>
                <w:color w:val="auto"/>
              </w:rPr>
            </w:pPr>
          </w:p>
        </w:tc>
        <w:tc>
          <w:tcPr>
            <w:tcW w:w="10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940" w:type="dxa"/>
            <w:vAlign w:val="bottom"/>
          </w:tcPr>
          <w:p>
            <w:pPr>
              <w:jc w:val="center"/>
              <w:ind w:right="59"/>
              <w:spacing w:after="0"/>
              <w:rPr>
                <w:sz w:val="20"/>
                <w:szCs w:val="20"/>
                <w:color w:val="auto"/>
              </w:rPr>
            </w:pPr>
            <w:r>
              <w:rPr>
                <w:rFonts w:ascii="Arial" w:cs="Arial" w:eastAsia="Arial" w:hAnsi="Arial"/>
                <w:sz w:val="14"/>
                <w:szCs w:val="14"/>
                <w:b w:val="1"/>
                <w:bCs w:val="1"/>
                <w:color w:val="auto"/>
                <w:w w:val="95"/>
              </w:rPr>
              <w:t>Weighted</w:t>
            </w:r>
          </w:p>
        </w:tc>
        <w:tc>
          <w:tcPr>
            <w:tcW w:w="1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20" w:type="dxa"/>
            <w:vAlign w:val="bottom"/>
          </w:tcPr>
          <w:p>
            <w:pPr>
              <w:spacing w:after="0"/>
              <w:rPr>
                <w:sz w:val="14"/>
                <w:szCs w:val="14"/>
                <w:color w:val="auto"/>
              </w:rPr>
            </w:pPr>
          </w:p>
        </w:tc>
        <w:tc>
          <w:tcPr>
            <w:tcW w:w="5540" w:type="dxa"/>
            <w:vAlign w:val="bottom"/>
          </w:tcPr>
          <w:p>
            <w:pPr>
              <w:spacing w:after="0"/>
              <w:rPr>
                <w:sz w:val="14"/>
                <w:szCs w:val="14"/>
                <w:color w:val="auto"/>
              </w:rPr>
            </w:pPr>
          </w:p>
        </w:tc>
        <w:tc>
          <w:tcPr>
            <w:tcW w:w="10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940" w:type="dxa"/>
            <w:vAlign w:val="bottom"/>
          </w:tcPr>
          <w:p>
            <w:pPr>
              <w:jc w:val="center"/>
              <w:ind w:right="39"/>
              <w:spacing w:after="0"/>
              <w:rPr>
                <w:sz w:val="20"/>
                <w:szCs w:val="20"/>
                <w:color w:val="auto"/>
              </w:rPr>
            </w:pPr>
            <w:r>
              <w:rPr>
                <w:rFonts w:ascii="Arial" w:cs="Arial" w:eastAsia="Arial" w:hAnsi="Arial"/>
                <w:sz w:val="14"/>
                <w:szCs w:val="14"/>
                <w:b w:val="1"/>
                <w:bCs w:val="1"/>
                <w:color w:val="auto"/>
                <w:w w:val="90"/>
              </w:rPr>
              <w:t>Average</w:t>
            </w:r>
          </w:p>
        </w:tc>
        <w:tc>
          <w:tcPr>
            <w:tcW w:w="1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02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w w:val="92"/>
              </w:rPr>
              <w:t>Aggregate</w:t>
            </w:r>
          </w:p>
        </w:tc>
        <w:tc>
          <w:tcPr>
            <w:tcW w:w="0" w:type="dxa"/>
            <w:vAlign w:val="bottom"/>
          </w:tcPr>
          <w:p>
            <w:pPr>
              <w:spacing w:after="0"/>
              <w:rPr>
                <w:sz w:val="1"/>
                <w:szCs w:val="1"/>
                <w:color w:val="auto"/>
              </w:rPr>
            </w:pPr>
          </w:p>
        </w:tc>
      </w:tr>
      <w:tr>
        <w:trPr>
          <w:trHeight w:val="162"/>
        </w:trPr>
        <w:tc>
          <w:tcPr>
            <w:tcW w:w="20" w:type="dxa"/>
            <w:vAlign w:val="bottom"/>
          </w:tcPr>
          <w:p>
            <w:pPr>
              <w:spacing w:after="0"/>
              <w:rPr>
                <w:sz w:val="14"/>
                <w:szCs w:val="14"/>
                <w:color w:val="auto"/>
              </w:rPr>
            </w:pPr>
          </w:p>
        </w:tc>
        <w:tc>
          <w:tcPr>
            <w:tcW w:w="5540" w:type="dxa"/>
            <w:vAlign w:val="bottom"/>
          </w:tcPr>
          <w:p>
            <w:pPr>
              <w:spacing w:after="0"/>
              <w:rPr>
                <w:sz w:val="14"/>
                <w:szCs w:val="14"/>
                <w:color w:val="auto"/>
              </w:rPr>
            </w:pPr>
          </w:p>
        </w:tc>
        <w:tc>
          <w:tcPr>
            <w:tcW w:w="1120" w:type="dxa"/>
            <w:vAlign w:val="bottom"/>
            <w:gridSpan w:val="2"/>
          </w:tcPr>
          <w:p>
            <w:pPr>
              <w:jc w:val="center"/>
              <w:ind w:right="140"/>
              <w:spacing w:after="0"/>
              <w:rPr>
                <w:sz w:val="20"/>
                <w:szCs w:val="20"/>
                <w:color w:val="auto"/>
              </w:rPr>
            </w:pPr>
            <w:r>
              <w:rPr>
                <w:rFonts w:ascii="Arial" w:cs="Arial" w:eastAsia="Arial" w:hAnsi="Arial"/>
                <w:sz w:val="14"/>
                <w:szCs w:val="14"/>
                <w:b w:val="1"/>
                <w:bCs w:val="1"/>
                <w:color w:val="auto"/>
                <w:w w:val="90"/>
              </w:rPr>
              <w:t>Restricted</w:t>
            </w:r>
          </w:p>
        </w:tc>
        <w:tc>
          <w:tcPr>
            <w:tcW w:w="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940" w:type="dxa"/>
            <w:vAlign w:val="bottom"/>
          </w:tcPr>
          <w:p>
            <w:pPr>
              <w:jc w:val="center"/>
              <w:ind w:right="39"/>
              <w:spacing w:after="0"/>
              <w:rPr>
                <w:sz w:val="20"/>
                <w:szCs w:val="20"/>
                <w:color w:val="auto"/>
              </w:rPr>
            </w:pPr>
            <w:r>
              <w:rPr>
                <w:rFonts w:ascii="Arial" w:cs="Arial" w:eastAsia="Arial" w:hAnsi="Arial"/>
                <w:sz w:val="14"/>
                <w:szCs w:val="14"/>
                <w:b w:val="1"/>
                <w:bCs w:val="1"/>
                <w:color w:val="auto"/>
                <w:w w:val="97"/>
              </w:rPr>
              <w:t>Grant Date</w:t>
            </w:r>
          </w:p>
        </w:tc>
        <w:tc>
          <w:tcPr>
            <w:tcW w:w="1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02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w w:val="95"/>
              </w:rPr>
              <w:t>Intrinsic</w:t>
            </w:r>
          </w:p>
        </w:tc>
        <w:tc>
          <w:tcPr>
            <w:tcW w:w="0" w:type="dxa"/>
            <w:vAlign w:val="bottom"/>
          </w:tcPr>
          <w:p>
            <w:pPr>
              <w:spacing w:after="0"/>
              <w:rPr>
                <w:sz w:val="1"/>
                <w:szCs w:val="1"/>
                <w:color w:val="auto"/>
              </w:rPr>
            </w:pPr>
          </w:p>
        </w:tc>
      </w:tr>
      <w:tr>
        <w:trPr>
          <w:trHeight w:val="162"/>
        </w:trPr>
        <w:tc>
          <w:tcPr>
            <w:tcW w:w="20" w:type="dxa"/>
            <w:vAlign w:val="bottom"/>
          </w:tcPr>
          <w:p>
            <w:pPr>
              <w:spacing w:after="0"/>
              <w:rPr>
                <w:sz w:val="14"/>
                <w:szCs w:val="14"/>
                <w:color w:val="auto"/>
              </w:rPr>
            </w:pPr>
          </w:p>
        </w:tc>
        <w:tc>
          <w:tcPr>
            <w:tcW w:w="5540" w:type="dxa"/>
            <w:vAlign w:val="bottom"/>
          </w:tcPr>
          <w:p>
            <w:pPr>
              <w:spacing w:after="0"/>
              <w:rPr>
                <w:sz w:val="14"/>
                <w:szCs w:val="14"/>
                <w:color w:val="auto"/>
              </w:rPr>
            </w:pPr>
          </w:p>
        </w:tc>
        <w:tc>
          <w:tcPr>
            <w:tcW w:w="1120" w:type="dxa"/>
            <w:vAlign w:val="bottom"/>
            <w:gridSpan w:val="2"/>
          </w:tcPr>
          <w:p>
            <w:pPr>
              <w:jc w:val="center"/>
              <w:ind w:right="140"/>
              <w:spacing w:after="0"/>
              <w:rPr>
                <w:sz w:val="20"/>
                <w:szCs w:val="20"/>
                <w:color w:val="auto"/>
              </w:rPr>
            </w:pPr>
            <w:r>
              <w:rPr>
                <w:rFonts w:ascii="Arial" w:cs="Arial" w:eastAsia="Arial" w:hAnsi="Arial"/>
                <w:sz w:val="14"/>
                <w:szCs w:val="14"/>
                <w:b w:val="1"/>
                <w:bCs w:val="1"/>
                <w:color w:val="auto"/>
                <w:w w:val="89"/>
              </w:rPr>
              <w:t>Stock</w:t>
            </w:r>
          </w:p>
        </w:tc>
        <w:tc>
          <w:tcPr>
            <w:tcW w:w="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940" w:type="dxa"/>
            <w:vAlign w:val="bottom"/>
          </w:tcPr>
          <w:p>
            <w:pPr>
              <w:jc w:val="center"/>
              <w:ind w:right="59"/>
              <w:spacing w:after="0"/>
              <w:rPr>
                <w:sz w:val="20"/>
                <w:szCs w:val="20"/>
                <w:color w:val="auto"/>
              </w:rPr>
            </w:pPr>
            <w:r>
              <w:rPr>
                <w:rFonts w:ascii="Arial" w:cs="Arial" w:eastAsia="Arial" w:hAnsi="Arial"/>
                <w:sz w:val="14"/>
                <w:szCs w:val="14"/>
                <w:b w:val="1"/>
                <w:bCs w:val="1"/>
                <w:color w:val="auto"/>
                <w:w w:val="95"/>
              </w:rPr>
              <w:t>Fair Value</w:t>
            </w:r>
          </w:p>
        </w:tc>
        <w:tc>
          <w:tcPr>
            <w:tcW w:w="1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02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w w:val="96"/>
              </w:rPr>
              <w:t>Value</w:t>
            </w:r>
          </w:p>
        </w:tc>
        <w:tc>
          <w:tcPr>
            <w:tcW w:w="0" w:type="dxa"/>
            <w:vAlign w:val="bottom"/>
          </w:tcPr>
          <w:p>
            <w:pPr>
              <w:spacing w:after="0"/>
              <w:rPr>
                <w:sz w:val="1"/>
                <w:szCs w:val="1"/>
                <w:color w:val="auto"/>
              </w:rPr>
            </w:pPr>
          </w:p>
        </w:tc>
      </w:tr>
      <w:tr>
        <w:trPr>
          <w:trHeight w:val="171"/>
        </w:trPr>
        <w:tc>
          <w:tcPr>
            <w:tcW w:w="5560" w:type="dxa"/>
            <w:vAlign w:val="bottom"/>
            <w:gridSpan w:val="2"/>
            <w:vMerge w:val="restart"/>
          </w:tcPr>
          <w:p>
            <w:pPr>
              <w:spacing w:after="0"/>
              <w:rPr>
                <w:sz w:val="20"/>
                <w:szCs w:val="20"/>
                <w:color w:val="auto"/>
              </w:rPr>
            </w:pPr>
            <w:r>
              <w:rPr>
                <w:rFonts w:ascii="Arial" w:cs="Arial" w:eastAsia="Arial" w:hAnsi="Arial"/>
                <w:sz w:val="18"/>
                <w:szCs w:val="18"/>
                <w:color w:val="auto"/>
              </w:rPr>
              <w:t>Nonvested RSUs at December 31, 2014</w:t>
            </w:r>
          </w:p>
        </w:tc>
        <w:tc>
          <w:tcPr>
            <w:tcW w:w="1120" w:type="dxa"/>
            <w:vAlign w:val="bottom"/>
            <w:gridSpan w:val="2"/>
          </w:tcPr>
          <w:p>
            <w:pPr>
              <w:jc w:val="center"/>
              <w:ind w:right="140"/>
              <w:spacing w:after="0"/>
              <w:rPr>
                <w:sz w:val="20"/>
                <w:szCs w:val="20"/>
                <w:color w:val="auto"/>
              </w:rPr>
            </w:pPr>
            <w:r>
              <w:rPr>
                <w:rFonts w:ascii="Arial" w:cs="Arial" w:eastAsia="Arial" w:hAnsi="Arial"/>
                <w:sz w:val="14"/>
                <w:szCs w:val="14"/>
                <w:b w:val="1"/>
                <w:bCs w:val="1"/>
                <w:color w:val="auto"/>
                <w:w w:val="97"/>
              </w:rPr>
              <w:t>Units</w:t>
            </w:r>
          </w:p>
        </w:tc>
        <w:tc>
          <w:tcPr>
            <w:tcW w:w="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940" w:type="dxa"/>
            <w:vAlign w:val="bottom"/>
          </w:tcPr>
          <w:p>
            <w:pPr>
              <w:jc w:val="center"/>
              <w:ind w:right="59"/>
              <w:spacing w:after="0"/>
              <w:rPr>
                <w:sz w:val="20"/>
                <w:szCs w:val="20"/>
                <w:color w:val="auto"/>
              </w:rPr>
            </w:pPr>
            <w:r>
              <w:rPr>
                <w:rFonts w:ascii="Arial" w:cs="Arial" w:eastAsia="Arial" w:hAnsi="Arial"/>
                <w:sz w:val="14"/>
                <w:szCs w:val="14"/>
                <w:b w:val="1"/>
                <w:bCs w:val="1"/>
                <w:color w:val="auto"/>
                <w:w w:val="91"/>
              </w:rPr>
              <w:t>Per Share</w:t>
            </w:r>
          </w:p>
        </w:tc>
        <w:tc>
          <w:tcPr>
            <w:tcW w:w="1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02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w w:val="93"/>
              </w:rPr>
              <w:t>(in 000's)</w:t>
            </w:r>
          </w:p>
        </w:tc>
        <w:tc>
          <w:tcPr>
            <w:tcW w:w="0" w:type="dxa"/>
            <w:vAlign w:val="bottom"/>
          </w:tcPr>
          <w:p>
            <w:pPr>
              <w:spacing w:after="0"/>
              <w:rPr>
                <w:sz w:val="1"/>
                <w:szCs w:val="1"/>
                <w:color w:val="auto"/>
              </w:rPr>
            </w:pPr>
          </w:p>
        </w:tc>
      </w:tr>
      <w:tr>
        <w:trPr>
          <w:trHeight w:val="223"/>
        </w:trPr>
        <w:tc>
          <w:tcPr>
            <w:tcW w:w="5560" w:type="dxa"/>
            <w:vAlign w:val="bottom"/>
            <w:gridSpan w:val="2"/>
            <w:vMerge w:val="continue"/>
          </w:tcPr>
          <w:p>
            <w:pPr>
              <w:spacing w:after="0"/>
              <w:rPr>
                <w:sz w:val="19"/>
                <w:szCs w:val="19"/>
                <w:color w:val="auto"/>
              </w:rPr>
            </w:pPr>
          </w:p>
        </w:tc>
        <w:tc>
          <w:tcPr>
            <w:tcW w:w="10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882,709</w:t>
            </w:r>
          </w:p>
        </w:tc>
        <w:tc>
          <w:tcPr>
            <w:tcW w:w="10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20" w:type="dxa"/>
            <w:vAlign w:val="bottom"/>
            <w:tcBorders>
              <w:top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9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15.62</w:t>
            </w:r>
          </w:p>
        </w:tc>
        <w:tc>
          <w:tcPr>
            <w:tcW w:w="180" w:type="dxa"/>
            <w:vAlign w:val="bottom"/>
          </w:tcPr>
          <w:p>
            <w:pPr>
              <w:spacing w:after="0"/>
              <w:rPr>
                <w:sz w:val="19"/>
                <w:szCs w:val="19"/>
                <w:color w:val="auto"/>
              </w:rPr>
            </w:pPr>
          </w:p>
        </w:tc>
        <w:tc>
          <w:tcPr>
            <w:tcW w:w="140" w:type="dxa"/>
            <w:vAlign w:val="bottom"/>
            <w:tcBorders>
              <w:top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9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13,461</w:t>
            </w:r>
          </w:p>
        </w:tc>
        <w:tc>
          <w:tcPr>
            <w:tcW w:w="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5540" w:type="dxa"/>
            <w:vAlign w:val="bottom"/>
            <w:shd w:val="clear" w:color="auto" w:fill="CFF0FC"/>
          </w:tcPr>
          <w:p>
            <w:pPr>
              <w:ind w:left="240"/>
              <w:spacing w:after="0"/>
              <w:rPr>
                <w:sz w:val="20"/>
                <w:szCs w:val="20"/>
                <w:color w:val="auto"/>
              </w:rPr>
            </w:pPr>
            <w:r>
              <w:rPr>
                <w:rFonts w:ascii="Arial" w:cs="Arial" w:eastAsia="Arial" w:hAnsi="Arial"/>
                <w:sz w:val="18"/>
                <w:szCs w:val="18"/>
                <w:color w:val="auto"/>
              </w:rPr>
              <w:t>Granted</w:t>
            </w:r>
          </w:p>
        </w:tc>
        <w:tc>
          <w:tcPr>
            <w:tcW w:w="10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1,511,491</w:t>
            </w:r>
          </w:p>
        </w:tc>
        <w:tc>
          <w:tcPr>
            <w:tcW w:w="100" w:type="dxa"/>
            <w:vAlign w:val="bottom"/>
            <w:shd w:val="clear" w:color="auto" w:fill="CFF0FC"/>
          </w:tcPr>
          <w:p>
            <w:pPr>
              <w:spacing w:after="0"/>
              <w:rPr>
                <w:sz w:val="19"/>
                <w:szCs w:val="19"/>
                <w:color w:val="auto"/>
              </w:rPr>
            </w:pPr>
          </w:p>
        </w:tc>
        <w:tc>
          <w:tcPr>
            <w:tcW w:w="6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9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11.46</w:t>
            </w:r>
          </w:p>
        </w:tc>
        <w:tc>
          <w:tcPr>
            <w:tcW w:w="180" w:type="dxa"/>
            <w:vAlign w:val="bottom"/>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9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17,315</w:t>
            </w:r>
          </w:p>
        </w:tc>
        <w:tc>
          <w:tcPr>
            <w:tcW w:w="8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5540" w:type="dxa"/>
            <w:vAlign w:val="bottom"/>
          </w:tcPr>
          <w:p>
            <w:pPr>
              <w:ind w:left="240"/>
              <w:spacing w:after="0"/>
              <w:rPr>
                <w:sz w:val="20"/>
                <w:szCs w:val="20"/>
                <w:color w:val="auto"/>
              </w:rPr>
            </w:pPr>
            <w:r>
              <w:rPr>
                <w:rFonts w:ascii="Arial" w:cs="Arial" w:eastAsia="Arial" w:hAnsi="Arial"/>
                <w:sz w:val="18"/>
                <w:szCs w:val="18"/>
                <w:color w:val="auto"/>
              </w:rPr>
              <w:t>Vested</w:t>
            </w:r>
          </w:p>
        </w:tc>
        <w:tc>
          <w:tcPr>
            <w:tcW w:w="1120" w:type="dxa"/>
            <w:vAlign w:val="bottom"/>
            <w:gridSpan w:val="2"/>
          </w:tcPr>
          <w:p>
            <w:pPr>
              <w:jc w:val="right"/>
              <w:ind w:right="40"/>
              <w:spacing w:after="0"/>
              <w:rPr>
                <w:sz w:val="20"/>
                <w:szCs w:val="20"/>
                <w:color w:val="auto"/>
              </w:rPr>
            </w:pPr>
            <w:r>
              <w:rPr>
                <w:rFonts w:ascii="Arial" w:cs="Arial" w:eastAsia="Arial" w:hAnsi="Arial"/>
                <w:sz w:val="18"/>
                <w:szCs w:val="18"/>
                <w:color w:val="auto"/>
              </w:rPr>
              <w:t>(331,342)</w:t>
            </w:r>
          </w:p>
        </w:tc>
        <w:tc>
          <w:tcPr>
            <w:tcW w:w="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13.09</w:t>
            </w:r>
          </w:p>
        </w:tc>
        <w:tc>
          <w:tcPr>
            <w:tcW w:w="18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9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5540" w:type="dxa"/>
            <w:vAlign w:val="bottom"/>
            <w:shd w:val="clear" w:color="auto" w:fill="CFF0FC"/>
          </w:tcPr>
          <w:p>
            <w:pPr>
              <w:ind w:left="240"/>
              <w:spacing w:after="0"/>
              <w:rPr>
                <w:sz w:val="20"/>
                <w:szCs w:val="20"/>
                <w:color w:val="auto"/>
              </w:rPr>
            </w:pPr>
            <w:r>
              <w:rPr>
                <w:rFonts w:ascii="Arial" w:cs="Arial" w:eastAsia="Arial" w:hAnsi="Arial"/>
                <w:sz w:val="18"/>
                <w:szCs w:val="18"/>
                <w:color w:val="auto"/>
              </w:rPr>
              <w:t>Forfeited</w:t>
            </w:r>
          </w:p>
        </w:tc>
        <w:tc>
          <w:tcPr>
            <w:tcW w:w="1120" w:type="dxa"/>
            <w:vAlign w:val="bottom"/>
            <w:gridSpan w:val="2"/>
            <w:shd w:val="clear" w:color="auto" w:fill="CFF0FC"/>
          </w:tcPr>
          <w:p>
            <w:pPr>
              <w:jc w:val="right"/>
              <w:ind w:right="40"/>
              <w:spacing w:after="0"/>
              <w:rPr>
                <w:sz w:val="20"/>
                <w:szCs w:val="20"/>
                <w:color w:val="auto"/>
              </w:rPr>
            </w:pPr>
            <w:r>
              <w:rPr>
                <w:rFonts w:ascii="Arial" w:cs="Arial" w:eastAsia="Arial" w:hAnsi="Arial"/>
                <w:sz w:val="18"/>
                <w:szCs w:val="18"/>
                <w:color w:val="auto"/>
              </w:rPr>
              <w:t>(3,009)</w:t>
            </w:r>
          </w:p>
        </w:tc>
        <w:tc>
          <w:tcPr>
            <w:tcW w:w="6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9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15.74</w:t>
            </w:r>
          </w:p>
        </w:tc>
        <w:tc>
          <w:tcPr>
            <w:tcW w:w="180" w:type="dxa"/>
            <w:vAlign w:val="bottom"/>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94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5560" w:type="dxa"/>
            <w:vAlign w:val="bottom"/>
            <w:gridSpan w:val="2"/>
          </w:tcPr>
          <w:p>
            <w:pPr>
              <w:spacing w:after="0"/>
              <w:rPr>
                <w:sz w:val="20"/>
                <w:szCs w:val="20"/>
                <w:color w:val="auto"/>
              </w:rPr>
            </w:pPr>
            <w:r>
              <w:rPr>
                <w:rFonts w:ascii="Arial" w:cs="Arial" w:eastAsia="Arial" w:hAnsi="Arial"/>
                <w:sz w:val="18"/>
                <w:szCs w:val="18"/>
                <w:color w:val="auto"/>
              </w:rPr>
              <w:t>Nonvested RSUs at March 31, 2015</w:t>
            </w:r>
          </w:p>
        </w:tc>
        <w:tc>
          <w:tcPr>
            <w:tcW w:w="10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2,059,849</w:t>
            </w:r>
          </w:p>
        </w:tc>
        <w:tc>
          <w:tcPr>
            <w:tcW w:w="10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12.54</w:t>
            </w:r>
          </w:p>
        </w:tc>
        <w:tc>
          <w:tcPr>
            <w:tcW w:w="18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31,783</w:t>
            </w:r>
          </w:p>
        </w:tc>
        <w:tc>
          <w:tcPr>
            <w:tcW w:w="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5540" w:type="dxa"/>
            <w:vAlign w:val="bottom"/>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9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9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61" w:lineRule="exact"/>
        <w:rPr>
          <w:sz w:val="20"/>
          <w:szCs w:val="20"/>
          <w:color w:val="auto"/>
        </w:rPr>
      </w:pPr>
    </w:p>
    <w:p>
      <w:pPr>
        <w:ind w:right="80" w:firstLine="518"/>
        <w:spacing w:after="0" w:line="259" w:lineRule="auto"/>
        <w:rPr>
          <w:sz w:val="20"/>
          <w:szCs w:val="20"/>
          <w:color w:val="auto"/>
        </w:rPr>
      </w:pPr>
      <w:r>
        <w:rPr>
          <w:rFonts w:ascii="Arial" w:cs="Arial" w:eastAsia="Arial" w:hAnsi="Arial"/>
          <w:sz w:val="18"/>
          <w:szCs w:val="18"/>
          <w:color w:val="auto"/>
        </w:rPr>
        <w:t>On March 5, 2015, the Company granted an aggregate of 440,800 restricted stock units to employees and officers. The restricted stock units granted vest annually on the anniversary of the grant date over a three year period. The fair value of each restricted stock award granted on March 5, 2015 was measured using a price of $14.97 per share, which was the closing stock price on the date of grant. Each award will be expensed on a straight-line basis over the vesting period.</w:t>
      </w:r>
    </w:p>
    <w:p>
      <w:pPr>
        <w:spacing w:after="0" w:line="187" w:lineRule="exact"/>
        <w:rPr>
          <w:sz w:val="20"/>
          <w:szCs w:val="20"/>
          <w:color w:val="auto"/>
        </w:rPr>
      </w:pPr>
    </w:p>
    <w:p>
      <w:pPr>
        <w:ind w:firstLine="518"/>
        <w:spacing w:after="0" w:line="253" w:lineRule="auto"/>
        <w:rPr>
          <w:sz w:val="20"/>
          <w:szCs w:val="20"/>
          <w:color w:val="auto"/>
        </w:rPr>
      </w:pPr>
      <w:r>
        <w:rPr>
          <w:rFonts w:ascii="Arial" w:cs="Arial" w:eastAsia="Arial" w:hAnsi="Arial"/>
          <w:sz w:val="18"/>
          <w:szCs w:val="18"/>
          <w:color w:val="auto"/>
        </w:rPr>
        <w:t>On March 9, 2015, the Company granted 411,804, 384,351, and 274,536 performance-based RSUs to the Company’s Chief Executive Officer, President, and Chief Financial Officer, respectively, with 1/3 of the performance-based RSU amounts being allocated to each of the three following separate performance goals: total shareholder return (compared to a group of similarly sized homebuilders); earnings per share; and stock price. The performance-based restricted stock units granted will vest in each case, if at all, based on the percentage of attainment of the applicable performance goal. The performance periods for the performance-based RSUs with vesting based on total shareholder return and earnings per share are January 1, 2015 to December 31, 2017. The performance period for the performance-based RSUs with vesting based on stock price is January 1, 2016 to December 31, 2017. The fair value of the performance-based RSUs related to the total shareholder return and stock price performance goals was determined to be $7.55 and $7.90 per share, respectively, based on a Monte Carlo simulation. The fair value of the performance-based RSUs related to the earnings per share goal was measured using a price of $14.57 per share, which was the closing stock price on the date of grant. Each grant will be expensed on a straight-line basis over the expected vesting period.</w:t>
      </w:r>
    </w:p>
    <w:p>
      <w:pPr>
        <w:spacing w:after="0" w:line="195" w:lineRule="exact"/>
        <w:rPr>
          <w:sz w:val="20"/>
          <w:szCs w:val="20"/>
          <w:color w:val="auto"/>
        </w:rPr>
      </w:pPr>
    </w:p>
    <w:p>
      <w:pPr>
        <w:ind w:right="20" w:firstLine="518"/>
        <w:spacing w:after="0" w:line="277" w:lineRule="auto"/>
        <w:rPr>
          <w:sz w:val="20"/>
          <w:szCs w:val="20"/>
          <w:color w:val="auto"/>
        </w:rPr>
      </w:pPr>
      <w:r>
        <w:rPr>
          <w:rFonts w:ascii="Arial" w:cs="Arial" w:eastAsia="Arial" w:hAnsi="Arial"/>
          <w:sz w:val="18"/>
          <w:szCs w:val="18"/>
          <w:color w:val="auto"/>
        </w:rPr>
        <w:t>As restricted stock units vest, a portion of the shares awarded is generally withheld to cover employee taxes. As a result, the number of restricted stock units vested and the number of shares of TRI Pointe common stock issued will differ.</w:t>
      </w:r>
    </w:p>
    <w:p>
      <w:pPr>
        <w:spacing w:after="0" w:line="356" w:lineRule="exact"/>
        <w:rPr>
          <w:sz w:val="20"/>
          <w:szCs w:val="20"/>
          <w:color w:val="auto"/>
        </w:rPr>
      </w:pPr>
    </w:p>
    <w:p>
      <w:pPr>
        <w:ind w:left="540" w:hanging="532"/>
        <w:spacing w:after="0"/>
        <w:tabs>
          <w:tab w:leader="none" w:pos="540" w:val="left"/>
        </w:tabs>
        <w:numPr>
          <w:ilvl w:val="0"/>
          <w:numId w:val="18"/>
        </w:numPr>
        <w:rPr>
          <w:rFonts w:ascii="Arial" w:cs="Arial" w:eastAsia="Arial" w:hAnsi="Arial"/>
          <w:sz w:val="18"/>
          <w:szCs w:val="18"/>
          <w:b w:val="1"/>
          <w:bCs w:val="1"/>
          <w:color w:val="auto"/>
        </w:rPr>
      </w:pPr>
      <w:r>
        <w:rPr>
          <w:rFonts w:ascii="Arial" w:cs="Arial" w:eastAsia="Arial" w:hAnsi="Arial"/>
          <w:sz w:val="18"/>
          <w:szCs w:val="18"/>
          <w:b w:val="1"/>
          <w:bCs w:val="1"/>
          <w:color w:val="auto"/>
        </w:rPr>
        <w:t>Income Taxes</w:t>
      </w:r>
    </w:p>
    <w:p>
      <w:pPr>
        <w:spacing w:after="0" w:line="121" w:lineRule="exact"/>
        <w:rPr>
          <w:sz w:val="20"/>
          <w:szCs w:val="20"/>
          <w:color w:val="auto"/>
        </w:rPr>
      </w:pPr>
    </w:p>
    <w:p>
      <w:pPr>
        <w:ind w:right="220" w:firstLine="518"/>
        <w:spacing w:after="0" w:line="293" w:lineRule="auto"/>
        <w:rPr>
          <w:sz w:val="20"/>
          <w:szCs w:val="20"/>
          <w:color w:val="auto"/>
        </w:rPr>
      </w:pPr>
      <w:r>
        <w:rPr>
          <w:rFonts w:ascii="Arial" w:cs="Arial" w:eastAsia="Arial" w:hAnsi="Arial"/>
          <w:sz w:val="16"/>
          <w:szCs w:val="16"/>
          <w:color w:val="auto"/>
        </w:rPr>
        <w:t xml:space="preserve">The Company accounts for income taxes in accordance with ASC Topic 740, </w:t>
      </w:r>
      <w:r>
        <w:rPr>
          <w:rFonts w:ascii="Arial" w:cs="Arial" w:eastAsia="Arial" w:hAnsi="Arial"/>
          <w:sz w:val="16"/>
          <w:szCs w:val="16"/>
          <w:i w:val="1"/>
          <w:iCs w:val="1"/>
          <w:color w:val="auto"/>
        </w:rPr>
        <w:t>Income Taxes</w:t>
      </w:r>
      <w:r>
        <w:rPr>
          <w:rFonts w:ascii="Arial" w:cs="Arial" w:eastAsia="Arial" w:hAnsi="Arial"/>
          <w:sz w:val="16"/>
          <w:szCs w:val="16"/>
          <w:color w:val="auto"/>
        </w:rPr>
        <w:t xml:space="preserve"> (“ASC 740”), which requires an asset and liability approach for measuring deferred taxes based on temporary differences between the financial statements and tax bases of assets and liabilities using enacted tax rates for the years in which taxes are expected to be paid or recovered. Each quarter we assess our deferred tax asset to determine whether all or any portion of the asset is more likely than not unrealizable under ASC 740. We are required to establish a valuation allowance for any portion of the asset we conclude is more likely than not to be unrealizable. Our assessment considers, among other things, the nature, frequency and severity of our current and cumulative losses, forecasts of our future taxable income, the duration of statutory carryforward periods and tax planning alternatives.</w:t>
      </w:r>
    </w:p>
    <w:p>
      <w:pPr>
        <w:spacing w:after="0" w:line="165" w:lineRule="exact"/>
        <w:rPr>
          <w:sz w:val="20"/>
          <w:szCs w:val="20"/>
          <w:color w:val="auto"/>
        </w:rPr>
      </w:pPr>
    </w:p>
    <w:p>
      <w:pPr>
        <w:ind w:right="60" w:firstLine="518"/>
        <w:spacing w:after="0" w:line="290" w:lineRule="auto"/>
        <w:rPr>
          <w:sz w:val="20"/>
          <w:szCs w:val="20"/>
          <w:color w:val="auto"/>
        </w:rPr>
      </w:pPr>
      <w:r>
        <w:rPr>
          <w:rFonts w:ascii="Arial" w:cs="Arial" w:eastAsia="Arial" w:hAnsi="Arial"/>
          <w:sz w:val="16"/>
          <w:szCs w:val="16"/>
          <w:color w:val="auto"/>
        </w:rPr>
        <w:t>We had net deferred tax assets of $155.8 million and $157.8 million as of March 31, 2015 and December 31, 2014, respectively. We had a valuation allowance related to those net deferred tax assets of $4.6 million and $6.2 million as of March 31, 2015 and December 31, 2014, respectively. The Company will continue to evaluate both positive and negative evidence in determining the need for a valuation allowance against its deferred tax assets. Changes in positive and negative evidence, including differences between the Company's future operating results and the estimates utilized in the determination of the valuation allowance, could result in changes in the Company's estimate of the valuation allowance against its deferred tax assets. The accounting for deferred taxes is based upon estimates of future results. Differences between the anticipated and actual outcomes of these future results could have a material impact on the Company's consolidated results of operations or financial position. Also, changes in existing federal and state tax laws and tax rates could affect future tax results and the valuation allowance against the Company's deferred tax assets.</w:t>
      </w:r>
    </w:p>
    <w:p>
      <w:pPr>
        <w:spacing w:after="0" w:line="200" w:lineRule="exact"/>
        <w:rPr>
          <w:sz w:val="20"/>
          <w:szCs w:val="20"/>
          <w:color w:val="auto"/>
        </w:rPr>
      </w:pPr>
    </w:p>
    <w:p>
      <w:pPr>
        <w:spacing w:after="0" w:line="20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- 22 -</w:t>
      </w:r>
    </w:p>
    <w:p>
      <w:pPr>
        <w:sectPr>
          <w:pgSz w:w="11900" w:h="16838" w:orient="portrait"/>
          <w:cols w:equalWidth="0" w:num="1">
            <w:col w:w="11400"/>
          </w:cols>
          <w:pgMar w:left="240" w:top="301" w:right="259" w:bottom="1440" w:gutter="0" w:footer="0" w:header="0"/>
        </w:sectPr>
      </w:pPr>
    </w:p>
    <w:bookmarkStart w:id="22" w:name="page23"/>
    <w:bookmarkEnd w:id="22"/>
    <w:p>
      <w:pPr>
        <w:ind w:firstLine="518"/>
        <w:spacing w:after="0" w:line="259" w:lineRule="auto"/>
        <w:rPr>
          <w:sz w:val="20"/>
          <w:szCs w:val="20"/>
          <w:color w:val="auto"/>
        </w:rPr>
      </w:pPr>
      <w:r>
        <w:rPr>
          <w:rFonts w:ascii="Arial" w:cs="Arial" w:eastAsia="Arial" w:hAnsi="Arial"/>
          <w:sz w:val="18"/>
          <w:szCs w:val="18"/>
          <w:color w:val="auto"/>
        </w:rPr>
        <w:t>Our provision for income taxes totaled $7.8 million and $4.5 million for the three months ended March 31, 2015 and 2014, respectively. The Company classifies any interest and penalties related to income taxes assessed by jurisdiction as part of income tax expense. The Company had $14.7 million and $13.8 million of liabilities for uncertain tax positions recorded as of March 31 2015 and December 31, 2014. The Company has not been assessed interest or penalties by any major tax jurisdictions related to prior years.</w:t>
      </w:r>
    </w:p>
    <w:p>
      <w:pPr>
        <w:spacing w:after="0" w:line="372" w:lineRule="exact"/>
        <w:rPr>
          <w:sz w:val="20"/>
          <w:szCs w:val="20"/>
          <w:color w:val="auto"/>
        </w:rPr>
      </w:pPr>
    </w:p>
    <w:p>
      <w:pPr>
        <w:ind w:left="540" w:hanging="532"/>
        <w:spacing w:after="0"/>
        <w:tabs>
          <w:tab w:leader="none" w:pos="540" w:val="left"/>
        </w:tabs>
        <w:numPr>
          <w:ilvl w:val="0"/>
          <w:numId w:val="19"/>
        </w:numPr>
        <w:rPr>
          <w:rFonts w:ascii="Arial" w:cs="Arial" w:eastAsia="Arial" w:hAnsi="Arial"/>
          <w:sz w:val="18"/>
          <w:szCs w:val="18"/>
          <w:b w:val="1"/>
          <w:bCs w:val="1"/>
          <w:color w:val="auto"/>
        </w:rPr>
      </w:pPr>
      <w:r>
        <w:rPr>
          <w:rFonts w:ascii="Arial" w:cs="Arial" w:eastAsia="Arial" w:hAnsi="Arial"/>
          <w:sz w:val="18"/>
          <w:szCs w:val="18"/>
          <w:b w:val="1"/>
          <w:bCs w:val="1"/>
          <w:color w:val="auto"/>
        </w:rPr>
        <w:t>Related Party Transactions</w:t>
      </w:r>
    </w:p>
    <w:p>
      <w:pPr>
        <w:spacing w:after="0" w:line="121" w:lineRule="exact"/>
        <w:rPr>
          <w:sz w:val="20"/>
          <w:szCs w:val="20"/>
          <w:color w:val="auto"/>
        </w:rPr>
      </w:pPr>
    </w:p>
    <w:p>
      <w:pPr>
        <w:ind w:right="120" w:firstLine="518"/>
        <w:spacing w:after="0" w:line="257" w:lineRule="auto"/>
        <w:rPr>
          <w:sz w:val="20"/>
          <w:szCs w:val="20"/>
          <w:color w:val="auto"/>
        </w:rPr>
      </w:pPr>
      <w:r>
        <w:rPr>
          <w:rFonts w:ascii="Arial" w:cs="Arial" w:eastAsia="Arial" w:hAnsi="Arial"/>
          <w:sz w:val="18"/>
          <w:szCs w:val="18"/>
          <w:color w:val="auto"/>
        </w:rPr>
        <w:t>Prior to the Merger, WRECO was a wholly owned subsidiary of Weyerhaeuser. Weyerhaeuser provided certain services including payroll processing and related employee benefits, other corporate services such as corporate governance, cash management and other treasury services, administrative services such as government relations, tax, internal audit, legal, accounting, human resources and equity-based compensation plan administration, lease of office space, aviation services and insurance coverage. WRECO was allocated a portion of Weyerhaeuser corporate general and administrative costs on either a proportional cost or usage basis.</w:t>
      </w:r>
    </w:p>
    <w:p>
      <w:pPr>
        <w:spacing w:after="0" w:line="188" w:lineRule="exact"/>
        <w:rPr>
          <w:sz w:val="20"/>
          <w:szCs w:val="20"/>
          <w:color w:val="auto"/>
        </w:rPr>
      </w:pPr>
    </w:p>
    <w:p>
      <w:pPr>
        <w:ind w:left="520"/>
        <w:spacing w:after="0"/>
        <w:rPr>
          <w:sz w:val="20"/>
          <w:szCs w:val="20"/>
          <w:color w:val="auto"/>
        </w:rPr>
      </w:pPr>
      <w:r>
        <w:rPr>
          <w:rFonts w:ascii="Arial" w:cs="Arial" w:eastAsia="Arial" w:hAnsi="Arial"/>
          <w:sz w:val="18"/>
          <w:szCs w:val="18"/>
          <w:color w:val="auto"/>
        </w:rPr>
        <w:t>Weyerhaeuser-allocated corporate general and administrative expenses were as follows (in thousands):</w:t>
      </w:r>
    </w:p>
    <w:p>
      <w:pPr>
        <w:spacing w:after="0" w:line="230" w:lineRule="exact"/>
        <w:rPr>
          <w:sz w:val="20"/>
          <w:szCs w:val="20"/>
          <w:color w:val="auto"/>
        </w:rPr>
      </w:pPr>
    </w:p>
    <w:tbl>
      <w:tblPr>
        <w:tblLayout w:type="fixed"/>
        <w:tblInd w:w="1720" w:type="dxa"/>
        <w:tblCellMar>
          <w:top w:w="0" w:type="dxa"/>
          <w:left w:w="0" w:type="dxa"/>
          <w:bottom w:w="0" w:type="dxa"/>
          <w:right w:w="0" w:type="dxa"/>
        </w:tblCellMar>
      </w:tblPr>
      <w:tr>
        <w:trPr>
          <w:trHeight w:val="171"/>
        </w:trPr>
        <w:tc>
          <w:tcPr>
            <w:tcW w:w="5560" w:type="dxa"/>
            <w:vAlign w:val="bottom"/>
          </w:tcPr>
          <w:p>
            <w:pPr>
              <w:spacing w:after="0"/>
              <w:rPr>
                <w:sz w:val="14"/>
                <w:szCs w:val="14"/>
                <w:color w:val="auto"/>
              </w:rPr>
            </w:pPr>
          </w:p>
        </w:tc>
        <w:tc>
          <w:tcPr>
            <w:tcW w:w="2420" w:type="dxa"/>
            <w:vAlign w:val="bottom"/>
            <w:gridSpan w:val="6"/>
          </w:tcPr>
          <w:p>
            <w:pPr>
              <w:ind w:left="180"/>
              <w:spacing w:after="0"/>
              <w:rPr>
                <w:sz w:val="20"/>
                <w:szCs w:val="20"/>
                <w:color w:val="auto"/>
              </w:rPr>
            </w:pPr>
            <w:r>
              <w:rPr>
                <w:rFonts w:ascii="Arial" w:cs="Arial" w:eastAsia="Arial" w:hAnsi="Arial"/>
                <w:sz w:val="14"/>
                <w:szCs w:val="14"/>
                <w:b w:val="1"/>
                <w:bCs w:val="1"/>
                <w:color w:val="auto"/>
              </w:rPr>
              <w:t>Three Months Ended March 31,</w:t>
            </w:r>
          </w:p>
        </w:tc>
      </w:tr>
      <w:tr>
        <w:trPr>
          <w:trHeight w:val="156"/>
        </w:trPr>
        <w:tc>
          <w:tcPr>
            <w:tcW w:w="5560" w:type="dxa"/>
            <w:vAlign w:val="bottom"/>
            <w:tcBorders>
              <w:bottom w:val="single" w:sz="8" w:color="CFF0FC"/>
            </w:tcBorders>
          </w:tcPr>
          <w:p>
            <w:pPr>
              <w:spacing w:after="0"/>
              <w:rPr>
                <w:sz w:val="13"/>
                <w:szCs w:val="13"/>
                <w:color w:val="auto"/>
              </w:rPr>
            </w:pPr>
          </w:p>
        </w:tc>
        <w:tc>
          <w:tcPr>
            <w:tcW w:w="820" w:type="dxa"/>
            <w:vAlign w:val="bottom"/>
            <w:tcBorders>
              <w:top w:val="single" w:sz="8" w:color="auto"/>
              <w:bottom w:val="single" w:sz="8" w:color="auto"/>
            </w:tcBorders>
          </w:tcPr>
          <w:p>
            <w:pPr>
              <w:jc w:val="right"/>
              <w:ind w:right="2"/>
              <w:spacing w:after="0" w:line="155" w:lineRule="exact"/>
              <w:rPr>
                <w:sz w:val="20"/>
                <w:szCs w:val="20"/>
                <w:color w:val="auto"/>
              </w:rPr>
            </w:pPr>
            <w:r>
              <w:rPr>
                <w:rFonts w:ascii="Arial" w:cs="Arial" w:eastAsia="Arial" w:hAnsi="Arial"/>
                <w:sz w:val="14"/>
                <w:szCs w:val="14"/>
                <w:b w:val="1"/>
                <w:bCs w:val="1"/>
                <w:color w:val="auto"/>
              </w:rPr>
              <w:t>2015</w:t>
            </w:r>
          </w:p>
        </w:tc>
        <w:tc>
          <w:tcPr>
            <w:tcW w:w="280" w:type="dxa"/>
            <w:vAlign w:val="bottom"/>
            <w:tcBorders>
              <w:top w:val="single" w:sz="8" w:color="auto"/>
              <w:bottom w:val="single" w:sz="8" w:color="auto"/>
            </w:tcBorders>
          </w:tcPr>
          <w:p>
            <w:pPr>
              <w:spacing w:after="0"/>
              <w:rPr>
                <w:sz w:val="13"/>
                <w:szCs w:val="13"/>
                <w:color w:val="auto"/>
              </w:rPr>
            </w:pPr>
          </w:p>
        </w:tc>
        <w:tc>
          <w:tcPr>
            <w:tcW w:w="140" w:type="dxa"/>
            <w:vAlign w:val="bottom"/>
            <w:tcBorders>
              <w:top w:val="single" w:sz="8" w:color="auto"/>
              <w:bottom w:val="single" w:sz="8" w:color="CFF0FC"/>
            </w:tcBorders>
          </w:tcPr>
          <w:p>
            <w:pPr>
              <w:spacing w:after="0"/>
              <w:rPr>
                <w:sz w:val="13"/>
                <w:szCs w:val="13"/>
                <w:color w:val="auto"/>
              </w:rPr>
            </w:pPr>
          </w:p>
        </w:tc>
        <w:tc>
          <w:tcPr>
            <w:tcW w:w="260" w:type="dxa"/>
            <w:vAlign w:val="bottom"/>
            <w:tcBorders>
              <w:top w:val="single" w:sz="8" w:color="auto"/>
              <w:bottom w:val="single" w:sz="8" w:color="auto"/>
            </w:tcBorders>
          </w:tcPr>
          <w:p>
            <w:pPr>
              <w:spacing w:after="0"/>
              <w:rPr>
                <w:sz w:val="13"/>
                <w:szCs w:val="13"/>
                <w:color w:val="auto"/>
              </w:rPr>
            </w:pPr>
          </w:p>
        </w:tc>
        <w:tc>
          <w:tcPr>
            <w:tcW w:w="840" w:type="dxa"/>
            <w:vAlign w:val="bottom"/>
            <w:tcBorders>
              <w:top w:val="single" w:sz="8" w:color="auto"/>
              <w:bottom w:val="single" w:sz="8" w:color="auto"/>
            </w:tcBorders>
          </w:tcPr>
          <w:p>
            <w:pPr>
              <w:jc w:val="right"/>
              <w:ind w:right="279"/>
              <w:spacing w:after="0" w:line="155" w:lineRule="exact"/>
              <w:rPr>
                <w:sz w:val="20"/>
                <w:szCs w:val="20"/>
                <w:color w:val="auto"/>
              </w:rPr>
            </w:pPr>
            <w:r>
              <w:rPr>
                <w:rFonts w:ascii="Arial" w:cs="Arial" w:eastAsia="Arial" w:hAnsi="Arial"/>
                <w:sz w:val="14"/>
                <w:szCs w:val="14"/>
                <w:b w:val="1"/>
                <w:bCs w:val="1"/>
                <w:color w:val="auto"/>
              </w:rPr>
              <w:t>2014</w:t>
            </w:r>
          </w:p>
        </w:tc>
        <w:tc>
          <w:tcPr>
            <w:tcW w:w="80" w:type="dxa"/>
            <w:vAlign w:val="bottom"/>
            <w:tcBorders>
              <w:bottom w:val="single" w:sz="8" w:color="CFF0FC"/>
            </w:tcBorders>
          </w:tcPr>
          <w:p>
            <w:pPr>
              <w:spacing w:after="0"/>
              <w:rPr>
                <w:sz w:val="13"/>
                <w:szCs w:val="13"/>
                <w:color w:val="auto"/>
              </w:rPr>
            </w:pPr>
          </w:p>
        </w:tc>
      </w:tr>
      <w:tr>
        <w:trPr>
          <w:trHeight w:val="223"/>
        </w:trPr>
        <w:tc>
          <w:tcPr>
            <w:tcW w:w="5560" w:type="dxa"/>
            <w:vAlign w:val="bottom"/>
            <w:shd w:val="clear" w:color="auto" w:fill="CFF0FC"/>
          </w:tcPr>
          <w:p>
            <w:pPr>
              <w:spacing w:after="0"/>
              <w:rPr>
                <w:sz w:val="20"/>
                <w:szCs w:val="20"/>
                <w:color w:val="auto"/>
              </w:rPr>
            </w:pPr>
            <w:r>
              <w:rPr>
                <w:rFonts w:ascii="Arial" w:cs="Arial" w:eastAsia="Arial" w:hAnsi="Arial"/>
                <w:sz w:val="18"/>
                <w:szCs w:val="18"/>
                <w:color w:val="auto"/>
              </w:rPr>
              <w:t>Weyerhaeuser-allocated costs</w:t>
            </w:r>
          </w:p>
        </w:tc>
        <w:tc>
          <w:tcPr>
            <w:tcW w:w="820" w:type="dxa"/>
            <w:vAlign w:val="bottom"/>
            <w:shd w:val="clear" w:color="auto" w:fill="CFF0FC"/>
          </w:tcPr>
          <w:p>
            <w:pPr>
              <w:jc w:val="right"/>
              <w:ind w:right="642"/>
              <w:spacing w:after="0"/>
              <w:rPr>
                <w:sz w:val="20"/>
                <w:szCs w:val="20"/>
                <w:color w:val="auto"/>
              </w:rPr>
            </w:pPr>
            <w:r>
              <w:rPr>
                <w:rFonts w:ascii="Arial" w:cs="Arial" w:eastAsia="Arial" w:hAnsi="Arial"/>
                <w:sz w:val="18"/>
                <w:szCs w:val="18"/>
                <w:color w:val="auto"/>
                <w:w w:val="79"/>
              </w:rPr>
              <w:t>$</w:t>
            </w:r>
          </w:p>
        </w:tc>
        <w:tc>
          <w:tcPr>
            <w:tcW w:w="280" w:type="dxa"/>
            <w:vAlign w:val="bottom"/>
            <w:shd w:val="clear" w:color="auto" w:fill="CFF0FC"/>
          </w:tcPr>
          <w:p>
            <w:pPr>
              <w:ind w:left="80"/>
              <w:spacing w:after="0"/>
              <w:rPr>
                <w:sz w:val="20"/>
                <w:szCs w:val="20"/>
                <w:color w:val="auto"/>
              </w:rPr>
            </w:pPr>
            <w:r>
              <w:rPr>
                <w:rFonts w:ascii="Arial" w:cs="Arial" w:eastAsia="Arial" w:hAnsi="Arial"/>
                <w:sz w:val="18"/>
                <w:szCs w:val="18"/>
                <w:color w:val="auto"/>
                <w:w w:val="99"/>
              </w:rPr>
              <w:t>—</w:t>
            </w:r>
          </w:p>
        </w:tc>
        <w:tc>
          <w:tcPr>
            <w:tcW w:w="140" w:type="dxa"/>
            <w:vAlign w:val="bottom"/>
            <w:shd w:val="clear" w:color="auto" w:fill="CFF0FC"/>
          </w:tcPr>
          <w:p>
            <w:pPr>
              <w:spacing w:after="0"/>
              <w:rPr>
                <w:sz w:val="19"/>
                <w:szCs w:val="19"/>
                <w:color w:val="auto"/>
              </w:rPr>
            </w:pPr>
          </w:p>
        </w:tc>
        <w:tc>
          <w:tcPr>
            <w:tcW w:w="260" w:type="dxa"/>
            <w:vAlign w:val="bottom"/>
            <w:shd w:val="clear" w:color="auto" w:fill="CFF0FC"/>
          </w:tcPr>
          <w:p>
            <w:pPr>
              <w:jc w:val="right"/>
              <w:ind w:right="105"/>
              <w:spacing w:after="0"/>
              <w:rPr>
                <w:sz w:val="20"/>
                <w:szCs w:val="20"/>
                <w:color w:val="auto"/>
              </w:rPr>
            </w:pPr>
            <w:r>
              <w:rPr>
                <w:rFonts w:ascii="Arial" w:cs="Arial" w:eastAsia="Arial" w:hAnsi="Arial"/>
                <w:sz w:val="15"/>
                <w:szCs w:val="15"/>
                <w:color w:val="auto"/>
                <w:w w:val="71"/>
              </w:rPr>
              <w:t>$</w:t>
            </w:r>
          </w:p>
        </w:tc>
        <w:tc>
          <w:tcPr>
            <w:tcW w:w="8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5,547</w:t>
            </w:r>
          </w:p>
        </w:tc>
        <w:tc>
          <w:tcPr>
            <w:tcW w:w="80" w:type="dxa"/>
            <w:vAlign w:val="bottom"/>
            <w:shd w:val="clear" w:color="auto" w:fill="CFF0FC"/>
          </w:tcPr>
          <w:p>
            <w:pPr>
              <w:spacing w:after="0"/>
              <w:rPr>
                <w:sz w:val="19"/>
                <w:szCs w:val="19"/>
                <w:color w:val="auto"/>
              </w:rPr>
            </w:pPr>
          </w:p>
        </w:tc>
      </w:tr>
    </w:tbl>
    <w:p>
      <w:pPr>
        <w:spacing w:after="0" w:line="202" w:lineRule="exact"/>
        <w:rPr>
          <w:sz w:val="20"/>
          <w:szCs w:val="20"/>
          <w:color w:val="auto"/>
        </w:rPr>
      </w:pPr>
    </w:p>
    <w:p>
      <w:pPr>
        <w:ind w:right="380" w:firstLine="518"/>
        <w:spacing w:after="0" w:line="277" w:lineRule="auto"/>
        <w:rPr>
          <w:sz w:val="20"/>
          <w:szCs w:val="20"/>
          <w:color w:val="auto"/>
        </w:rPr>
      </w:pPr>
      <w:r>
        <w:rPr>
          <w:rFonts w:ascii="Arial" w:cs="Arial" w:eastAsia="Arial" w:hAnsi="Arial"/>
          <w:sz w:val="18"/>
          <w:szCs w:val="18"/>
          <w:color w:val="auto"/>
        </w:rPr>
        <w:t>These expenses are not indicative of the actual level of expense WRECO would have incurred if it had operated as an independent company or of expenses expected to be incurred in the future after the Closing Date.</w:t>
      </w:r>
    </w:p>
    <w:p>
      <w:pPr>
        <w:spacing w:after="0" w:line="170" w:lineRule="exact"/>
        <w:rPr>
          <w:sz w:val="20"/>
          <w:szCs w:val="20"/>
          <w:color w:val="auto"/>
        </w:rPr>
      </w:pPr>
    </w:p>
    <w:p>
      <w:pPr>
        <w:ind w:right="300" w:firstLine="518"/>
        <w:spacing w:after="0" w:line="342" w:lineRule="auto"/>
        <w:rPr>
          <w:sz w:val="20"/>
          <w:szCs w:val="20"/>
          <w:color w:val="auto"/>
        </w:rPr>
      </w:pPr>
      <w:r>
        <w:rPr>
          <w:rFonts w:ascii="Arial" w:cs="Arial" w:eastAsia="Arial" w:hAnsi="Arial"/>
          <w:sz w:val="16"/>
          <w:szCs w:val="16"/>
          <w:color w:val="auto"/>
        </w:rPr>
        <w:t>TRI Pointe has certain liabilities with Weyerhaeuser related to a tax sharing agreement. As of March 31, 2015 and December 31, 2014, we had an income tax liability to Weyerhaeuser of $15.7 million which is recorded in accrued expenses and other liabilities on the accompanying balance sheet.</w:t>
      </w:r>
    </w:p>
    <w:p>
      <w:pPr>
        <w:spacing w:after="0" w:line="309" w:lineRule="exact"/>
        <w:rPr>
          <w:sz w:val="20"/>
          <w:szCs w:val="20"/>
          <w:color w:val="auto"/>
        </w:rPr>
      </w:pPr>
    </w:p>
    <w:p>
      <w:pPr>
        <w:ind w:left="540" w:hanging="532"/>
        <w:spacing w:after="0"/>
        <w:tabs>
          <w:tab w:leader="none" w:pos="540" w:val="left"/>
        </w:tabs>
        <w:numPr>
          <w:ilvl w:val="0"/>
          <w:numId w:val="20"/>
        </w:numPr>
        <w:rPr>
          <w:rFonts w:ascii="Arial" w:cs="Arial" w:eastAsia="Arial" w:hAnsi="Arial"/>
          <w:sz w:val="18"/>
          <w:szCs w:val="18"/>
          <w:b w:val="1"/>
          <w:bCs w:val="1"/>
          <w:color w:val="auto"/>
        </w:rPr>
      </w:pPr>
      <w:r>
        <w:rPr>
          <w:rFonts w:ascii="Arial" w:cs="Arial" w:eastAsia="Arial" w:hAnsi="Arial"/>
          <w:sz w:val="18"/>
          <w:szCs w:val="18"/>
          <w:b w:val="1"/>
          <w:bCs w:val="1"/>
          <w:color w:val="auto"/>
        </w:rPr>
        <w:t>Supplemental Disclosure to Consolidated Statements of Cash Flow</w:t>
      </w:r>
    </w:p>
    <w:p>
      <w:pPr>
        <w:spacing w:after="0" w:line="121" w:lineRule="exact"/>
        <w:rPr>
          <w:rFonts w:ascii="Arial" w:cs="Arial" w:eastAsia="Arial" w:hAnsi="Arial"/>
          <w:sz w:val="18"/>
          <w:szCs w:val="18"/>
          <w:b w:val="1"/>
          <w:bCs w:val="1"/>
          <w:color w:val="auto"/>
        </w:rPr>
      </w:pPr>
    </w:p>
    <w:p>
      <w:pPr>
        <w:ind w:left="520"/>
        <w:spacing w:after="0"/>
        <w:rPr>
          <w:rFonts w:ascii="Arial" w:cs="Arial" w:eastAsia="Arial" w:hAnsi="Arial"/>
          <w:sz w:val="18"/>
          <w:szCs w:val="18"/>
          <w:b w:val="1"/>
          <w:bCs w:val="1"/>
          <w:color w:val="auto"/>
        </w:rPr>
      </w:pPr>
      <w:r>
        <w:rPr>
          <w:rFonts w:ascii="Arial" w:cs="Arial" w:eastAsia="Arial" w:hAnsi="Arial"/>
          <w:sz w:val="18"/>
          <w:szCs w:val="18"/>
          <w:color w:val="auto"/>
        </w:rPr>
        <w:t>The following are supplemental disclosures to the consolidated statements of cash flows (in thousands):</w:t>
      </w:r>
    </w:p>
    <w:p>
      <w:pPr>
        <w:spacing w:after="0" w:line="325" w:lineRule="exact"/>
        <w:rPr>
          <w:sz w:val="20"/>
          <w:szCs w:val="20"/>
          <w:color w:val="auto"/>
        </w:rPr>
      </w:pPr>
    </w:p>
    <w:tbl>
      <w:tblPr>
        <w:tblLayout w:type="fixed"/>
        <w:tblInd w:w="1720" w:type="dxa"/>
        <w:tblCellMar>
          <w:top w:w="0" w:type="dxa"/>
          <w:left w:w="0" w:type="dxa"/>
          <w:bottom w:w="0" w:type="dxa"/>
          <w:right w:w="0" w:type="dxa"/>
        </w:tblCellMar>
      </w:tblPr>
      <w:tr>
        <w:trPr>
          <w:trHeight w:val="186"/>
        </w:trPr>
        <w:tc>
          <w:tcPr>
            <w:tcW w:w="554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2200" w:type="dxa"/>
            <w:vAlign w:val="bottom"/>
            <w:gridSpan w:val="6"/>
          </w:tcPr>
          <w:p>
            <w:pPr>
              <w:jc w:val="right"/>
              <w:ind w:right="620"/>
              <w:spacing w:after="0"/>
              <w:rPr>
                <w:sz w:val="20"/>
                <w:szCs w:val="20"/>
                <w:color w:val="auto"/>
              </w:rPr>
            </w:pPr>
            <w:r>
              <w:rPr>
                <w:rFonts w:ascii="Arial" w:cs="Arial" w:eastAsia="Arial" w:hAnsi="Arial"/>
                <w:sz w:val="14"/>
                <w:szCs w:val="14"/>
                <w:b w:val="1"/>
                <w:bCs w:val="1"/>
                <w:color w:val="auto"/>
              </w:rPr>
              <w:t>Three Months Ended</w:t>
            </w:r>
          </w:p>
        </w:tc>
      </w:tr>
      <w:tr>
        <w:trPr>
          <w:trHeight w:val="215"/>
        </w:trPr>
        <w:tc>
          <w:tcPr>
            <w:tcW w:w="5540" w:type="dxa"/>
            <w:vAlign w:val="bottom"/>
          </w:tcPr>
          <w:p>
            <w:pPr>
              <w:spacing w:after="0"/>
              <w:rPr>
                <w:sz w:val="18"/>
                <w:szCs w:val="18"/>
                <w:color w:val="auto"/>
              </w:rPr>
            </w:pPr>
          </w:p>
        </w:tc>
        <w:tc>
          <w:tcPr>
            <w:tcW w:w="240" w:type="dxa"/>
            <w:vAlign w:val="bottom"/>
            <w:tcBorders>
              <w:bottom w:val="single" w:sz="8" w:color="auto"/>
            </w:tcBorders>
          </w:tcPr>
          <w:p>
            <w:pPr>
              <w:spacing w:after="0"/>
              <w:rPr>
                <w:sz w:val="18"/>
                <w:szCs w:val="18"/>
                <w:color w:val="auto"/>
              </w:rPr>
            </w:pPr>
          </w:p>
        </w:tc>
        <w:tc>
          <w:tcPr>
            <w:tcW w:w="1320" w:type="dxa"/>
            <w:vAlign w:val="bottom"/>
            <w:tcBorders>
              <w:bottom w:val="single" w:sz="8" w:color="auto"/>
            </w:tcBorders>
            <w:gridSpan w:val="4"/>
          </w:tcPr>
          <w:p>
            <w:pPr>
              <w:jc w:val="right"/>
              <w:ind w:right="80"/>
              <w:spacing w:after="0"/>
              <w:rPr>
                <w:sz w:val="20"/>
                <w:szCs w:val="20"/>
                <w:color w:val="auto"/>
              </w:rPr>
            </w:pPr>
            <w:r>
              <w:rPr>
                <w:rFonts w:ascii="Arial" w:cs="Arial" w:eastAsia="Arial" w:hAnsi="Arial"/>
                <w:sz w:val="14"/>
                <w:szCs w:val="14"/>
                <w:b w:val="1"/>
                <w:bCs w:val="1"/>
                <w:color w:val="auto"/>
              </w:rPr>
              <w:t>March 31,</w:t>
            </w:r>
          </w:p>
        </w:tc>
        <w:tc>
          <w:tcPr>
            <w:tcW w:w="800" w:type="dxa"/>
            <w:vAlign w:val="bottom"/>
            <w:tcBorders>
              <w:bottom w:val="single" w:sz="8" w:color="auto"/>
            </w:tcBorders>
          </w:tcPr>
          <w:p>
            <w:pPr>
              <w:spacing w:after="0"/>
              <w:rPr>
                <w:sz w:val="18"/>
                <w:szCs w:val="18"/>
                <w:color w:val="auto"/>
              </w:rPr>
            </w:pPr>
          </w:p>
        </w:tc>
        <w:tc>
          <w:tcPr>
            <w:tcW w:w="80" w:type="dxa"/>
            <w:vAlign w:val="bottom"/>
          </w:tcPr>
          <w:p>
            <w:pPr>
              <w:spacing w:after="0"/>
              <w:rPr>
                <w:sz w:val="18"/>
                <w:szCs w:val="18"/>
                <w:color w:val="auto"/>
              </w:rPr>
            </w:pPr>
          </w:p>
        </w:tc>
      </w:tr>
      <w:tr>
        <w:trPr>
          <w:trHeight w:val="223"/>
        </w:trPr>
        <w:tc>
          <w:tcPr>
            <w:tcW w:w="5540" w:type="dxa"/>
            <w:vAlign w:val="bottom"/>
            <w:tcBorders>
              <w:bottom w:val="single" w:sz="8" w:color="CFF0FC"/>
            </w:tcBorders>
          </w:tcPr>
          <w:p>
            <w:pPr>
              <w:spacing w:after="0"/>
              <w:rPr>
                <w:sz w:val="19"/>
                <w:szCs w:val="19"/>
                <w:color w:val="auto"/>
              </w:rPr>
            </w:pPr>
          </w:p>
        </w:tc>
        <w:tc>
          <w:tcPr>
            <w:tcW w:w="240" w:type="dxa"/>
            <w:vAlign w:val="bottom"/>
            <w:tcBorders>
              <w:bottom w:val="single" w:sz="8" w:color="auto"/>
            </w:tcBorders>
          </w:tcPr>
          <w:p>
            <w:pPr>
              <w:spacing w:after="0"/>
              <w:rPr>
                <w:sz w:val="19"/>
                <w:szCs w:val="19"/>
                <w:color w:val="auto"/>
              </w:rPr>
            </w:pPr>
          </w:p>
        </w:tc>
        <w:tc>
          <w:tcPr>
            <w:tcW w:w="860" w:type="dxa"/>
            <w:vAlign w:val="bottom"/>
            <w:tcBorders>
              <w:bottom w:val="single" w:sz="8" w:color="auto"/>
            </w:tcBorders>
          </w:tcPr>
          <w:p>
            <w:pPr>
              <w:jc w:val="right"/>
              <w:ind w:right="336"/>
              <w:spacing w:after="0"/>
              <w:rPr>
                <w:sz w:val="20"/>
                <w:szCs w:val="20"/>
                <w:color w:val="auto"/>
              </w:rPr>
            </w:pPr>
            <w:r>
              <w:rPr>
                <w:rFonts w:ascii="Arial" w:cs="Arial" w:eastAsia="Arial" w:hAnsi="Arial"/>
                <w:sz w:val="14"/>
                <w:szCs w:val="14"/>
                <w:b w:val="1"/>
                <w:bCs w:val="1"/>
                <w:color w:val="auto"/>
              </w:rPr>
              <w:t>2015</w:t>
            </w:r>
          </w:p>
        </w:tc>
        <w:tc>
          <w:tcPr>
            <w:tcW w:w="100" w:type="dxa"/>
            <w:vAlign w:val="bottom"/>
            <w:tcBorders>
              <w:bottom w:val="single" w:sz="8" w:color="CFF0FC"/>
            </w:tcBorders>
          </w:tcPr>
          <w:p>
            <w:pPr>
              <w:spacing w:after="0"/>
              <w:rPr>
                <w:sz w:val="19"/>
                <w:szCs w:val="19"/>
                <w:color w:val="auto"/>
              </w:rPr>
            </w:pPr>
          </w:p>
        </w:tc>
        <w:tc>
          <w:tcPr>
            <w:tcW w:w="40" w:type="dxa"/>
            <w:vAlign w:val="bottom"/>
            <w:tcBorders>
              <w:bottom w:val="single" w:sz="8" w:color="CFF0FC"/>
            </w:tcBorders>
          </w:tcPr>
          <w:p>
            <w:pPr>
              <w:spacing w:after="0"/>
              <w:rPr>
                <w:sz w:val="19"/>
                <w:szCs w:val="19"/>
                <w:color w:val="auto"/>
              </w:rPr>
            </w:pPr>
          </w:p>
        </w:tc>
        <w:tc>
          <w:tcPr>
            <w:tcW w:w="320" w:type="dxa"/>
            <w:vAlign w:val="bottom"/>
            <w:tcBorders>
              <w:bottom w:val="single" w:sz="8" w:color="auto"/>
            </w:tcBorders>
          </w:tcPr>
          <w:p>
            <w:pPr>
              <w:spacing w:after="0"/>
              <w:rPr>
                <w:sz w:val="19"/>
                <w:szCs w:val="19"/>
                <w:color w:val="auto"/>
              </w:rPr>
            </w:pPr>
          </w:p>
        </w:tc>
        <w:tc>
          <w:tcPr>
            <w:tcW w:w="800" w:type="dxa"/>
            <w:vAlign w:val="bottom"/>
            <w:tcBorders>
              <w:bottom w:val="single" w:sz="8" w:color="auto"/>
            </w:tcBorders>
          </w:tcPr>
          <w:p>
            <w:pPr>
              <w:jc w:val="right"/>
              <w:ind w:right="333"/>
              <w:spacing w:after="0"/>
              <w:rPr>
                <w:sz w:val="20"/>
                <w:szCs w:val="20"/>
                <w:color w:val="auto"/>
              </w:rPr>
            </w:pPr>
            <w:r>
              <w:rPr>
                <w:rFonts w:ascii="Arial" w:cs="Arial" w:eastAsia="Arial" w:hAnsi="Arial"/>
                <w:sz w:val="14"/>
                <w:szCs w:val="14"/>
                <w:b w:val="1"/>
                <w:bCs w:val="1"/>
                <w:color w:val="auto"/>
              </w:rPr>
              <w:t>2014</w:t>
            </w:r>
          </w:p>
        </w:tc>
        <w:tc>
          <w:tcPr>
            <w:tcW w:w="80" w:type="dxa"/>
            <w:vAlign w:val="bottom"/>
            <w:tcBorders>
              <w:bottom w:val="single" w:sz="8" w:color="CFF0FC"/>
            </w:tcBorders>
          </w:tcPr>
          <w:p>
            <w:pPr>
              <w:spacing w:after="0"/>
              <w:rPr>
                <w:sz w:val="19"/>
                <w:szCs w:val="19"/>
                <w:color w:val="auto"/>
              </w:rPr>
            </w:pPr>
          </w:p>
        </w:tc>
      </w:tr>
      <w:tr>
        <w:trPr>
          <w:trHeight w:val="223"/>
        </w:trPr>
        <w:tc>
          <w:tcPr>
            <w:tcW w:w="5540" w:type="dxa"/>
            <w:vAlign w:val="bottom"/>
            <w:shd w:val="clear" w:color="auto" w:fill="CFF0FC"/>
          </w:tcPr>
          <w:p>
            <w:pPr>
              <w:spacing w:after="0"/>
              <w:rPr>
                <w:sz w:val="20"/>
                <w:szCs w:val="20"/>
                <w:color w:val="auto"/>
              </w:rPr>
            </w:pPr>
            <w:r>
              <w:rPr>
                <w:rFonts w:ascii="Arial" w:cs="Arial" w:eastAsia="Arial" w:hAnsi="Arial"/>
                <w:sz w:val="18"/>
                <w:szCs w:val="18"/>
                <w:color w:val="auto"/>
              </w:rPr>
              <w:t>Supplemental disclosure of cash flow information:</w:t>
            </w:r>
          </w:p>
        </w:tc>
        <w:tc>
          <w:tcPr>
            <w:tcW w:w="240" w:type="dxa"/>
            <w:vAlign w:val="bottom"/>
            <w:shd w:val="clear" w:color="auto" w:fill="CFF0FC"/>
          </w:tcPr>
          <w:p>
            <w:pPr>
              <w:spacing w:after="0"/>
              <w:rPr>
                <w:sz w:val="19"/>
                <w:szCs w:val="19"/>
                <w:color w:val="auto"/>
              </w:rPr>
            </w:pPr>
          </w:p>
        </w:tc>
        <w:tc>
          <w:tcPr>
            <w:tcW w:w="86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40" w:type="dxa"/>
            <w:vAlign w:val="bottom"/>
            <w:shd w:val="clear" w:color="auto" w:fill="CFF0FC"/>
          </w:tcPr>
          <w:p>
            <w:pPr>
              <w:spacing w:after="0"/>
              <w:rPr>
                <w:sz w:val="19"/>
                <w:szCs w:val="19"/>
                <w:color w:val="auto"/>
              </w:rPr>
            </w:pPr>
          </w:p>
        </w:tc>
        <w:tc>
          <w:tcPr>
            <w:tcW w:w="320" w:type="dxa"/>
            <w:vAlign w:val="bottom"/>
            <w:shd w:val="clear" w:color="auto" w:fill="CFF0FC"/>
          </w:tcPr>
          <w:p>
            <w:pPr>
              <w:spacing w:after="0"/>
              <w:rPr>
                <w:sz w:val="19"/>
                <w:szCs w:val="19"/>
                <w:color w:val="auto"/>
              </w:rPr>
            </w:pPr>
          </w:p>
        </w:tc>
        <w:tc>
          <w:tcPr>
            <w:tcW w:w="80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r>
      <w:tr>
        <w:trPr>
          <w:trHeight w:val="230"/>
        </w:trPr>
        <w:tc>
          <w:tcPr>
            <w:tcW w:w="5540" w:type="dxa"/>
            <w:vAlign w:val="bottom"/>
          </w:tcPr>
          <w:p>
            <w:pPr>
              <w:ind w:left="240"/>
              <w:spacing w:after="0"/>
              <w:rPr>
                <w:sz w:val="20"/>
                <w:szCs w:val="20"/>
                <w:color w:val="auto"/>
              </w:rPr>
            </w:pPr>
            <w:r>
              <w:rPr>
                <w:rFonts w:ascii="Arial" w:cs="Arial" w:eastAsia="Arial" w:hAnsi="Arial"/>
                <w:sz w:val="18"/>
                <w:szCs w:val="18"/>
                <w:color w:val="auto"/>
              </w:rPr>
              <w:t>Cash paid during the period for:</w:t>
            </w:r>
          </w:p>
        </w:tc>
        <w:tc>
          <w:tcPr>
            <w:tcW w:w="240" w:type="dxa"/>
            <w:vAlign w:val="bottom"/>
          </w:tcPr>
          <w:p>
            <w:pPr>
              <w:spacing w:after="0"/>
              <w:rPr>
                <w:sz w:val="19"/>
                <w:szCs w:val="19"/>
                <w:color w:val="auto"/>
              </w:rPr>
            </w:pPr>
          </w:p>
        </w:tc>
        <w:tc>
          <w:tcPr>
            <w:tcW w:w="8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80" w:type="dxa"/>
            <w:vAlign w:val="bottom"/>
          </w:tcPr>
          <w:p>
            <w:pPr>
              <w:spacing w:after="0"/>
              <w:rPr>
                <w:sz w:val="19"/>
                <w:szCs w:val="19"/>
                <w:color w:val="auto"/>
              </w:rPr>
            </w:pPr>
          </w:p>
        </w:tc>
      </w:tr>
      <w:tr>
        <w:trPr>
          <w:trHeight w:val="230"/>
        </w:trPr>
        <w:tc>
          <w:tcPr>
            <w:tcW w:w="5540" w:type="dxa"/>
            <w:vAlign w:val="bottom"/>
            <w:shd w:val="clear" w:color="auto" w:fill="CFF0FC"/>
          </w:tcPr>
          <w:p>
            <w:pPr>
              <w:ind w:left="500"/>
              <w:spacing w:after="0"/>
              <w:rPr>
                <w:sz w:val="20"/>
                <w:szCs w:val="20"/>
                <w:color w:val="auto"/>
              </w:rPr>
            </w:pPr>
            <w:r>
              <w:rPr>
                <w:rFonts w:ascii="Arial" w:cs="Arial" w:eastAsia="Arial" w:hAnsi="Arial"/>
                <w:sz w:val="18"/>
                <w:szCs w:val="18"/>
                <w:color w:val="auto"/>
              </w:rPr>
              <w:t>Interest, net of amounts capitalized</w:t>
            </w:r>
          </w:p>
        </w:tc>
        <w:tc>
          <w:tcPr>
            <w:tcW w:w="240" w:type="dxa"/>
            <w:vAlign w:val="bottom"/>
            <w:shd w:val="clear" w:color="auto" w:fill="CFF0FC"/>
          </w:tcPr>
          <w:p>
            <w:pPr>
              <w:jc w:val="right"/>
              <w:ind w:right="50"/>
              <w:spacing w:after="0"/>
              <w:rPr>
                <w:sz w:val="20"/>
                <w:szCs w:val="20"/>
                <w:color w:val="auto"/>
              </w:rPr>
            </w:pPr>
            <w:r>
              <w:rPr>
                <w:rFonts w:ascii="Arial" w:cs="Arial" w:eastAsia="Arial" w:hAnsi="Arial"/>
                <w:sz w:val="18"/>
                <w:szCs w:val="18"/>
                <w:color w:val="auto"/>
                <w:w w:val="79"/>
              </w:rPr>
              <w:t>$</w:t>
            </w:r>
          </w:p>
        </w:tc>
        <w:tc>
          <w:tcPr>
            <w:tcW w:w="960" w:type="dxa"/>
            <w:vAlign w:val="bottom"/>
            <w:gridSpan w:val="2"/>
            <w:shd w:val="clear" w:color="auto" w:fill="CFF0FC"/>
          </w:tcPr>
          <w:p>
            <w:pPr>
              <w:jc w:val="right"/>
              <w:ind w:right="120"/>
              <w:spacing w:after="0"/>
              <w:rPr>
                <w:sz w:val="20"/>
                <w:szCs w:val="20"/>
                <w:color w:val="auto"/>
              </w:rPr>
            </w:pPr>
            <w:r>
              <w:rPr>
                <w:rFonts w:ascii="Arial" w:cs="Arial" w:eastAsia="Arial" w:hAnsi="Arial"/>
                <w:sz w:val="18"/>
                <w:szCs w:val="18"/>
                <w:color w:val="auto"/>
              </w:rPr>
              <w:t>—</w:t>
            </w:r>
          </w:p>
        </w:tc>
        <w:tc>
          <w:tcPr>
            <w:tcW w:w="360" w:type="dxa"/>
            <w:vAlign w:val="bottom"/>
            <w:gridSpan w:val="2"/>
            <w:shd w:val="clear" w:color="auto" w:fill="CFF0FC"/>
          </w:tcPr>
          <w:p>
            <w:pPr>
              <w:jc w:val="right"/>
              <w:ind w:right="220"/>
              <w:spacing w:after="0"/>
              <w:rPr>
                <w:sz w:val="20"/>
                <w:szCs w:val="20"/>
                <w:color w:val="auto"/>
              </w:rPr>
            </w:pPr>
            <w:r>
              <w:rPr>
                <w:rFonts w:ascii="Arial" w:cs="Arial" w:eastAsia="Arial" w:hAnsi="Arial"/>
                <w:sz w:val="18"/>
                <w:szCs w:val="18"/>
                <w:color w:val="auto"/>
              </w:rPr>
              <w:t>$</w:t>
            </w:r>
          </w:p>
        </w:tc>
        <w:tc>
          <w:tcPr>
            <w:tcW w:w="880" w:type="dxa"/>
            <w:vAlign w:val="bottom"/>
            <w:gridSpan w:val="2"/>
            <w:shd w:val="clear" w:color="auto" w:fill="CFF0FC"/>
          </w:tcPr>
          <w:p>
            <w:pPr>
              <w:jc w:val="right"/>
              <w:ind w:right="100"/>
              <w:spacing w:after="0"/>
              <w:rPr>
                <w:sz w:val="20"/>
                <w:szCs w:val="20"/>
                <w:color w:val="auto"/>
              </w:rPr>
            </w:pPr>
            <w:r>
              <w:rPr>
                <w:rFonts w:ascii="Arial" w:cs="Arial" w:eastAsia="Arial" w:hAnsi="Arial"/>
                <w:sz w:val="18"/>
                <w:szCs w:val="18"/>
                <w:color w:val="auto"/>
              </w:rPr>
              <w:t>—</w:t>
            </w:r>
          </w:p>
        </w:tc>
      </w:tr>
      <w:tr>
        <w:trPr>
          <w:trHeight w:val="230"/>
        </w:trPr>
        <w:tc>
          <w:tcPr>
            <w:tcW w:w="5540" w:type="dxa"/>
            <w:vAlign w:val="bottom"/>
          </w:tcPr>
          <w:p>
            <w:pPr>
              <w:ind w:left="500"/>
              <w:spacing w:after="0"/>
              <w:rPr>
                <w:sz w:val="20"/>
                <w:szCs w:val="20"/>
                <w:color w:val="auto"/>
              </w:rPr>
            </w:pPr>
            <w:r>
              <w:rPr>
                <w:rFonts w:ascii="Arial" w:cs="Arial" w:eastAsia="Arial" w:hAnsi="Arial"/>
                <w:sz w:val="18"/>
                <w:szCs w:val="18"/>
                <w:color w:val="auto"/>
              </w:rPr>
              <w:t>Income taxes</w:t>
            </w:r>
          </w:p>
        </w:tc>
        <w:tc>
          <w:tcPr>
            <w:tcW w:w="240" w:type="dxa"/>
            <w:vAlign w:val="bottom"/>
          </w:tcPr>
          <w:p>
            <w:pPr>
              <w:jc w:val="right"/>
              <w:ind w:right="50"/>
              <w:spacing w:after="0"/>
              <w:rPr>
                <w:sz w:val="20"/>
                <w:szCs w:val="20"/>
                <w:color w:val="auto"/>
              </w:rPr>
            </w:pPr>
            <w:r>
              <w:rPr>
                <w:rFonts w:ascii="Arial" w:cs="Arial" w:eastAsia="Arial" w:hAnsi="Arial"/>
                <w:sz w:val="18"/>
                <w:szCs w:val="18"/>
                <w:color w:val="auto"/>
                <w:w w:val="79"/>
              </w:rPr>
              <w:t>$</w:t>
            </w:r>
          </w:p>
        </w:tc>
        <w:tc>
          <w:tcPr>
            <w:tcW w:w="860" w:type="dxa"/>
            <w:vAlign w:val="bottom"/>
          </w:tcPr>
          <w:p>
            <w:pPr>
              <w:jc w:val="right"/>
              <w:spacing w:after="0"/>
              <w:rPr>
                <w:sz w:val="20"/>
                <w:szCs w:val="20"/>
                <w:color w:val="auto"/>
              </w:rPr>
            </w:pPr>
            <w:r>
              <w:rPr>
                <w:rFonts w:ascii="Arial" w:cs="Arial" w:eastAsia="Arial" w:hAnsi="Arial"/>
                <w:sz w:val="18"/>
                <w:szCs w:val="18"/>
                <w:color w:val="auto"/>
              </w:rPr>
              <w:t>1,504</w:t>
            </w:r>
          </w:p>
        </w:tc>
        <w:tc>
          <w:tcPr>
            <w:tcW w:w="100" w:type="dxa"/>
            <w:vAlign w:val="bottom"/>
          </w:tcPr>
          <w:p>
            <w:pPr>
              <w:spacing w:after="0"/>
              <w:rPr>
                <w:sz w:val="19"/>
                <w:szCs w:val="19"/>
                <w:color w:val="auto"/>
              </w:rPr>
            </w:pPr>
          </w:p>
        </w:tc>
        <w:tc>
          <w:tcPr>
            <w:tcW w:w="36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88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r>
      <w:tr>
        <w:trPr>
          <w:trHeight w:val="230"/>
        </w:trPr>
        <w:tc>
          <w:tcPr>
            <w:tcW w:w="5540" w:type="dxa"/>
            <w:vAlign w:val="bottom"/>
            <w:shd w:val="clear" w:color="auto" w:fill="CFF0FC"/>
          </w:tcPr>
          <w:p>
            <w:pPr>
              <w:spacing w:after="0"/>
              <w:rPr>
                <w:sz w:val="20"/>
                <w:szCs w:val="20"/>
                <w:color w:val="auto"/>
              </w:rPr>
            </w:pPr>
            <w:r>
              <w:rPr>
                <w:rFonts w:ascii="Arial" w:cs="Arial" w:eastAsia="Arial" w:hAnsi="Arial"/>
                <w:sz w:val="18"/>
                <w:szCs w:val="18"/>
                <w:color w:val="auto"/>
              </w:rPr>
              <w:t>Supplemental disclosures of noncash activities:</w:t>
            </w:r>
          </w:p>
        </w:tc>
        <w:tc>
          <w:tcPr>
            <w:tcW w:w="240" w:type="dxa"/>
            <w:vAlign w:val="bottom"/>
            <w:shd w:val="clear" w:color="auto" w:fill="CFF0FC"/>
          </w:tcPr>
          <w:p>
            <w:pPr>
              <w:spacing w:after="0"/>
              <w:rPr>
                <w:sz w:val="19"/>
                <w:szCs w:val="19"/>
                <w:color w:val="auto"/>
              </w:rPr>
            </w:pPr>
          </w:p>
        </w:tc>
        <w:tc>
          <w:tcPr>
            <w:tcW w:w="86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40" w:type="dxa"/>
            <w:vAlign w:val="bottom"/>
            <w:shd w:val="clear" w:color="auto" w:fill="CFF0FC"/>
          </w:tcPr>
          <w:p>
            <w:pPr>
              <w:spacing w:after="0"/>
              <w:rPr>
                <w:sz w:val="19"/>
                <w:szCs w:val="19"/>
                <w:color w:val="auto"/>
              </w:rPr>
            </w:pPr>
          </w:p>
        </w:tc>
        <w:tc>
          <w:tcPr>
            <w:tcW w:w="320" w:type="dxa"/>
            <w:vAlign w:val="bottom"/>
            <w:shd w:val="clear" w:color="auto" w:fill="CFF0FC"/>
          </w:tcPr>
          <w:p>
            <w:pPr>
              <w:spacing w:after="0"/>
              <w:rPr>
                <w:sz w:val="19"/>
                <w:szCs w:val="19"/>
                <w:color w:val="auto"/>
              </w:rPr>
            </w:pPr>
          </w:p>
        </w:tc>
        <w:tc>
          <w:tcPr>
            <w:tcW w:w="80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r>
      <w:tr>
        <w:trPr>
          <w:trHeight w:val="230"/>
        </w:trPr>
        <w:tc>
          <w:tcPr>
            <w:tcW w:w="5540" w:type="dxa"/>
            <w:vAlign w:val="bottom"/>
          </w:tcPr>
          <w:p>
            <w:pPr>
              <w:ind w:left="240"/>
              <w:spacing w:after="0"/>
              <w:rPr>
                <w:sz w:val="20"/>
                <w:szCs w:val="20"/>
                <w:color w:val="auto"/>
              </w:rPr>
            </w:pPr>
            <w:r>
              <w:rPr>
                <w:rFonts w:ascii="Arial" w:cs="Arial" w:eastAsia="Arial" w:hAnsi="Arial"/>
                <w:sz w:val="18"/>
                <w:szCs w:val="18"/>
                <w:color w:val="auto"/>
              </w:rPr>
              <w:t>Amortization of senior note discount</w:t>
            </w:r>
          </w:p>
        </w:tc>
        <w:tc>
          <w:tcPr>
            <w:tcW w:w="240" w:type="dxa"/>
            <w:vAlign w:val="bottom"/>
          </w:tcPr>
          <w:p>
            <w:pPr>
              <w:jc w:val="right"/>
              <w:ind w:right="50"/>
              <w:spacing w:after="0"/>
              <w:rPr>
                <w:sz w:val="20"/>
                <w:szCs w:val="20"/>
                <w:color w:val="auto"/>
              </w:rPr>
            </w:pPr>
            <w:r>
              <w:rPr>
                <w:rFonts w:ascii="Arial" w:cs="Arial" w:eastAsia="Arial" w:hAnsi="Arial"/>
                <w:sz w:val="18"/>
                <w:szCs w:val="18"/>
                <w:color w:val="auto"/>
                <w:w w:val="79"/>
              </w:rPr>
              <w:t>$</w:t>
            </w:r>
          </w:p>
        </w:tc>
        <w:tc>
          <w:tcPr>
            <w:tcW w:w="860" w:type="dxa"/>
            <w:vAlign w:val="bottom"/>
          </w:tcPr>
          <w:p>
            <w:pPr>
              <w:jc w:val="right"/>
              <w:spacing w:after="0"/>
              <w:rPr>
                <w:sz w:val="20"/>
                <w:szCs w:val="20"/>
                <w:color w:val="auto"/>
              </w:rPr>
            </w:pPr>
            <w:r>
              <w:rPr>
                <w:rFonts w:ascii="Arial" w:cs="Arial" w:eastAsia="Arial" w:hAnsi="Arial"/>
                <w:sz w:val="18"/>
                <w:szCs w:val="18"/>
                <w:color w:val="auto"/>
              </w:rPr>
              <w:t>380</w:t>
            </w:r>
          </w:p>
        </w:tc>
        <w:tc>
          <w:tcPr>
            <w:tcW w:w="100" w:type="dxa"/>
            <w:vAlign w:val="bottom"/>
          </w:tcPr>
          <w:p>
            <w:pPr>
              <w:spacing w:after="0"/>
              <w:rPr>
                <w:sz w:val="19"/>
                <w:szCs w:val="19"/>
                <w:color w:val="auto"/>
              </w:rPr>
            </w:pPr>
          </w:p>
        </w:tc>
        <w:tc>
          <w:tcPr>
            <w:tcW w:w="36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88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r>
      <w:tr>
        <w:trPr>
          <w:trHeight w:val="215"/>
        </w:trPr>
        <w:tc>
          <w:tcPr>
            <w:tcW w:w="5540" w:type="dxa"/>
            <w:vAlign w:val="bottom"/>
            <w:shd w:val="clear" w:color="auto" w:fill="CFF0FC"/>
          </w:tcPr>
          <w:p>
            <w:pPr>
              <w:ind w:left="240"/>
              <w:spacing w:after="0"/>
              <w:rPr>
                <w:sz w:val="20"/>
                <w:szCs w:val="20"/>
                <w:color w:val="auto"/>
              </w:rPr>
            </w:pPr>
            <w:r>
              <w:rPr>
                <w:rFonts w:ascii="Arial" w:cs="Arial" w:eastAsia="Arial" w:hAnsi="Arial"/>
                <w:sz w:val="18"/>
                <w:szCs w:val="18"/>
                <w:color w:val="auto"/>
              </w:rPr>
              <w:t>Effect of net consolidation and de-consolidation of</w:t>
            </w:r>
          </w:p>
        </w:tc>
        <w:tc>
          <w:tcPr>
            <w:tcW w:w="240" w:type="dxa"/>
            <w:vAlign w:val="bottom"/>
            <w:shd w:val="clear" w:color="auto" w:fill="CFF0FC"/>
          </w:tcPr>
          <w:p>
            <w:pPr>
              <w:spacing w:after="0"/>
              <w:rPr>
                <w:sz w:val="18"/>
                <w:szCs w:val="18"/>
                <w:color w:val="auto"/>
              </w:rPr>
            </w:pPr>
          </w:p>
        </w:tc>
        <w:tc>
          <w:tcPr>
            <w:tcW w:w="86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c>
          <w:tcPr>
            <w:tcW w:w="40" w:type="dxa"/>
            <w:vAlign w:val="bottom"/>
            <w:shd w:val="clear" w:color="auto" w:fill="CFF0FC"/>
          </w:tcPr>
          <w:p>
            <w:pPr>
              <w:spacing w:after="0"/>
              <w:rPr>
                <w:sz w:val="18"/>
                <w:szCs w:val="18"/>
                <w:color w:val="auto"/>
              </w:rPr>
            </w:pPr>
          </w:p>
        </w:tc>
        <w:tc>
          <w:tcPr>
            <w:tcW w:w="320" w:type="dxa"/>
            <w:vAlign w:val="bottom"/>
            <w:shd w:val="clear" w:color="auto" w:fill="CFF0FC"/>
          </w:tcPr>
          <w:p>
            <w:pPr>
              <w:spacing w:after="0"/>
              <w:rPr>
                <w:sz w:val="18"/>
                <w:szCs w:val="18"/>
                <w:color w:val="auto"/>
              </w:rPr>
            </w:pPr>
          </w:p>
        </w:tc>
        <w:tc>
          <w:tcPr>
            <w:tcW w:w="800" w:type="dxa"/>
            <w:vAlign w:val="bottom"/>
            <w:shd w:val="clear" w:color="auto" w:fill="CFF0FC"/>
          </w:tcPr>
          <w:p>
            <w:pPr>
              <w:spacing w:after="0"/>
              <w:rPr>
                <w:sz w:val="18"/>
                <w:szCs w:val="18"/>
                <w:color w:val="auto"/>
              </w:rPr>
            </w:pPr>
          </w:p>
        </w:tc>
        <w:tc>
          <w:tcPr>
            <w:tcW w:w="80" w:type="dxa"/>
            <w:vAlign w:val="bottom"/>
            <w:shd w:val="clear" w:color="auto" w:fill="CFF0FC"/>
          </w:tcPr>
          <w:p>
            <w:pPr>
              <w:spacing w:after="0"/>
              <w:rPr>
                <w:sz w:val="18"/>
                <w:szCs w:val="18"/>
                <w:color w:val="auto"/>
              </w:rPr>
            </w:pPr>
          </w:p>
        </w:tc>
      </w:tr>
      <w:tr>
        <w:trPr>
          <w:trHeight w:val="230"/>
        </w:trPr>
        <w:tc>
          <w:tcPr>
            <w:tcW w:w="5540" w:type="dxa"/>
            <w:vAlign w:val="bottom"/>
            <w:shd w:val="clear" w:color="auto" w:fill="CFF0FC"/>
          </w:tcPr>
          <w:p>
            <w:pPr>
              <w:ind w:left="380"/>
              <w:spacing w:after="0"/>
              <w:rPr>
                <w:sz w:val="20"/>
                <w:szCs w:val="20"/>
                <w:color w:val="auto"/>
              </w:rPr>
            </w:pPr>
            <w:r>
              <w:rPr>
                <w:rFonts w:ascii="Arial" w:cs="Arial" w:eastAsia="Arial" w:hAnsi="Arial"/>
                <w:sz w:val="18"/>
                <w:szCs w:val="18"/>
                <w:color w:val="auto"/>
              </w:rPr>
              <w:t>variable interest entities:</w:t>
            </w:r>
          </w:p>
        </w:tc>
        <w:tc>
          <w:tcPr>
            <w:tcW w:w="240" w:type="dxa"/>
            <w:vAlign w:val="bottom"/>
            <w:shd w:val="clear" w:color="auto" w:fill="CFF0FC"/>
          </w:tcPr>
          <w:p>
            <w:pPr>
              <w:spacing w:after="0"/>
              <w:rPr>
                <w:sz w:val="20"/>
                <w:szCs w:val="20"/>
                <w:color w:val="auto"/>
              </w:rPr>
            </w:pPr>
          </w:p>
        </w:tc>
        <w:tc>
          <w:tcPr>
            <w:tcW w:w="860" w:type="dxa"/>
            <w:vAlign w:val="bottom"/>
            <w:shd w:val="clear" w:color="auto" w:fill="CFF0FC"/>
          </w:tcPr>
          <w:p>
            <w:pPr>
              <w:spacing w:after="0"/>
              <w:rPr>
                <w:sz w:val="20"/>
                <w:szCs w:val="20"/>
                <w:color w:val="auto"/>
              </w:rPr>
            </w:pPr>
          </w:p>
        </w:tc>
        <w:tc>
          <w:tcPr>
            <w:tcW w:w="100" w:type="dxa"/>
            <w:vAlign w:val="bottom"/>
            <w:shd w:val="clear" w:color="auto" w:fill="CFF0FC"/>
          </w:tcPr>
          <w:p>
            <w:pPr>
              <w:spacing w:after="0"/>
              <w:rPr>
                <w:sz w:val="20"/>
                <w:szCs w:val="20"/>
                <w:color w:val="auto"/>
              </w:rPr>
            </w:pPr>
          </w:p>
        </w:tc>
        <w:tc>
          <w:tcPr>
            <w:tcW w:w="40" w:type="dxa"/>
            <w:vAlign w:val="bottom"/>
            <w:shd w:val="clear" w:color="auto" w:fill="CFF0FC"/>
          </w:tcPr>
          <w:p>
            <w:pPr>
              <w:spacing w:after="0"/>
              <w:rPr>
                <w:sz w:val="20"/>
                <w:szCs w:val="20"/>
                <w:color w:val="auto"/>
              </w:rPr>
            </w:pPr>
          </w:p>
        </w:tc>
        <w:tc>
          <w:tcPr>
            <w:tcW w:w="320" w:type="dxa"/>
            <w:vAlign w:val="bottom"/>
            <w:shd w:val="clear" w:color="auto" w:fill="CFF0FC"/>
          </w:tcPr>
          <w:p>
            <w:pPr>
              <w:spacing w:after="0"/>
              <w:rPr>
                <w:sz w:val="20"/>
                <w:szCs w:val="20"/>
                <w:color w:val="auto"/>
              </w:rPr>
            </w:pPr>
          </w:p>
        </w:tc>
        <w:tc>
          <w:tcPr>
            <w:tcW w:w="800" w:type="dxa"/>
            <w:vAlign w:val="bottom"/>
            <w:shd w:val="clear" w:color="auto" w:fill="CFF0FC"/>
          </w:tcPr>
          <w:p>
            <w:pPr>
              <w:spacing w:after="0"/>
              <w:rPr>
                <w:sz w:val="20"/>
                <w:szCs w:val="20"/>
                <w:color w:val="auto"/>
              </w:rPr>
            </w:pPr>
          </w:p>
        </w:tc>
        <w:tc>
          <w:tcPr>
            <w:tcW w:w="80" w:type="dxa"/>
            <w:vAlign w:val="bottom"/>
            <w:shd w:val="clear" w:color="auto" w:fill="CFF0FC"/>
          </w:tcPr>
          <w:p>
            <w:pPr>
              <w:spacing w:after="0"/>
              <w:rPr>
                <w:sz w:val="20"/>
                <w:szCs w:val="20"/>
                <w:color w:val="auto"/>
              </w:rPr>
            </w:pPr>
          </w:p>
        </w:tc>
      </w:tr>
      <w:tr>
        <w:trPr>
          <w:trHeight w:val="215"/>
        </w:trPr>
        <w:tc>
          <w:tcPr>
            <w:tcW w:w="5540" w:type="dxa"/>
            <w:vAlign w:val="bottom"/>
          </w:tcPr>
          <w:p>
            <w:pPr>
              <w:ind w:left="500"/>
              <w:spacing w:after="0"/>
              <w:rPr>
                <w:sz w:val="20"/>
                <w:szCs w:val="20"/>
                <w:color w:val="auto"/>
              </w:rPr>
            </w:pPr>
            <w:r>
              <w:rPr>
                <w:rFonts w:ascii="Arial" w:cs="Arial" w:eastAsia="Arial" w:hAnsi="Arial"/>
                <w:sz w:val="18"/>
                <w:szCs w:val="18"/>
                <w:color w:val="auto"/>
              </w:rPr>
              <w:t>Increase in consolidated real estate</w:t>
            </w:r>
          </w:p>
        </w:tc>
        <w:tc>
          <w:tcPr>
            <w:tcW w:w="24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80" w:type="dxa"/>
            <w:vAlign w:val="bottom"/>
          </w:tcPr>
          <w:p>
            <w:pPr>
              <w:spacing w:after="0"/>
              <w:rPr>
                <w:sz w:val="18"/>
                <w:szCs w:val="18"/>
                <w:color w:val="auto"/>
              </w:rPr>
            </w:pPr>
          </w:p>
        </w:tc>
      </w:tr>
      <w:tr>
        <w:trPr>
          <w:trHeight w:val="230"/>
        </w:trPr>
        <w:tc>
          <w:tcPr>
            <w:tcW w:w="5540" w:type="dxa"/>
            <w:vAlign w:val="bottom"/>
          </w:tcPr>
          <w:p>
            <w:pPr>
              <w:ind w:left="640"/>
              <w:spacing w:after="0"/>
              <w:rPr>
                <w:sz w:val="20"/>
                <w:szCs w:val="20"/>
                <w:color w:val="auto"/>
              </w:rPr>
            </w:pPr>
            <w:r>
              <w:rPr>
                <w:rFonts w:ascii="Arial" w:cs="Arial" w:eastAsia="Arial" w:hAnsi="Arial"/>
                <w:sz w:val="18"/>
                <w:szCs w:val="18"/>
                <w:color w:val="auto"/>
              </w:rPr>
              <w:t>inventory not owned</w:t>
            </w:r>
          </w:p>
        </w:tc>
        <w:tc>
          <w:tcPr>
            <w:tcW w:w="240" w:type="dxa"/>
            <w:vAlign w:val="bottom"/>
          </w:tcPr>
          <w:p>
            <w:pPr>
              <w:jc w:val="right"/>
              <w:ind w:right="50"/>
              <w:spacing w:after="0"/>
              <w:rPr>
                <w:sz w:val="20"/>
                <w:szCs w:val="20"/>
                <w:color w:val="auto"/>
              </w:rPr>
            </w:pPr>
            <w:r>
              <w:rPr>
                <w:rFonts w:ascii="Arial" w:cs="Arial" w:eastAsia="Arial" w:hAnsi="Arial"/>
                <w:sz w:val="18"/>
                <w:szCs w:val="18"/>
                <w:color w:val="auto"/>
                <w:w w:val="79"/>
              </w:rPr>
              <w:t>$</w:t>
            </w:r>
          </w:p>
        </w:tc>
        <w:tc>
          <w:tcPr>
            <w:tcW w:w="860" w:type="dxa"/>
            <w:vAlign w:val="bottom"/>
          </w:tcPr>
          <w:p>
            <w:pPr>
              <w:jc w:val="right"/>
              <w:spacing w:after="0"/>
              <w:rPr>
                <w:sz w:val="20"/>
                <w:szCs w:val="20"/>
                <w:color w:val="auto"/>
              </w:rPr>
            </w:pPr>
            <w:r>
              <w:rPr>
                <w:rFonts w:ascii="Arial" w:cs="Arial" w:eastAsia="Arial" w:hAnsi="Arial"/>
                <w:sz w:val="18"/>
                <w:szCs w:val="18"/>
                <w:color w:val="auto"/>
              </w:rPr>
              <w:t>1,453</w:t>
            </w:r>
          </w:p>
        </w:tc>
        <w:tc>
          <w:tcPr>
            <w:tcW w:w="100" w:type="dxa"/>
            <w:vAlign w:val="bottom"/>
          </w:tcPr>
          <w:p>
            <w:pPr>
              <w:spacing w:after="0"/>
              <w:rPr>
                <w:sz w:val="20"/>
                <w:szCs w:val="20"/>
                <w:color w:val="auto"/>
              </w:rPr>
            </w:pPr>
          </w:p>
        </w:tc>
        <w:tc>
          <w:tcPr>
            <w:tcW w:w="36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800" w:type="dxa"/>
            <w:vAlign w:val="bottom"/>
          </w:tcPr>
          <w:p>
            <w:pPr>
              <w:jc w:val="right"/>
              <w:spacing w:after="0"/>
              <w:rPr>
                <w:sz w:val="20"/>
                <w:szCs w:val="20"/>
                <w:color w:val="auto"/>
              </w:rPr>
            </w:pPr>
            <w:r>
              <w:rPr>
                <w:rFonts w:ascii="Arial" w:cs="Arial" w:eastAsia="Arial" w:hAnsi="Arial"/>
                <w:sz w:val="18"/>
                <w:szCs w:val="18"/>
                <w:color w:val="auto"/>
              </w:rPr>
              <w:t>5,629</w:t>
            </w:r>
          </w:p>
        </w:tc>
        <w:tc>
          <w:tcPr>
            <w:tcW w:w="80" w:type="dxa"/>
            <w:vAlign w:val="bottom"/>
          </w:tcPr>
          <w:p>
            <w:pPr>
              <w:spacing w:after="0"/>
              <w:rPr>
                <w:sz w:val="20"/>
                <w:szCs w:val="20"/>
                <w:color w:val="auto"/>
              </w:rPr>
            </w:pPr>
          </w:p>
        </w:tc>
      </w:tr>
      <w:tr>
        <w:trPr>
          <w:trHeight w:val="215"/>
        </w:trPr>
        <w:tc>
          <w:tcPr>
            <w:tcW w:w="5540" w:type="dxa"/>
            <w:vAlign w:val="bottom"/>
            <w:shd w:val="clear" w:color="auto" w:fill="CFF0FC"/>
          </w:tcPr>
          <w:p>
            <w:pPr>
              <w:ind w:left="500"/>
              <w:spacing w:after="0"/>
              <w:rPr>
                <w:sz w:val="20"/>
                <w:szCs w:val="20"/>
                <w:color w:val="auto"/>
              </w:rPr>
            </w:pPr>
            <w:r>
              <w:rPr>
                <w:rFonts w:ascii="Arial" w:cs="Arial" w:eastAsia="Arial" w:hAnsi="Arial"/>
                <w:sz w:val="18"/>
                <w:szCs w:val="18"/>
                <w:color w:val="auto"/>
              </w:rPr>
              <w:t>Increase (decrease) in deposits on real estate under</w:t>
            </w:r>
          </w:p>
        </w:tc>
        <w:tc>
          <w:tcPr>
            <w:tcW w:w="240" w:type="dxa"/>
            <w:vAlign w:val="bottom"/>
            <w:shd w:val="clear" w:color="auto" w:fill="CFF0FC"/>
          </w:tcPr>
          <w:p>
            <w:pPr>
              <w:spacing w:after="0"/>
              <w:rPr>
                <w:sz w:val="18"/>
                <w:szCs w:val="18"/>
                <w:color w:val="auto"/>
              </w:rPr>
            </w:pPr>
          </w:p>
        </w:tc>
        <w:tc>
          <w:tcPr>
            <w:tcW w:w="86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c>
          <w:tcPr>
            <w:tcW w:w="40" w:type="dxa"/>
            <w:vAlign w:val="bottom"/>
            <w:shd w:val="clear" w:color="auto" w:fill="CFF0FC"/>
          </w:tcPr>
          <w:p>
            <w:pPr>
              <w:spacing w:after="0"/>
              <w:rPr>
                <w:sz w:val="18"/>
                <w:szCs w:val="18"/>
                <w:color w:val="auto"/>
              </w:rPr>
            </w:pPr>
          </w:p>
        </w:tc>
        <w:tc>
          <w:tcPr>
            <w:tcW w:w="320" w:type="dxa"/>
            <w:vAlign w:val="bottom"/>
            <w:shd w:val="clear" w:color="auto" w:fill="CFF0FC"/>
          </w:tcPr>
          <w:p>
            <w:pPr>
              <w:spacing w:after="0"/>
              <w:rPr>
                <w:sz w:val="18"/>
                <w:szCs w:val="18"/>
                <w:color w:val="auto"/>
              </w:rPr>
            </w:pPr>
          </w:p>
        </w:tc>
        <w:tc>
          <w:tcPr>
            <w:tcW w:w="800" w:type="dxa"/>
            <w:vAlign w:val="bottom"/>
            <w:shd w:val="clear" w:color="auto" w:fill="CFF0FC"/>
          </w:tcPr>
          <w:p>
            <w:pPr>
              <w:spacing w:after="0"/>
              <w:rPr>
                <w:sz w:val="18"/>
                <w:szCs w:val="18"/>
                <w:color w:val="auto"/>
              </w:rPr>
            </w:pPr>
          </w:p>
        </w:tc>
        <w:tc>
          <w:tcPr>
            <w:tcW w:w="80" w:type="dxa"/>
            <w:vAlign w:val="bottom"/>
            <w:shd w:val="clear" w:color="auto" w:fill="CFF0FC"/>
          </w:tcPr>
          <w:p>
            <w:pPr>
              <w:spacing w:after="0"/>
              <w:rPr>
                <w:sz w:val="18"/>
                <w:szCs w:val="18"/>
                <w:color w:val="auto"/>
              </w:rPr>
            </w:pPr>
          </w:p>
        </w:tc>
      </w:tr>
      <w:tr>
        <w:trPr>
          <w:trHeight w:val="230"/>
        </w:trPr>
        <w:tc>
          <w:tcPr>
            <w:tcW w:w="5540" w:type="dxa"/>
            <w:vAlign w:val="bottom"/>
            <w:shd w:val="clear" w:color="auto" w:fill="CFF0FC"/>
          </w:tcPr>
          <w:p>
            <w:pPr>
              <w:ind w:left="640"/>
              <w:spacing w:after="0"/>
              <w:rPr>
                <w:sz w:val="20"/>
                <w:szCs w:val="20"/>
                <w:color w:val="auto"/>
              </w:rPr>
            </w:pPr>
            <w:r>
              <w:rPr>
                <w:rFonts w:ascii="Arial" w:cs="Arial" w:eastAsia="Arial" w:hAnsi="Arial"/>
                <w:sz w:val="18"/>
                <w:szCs w:val="18"/>
                <w:color w:val="auto"/>
              </w:rPr>
              <w:t>option or contract and other assets</w:t>
            </w:r>
          </w:p>
        </w:tc>
        <w:tc>
          <w:tcPr>
            <w:tcW w:w="240" w:type="dxa"/>
            <w:vAlign w:val="bottom"/>
            <w:shd w:val="clear" w:color="auto" w:fill="CFF0FC"/>
          </w:tcPr>
          <w:p>
            <w:pPr>
              <w:jc w:val="right"/>
              <w:ind w:right="50"/>
              <w:spacing w:after="0"/>
              <w:rPr>
                <w:sz w:val="20"/>
                <w:szCs w:val="20"/>
                <w:color w:val="auto"/>
              </w:rPr>
            </w:pPr>
            <w:r>
              <w:rPr>
                <w:rFonts w:ascii="Arial" w:cs="Arial" w:eastAsia="Arial" w:hAnsi="Arial"/>
                <w:sz w:val="18"/>
                <w:szCs w:val="18"/>
                <w:color w:val="auto"/>
                <w:w w:val="79"/>
              </w:rPr>
              <w:t>$</w:t>
            </w:r>
          </w:p>
        </w:tc>
        <w:tc>
          <w:tcPr>
            <w:tcW w:w="8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129</w:t>
            </w:r>
          </w:p>
        </w:tc>
        <w:tc>
          <w:tcPr>
            <w:tcW w:w="100" w:type="dxa"/>
            <w:vAlign w:val="bottom"/>
            <w:shd w:val="clear" w:color="auto" w:fill="CFF0FC"/>
          </w:tcPr>
          <w:p>
            <w:pPr>
              <w:spacing w:after="0"/>
              <w:rPr>
                <w:sz w:val="20"/>
                <w:szCs w:val="20"/>
                <w:color w:val="auto"/>
              </w:rPr>
            </w:pPr>
          </w:p>
        </w:tc>
        <w:tc>
          <w:tcPr>
            <w:tcW w:w="360" w:type="dxa"/>
            <w:vAlign w:val="bottom"/>
            <w:gridSpan w:val="2"/>
            <w:shd w:val="clear" w:color="auto" w:fill="CFF0FC"/>
          </w:tcPr>
          <w:p>
            <w:pPr>
              <w:jc w:val="right"/>
              <w:ind w:right="220"/>
              <w:spacing w:after="0"/>
              <w:rPr>
                <w:sz w:val="20"/>
                <w:szCs w:val="20"/>
                <w:color w:val="auto"/>
              </w:rPr>
            </w:pPr>
            <w:r>
              <w:rPr>
                <w:rFonts w:ascii="Arial" w:cs="Arial" w:eastAsia="Arial" w:hAnsi="Arial"/>
                <w:sz w:val="18"/>
                <w:szCs w:val="18"/>
                <w:color w:val="auto"/>
              </w:rPr>
              <w:t>$</w:t>
            </w:r>
          </w:p>
        </w:tc>
        <w:tc>
          <w:tcPr>
            <w:tcW w:w="880" w:type="dxa"/>
            <w:vAlign w:val="bottom"/>
            <w:gridSpan w:val="2"/>
            <w:shd w:val="clear" w:color="auto" w:fill="CFF0FC"/>
          </w:tcPr>
          <w:p>
            <w:pPr>
              <w:jc w:val="right"/>
              <w:ind w:right="20"/>
              <w:spacing w:after="0"/>
              <w:rPr>
                <w:sz w:val="20"/>
                <w:szCs w:val="20"/>
                <w:color w:val="auto"/>
              </w:rPr>
            </w:pPr>
            <w:r>
              <w:rPr>
                <w:rFonts w:ascii="Arial" w:cs="Arial" w:eastAsia="Arial" w:hAnsi="Arial"/>
                <w:sz w:val="18"/>
                <w:szCs w:val="18"/>
                <w:color w:val="auto"/>
              </w:rPr>
              <w:t>(1,700)</w:t>
            </w:r>
          </w:p>
        </w:tc>
      </w:tr>
      <w:tr>
        <w:trPr>
          <w:trHeight w:val="230"/>
        </w:trPr>
        <w:tc>
          <w:tcPr>
            <w:tcW w:w="5540" w:type="dxa"/>
            <w:vAlign w:val="bottom"/>
          </w:tcPr>
          <w:p>
            <w:pPr>
              <w:ind w:left="500"/>
              <w:spacing w:after="0"/>
              <w:rPr>
                <w:sz w:val="20"/>
                <w:szCs w:val="20"/>
                <w:color w:val="auto"/>
              </w:rPr>
            </w:pPr>
            <w:r>
              <w:rPr>
                <w:rFonts w:ascii="Arial" w:cs="Arial" w:eastAsia="Arial" w:hAnsi="Arial"/>
                <w:sz w:val="18"/>
                <w:szCs w:val="18"/>
                <w:color w:val="auto"/>
              </w:rPr>
              <w:t>Increase in noncontrolling interests</w:t>
            </w:r>
          </w:p>
        </w:tc>
        <w:tc>
          <w:tcPr>
            <w:tcW w:w="240" w:type="dxa"/>
            <w:vAlign w:val="bottom"/>
          </w:tcPr>
          <w:p>
            <w:pPr>
              <w:jc w:val="right"/>
              <w:ind w:right="50"/>
              <w:spacing w:after="0"/>
              <w:rPr>
                <w:sz w:val="20"/>
                <w:szCs w:val="20"/>
                <w:color w:val="auto"/>
              </w:rPr>
            </w:pPr>
            <w:r>
              <w:rPr>
                <w:rFonts w:ascii="Arial" w:cs="Arial" w:eastAsia="Arial" w:hAnsi="Arial"/>
                <w:sz w:val="18"/>
                <w:szCs w:val="18"/>
                <w:color w:val="auto"/>
                <w:w w:val="79"/>
              </w:rPr>
              <w:t>$</w:t>
            </w:r>
          </w:p>
        </w:tc>
        <w:tc>
          <w:tcPr>
            <w:tcW w:w="960" w:type="dxa"/>
            <w:vAlign w:val="bottom"/>
            <w:gridSpan w:val="2"/>
          </w:tcPr>
          <w:p>
            <w:pPr>
              <w:jc w:val="right"/>
              <w:ind w:right="40"/>
              <w:spacing w:after="0"/>
              <w:rPr>
                <w:sz w:val="20"/>
                <w:szCs w:val="20"/>
                <w:color w:val="auto"/>
              </w:rPr>
            </w:pPr>
            <w:r>
              <w:rPr>
                <w:rFonts w:ascii="Arial" w:cs="Arial" w:eastAsia="Arial" w:hAnsi="Arial"/>
                <w:sz w:val="18"/>
                <w:szCs w:val="18"/>
                <w:color w:val="auto"/>
              </w:rPr>
              <w:t>(1,582)</w:t>
            </w:r>
          </w:p>
        </w:tc>
        <w:tc>
          <w:tcPr>
            <w:tcW w:w="36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880" w:type="dxa"/>
            <w:vAlign w:val="bottom"/>
            <w:gridSpan w:val="2"/>
          </w:tcPr>
          <w:p>
            <w:pPr>
              <w:jc w:val="right"/>
              <w:ind w:right="20"/>
              <w:spacing w:after="0"/>
              <w:rPr>
                <w:sz w:val="20"/>
                <w:szCs w:val="20"/>
                <w:color w:val="auto"/>
              </w:rPr>
            </w:pPr>
            <w:r>
              <w:rPr>
                <w:rFonts w:ascii="Arial" w:cs="Arial" w:eastAsia="Arial" w:hAnsi="Arial"/>
                <w:sz w:val="18"/>
                <w:szCs w:val="18"/>
                <w:color w:val="auto"/>
              </w:rPr>
              <w:t>(3,929)</w:t>
            </w:r>
          </w:p>
        </w:tc>
      </w:tr>
    </w:tbl>
    <w:p>
      <w:pPr>
        <w:spacing w:after="0" w:line="33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20.  Supplemental Guarantor Information</w:t>
      </w:r>
    </w:p>
    <w:p>
      <w:pPr>
        <w:spacing w:after="0" w:line="162" w:lineRule="exact"/>
        <w:rPr>
          <w:sz w:val="20"/>
          <w:szCs w:val="20"/>
          <w:color w:val="auto"/>
        </w:rPr>
      </w:pPr>
    </w:p>
    <w:p>
      <w:pPr>
        <w:ind w:right="60" w:firstLine="518"/>
        <w:spacing w:after="0" w:line="259" w:lineRule="auto"/>
        <w:rPr>
          <w:sz w:val="20"/>
          <w:szCs w:val="20"/>
          <w:color w:val="auto"/>
        </w:rPr>
      </w:pPr>
      <w:r>
        <w:rPr>
          <w:rFonts w:ascii="Arial" w:cs="Arial" w:eastAsia="Arial" w:hAnsi="Arial"/>
          <w:sz w:val="18"/>
          <w:szCs w:val="18"/>
          <w:color w:val="auto"/>
        </w:rPr>
        <w:t>On the Closing Date, the Company assumed WRECO’s obligations as issuer of the Senior Notes. Additionally, all of TRI Pointe’s wholly owned subsidiaries that are guarantors of the Company’s unsecured $425 million revolving credit facility, including WRECO and certain of its wholly owned subsidiaries, entered into supplemental indentures pursuant to which they jointly and severally guaranteed TRI Pointe’s obligations with respect to the Senior Notes.</w:t>
      </w:r>
    </w:p>
    <w:p>
      <w:pPr>
        <w:spacing w:after="0" w:line="187" w:lineRule="exact"/>
        <w:rPr>
          <w:sz w:val="20"/>
          <w:szCs w:val="20"/>
          <w:color w:val="auto"/>
        </w:rPr>
      </w:pPr>
    </w:p>
    <w:p>
      <w:pPr>
        <w:ind w:firstLine="518"/>
        <w:spacing w:after="0" w:line="277" w:lineRule="auto"/>
        <w:rPr>
          <w:sz w:val="20"/>
          <w:szCs w:val="20"/>
          <w:color w:val="auto"/>
        </w:rPr>
      </w:pPr>
      <w:r>
        <w:rPr>
          <w:rFonts w:ascii="Arial" w:cs="Arial" w:eastAsia="Arial" w:hAnsi="Arial"/>
          <w:sz w:val="18"/>
          <w:szCs w:val="18"/>
          <w:color w:val="auto"/>
        </w:rPr>
        <w:t>Presented below are the condensed consolidating balance sheets at March 31, 2015 and December 31, 2014 and condensed consolidating statements of operations and cash flows for the three month period ended March 31, 2015. TRI Pointe’s non-guarantor</w:t>
      </w:r>
    </w:p>
    <w:p>
      <w:pPr>
        <w:spacing w:after="0" w:line="200" w:lineRule="exact"/>
        <w:rPr>
          <w:sz w:val="20"/>
          <w:szCs w:val="20"/>
          <w:color w:val="auto"/>
        </w:rPr>
      </w:pPr>
    </w:p>
    <w:p>
      <w:pPr>
        <w:spacing w:after="0" w:line="214"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- 23 -</w:t>
      </w:r>
    </w:p>
    <w:p>
      <w:pPr>
        <w:sectPr>
          <w:pgSz w:w="11900" w:h="16838" w:orient="portrait"/>
          <w:cols w:equalWidth="0" w:num="1">
            <w:col w:w="11400"/>
          </w:cols>
          <w:pgMar w:left="240" w:top="355" w:right="259" w:bottom="1440" w:gutter="0" w:footer="0" w:header="0"/>
        </w:sectPr>
      </w:pPr>
    </w:p>
    <w:bookmarkStart w:id="23" w:name="page24"/>
    <w:bookmarkEnd w:id="23"/>
    <w:p>
      <w:pPr>
        <w:ind w:right="120"/>
        <w:spacing w:after="0" w:line="308" w:lineRule="auto"/>
        <w:rPr>
          <w:sz w:val="20"/>
          <w:szCs w:val="20"/>
          <w:color w:val="auto"/>
        </w:rPr>
      </w:pPr>
      <w:r>
        <w:rPr>
          <w:rFonts w:ascii="Arial" w:cs="Arial" w:eastAsia="Arial" w:hAnsi="Arial"/>
          <w:sz w:val="17"/>
          <w:szCs w:val="17"/>
          <w:color w:val="auto"/>
        </w:rPr>
        <w:t>subsidiaries represent less than 3% on an individual and aggregate basis of consolidated total assets, total revenues, income from operations before taxes and cash flow from operating activities. Therefore, the non-guarantor subsidiaries’ information is not separately presented in the tables below.</w:t>
      </w:r>
    </w:p>
    <w:p>
      <w:pPr>
        <w:spacing w:after="0" w:line="147" w:lineRule="exact"/>
        <w:rPr>
          <w:sz w:val="20"/>
          <w:szCs w:val="20"/>
          <w:color w:val="auto"/>
        </w:rPr>
      </w:pPr>
    </w:p>
    <w:p>
      <w:pPr>
        <w:ind w:right="20" w:firstLine="518"/>
        <w:spacing w:after="0" w:line="273" w:lineRule="auto"/>
        <w:rPr>
          <w:sz w:val="20"/>
          <w:szCs w:val="20"/>
          <w:color w:val="auto"/>
        </w:rPr>
      </w:pPr>
      <w:r>
        <w:rPr>
          <w:rFonts w:ascii="Arial" w:cs="Arial" w:eastAsia="Arial" w:hAnsi="Arial"/>
          <w:sz w:val="17"/>
          <w:szCs w:val="17"/>
          <w:color w:val="auto"/>
        </w:rPr>
        <w:t>As discussed in Note 1, the Merger was treated as a “reverse acquisition” with WRECO being considered the accounting acquirer. Accordingly, the financial statements reflect the historical results of WRECO for all periods and do not include the historical financial information of TRI Pointe prior to the Closing Date. Subsequent to the Closing Date, the consolidated financial statements reflect the results of the combined company. As a result, we have not included condensed consolidating statements of operations and cash flows for the three months ended March 31, 2014 because those results are of WRECO and are already included on the face of the consolidated financial statements. In addition, there is no financial information for legacy TRI Pointe, issuer of the Senior Notes, in the periods prior to the Closing Date.</w:t>
      </w:r>
    </w:p>
    <w:p>
      <w:pPr>
        <w:spacing w:after="0" w:line="283"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4900" w:type="dxa"/>
            <w:vAlign w:val="bottom"/>
            <w:gridSpan w:val="2"/>
          </w:tcPr>
          <w:p>
            <w:pPr>
              <w:spacing w:after="0"/>
              <w:rPr>
                <w:sz w:val="20"/>
                <w:szCs w:val="20"/>
                <w:color w:val="auto"/>
              </w:rPr>
            </w:pPr>
            <w:r>
              <w:rPr>
                <w:rFonts w:ascii="Arial" w:cs="Arial" w:eastAsia="Arial" w:hAnsi="Arial"/>
                <w:sz w:val="18"/>
                <w:szCs w:val="18"/>
                <w:b w:val="1"/>
                <w:bCs w:val="1"/>
                <w:color w:val="auto"/>
              </w:rPr>
              <w:t>Condensed Consolidating Balance Sheet (in thousands):</w:t>
            </w:r>
          </w:p>
        </w:tc>
        <w:tc>
          <w:tcPr>
            <w:tcW w:w="10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06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06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10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0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46"/>
        </w:trPr>
        <w:tc>
          <w:tcPr>
            <w:tcW w:w="20" w:type="dxa"/>
            <w:vAlign w:val="bottom"/>
          </w:tcPr>
          <w:p>
            <w:pPr>
              <w:spacing w:after="0"/>
              <w:rPr>
                <w:sz w:val="24"/>
                <w:szCs w:val="24"/>
                <w:color w:val="auto"/>
              </w:rPr>
            </w:pPr>
          </w:p>
        </w:tc>
        <w:tc>
          <w:tcPr>
            <w:tcW w:w="488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06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2660" w:type="dxa"/>
            <w:vAlign w:val="bottom"/>
            <w:tcBorders>
              <w:bottom w:val="single" w:sz="8" w:color="auto"/>
            </w:tcBorders>
            <w:gridSpan w:val="5"/>
          </w:tcPr>
          <w:p>
            <w:pPr>
              <w:jc w:val="right"/>
              <w:ind w:right="800"/>
              <w:spacing w:after="0"/>
              <w:rPr>
                <w:sz w:val="20"/>
                <w:szCs w:val="20"/>
                <w:color w:val="auto"/>
              </w:rPr>
            </w:pPr>
            <w:r>
              <w:rPr>
                <w:rFonts w:ascii="Arial" w:cs="Arial" w:eastAsia="Arial" w:hAnsi="Arial"/>
                <w:sz w:val="18"/>
                <w:szCs w:val="18"/>
                <w:b w:val="1"/>
                <w:bCs w:val="1"/>
                <w:color w:val="auto"/>
              </w:rPr>
              <w:t>March 31, 2015</w:t>
            </w:r>
          </w:p>
        </w:tc>
        <w:tc>
          <w:tcPr>
            <w:tcW w:w="120" w:type="dxa"/>
            <w:vAlign w:val="bottom"/>
            <w:tcBorders>
              <w:bottom w:val="single" w:sz="8" w:color="auto"/>
            </w:tcBorders>
          </w:tcPr>
          <w:p>
            <w:pPr>
              <w:spacing w:after="0"/>
              <w:rPr>
                <w:sz w:val="24"/>
                <w:szCs w:val="24"/>
                <w:color w:val="auto"/>
              </w:rPr>
            </w:pPr>
          </w:p>
        </w:tc>
        <w:tc>
          <w:tcPr>
            <w:tcW w:w="1080" w:type="dxa"/>
            <w:vAlign w:val="bottom"/>
            <w:tcBorders>
              <w:bottom w:val="single" w:sz="8" w:color="auto"/>
            </w:tcBorders>
          </w:tcPr>
          <w:p>
            <w:pPr>
              <w:spacing w:after="0"/>
              <w:rPr>
                <w:sz w:val="24"/>
                <w:szCs w:val="24"/>
                <w:color w:val="auto"/>
              </w:rPr>
            </w:pPr>
          </w:p>
        </w:tc>
        <w:tc>
          <w:tcPr>
            <w:tcW w:w="1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8"/>
        </w:trPr>
        <w:tc>
          <w:tcPr>
            <w:tcW w:w="20" w:type="dxa"/>
            <w:vAlign w:val="bottom"/>
          </w:tcPr>
          <w:p>
            <w:pPr>
              <w:spacing w:after="0"/>
              <w:rPr>
                <w:sz w:val="18"/>
                <w:szCs w:val="18"/>
                <w:color w:val="auto"/>
              </w:rPr>
            </w:pPr>
          </w:p>
        </w:tc>
        <w:tc>
          <w:tcPr>
            <w:tcW w:w="488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200" w:type="dxa"/>
            <w:vAlign w:val="bottom"/>
            <w:gridSpan w:val="2"/>
          </w:tcPr>
          <w:p>
            <w:pPr>
              <w:jc w:val="center"/>
              <w:spacing w:after="0"/>
              <w:rPr>
                <w:sz w:val="20"/>
                <w:szCs w:val="20"/>
                <w:color w:val="auto"/>
              </w:rPr>
            </w:pPr>
            <w:r>
              <w:rPr>
                <w:rFonts w:ascii="Arial" w:cs="Arial" w:eastAsia="Arial" w:hAnsi="Arial"/>
                <w:sz w:val="18"/>
                <w:szCs w:val="18"/>
                <w:b w:val="1"/>
                <w:bCs w:val="1"/>
                <w:color w:val="auto"/>
                <w:w w:val="87"/>
              </w:rPr>
              <w:t>Consolidated</w:t>
            </w: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4880" w:type="dxa"/>
            <w:vAlign w:val="bottom"/>
          </w:tcPr>
          <w:p>
            <w:pPr>
              <w:spacing w:after="0"/>
              <w:rPr>
                <w:sz w:val="19"/>
                <w:szCs w:val="19"/>
                <w:color w:val="auto"/>
              </w:rPr>
            </w:pPr>
          </w:p>
        </w:tc>
        <w:tc>
          <w:tcPr>
            <w:tcW w:w="10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280" w:type="dxa"/>
            <w:vAlign w:val="bottom"/>
            <w:gridSpan w:val="2"/>
          </w:tcPr>
          <w:p>
            <w:pPr>
              <w:jc w:val="center"/>
              <w:ind w:right="320"/>
              <w:spacing w:after="0"/>
              <w:rPr>
                <w:sz w:val="20"/>
                <w:szCs w:val="20"/>
                <w:color w:val="auto"/>
              </w:rPr>
            </w:pPr>
            <w:r>
              <w:rPr>
                <w:rFonts w:ascii="Arial" w:cs="Arial" w:eastAsia="Arial" w:hAnsi="Arial"/>
                <w:sz w:val="18"/>
                <w:szCs w:val="18"/>
                <w:b w:val="1"/>
                <w:bCs w:val="1"/>
                <w:color w:val="auto"/>
                <w:w w:val="94"/>
              </w:rPr>
              <w:t>TRI Pointe</w:t>
            </w:r>
          </w:p>
        </w:tc>
        <w:tc>
          <w:tcPr>
            <w:tcW w:w="100" w:type="dxa"/>
            <w:vAlign w:val="bottom"/>
          </w:tcPr>
          <w:p>
            <w:pPr>
              <w:spacing w:after="0"/>
              <w:rPr>
                <w:sz w:val="19"/>
                <w:szCs w:val="19"/>
                <w:color w:val="auto"/>
              </w:rPr>
            </w:pPr>
          </w:p>
        </w:tc>
        <w:tc>
          <w:tcPr>
            <w:tcW w:w="1280" w:type="dxa"/>
            <w:vAlign w:val="bottom"/>
            <w:gridSpan w:val="2"/>
          </w:tcPr>
          <w:p>
            <w:pPr>
              <w:jc w:val="center"/>
              <w:ind w:right="320"/>
              <w:spacing w:after="0"/>
              <w:rPr>
                <w:sz w:val="20"/>
                <w:szCs w:val="20"/>
                <w:color w:val="auto"/>
              </w:rPr>
            </w:pPr>
            <w:r>
              <w:rPr>
                <w:rFonts w:ascii="Arial" w:cs="Arial" w:eastAsia="Arial" w:hAnsi="Arial"/>
                <w:sz w:val="18"/>
                <w:szCs w:val="18"/>
                <w:b w:val="1"/>
                <w:bCs w:val="1"/>
                <w:color w:val="auto"/>
                <w:w w:val="96"/>
              </w:rPr>
              <w:t>Guarantor</w:t>
            </w:r>
          </w:p>
        </w:tc>
        <w:tc>
          <w:tcPr>
            <w:tcW w:w="1380" w:type="dxa"/>
            <w:vAlign w:val="bottom"/>
            <w:gridSpan w:val="3"/>
          </w:tcPr>
          <w:p>
            <w:pPr>
              <w:jc w:val="right"/>
              <w:ind w:right="180"/>
              <w:spacing w:after="0"/>
              <w:rPr>
                <w:sz w:val="20"/>
                <w:szCs w:val="20"/>
                <w:color w:val="auto"/>
              </w:rPr>
            </w:pPr>
            <w:r>
              <w:rPr>
                <w:rFonts w:ascii="Arial" w:cs="Arial" w:eastAsia="Arial" w:hAnsi="Arial"/>
                <w:sz w:val="18"/>
                <w:szCs w:val="18"/>
                <w:b w:val="1"/>
                <w:bCs w:val="1"/>
                <w:color w:val="auto"/>
                <w:w w:val="91"/>
              </w:rPr>
              <w:t>Consolidating</w:t>
            </w:r>
          </w:p>
        </w:tc>
        <w:tc>
          <w:tcPr>
            <w:tcW w:w="120" w:type="dxa"/>
            <w:vAlign w:val="bottom"/>
          </w:tcPr>
          <w:p>
            <w:pPr>
              <w:spacing w:after="0"/>
              <w:rPr>
                <w:sz w:val="19"/>
                <w:szCs w:val="19"/>
                <w:color w:val="auto"/>
              </w:rPr>
            </w:pPr>
          </w:p>
        </w:tc>
        <w:tc>
          <w:tcPr>
            <w:tcW w:w="1200" w:type="dxa"/>
            <w:vAlign w:val="bottom"/>
            <w:gridSpan w:val="2"/>
          </w:tcPr>
          <w:p>
            <w:pPr>
              <w:jc w:val="center"/>
              <w:ind w:right="240"/>
              <w:spacing w:after="0"/>
              <w:rPr>
                <w:sz w:val="20"/>
                <w:szCs w:val="20"/>
                <w:color w:val="auto"/>
              </w:rPr>
            </w:pPr>
            <w:r>
              <w:rPr>
                <w:rFonts w:ascii="Arial" w:cs="Arial" w:eastAsia="Arial" w:hAnsi="Arial"/>
                <w:sz w:val="18"/>
                <w:szCs w:val="18"/>
                <w:b w:val="1"/>
                <w:bCs w:val="1"/>
                <w:color w:val="auto"/>
                <w:w w:val="94"/>
              </w:rPr>
              <w:t>TRI Pointe</w:t>
            </w:r>
          </w:p>
        </w:tc>
        <w:tc>
          <w:tcPr>
            <w:tcW w:w="0" w:type="dxa"/>
            <w:vAlign w:val="bottom"/>
          </w:tcPr>
          <w:p>
            <w:pPr>
              <w:spacing w:after="0"/>
              <w:rPr>
                <w:sz w:val="1"/>
                <w:szCs w:val="1"/>
                <w:color w:val="auto"/>
              </w:rPr>
            </w:pPr>
          </w:p>
        </w:tc>
      </w:tr>
      <w:tr>
        <w:trPr>
          <w:trHeight w:val="234"/>
        </w:trPr>
        <w:tc>
          <w:tcPr>
            <w:tcW w:w="20" w:type="dxa"/>
            <w:vAlign w:val="bottom"/>
          </w:tcPr>
          <w:p>
            <w:pPr>
              <w:spacing w:after="0"/>
              <w:rPr>
                <w:sz w:val="20"/>
                <w:szCs w:val="20"/>
                <w:color w:val="auto"/>
              </w:rPr>
            </w:pPr>
          </w:p>
        </w:tc>
        <w:tc>
          <w:tcPr>
            <w:tcW w:w="4880" w:type="dxa"/>
            <w:vAlign w:val="bottom"/>
          </w:tcPr>
          <w:p>
            <w:pPr>
              <w:spacing w:after="0"/>
              <w:rPr>
                <w:sz w:val="20"/>
                <w:szCs w:val="20"/>
                <w:color w:val="auto"/>
              </w:rPr>
            </w:pPr>
          </w:p>
        </w:tc>
        <w:tc>
          <w:tcPr>
            <w:tcW w:w="10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280" w:type="dxa"/>
            <w:vAlign w:val="bottom"/>
            <w:gridSpan w:val="2"/>
          </w:tcPr>
          <w:p>
            <w:pPr>
              <w:jc w:val="center"/>
              <w:ind w:right="320"/>
              <w:spacing w:after="0"/>
              <w:rPr>
                <w:sz w:val="20"/>
                <w:szCs w:val="20"/>
                <w:color w:val="auto"/>
              </w:rPr>
            </w:pPr>
            <w:r>
              <w:rPr>
                <w:rFonts w:ascii="Arial" w:cs="Arial" w:eastAsia="Arial" w:hAnsi="Arial"/>
                <w:sz w:val="18"/>
                <w:szCs w:val="18"/>
                <w:b w:val="1"/>
                <w:bCs w:val="1"/>
                <w:color w:val="auto"/>
                <w:w w:val="91"/>
              </w:rPr>
              <w:t>Homes, Inc.</w:t>
            </w:r>
          </w:p>
        </w:tc>
        <w:tc>
          <w:tcPr>
            <w:tcW w:w="100" w:type="dxa"/>
            <w:vAlign w:val="bottom"/>
          </w:tcPr>
          <w:p>
            <w:pPr>
              <w:spacing w:after="0"/>
              <w:rPr>
                <w:sz w:val="20"/>
                <w:szCs w:val="20"/>
                <w:color w:val="auto"/>
              </w:rPr>
            </w:pPr>
          </w:p>
        </w:tc>
        <w:tc>
          <w:tcPr>
            <w:tcW w:w="1280" w:type="dxa"/>
            <w:vAlign w:val="bottom"/>
            <w:gridSpan w:val="2"/>
          </w:tcPr>
          <w:p>
            <w:pPr>
              <w:jc w:val="center"/>
              <w:ind w:right="340"/>
              <w:spacing w:after="0"/>
              <w:rPr>
                <w:sz w:val="20"/>
                <w:szCs w:val="20"/>
                <w:color w:val="auto"/>
              </w:rPr>
            </w:pPr>
            <w:r>
              <w:rPr>
                <w:rFonts w:ascii="Arial" w:cs="Arial" w:eastAsia="Arial" w:hAnsi="Arial"/>
                <w:sz w:val="18"/>
                <w:szCs w:val="18"/>
                <w:b w:val="1"/>
                <w:bCs w:val="1"/>
                <w:color w:val="auto"/>
                <w:w w:val="87"/>
              </w:rPr>
              <w:t>Subsidiaries</w:t>
            </w:r>
          </w:p>
        </w:tc>
        <w:tc>
          <w:tcPr>
            <w:tcW w:w="80" w:type="dxa"/>
            <w:vAlign w:val="bottom"/>
          </w:tcPr>
          <w:p>
            <w:pPr>
              <w:spacing w:after="0"/>
              <w:rPr>
                <w:sz w:val="20"/>
                <w:szCs w:val="20"/>
                <w:color w:val="auto"/>
              </w:rPr>
            </w:pPr>
          </w:p>
        </w:tc>
        <w:tc>
          <w:tcPr>
            <w:tcW w:w="1300" w:type="dxa"/>
            <w:vAlign w:val="bottom"/>
            <w:gridSpan w:val="2"/>
          </w:tcPr>
          <w:p>
            <w:pPr>
              <w:jc w:val="right"/>
              <w:ind w:right="240"/>
              <w:spacing w:after="0"/>
              <w:rPr>
                <w:sz w:val="20"/>
                <w:szCs w:val="20"/>
                <w:color w:val="auto"/>
              </w:rPr>
            </w:pPr>
            <w:r>
              <w:rPr>
                <w:rFonts w:ascii="Arial" w:cs="Arial" w:eastAsia="Arial" w:hAnsi="Arial"/>
                <w:sz w:val="18"/>
                <w:szCs w:val="18"/>
                <w:b w:val="1"/>
                <w:bCs w:val="1"/>
                <w:color w:val="auto"/>
                <w:w w:val="88"/>
              </w:rPr>
              <w:t>Adjustments</w:t>
            </w:r>
          </w:p>
        </w:tc>
        <w:tc>
          <w:tcPr>
            <w:tcW w:w="120" w:type="dxa"/>
            <w:vAlign w:val="bottom"/>
          </w:tcPr>
          <w:p>
            <w:pPr>
              <w:spacing w:after="0"/>
              <w:rPr>
                <w:sz w:val="20"/>
                <w:szCs w:val="20"/>
                <w:color w:val="auto"/>
              </w:rPr>
            </w:pPr>
          </w:p>
        </w:tc>
        <w:tc>
          <w:tcPr>
            <w:tcW w:w="1200" w:type="dxa"/>
            <w:vAlign w:val="bottom"/>
            <w:gridSpan w:val="2"/>
          </w:tcPr>
          <w:p>
            <w:pPr>
              <w:jc w:val="center"/>
              <w:ind w:right="240"/>
              <w:spacing w:after="0"/>
              <w:rPr>
                <w:sz w:val="20"/>
                <w:szCs w:val="20"/>
                <w:color w:val="auto"/>
              </w:rPr>
            </w:pPr>
            <w:r>
              <w:rPr>
                <w:rFonts w:ascii="Arial" w:cs="Arial" w:eastAsia="Arial" w:hAnsi="Arial"/>
                <w:sz w:val="18"/>
                <w:szCs w:val="18"/>
                <w:b w:val="1"/>
                <w:bCs w:val="1"/>
                <w:color w:val="auto"/>
                <w:w w:val="91"/>
              </w:rPr>
              <w:t>Homes, Inc.</w:t>
            </w: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4880" w:type="dxa"/>
            <w:vAlign w:val="bottom"/>
            <w:tcBorders>
              <w:top w:val="single" w:sz="8" w:color="CFF0FC"/>
            </w:tcBorders>
            <w:shd w:val="clear" w:color="auto" w:fill="CFF0FC"/>
          </w:tcPr>
          <w:p>
            <w:pPr>
              <w:spacing w:after="0"/>
              <w:rPr>
                <w:sz w:val="20"/>
                <w:szCs w:val="20"/>
                <w:color w:val="auto"/>
              </w:rPr>
            </w:pPr>
            <w:r>
              <w:rPr>
                <w:rFonts w:ascii="Arial" w:cs="Arial" w:eastAsia="Arial" w:hAnsi="Arial"/>
                <w:sz w:val="18"/>
                <w:szCs w:val="18"/>
                <w:b w:val="1"/>
                <w:bCs w:val="1"/>
                <w:color w:val="auto"/>
              </w:rPr>
              <w:t>Assets</w:t>
            </w:r>
          </w:p>
        </w:tc>
        <w:tc>
          <w:tcPr>
            <w:tcW w:w="1060" w:type="dxa"/>
            <w:vAlign w:val="bottom"/>
            <w:tcBorders>
              <w:top w:val="single" w:sz="8" w:color="CFF0FC"/>
            </w:tcBorders>
            <w:shd w:val="clear" w:color="auto" w:fill="CFF0FC"/>
          </w:tcPr>
          <w:p>
            <w:pPr>
              <w:spacing w:after="0"/>
              <w:rPr>
                <w:sz w:val="19"/>
                <w:szCs w:val="19"/>
                <w:color w:val="auto"/>
              </w:rPr>
            </w:pPr>
          </w:p>
        </w:tc>
        <w:tc>
          <w:tcPr>
            <w:tcW w:w="100" w:type="dxa"/>
            <w:vAlign w:val="bottom"/>
            <w:tcBorders>
              <w:top w:val="single" w:sz="8" w:color="auto"/>
            </w:tcBorders>
            <w:shd w:val="clear" w:color="auto" w:fill="CFF0FC"/>
          </w:tcPr>
          <w:p>
            <w:pPr>
              <w:spacing w:after="0"/>
              <w:rPr>
                <w:sz w:val="19"/>
                <w:szCs w:val="19"/>
                <w:color w:val="auto"/>
              </w:rPr>
            </w:pPr>
          </w:p>
        </w:tc>
        <w:tc>
          <w:tcPr>
            <w:tcW w:w="1060" w:type="dxa"/>
            <w:vAlign w:val="bottom"/>
            <w:tcBorders>
              <w:top w:val="single" w:sz="8" w:color="auto"/>
            </w:tcBorders>
            <w:shd w:val="clear" w:color="auto" w:fill="CFF0FC"/>
          </w:tcPr>
          <w:p>
            <w:pPr>
              <w:spacing w:after="0"/>
              <w:rPr>
                <w:sz w:val="19"/>
                <w:szCs w:val="19"/>
                <w:color w:val="auto"/>
              </w:rPr>
            </w:pPr>
          </w:p>
        </w:tc>
        <w:tc>
          <w:tcPr>
            <w:tcW w:w="220" w:type="dxa"/>
            <w:vAlign w:val="bottom"/>
            <w:tcBorders>
              <w:top w:val="single" w:sz="8" w:color="CFF0FC"/>
            </w:tcBorders>
            <w:shd w:val="clear" w:color="auto" w:fill="CFF0FC"/>
          </w:tcPr>
          <w:p>
            <w:pPr>
              <w:spacing w:after="0"/>
              <w:rPr>
                <w:sz w:val="19"/>
                <w:szCs w:val="19"/>
                <w:color w:val="auto"/>
              </w:rPr>
            </w:pPr>
          </w:p>
        </w:tc>
        <w:tc>
          <w:tcPr>
            <w:tcW w:w="100" w:type="dxa"/>
            <w:vAlign w:val="bottom"/>
            <w:tcBorders>
              <w:top w:val="single" w:sz="8" w:color="auto"/>
            </w:tcBorders>
            <w:shd w:val="clear" w:color="auto" w:fill="CFF0FC"/>
          </w:tcPr>
          <w:p>
            <w:pPr>
              <w:spacing w:after="0"/>
              <w:rPr>
                <w:sz w:val="19"/>
                <w:szCs w:val="19"/>
                <w:color w:val="auto"/>
              </w:rPr>
            </w:pPr>
          </w:p>
        </w:tc>
        <w:tc>
          <w:tcPr>
            <w:tcW w:w="1060" w:type="dxa"/>
            <w:vAlign w:val="bottom"/>
            <w:tcBorders>
              <w:top w:val="single" w:sz="8" w:color="auto"/>
            </w:tcBorders>
            <w:shd w:val="clear" w:color="auto" w:fill="CFF0FC"/>
          </w:tcPr>
          <w:p>
            <w:pPr>
              <w:spacing w:after="0"/>
              <w:rPr>
                <w:sz w:val="19"/>
                <w:szCs w:val="19"/>
                <w:color w:val="auto"/>
              </w:rPr>
            </w:pPr>
          </w:p>
        </w:tc>
        <w:tc>
          <w:tcPr>
            <w:tcW w:w="220" w:type="dxa"/>
            <w:vAlign w:val="bottom"/>
            <w:tcBorders>
              <w:top w:val="single" w:sz="8" w:color="CFF0FC"/>
            </w:tcBorders>
            <w:shd w:val="clear" w:color="auto" w:fill="CFF0FC"/>
          </w:tcPr>
          <w:p>
            <w:pPr>
              <w:spacing w:after="0"/>
              <w:rPr>
                <w:sz w:val="19"/>
                <w:szCs w:val="19"/>
                <w:color w:val="auto"/>
              </w:rPr>
            </w:pPr>
          </w:p>
        </w:tc>
        <w:tc>
          <w:tcPr>
            <w:tcW w:w="80" w:type="dxa"/>
            <w:vAlign w:val="bottom"/>
            <w:tcBorders>
              <w:top w:val="single" w:sz="8" w:color="auto"/>
            </w:tcBorders>
            <w:shd w:val="clear" w:color="auto" w:fill="CFF0FC"/>
          </w:tcPr>
          <w:p>
            <w:pPr>
              <w:spacing w:after="0"/>
              <w:rPr>
                <w:sz w:val="19"/>
                <w:szCs w:val="19"/>
                <w:color w:val="auto"/>
              </w:rPr>
            </w:pPr>
          </w:p>
        </w:tc>
        <w:tc>
          <w:tcPr>
            <w:tcW w:w="1100" w:type="dxa"/>
            <w:vAlign w:val="bottom"/>
            <w:tcBorders>
              <w:top w:val="single" w:sz="8" w:color="auto"/>
            </w:tcBorders>
            <w:shd w:val="clear" w:color="auto" w:fill="CFF0FC"/>
          </w:tcPr>
          <w:p>
            <w:pPr>
              <w:spacing w:after="0"/>
              <w:rPr>
                <w:sz w:val="19"/>
                <w:szCs w:val="19"/>
                <w:color w:val="auto"/>
              </w:rPr>
            </w:pPr>
          </w:p>
        </w:tc>
        <w:tc>
          <w:tcPr>
            <w:tcW w:w="200" w:type="dxa"/>
            <w:vAlign w:val="bottom"/>
            <w:tcBorders>
              <w:top w:val="single" w:sz="8" w:color="CFF0FC"/>
            </w:tcBorders>
            <w:shd w:val="clear" w:color="auto" w:fill="CFF0FC"/>
          </w:tcPr>
          <w:p>
            <w:pPr>
              <w:spacing w:after="0"/>
              <w:rPr>
                <w:sz w:val="19"/>
                <w:szCs w:val="19"/>
                <w:color w:val="auto"/>
              </w:rPr>
            </w:pPr>
          </w:p>
        </w:tc>
        <w:tc>
          <w:tcPr>
            <w:tcW w:w="120" w:type="dxa"/>
            <w:vAlign w:val="bottom"/>
            <w:tcBorders>
              <w:top w:val="single" w:sz="8" w:color="auto"/>
            </w:tcBorders>
            <w:shd w:val="clear" w:color="auto" w:fill="CFF0FC"/>
          </w:tcPr>
          <w:p>
            <w:pPr>
              <w:spacing w:after="0"/>
              <w:rPr>
                <w:sz w:val="19"/>
                <w:szCs w:val="19"/>
                <w:color w:val="auto"/>
              </w:rPr>
            </w:pPr>
          </w:p>
        </w:tc>
        <w:tc>
          <w:tcPr>
            <w:tcW w:w="1080" w:type="dxa"/>
            <w:vAlign w:val="bottom"/>
            <w:tcBorders>
              <w:top w:val="single" w:sz="8" w:color="auto"/>
            </w:tcBorders>
            <w:shd w:val="clear" w:color="auto" w:fill="CFF0FC"/>
          </w:tcPr>
          <w:p>
            <w:pPr>
              <w:spacing w:after="0"/>
              <w:rPr>
                <w:sz w:val="19"/>
                <w:szCs w:val="19"/>
                <w:color w:val="auto"/>
              </w:rPr>
            </w:pPr>
          </w:p>
        </w:tc>
        <w:tc>
          <w:tcPr>
            <w:tcW w:w="120" w:type="dxa"/>
            <w:vAlign w:val="bottom"/>
            <w:tcBorders>
              <w:top w:val="single" w:sz="8" w:color="CFF0FC"/>
            </w:tcBorders>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4880" w:type="dxa"/>
            <w:vAlign w:val="bottom"/>
          </w:tcPr>
          <w:p>
            <w:pPr>
              <w:spacing w:after="0"/>
              <w:rPr>
                <w:sz w:val="20"/>
                <w:szCs w:val="20"/>
                <w:color w:val="auto"/>
              </w:rPr>
            </w:pPr>
            <w:r>
              <w:rPr>
                <w:rFonts w:ascii="Arial" w:cs="Arial" w:eastAsia="Arial" w:hAnsi="Arial"/>
                <w:sz w:val="18"/>
                <w:szCs w:val="18"/>
                <w:color w:val="auto"/>
              </w:rPr>
              <w:t>Cash and cash equivalents</w:t>
            </w:r>
          </w:p>
        </w:tc>
        <w:tc>
          <w:tcPr>
            <w:tcW w:w="116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060" w:type="dxa"/>
            <w:vAlign w:val="bottom"/>
          </w:tcPr>
          <w:p>
            <w:pPr>
              <w:jc w:val="right"/>
              <w:spacing w:after="0"/>
              <w:rPr>
                <w:sz w:val="20"/>
                <w:szCs w:val="20"/>
                <w:color w:val="auto"/>
              </w:rPr>
            </w:pPr>
            <w:r>
              <w:rPr>
                <w:rFonts w:ascii="Arial" w:cs="Arial" w:eastAsia="Arial" w:hAnsi="Arial"/>
                <w:sz w:val="18"/>
                <w:szCs w:val="18"/>
                <w:color w:val="auto"/>
              </w:rPr>
              <w:t>29,887</w:t>
            </w:r>
          </w:p>
        </w:tc>
        <w:tc>
          <w:tcPr>
            <w:tcW w:w="220" w:type="dxa"/>
            <w:vAlign w:val="bottom"/>
          </w:tcPr>
          <w:p>
            <w:pPr>
              <w:spacing w:after="0"/>
              <w:rPr>
                <w:sz w:val="19"/>
                <w:szCs w:val="19"/>
                <w:color w:val="auto"/>
              </w:rPr>
            </w:pP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060" w:type="dxa"/>
            <w:vAlign w:val="bottom"/>
          </w:tcPr>
          <w:p>
            <w:pPr>
              <w:jc w:val="right"/>
              <w:spacing w:after="0"/>
              <w:rPr>
                <w:sz w:val="20"/>
                <w:szCs w:val="20"/>
                <w:color w:val="auto"/>
              </w:rPr>
            </w:pPr>
            <w:r>
              <w:rPr>
                <w:rFonts w:ascii="Arial" w:cs="Arial" w:eastAsia="Arial" w:hAnsi="Arial"/>
                <w:sz w:val="18"/>
                <w:szCs w:val="18"/>
                <w:color w:val="auto"/>
              </w:rPr>
              <w:t>76,686</w:t>
            </w:r>
          </w:p>
        </w:tc>
        <w:tc>
          <w:tcPr>
            <w:tcW w:w="220" w:type="dxa"/>
            <w:vAlign w:val="bottom"/>
          </w:tcPr>
          <w:p>
            <w:pPr>
              <w:spacing w:after="0"/>
              <w:rPr>
                <w:sz w:val="19"/>
                <w:szCs w:val="19"/>
                <w:color w:val="auto"/>
              </w:rPr>
            </w:pPr>
          </w:p>
        </w:tc>
        <w:tc>
          <w:tcPr>
            <w:tcW w:w="8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130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12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080" w:type="dxa"/>
            <w:vAlign w:val="bottom"/>
          </w:tcPr>
          <w:p>
            <w:pPr>
              <w:jc w:val="right"/>
              <w:spacing w:after="0"/>
              <w:rPr>
                <w:sz w:val="20"/>
                <w:szCs w:val="20"/>
                <w:color w:val="auto"/>
              </w:rPr>
            </w:pPr>
            <w:r>
              <w:rPr>
                <w:rFonts w:ascii="Arial" w:cs="Arial" w:eastAsia="Arial" w:hAnsi="Arial"/>
                <w:sz w:val="18"/>
                <w:szCs w:val="18"/>
                <w:color w:val="auto"/>
              </w:rPr>
              <w:t>106,573</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4880" w:type="dxa"/>
            <w:vAlign w:val="bottom"/>
            <w:shd w:val="clear" w:color="auto" w:fill="CFF0FC"/>
          </w:tcPr>
          <w:p>
            <w:pPr>
              <w:spacing w:after="0"/>
              <w:rPr>
                <w:sz w:val="20"/>
                <w:szCs w:val="20"/>
                <w:color w:val="auto"/>
              </w:rPr>
            </w:pPr>
            <w:r>
              <w:rPr>
                <w:rFonts w:ascii="Arial" w:cs="Arial" w:eastAsia="Arial" w:hAnsi="Arial"/>
                <w:sz w:val="18"/>
                <w:szCs w:val="18"/>
                <w:color w:val="auto"/>
              </w:rPr>
              <w:t>Receivables</w:t>
            </w:r>
          </w:p>
        </w:tc>
        <w:tc>
          <w:tcPr>
            <w:tcW w:w="106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0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4,257</w:t>
            </w:r>
          </w:p>
        </w:tc>
        <w:tc>
          <w:tcPr>
            <w:tcW w:w="22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0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18,755</w:t>
            </w:r>
          </w:p>
        </w:tc>
        <w:tc>
          <w:tcPr>
            <w:tcW w:w="22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1300" w:type="dxa"/>
            <w:vAlign w:val="bottom"/>
            <w:gridSpan w:val="2"/>
            <w:shd w:val="clear" w:color="auto" w:fill="CFF0FC"/>
          </w:tcPr>
          <w:p>
            <w:pPr>
              <w:jc w:val="right"/>
              <w:ind w:right="140"/>
              <w:spacing w:after="0"/>
              <w:rPr>
                <w:sz w:val="20"/>
                <w:szCs w:val="20"/>
                <w:color w:val="auto"/>
              </w:rPr>
            </w:pPr>
            <w:r>
              <w:rPr>
                <w:rFonts w:ascii="Arial" w:cs="Arial" w:eastAsia="Arial" w:hAnsi="Arial"/>
                <w:sz w:val="18"/>
                <w:szCs w:val="18"/>
                <w:color w:val="auto"/>
              </w:rPr>
              <w:t>—</w:t>
            </w:r>
          </w:p>
        </w:tc>
        <w:tc>
          <w:tcPr>
            <w:tcW w:w="120" w:type="dxa"/>
            <w:vAlign w:val="bottom"/>
            <w:shd w:val="clear" w:color="auto" w:fill="CFF0FC"/>
          </w:tcPr>
          <w:p>
            <w:pPr>
              <w:spacing w:after="0"/>
              <w:rPr>
                <w:sz w:val="19"/>
                <w:szCs w:val="19"/>
                <w:color w:val="auto"/>
              </w:rPr>
            </w:pPr>
          </w:p>
        </w:tc>
        <w:tc>
          <w:tcPr>
            <w:tcW w:w="10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23,012</w:t>
            </w:r>
          </w:p>
        </w:tc>
        <w:tc>
          <w:tcPr>
            <w:tcW w:w="1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4880" w:type="dxa"/>
            <w:vAlign w:val="bottom"/>
          </w:tcPr>
          <w:p>
            <w:pPr>
              <w:ind w:left="240"/>
              <w:spacing w:after="0"/>
              <w:rPr>
                <w:sz w:val="20"/>
                <w:szCs w:val="20"/>
                <w:color w:val="auto"/>
              </w:rPr>
            </w:pPr>
            <w:r>
              <w:rPr>
                <w:rFonts w:ascii="Arial" w:cs="Arial" w:eastAsia="Arial" w:hAnsi="Arial"/>
                <w:sz w:val="18"/>
                <w:szCs w:val="18"/>
                <w:color w:val="auto"/>
              </w:rPr>
              <w:t>Intercompany receivables</w:t>
            </w:r>
          </w:p>
        </w:tc>
        <w:tc>
          <w:tcPr>
            <w:tcW w:w="10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861,518</w:t>
            </w:r>
          </w:p>
        </w:tc>
        <w:tc>
          <w:tcPr>
            <w:tcW w:w="2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280" w:type="dxa"/>
            <w:vAlign w:val="bottom"/>
            <w:gridSpan w:val="2"/>
          </w:tcPr>
          <w:p>
            <w:pPr>
              <w:jc w:val="right"/>
              <w:ind w:right="24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9"/>
                <w:szCs w:val="19"/>
                <w:color w:val="auto"/>
              </w:rPr>
            </w:pPr>
          </w:p>
        </w:tc>
        <w:tc>
          <w:tcPr>
            <w:tcW w:w="1300" w:type="dxa"/>
            <w:vAlign w:val="bottom"/>
            <w:gridSpan w:val="2"/>
          </w:tcPr>
          <w:p>
            <w:pPr>
              <w:jc w:val="right"/>
              <w:ind w:right="60"/>
              <w:spacing w:after="0"/>
              <w:rPr>
                <w:sz w:val="20"/>
                <w:szCs w:val="20"/>
                <w:color w:val="auto"/>
              </w:rPr>
            </w:pPr>
            <w:r>
              <w:rPr>
                <w:rFonts w:ascii="Arial" w:cs="Arial" w:eastAsia="Arial" w:hAnsi="Arial"/>
                <w:sz w:val="18"/>
                <w:szCs w:val="18"/>
                <w:color w:val="auto"/>
              </w:rPr>
              <w:t>(861,518)</w:t>
            </w:r>
          </w:p>
        </w:tc>
        <w:tc>
          <w:tcPr>
            <w:tcW w:w="120" w:type="dxa"/>
            <w:vAlign w:val="bottom"/>
          </w:tcPr>
          <w:p>
            <w:pPr>
              <w:spacing w:after="0"/>
              <w:rPr>
                <w:sz w:val="19"/>
                <w:szCs w:val="19"/>
                <w:color w:val="auto"/>
              </w:rPr>
            </w:pPr>
          </w:p>
        </w:tc>
        <w:tc>
          <w:tcPr>
            <w:tcW w:w="120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4880" w:type="dxa"/>
            <w:vAlign w:val="bottom"/>
            <w:shd w:val="clear" w:color="auto" w:fill="CFF0FC"/>
          </w:tcPr>
          <w:p>
            <w:pPr>
              <w:ind w:left="240"/>
              <w:spacing w:after="0"/>
              <w:rPr>
                <w:sz w:val="20"/>
                <w:szCs w:val="20"/>
                <w:color w:val="auto"/>
              </w:rPr>
            </w:pPr>
            <w:r>
              <w:rPr>
                <w:rFonts w:ascii="Arial" w:cs="Arial" w:eastAsia="Arial" w:hAnsi="Arial"/>
                <w:sz w:val="18"/>
                <w:szCs w:val="18"/>
                <w:color w:val="auto"/>
              </w:rPr>
              <w:t>Real estate inventories</w:t>
            </w:r>
          </w:p>
        </w:tc>
        <w:tc>
          <w:tcPr>
            <w:tcW w:w="106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0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677,010</w:t>
            </w:r>
          </w:p>
        </w:tc>
        <w:tc>
          <w:tcPr>
            <w:tcW w:w="22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0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1,732,296</w:t>
            </w:r>
          </w:p>
        </w:tc>
        <w:tc>
          <w:tcPr>
            <w:tcW w:w="22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1300" w:type="dxa"/>
            <w:vAlign w:val="bottom"/>
            <w:gridSpan w:val="2"/>
            <w:shd w:val="clear" w:color="auto" w:fill="CFF0FC"/>
          </w:tcPr>
          <w:p>
            <w:pPr>
              <w:jc w:val="right"/>
              <w:ind w:right="140"/>
              <w:spacing w:after="0"/>
              <w:rPr>
                <w:sz w:val="20"/>
                <w:szCs w:val="20"/>
                <w:color w:val="auto"/>
              </w:rPr>
            </w:pPr>
            <w:r>
              <w:rPr>
                <w:rFonts w:ascii="Arial" w:cs="Arial" w:eastAsia="Arial" w:hAnsi="Arial"/>
                <w:sz w:val="18"/>
                <w:szCs w:val="18"/>
                <w:color w:val="auto"/>
              </w:rPr>
              <w:t>—</w:t>
            </w:r>
          </w:p>
        </w:tc>
        <w:tc>
          <w:tcPr>
            <w:tcW w:w="120" w:type="dxa"/>
            <w:vAlign w:val="bottom"/>
            <w:shd w:val="clear" w:color="auto" w:fill="CFF0FC"/>
          </w:tcPr>
          <w:p>
            <w:pPr>
              <w:spacing w:after="0"/>
              <w:rPr>
                <w:sz w:val="19"/>
                <w:szCs w:val="19"/>
                <w:color w:val="auto"/>
              </w:rPr>
            </w:pPr>
          </w:p>
        </w:tc>
        <w:tc>
          <w:tcPr>
            <w:tcW w:w="10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2,409,306</w:t>
            </w:r>
          </w:p>
        </w:tc>
        <w:tc>
          <w:tcPr>
            <w:tcW w:w="1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4880" w:type="dxa"/>
            <w:vAlign w:val="bottom"/>
          </w:tcPr>
          <w:p>
            <w:pPr>
              <w:spacing w:after="0"/>
              <w:rPr>
                <w:sz w:val="20"/>
                <w:szCs w:val="20"/>
                <w:color w:val="auto"/>
              </w:rPr>
            </w:pPr>
            <w:r>
              <w:rPr>
                <w:rFonts w:ascii="Arial" w:cs="Arial" w:eastAsia="Arial" w:hAnsi="Arial"/>
                <w:sz w:val="18"/>
                <w:szCs w:val="18"/>
                <w:color w:val="auto"/>
              </w:rPr>
              <w:t>Investments in unconsolidated entities</w:t>
            </w:r>
          </w:p>
        </w:tc>
        <w:tc>
          <w:tcPr>
            <w:tcW w:w="10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28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9"/>
                <w:szCs w:val="19"/>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17,730</w:t>
            </w:r>
          </w:p>
        </w:tc>
        <w:tc>
          <w:tcPr>
            <w:tcW w:w="2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30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9"/>
                <w:szCs w:val="19"/>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17,730</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4880" w:type="dxa"/>
            <w:vAlign w:val="bottom"/>
            <w:shd w:val="clear" w:color="auto" w:fill="CFF0FC"/>
          </w:tcPr>
          <w:p>
            <w:pPr>
              <w:spacing w:after="0"/>
              <w:rPr>
                <w:sz w:val="20"/>
                <w:szCs w:val="20"/>
                <w:color w:val="auto"/>
              </w:rPr>
            </w:pPr>
            <w:r>
              <w:rPr>
                <w:rFonts w:ascii="Arial" w:cs="Arial" w:eastAsia="Arial" w:hAnsi="Arial"/>
                <w:sz w:val="18"/>
                <w:szCs w:val="18"/>
                <w:color w:val="auto"/>
              </w:rPr>
              <w:t>Goodwill and other intangible assets, net</w:t>
            </w:r>
          </w:p>
        </w:tc>
        <w:tc>
          <w:tcPr>
            <w:tcW w:w="106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0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162,429</w:t>
            </w:r>
          </w:p>
        </w:tc>
        <w:tc>
          <w:tcPr>
            <w:tcW w:w="22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280" w:type="dxa"/>
            <w:vAlign w:val="bottom"/>
            <w:gridSpan w:val="2"/>
            <w:shd w:val="clear" w:color="auto" w:fill="CFF0FC"/>
          </w:tcPr>
          <w:p>
            <w:pPr>
              <w:jc w:val="right"/>
              <w:ind w:right="240"/>
              <w:spacing w:after="0"/>
              <w:rPr>
                <w:sz w:val="20"/>
                <w:szCs w:val="20"/>
                <w:color w:val="auto"/>
              </w:rPr>
            </w:pPr>
            <w:r>
              <w:rPr>
                <w:rFonts w:ascii="Arial" w:cs="Arial" w:eastAsia="Arial" w:hAnsi="Arial"/>
                <w:sz w:val="18"/>
                <w:szCs w:val="18"/>
                <w:color w:val="auto"/>
              </w:rPr>
              <w:t>—</w:t>
            </w:r>
          </w:p>
        </w:tc>
        <w:tc>
          <w:tcPr>
            <w:tcW w:w="80" w:type="dxa"/>
            <w:vAlign w:val="bottom"/>
            <w:shd w:val="clear" w:color="auto" w:fill="CFF0FC"/>
          </w:tcPr>
          <w:p>
            <w:pPr>
              <w:spacing w:after="0"/>
              <w:rPr>
                <w:sz w:val="19"/>
                <w:szCs w:val="19"/>
                <w:color w:val="auto"/>
              </w:rPr>
            </w:pPr>
          </w:p>
        </w:tc>
        <w:tc>
          <w:tcPr>
            <w:tcW w:w="1300" w:type="dxa"/>
            <w:vAlign w:val="bottom"/>
            <w:gridSpan w:val="2"/>
            <w:shd w:val="clear" w:color="auto" w:fill="CFF0FC"/>
          </w:tcPr>
          <w:p>
            <w:pPr>
              <w:jc w:val="right"/>
              <w:ind w:right="140"/>
              <w:spacing w:after="0"/>
              <w:rPr>
                <w:sz w:val="20"/>
                <w:szCs w:val="20"/>
                <w:color w:val="auto"/>
              </w:rPr>
            </w:pPr>
            <w:r>
              <w:rPr>
                <w:rFonts w:ascii="Arial" w:cs="Arial" w:eastAsia="Arial" w:hAnsi="Arial"/>
                <w:sz w:val="18"/>
                <w:szCs w:val="18"/>
                <w:color w:val="auto"/>
              </w:rPr>
              <w:t>—</w:t>
            </w:r>
          </w:p>
        </w:tc>
        <w:tc>
          <w:tcPr>
            <w:tcW w:w="120" w:type="dxa"/>
            <w:vAlign w:val="bottom"/>
            <w:shd w:val="clear" w:color="auto" w:fill="CFF0FC"/>
          </w:tcPr>
          <w:p>
            <w:pPr>
              <w:spacing w:after="0"/>
              <w:rPr>
                <w:sz w:val="19"/>
                <w:szCs w:val="19"/>
                <w:color w:val="auto"/>
              </w:rPr>
            </w:pPr>
          </w:p>
        </w:tc>
        <w:tc>
          <w:tcPr>
            <w:tcW w:w="10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162,429</w:t>
            </w:r>
          </w:p>
        </w:tc>
        <w:tc>
          <w:tcPr>
            <w:tcW w:w="1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4880" w:type="dxa"/>
            <w:vAlign w:val="bottom"/>
          </w:tcPr>
          <w:p>
            <w:pPr>
              <w:spacing w:after="0"/>
              <w:rPr>
                <w:sz w:val="20"/>
                <w:szCs w:val="20"/>
                <w:color w:val="auto"/>
              </w:rPr>
            </w:pPr>
            <w:r>
              <w:rPr>
                <w:rFonts w:ascii="Arial" w:cs="Arial" w:eastAsia="Arial" w:hAnsi="Arial"/>
                <w:sz w:val="18"/>
                <w:szCs w:val="18"/>
                <w:color w:val="auto"/>
              </w:rPr>
              <w:t>Investments in subsidiaries</w:t>
            </w:r>
          </w:p>
        </w:tc>
        <w:tc>
          <w:tcPr>
            <w:tcW w:w="10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975,284</w:t>
            </w:r>
          </w:p>
        </w:tc>
        <w:tc>
          <w:tcPr>
            <w:tcW w:w="2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280" w:type="dxa"/>
            <w:vAlign w:val="bottom"/>
            <w:gridSpan w:val="2"/>
          </w:tcPr>
          <w:p>
            <w:pPr>
              <w:jc w:val="right"/>
              <w:ind w:right="24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9"/>
                <w:szCs w:val="19"/>
                <w:color w:val="auto"/>
              </w:rPr>
            </w:pPr>
          </w:p>
        </w:tc>
        <w:tc>
          <w:tcPr>
            <w:tcW w:w="1300" w:type="dxa"/>
            <w:vAlign w:val="bottom"/>
            <w:gridSpan w:val="2"/>
          </w:tcPr>
          <w:p>
            <w:pPr>
              <w:jc w:val="right"/>
              <w:ind w:right="60"/>
              <w:spacing w:after="0"/>
              <w:rPr>
                <w:sz w:val="20"/>
                <w:szCs w:val="20"/>
                <w:color w:val="auto"/>
              </w:rPr>
            </w:pPr>
            <w:r>
              <w:rPr>
                <w:rFonts w:ascii="Arial" w:cs="Arial" w:eastAsia="Arial" w:hAnsi="Arial"/>
                <w:sz w:val="18"/>
                <w:szCs w:val="18"/>
                <w:color w:val="auto"/>
              </w:rPr>
              <w:t>(975,284)</w:t>
            </w:r>
          </w:p>
        </w:tc>
        <w:tc>
          <w:tcPr>
            <w:tcW w:w="120" w:type="dxa"/>
            <w:vAlign w:val="bottom"/>
          </w:tcPr>
          <w:p>
            <w:pPr>
              <w:spacing w:after="0"/>
              <w:rPr>
                <w:sz w:val="19"/>
                <w:szCs w:val="19"/>
                <w:color w:val="auto"/>
              </w:rPr>
            </w:pPr>
          </w:p>
        </w:tc>
        <w:tc>
          <w:tcPr>
            <w:tcW w:w="120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4880" w:type="dxa"/>
            <w:vAlign w:val="bottom"/>
            <w:shd w:val="clear" w:color="auto" w:fill="CFF0FC"/>
          </w:tcPr>
          <w:p>
            <w:pPr>
              <w:spacing w:after="0"/>
              <w:rPr>
                <w:sz w:val="20"/>
                <w:szCs w:val="20"/>
                <w:color w:val="auto"/>
              </w:rPr>
            </w:pPr>
            <w:r>
              <w:rPr>
                <w:rFonts w:ascii="Arial" w:cs="Arial" w:eastAsia="Arial" w:hAnsi="Arial"/>
                <w:sz w:val="18"/>
                <w:szCs w:val="18"/>
                <w:color w:val="auto"/>
              </w:rPr>
              <w:t>Deferred tax assets</w:t>
            </w:r>
          </w:p>
        </w:tc>
        <w:tc>
          <w:tcPr>
            <w:tcW w:w="106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0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23,630</w:t>
            </w:r>
          </w:p>
        </w:tc>
        <w:tc>
          <w:tcPr>
            <w:tcW w:w="22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0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132,173</w:t>
            </w:r>
          </w:p>
        </w:tc>
        <w:tc>
          <w:tcPr>
            <w:tcW w:w="22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1300" w:type="dxa"/>
            <w:vAlign w:val="bottom"/>
            <w:gridSpan w:val="2"/>
            <w:shd w:val="clear" w:color="auto" w:fill="CFF0FC"/>
          </w:tcPr>
          <w:p>
            <w:pPr>
              <w:jc w:val="right"/>
              <w:ind w:right="140"/>
              <w:spacing w:after="0"/>
              <w:rPr>
                <w:sz w:val="20"/>
                <w:szCs w:val="20"/>
                <w:color w:val="auto"/>
              </w:rPr>
            </w:pPr>
            <w:r>
              <w:rPr>
                <w:rFonts w:ascii="Arial" w:cs="Arial" w:eastAsia="Arial" w:hAnsi="Arial"/>
                <w:sz w:val="18"/>
                <w:szCs w:val="18"/>
                <w:color w:val="auto"/>
              </w:rPr>
              <w:t>—</w:t>
            </w:r>
          </w:p>
        </w:tc>
        <w:tc>
          <w:tcPr>
            <w:tcW w:w="120" w:type="dxa"/>
            <w:vAlign w:val="bottom"/>
            <w:shd w:val="clear" w:color="auto" w:fill="CFF0FC"/>
          </w:tcPr>
          <w:p>
            <w:pPr>
              <w:spacing w:after="0"/>
              <w:rPr>
                <w:sz w:val="19"/>
                <w:szCs w:val="19"/>
                <w:color w:val="auto"/>
              </w:rPr>
            </w:pPr>
          </w:p>
        </w:tc>
        <w:tc>
          <w:tcPr>
            <w:tcW w:w="10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155,803</w:t>
            </w:r>
          </w:p>
        </w:tc>
        <w:tc>
          <w:tcPr>
            <w:tcW w:w="1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4880" w:type="dxa"/>
            <w:vAlign w:val="bottom"/>
          </w:tcPr>
          <w:p>
            <w:pPr>
              <w:spacing w:after="0"/>
              <w:rPr>
                <w:sz w:val="20"/>
                <w:szCs w:val="20"/>
                <w:color w:val="auto"/>
              </w:rPr>
            </w:pPr>
            <w:r>
              <w:rPr>
                <w:rFonts w:ascii="Arial" w:cs="Arial" w:eastAsia="Arial" w:hAnsi="Arial"/>
                <w:sz w:val="18"/>
                <w:szCs w:val="18"/>
                <w:color w:val="auto"/>
              </w:rPr>
              <w:t>Other assets</w:t>
            </w:r>
          </w:p>
        </w:tc>
        <w:tc>
          <w:tcPr>
            <w:tcW w:w="10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55,273</w:t>
            </w:r>
          </w:p>
        </w:tc>
        <w:tc>
          <w:tcPr>
            <w:tcW w:w="2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42,121</w:t>
            </w:r>
          </w:p>
        </w:tc>
        <w:tc>
          <w:tcPr>
            <w:tcW w:w="2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30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9"/>
                <w:szCs w:val="19"/>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97,394</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4880" w:type="dxa"/>
            <w:vAlign w:val="bottom"/>
            <w:tcBorders>
              <w:top w:val="single" w:sz="8" w:color="CFF0FC"/>
              <w:bottom w:val="single" w:sz="8" w:color="CFF0FC"/>
            </w:tcBorders>
            <w:shd w:val="clear" w:color="auto" w:fill="CFF0FC"/>
          </w:tcPr>
          <w:p>
            <w:pPr>
              <w:ind w:left="240"/>
              <w:spacing w:after="0"/>
              <w:rPr>
                <w:sz w:val="20"/>
                <w:szCs w:val="20"/>
                <w:color w:val="auto"/>
              </w:rPr>
            </w:pPr>
            <w:r>
              <w:rPr>
                <w:rFonts w:ascii="Arial" w:cs="Arial" w:eastAsia="Arial" w:hAnsi="Arial"/>
                <w:sz w:val="18"/>
                <w:szCs w:val="18"/>
                <w:color w:val="auto"/>
              </w:rPr>
              <w:t>Total Assets</w:t>
            </w:r>
          </w:p>
        </w:tc>
        <w:tc>
          <w:tcPr>
            <w:tcW w:w="1060" w:type="dxa"/>
            <w:vAlign w:val="bottom"/>
            <w:tcBorders>
              <w:top w:val="single" w:sz="8" w:color="CFF0FC"/>
              <w:bottom w:val="single" w:sz="8" w:color="CFF0FC"/>
            </w:tcBorders>
            <w:shd w:val="clear" w:color="auto" w:fill="CFF0FC"/>
          </w:tcPr>
          <w:p>
            <w:pPr>
              <w:spacing w:after="0"/>
              <w:rPr>
                <w:sz w:val="19"/>
                <w:szCs w:val="19"/>
                <w:color w:val="auto"/>
              </w:rPr>
            </w:pPr>
          </w:p>
        </w:tc>
        <w:tc>
          <w:tcPr>
            <w:tcW w:w="10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106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2,789,288</w:t>
            </w:r>
          </w:p>
        </w:tc>
        <w:tc>
          <w:tcPr>
            <w:tcW w:w="220" w:type="dxa"/>
            <w:vAlign w:val="bottom"/>
            <w:tcBorders>
              <w:top w:val="single" w:sz="8" w:color="CFF0FC"/>
              <w:bottom w:val="single" w:sz="8" w:color="CFF0FC"/>
            </w:tcBorders>
            <w:shd w:val="clear" w:color="auto" w:fill="CFF0FC"/>
          </w:tcPr>
          <w:p>
            <w:pPr>
              <w:spacing w:after="0"/>
              <w:rPr>
                <w:sz w:val="19"/>
                <w:szCs w:val="19"/>
                <w:color w:val="auto"/>
              </w:rPr>
            </w:pPr>
          </w:p>
        </w:tc>
        <w:tc>
          <w:tcPr>
            <w:tcW w:w="10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106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2,019,761</w:t>
            </w:r>
          </w:p>
        </w:tc>
        <w:tc>
          <w:tcPr>
            <w:tcW w:w="220" w:type="dxa"/>
            <w:vAlign w:val="bottom"/>
            <w:tcBorders>
              <w:top w:val="single" w:sz="8" w:color="CFF0FC"/>
              <w:bottom w:val="single" w:sz="8" w:color="CFF0FC"/>
            </w:tcBorders>
            <w:shd w:val="clear" w:color="auto" w:fill="CFF0FC"/>
          </w:tcPr>
          <w:p>
            <w:pPr>
              <w:spacing w:after="0"/>
              <w:rPr>
                <w:sz w:val="19"/>
                <w:szCs w:val="19"/>
                <w:color w:val="auto"/>
              </w:rPr>
            </w:pPr>
          </w:p>
        </w:tc>
        <w:tc>
          <w:tcPr>
            <w:tcW w:w="8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5"/>
                <w:szCs w:val="15"/>
                <w:color w:val="auto"/>
                <w:w w:val="71"/>
              </w:rPr>
              <w:t>$</w:t>
            </w:r>
          </w:p>
        </w:tc>
        <w:tc>
          <w:tcPr>
            <w:tcW w:w="110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(1,836,802</w:t>
            </w:r>
          </w:p>
        </w:tc>
        <w:tc>
          <w:tcPr>
            <w:tcW w:w="200" w:type="dxa"/>
            <w:vAlign w:val="bottom"/>
            <w:tcBorders>
              <w:top w:val="single" w:sz="8" w:color="CFF0FC"/>
              <w:bottom w:val="single" w:sz="8" w:color="CFF0FC"/>
            </w:tcBorders>
            <w:shd w:val="clear" w:color="auto" w:fill="CFF0FC"/>
          </w:tcPr>
          <w:p>
            <w:pPr>
              <w:jc w:val="right"/>
              <w:ind w:right="60"/>
              <w:spacing w:after="0"/>
              <w:rPr>
                <w:sz w:val="20"/>
                <w:szCs w:val="20"/>
                <w:color w:val="auto"/>
              </w:rPr>
            </w:pPr>
            <w:r>
              <w:rPr>
                <w:rFonts w:ascii="Arial" w:cs="Arial" w:eastAsia="Arial" w:hAnsi="Arial"/>
                <w:sz w:val="16"/>
                <w:szCs w:val="16"/>
                <w:color w:val="auto"/>
                <w:w w:val="74"/>
              </w:rPr>
              <w:t>)</w:t>
            </w:r>
          </w:p>
        </w:tc>
        <w:tc>
          <w:tcPr>
            <w:tcW w:w="12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108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2,972,247</w:t>
            </w:r>
          </w:p>
        </w:tc>
        <w:tc>
          <w:tcPr>
            <w:tcW w:w="120" w:type="dxa"/>
            <w:vAlign w:val="bottom"/>
            <w:tcBorders>
              <w:top w:val="single" w:sz="8" w:color="CFF0FC"/>
              <w:bottom w:val="single" w:sz="8" w:color="CFF0FC"/>
            </w:tcBorders>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880" w:type="dxa"/>
            <w:vAlign w:val="bottom"/>
          </w:tcPr>
          <w:p>
            <w:pPr>
              <w:spacing w:after="0" w:line="20" w:lineRule="exact"/>
              <w:rPr>
                <w:sz w:val="1"/>
                <w:szCs w:val="1"/>
                <w:color w:val="auto"/>
              </w:rPr>
            </w:pPr>
          </w:p>
        </w:tc>
        <w:tc>
          <w:tcPr>
            <w:tcW w:w="10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vMerge w:val="restart"/>
          </w:tcPr>
          <w:p>
            <w:pPr>
              <w:spacing w:after="0"/>
              <w:rPr>
                <w:sz w:val="18"/>
                <w:szCs w:val="18"/>
                <w:color w:val="auto"/>
              </w:rPr>
            </w:pPr>
          </w:p>
        </w:tc>
        <w:tc>
          <w:tcPr>
            <w:tcW w:w="488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20" w:type="dxa"/>
            <w:vAlign w:val="bottom"/>
            <w:vMerge w:val="continue"/>
          </w:tcPr>
          <w:p>
            <w:pPr>
              <w:spacing w:after="0"/>
              <w:rPr>
                <w:sz w:val="19"/>
                <w:szCs w:val="19"/>
                <w:color w:val="auto"/>
              </w:rPr>
            </w:pPr>
          </w:p>
        </w:tc>
        <w:tc>
          <w:tcPr>
            <w:tcW w:w="4880" w:type="dxa"/>
            <w:vAlign w:val="bottom"/>
            <w:shd w:val="clear" w:color="auto" w:fill="CFF0FC"/>
          </w:tcPr>
          <w:p>
            <w:pPr>
              <w:spacing w:after="0"/>
              <w:rPr>
                <w:sz w:val="20"/>
                <w:szCs w:val="20"/>
                <w:color w:val="auto"/>
              </w:rPr>
            </w:pPr>
            <w:r>
              <w:rPr>
                <w:rFonts w:ascii="Arial" w:cs="Arial" w:eastAsia="Arial" w:hAnsi="Arial"/>
                <w:sz w:val="18"/>
                <w:szCs w:val="18"/>
                <w:b w:val="1"/>
                <w:bCs w:val="1"/>
                <w:color w:val="auto"/>
              </w:rPr>
              <w:t>Liabilities</w:t>
            </w:r>
          </w:p>
        </w:tc>
        <w:tc>
          <w:tcPr>
            <w:tcW w:w="106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060" w:type="dxa"/>
            <w:vAlign w:val="bottom"/>
            <w:shd w:val="clear" w:color="auto" w:fill="CFF0FC"/>
          </w:tcPr>
          <w:p>
            <w:pPr>
              <w:spacing w:after="0"/>
              <w:rPr>
                <w:sz w:val="19"/>
                <w:szCs w:val="19"/>
                <w:color w:val="auto"/>
              </w:rPr>
            </w:pPr>
          </w:p>
        </w:tc>
        <w:tc>
          <w:tcPr>
            <w:tcW w:w="22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060" w:type="dxa"/>
            <w:vAlign w:val="bottom"/>
            <w:shd w:val="clear" w:color="auto" w:fill="CFF0FC"/>
          </w:tcPr>
          <w:p>
            <w:pPr>
              <w:spacing w:after="0"/>
              <w:rPr>
                <w:sz w:val="19"/>
                <w:szCs w:val="19"/>
                <w:color w:val="auto"/>
              </w:rPr>
            </w:pPr>
          </w:p>
        </w:tc>
        <w:tc>
          <w:tcPr>
            <w:tcW w:w="22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110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108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4880" w:type="dxa"/>
            <w:vAlign w:val="bottom"/>
          </w:tcPr>
          <w:p>
            <w:pPr>
              <w:spacing w:after="0"/>
              <w:rPr>
                <w:sz w:val="20"/>
                <w:szCs w:val="20"/>
                <w:color w:val="auto"/>
              </w:rPr>
            </w:pPr>
            <w:r>
              <w:rPr>
                <w:rFonts w:ascii="Arial" w:cs="Arial" w:eastAsia="Arial" w:hAnsi="Arial"/>
                <w:sz w:val="18"/>
                <w:szCs w:val="18"/>
                <w:color w:val="auto"/>
              </w:rPr>
              <w:t>Accounts payable</w:t>
            </w:r>
          </w:p>
        </w:tc>
        <w:tc>
          <w:tcPr>
            <w:tcW w:w="116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060" w:type="dxa"/>
            <w:vAlign w:val="bottom"/>
          </w:tcPr>
          <w:p>
            <w:pPr>
              <w:jc w:val="right"/>
              <w:spacing w:after="0"/>
              <w:rPr>
                <w:sz w:val="20"/>
                <w:szCs w:val="20"/>
                <w:color w:val="auto"/>
              </w:rPr>
            </w:pPr>
            <w:r>
              <w:rPr>
                <w:rFonts w:ascii="Arial" w:cs="Arial" w:eastAsia="Arial" w:hAnsi="Arial"/>
                <w:sz w:val="18"/>
                <w:szCs w:val="18"/>
                <w:color w:val="auto"/>
              </w:rPr>
              <w:t>20,114</w:t>
            </w:r>
          </w:p>
        </w:tc>
        <w:tc>
          <w:tcPr>
            <w:tcW w:w="220" w:type="dxa"/>
            <w:vAlign w:val="bottom"/>
          </w:tcPr>
          <w:p>
            <w:pPr>
              <w:spacing w:after="0"/>
              <w:rPr>
                <w:sz w:val="19"/>
                <w:szCs w:val="19"/>
                <w:color w:val="auto"/>
              </w:rPr>
            </w:pP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060" w:type="dxa"/>
            <w:vAlign w:val="bottom"/>
          </w:tcPr>
          <w:p>
            <w:pPr>
              <w:jc w:val="right"/>
              <w:spacing w:after="0"/>
              <w:rPr>
                <w:sz w:val="20"/>
                <w:szCs w:val="20"/>
                <w:color w:val="auto"/>
              </w:rPr>
            </w:pPr>
            <w:r>
              <w:rPr>
                <w:rFonts w:ascii="Arial" w:cs="Arial" w:eastAsia="Arial" w:hAnsi="Arial"/>
                <w:sz w:val="18"/>
                <w:szCs w:val="18"/>
                <w:color w:val="auto"/>
              </w:rPr>
              <w:t>40,881</w:t>
            </w:r>
          </w:p>
        </w:tc>
        <w:tc>
          <w:tcPr>
            <w:tcW w:w="220" w:type="dxa"/>
            <w:vAlign w:val="bottom"/>
          </w:tcPr>
          <w:p>
            <w:pPr>
              <w:spacing w:after="0"/>
              <w:rPr>
                <w:sz w:val="19"/>
                <w:szCs w:val="19"/>
                <w:color w:val="auto"/>
              </w:rPr>
            </w:pPr>
          </w:p>
        </w:tc>
        <w:tc>
          <w:tcPr>
            <w:tcW w:w="8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130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12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080" w:type="dxa"/>
            <w:vAlign w:val="bottom"/>
          </w:tcPr>
          <w:p>
            <w:pPr>
              <w:jc w:val="right"/>
              <w:spacing w:after="0"/>
              <w:rPr>
                <w:sz w:val="20"/>
                <w:szCs w:val="20"/>
                <w:color w:val="auto"/>
              </w:rPr>
            </w:pPr>
            <w:r>
              <w:rPr>
                <w:rFonts w:ascii="Arial" w:cs="Arial" w:eastAsia="Arial" w:hAnsi="Arial"/>
                <w:sz w:val="18"/>
                <w:szCs w:val="18"/>
                <w:color w:val="auto"/>
              </w:rPr>
              <w:t>60,995</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4880" w:type="dxa"/>
            <w:vAlign w:val="bottom"/>
            <w:shd w:val="clear" w:color="auto" w:fill="CFF0FC"/>
          </w:tcPr>
          <w:p>
            <w:pPr>
              <w:spacing w:after="0"/>
              <w:rPr>
                <w:sz w:val="20"/>
                <w:szCs w:val="20"/>
                <w:color w:val="auto"/>
              </w:rPr>
            </w:pPr>
            <w:r>
              <w:rPr>
                <w:rFonts w:ascii="Arial" w:cs="Arial" w:eastAsia="Arial" w:hAnsi="Arial"/>
                <w:sz w:val="18"/>
                <w:szCs w:val="18"/>
                <w:color w:val="auto"/>
              </w:rPr>
              <w:t>Intercompany payables</w:t>
            </w:r>
          </w:p>
        </w:tc>
        <w:tc>
          <w:tcPr>
            <w:tcW w:w="106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280" w:type="dxa"/>
            <w:vAlign w:val="bottom"/>
            <w:gridSpan w:val="2"/>
            <w:shd w:val="clear" w:color="auto" w:fill="CFF0FC"/>
          </w:tcPr>
          <w:p>
            <w:pPr>
              <w:jc w:val="right"/>
              <w:ind w:right="220"/>
              <w:spacing w:after="0"/>
              <w:rPr>
                <w:sz w:val="20"/>
                <w:szCs w:val="20"/>
                <w:color w:val="auto"/>
              </w:rPr>
            </w:pPr>
            <w:r>
              <w:rPr>
                <w:rFonts w:ascii="Arial" w:cs="Arial" w:eastAsia="Arial" w:hAnsi="Arial"/>
                <w:sz w:val="18"/>
                <w:szCs w:val="18"/>
                <w:color w:val="auto"/>
              </w:rPr>
              <w:t>—</w:t>
            </w:r>
          </w:p>
        </w:tc>
        <w:tc>
          <w:tcPr>
            <w:tcW w:w="100" w:type="dxa"/>
            <w:vAlign w:val="bottom"/>
            <w:shd w:val="clear" w:color="auto" w:fill="CFF0FC"/>
          </w:tcPr>
          <w:p>
            <w:pPr>
              <w:spacing w:after="0"/>
              <w:rPr>
                <w:sz w:val="19"/>
                <w:szCs w:val="19"/>
                <w:color w:val="auto"/>
              </w:rPr>
            </w:pPr>
          </w:p>
        </w:tc>
        <w:tc>
          <w:tcPr>
            <w:tcW w:w="10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861,518</w:t>
            </w:r>
          </w:p>
        </w:tc>
        <w:tc>
          <w:tcPr>
            <w:tcW w:w="22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1300" w:type="dxa"/>
            <w:vAlign w:val="bottom"/>
            <w:gridSpan w:val="2"/>
            <w:shd w:val="clear" w:color="auto" w:fill="CFF0FC"/>
          </w:tcPr>
          <w:p>
            <w:pPr>
              <w:jc w:val="right"/>
              <w:ind w:right="60"/>
              <w:spacing w:after="0"/>
              <w:rPr>
                <w:sz w:val="20"/>
                <w:szCs w:val="20"/>
                <w:color w:val="auto"/>
              </w:rPr>
            </w:pPr>
            <w:r>
              <w:rPr>
                <w:rFonts w:ascii="Arial" w:cs="Arial" w:eastAsia="Arial" w:hAnsi="Arial"/>
                <w:sz w:val="18"/>
                <w:szCs w:val="18"/>
                <w:color w:val="auto"/>
              </w:rPr>
              <w:t>(861,518)</w:t>
            </w:r>
          </w:p>
        </w:tc>
        <w:tc>
          <w:tcPr>
            <w:tcW w:w="120" w:type="dxa"/>
            <w:vAlign w:val="bottom"/>
            <w:shd w:val="clear" w:color="auto" w:fill="CFF0FC"/>
          </w:tcPr>
          <w:p>
            <w:pPr>
              <w:spacing w:after="0"/>
              <w:rPr>
                <w:sz w:val="19"/>
                <w:szCs w:val="19"/>
                <w:color w:val="auto"/>
              </w:rPr>
            </w:pPr>
          </w:p>
        </w:tc>
        <w:tc>
          <w:tcPr>
            <w:tcW w:w="1200" w:type="dxa"/>
            <w:vAlign w:val="bottom"/>
            <w:gridSpan w:val="2"/>
            <w:shd w:val="clear" w:color="auto" w:fill="CFF0FC"/>
          </w:tcPr>
          <w:p>
            <w:pPr>
              <w:jc w:val="right"/>
              <w:ind w:right="14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4880" w:type="dxa"/>
            <w:vAlign w:val="bottom"/>
          </w:tcPr>
          <w:p>
            <w:pPr>
              <w:spacing w:after="0"/>
              <w:rPr>
                <w:sz w:val="20"/>
                <w:szCs w:val="20"/>
                <w:color w:val="auto"/>
              </w:rPr>
            </w:pPr>
            <w:r>
              <w:rPr>
                <w:rFonts w:ascii="Arial" w:cs="Arial" w:eastAsia="Arial" w:hAnsi="Arial"/>
                <w:sz w:val="18"/>
                <w:szCs w:val="18"/>
                <w:color w:val="auto"/>
              </w:rPr>
              <w:t>Accrued expenses and other liabilities</w:t>
            </w:r>
          </w:p>
        </w:tc>
        <w:tc>
          <w:tcPr>
            <w:tcW w:w="10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69,123</w:t>
            </w:r>
          </w:p>
        </w:tc>
        <w:tc>
          <w:tcPr>
            <w:tcW w:w="2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141,478</w:t>
            </w:r>
          </w:p>
        </w:tc>
        <w:tc>
          <w:tcPr>
            <w:tcW w:w="2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30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9"/>
                <w:szCs w:val="19"/>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210,601</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4880" w:type="dxa"/>
            <w:vAlign w:val="bottom"/>
            <w:shd w:val="clear" w:color="auto" w:fill="CFF0FC"/>
          </w:tcPr>
          <w:p>
            <w:pPr>
              <w:spacing w:after="0"/>
              <w:rPr>
                <w:sz w:val="20"/>
                <w:szCs w:val="20"/>
                <w:color w:val="auto"/>
              </w:rPr>
            </w:pPr>
            <w:r>
              <w:rPr>
                <w:rFonts w:ascii="Arial" w:cs="Arial" w:eastAsia="Arial" w:hAnsi="Arial"/>
                <w:sz w:val="18"/>
                <w:szCs w:val="18"/>
                <w:color w:val="auto"/>
              </w:rPr>
              <w:t>Notes payable and other borrowings</w:t>
            </w:r>
          </w:p>
        </w:tc>
        <w:tc>
          <w:tcPr>
            <w:tcW w:w="106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0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321,542</w:t>
            </w:r>
          </w:p>
        </w:tc>
        <w:tc>
          <w:tcPr>
            <w:tcW w:w="22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0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600</w:t>
            </w:r>
          </w:p>
        </w:tc>
        <w:tc>
          <w:tcPr>
            <w:tcW w:w="22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1300" w:type="dxa"/>
            <w:vAlign w:val="bottom"/>
            <w:gridSpan w:val="2"/>
            <w:shd w:val="clear" w:color="auto" w:fill="CFF0FC"/>
          </w:tcPr>
          <w:p>
            <w:pPr>
              <w:jc w:val="right"/>
              <w:ind w:right="140"/>
              <w:spacing w:after="0"/>
              <w:rPr>
                <w:sz w:val="20"/>
                <w:szCs w:val="20"/>
                <w:color w:val="auto"/>
              </w:rPr>
            </w:pPr>
            <w:r>
              <w:rPr>
                <w:rFonts w:ascii="Arial" w:cs="Arial" w:eastAsia="Arial" w:hAnsi="Arial"/>
                <w:sz w:val="18"/>
                <w:szCs w:val="18"/>
                <w:color w:val="auto"/>
              </w:rPr>
              <w:t>—</w:t>
            </w:r>
          </w:p>
        </w:tc>
        <w:tc>
          <w:tcPr>
            <w:tcW w:w="120" w:type="dxa"/>
            <w:vAlign w:val="bottom"/>
            <w:shd w:val="clear" w:color="auto" w:fill="CFF0FC"/>
          </w:tcPr>
          <w:p>
            <w:pPr>
              <w:spacing w:after="0"/>
              <w:rPr>
                <w:sz w:val="19"/>
                <w:szCs w:val="19"/>
                <w:color w:val="auto"/>
              </w:rPr>
            </w:pPr>
          </w:p>
        </w:tc>
        <w:tc>
          <w:tcPr>
            <w:tcW w:w="10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322,142</w:t>
            </w:r>
          </w:p>
        </w:tc>
        <w:tc>
          <w:tcPr>
            <w:tcW w:w="1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4880" w:type="dxa"/>
            <w:vAlign w:val="bottom"/>
          </w:tcPr>
          <w:p>
            <w:pPr>
              <w:spacing w:after="0"/>
              <w:rPr>
                <w:sz w:val="20"/>
                <w:szCs w:val="20"/>
                <w:color w:val="auto"/>
              </w:rPr>
            </w:pPr>
            <w:r>
              <w:rPr>
                <w:rFonts w:ascii="Arial" w:cs="Arial" w:eastAsia="Arial" w:hAnsi="Arial"/>
                <w:sz w:val="18"/>
                <w:szCs w:val="18"/>
                <w:color w:val="auto"/>
              </w:rPr>
              <w:t>Senior notes</w:t>
            </w:r>
          </w:p>
        </w:tc>
        <w:tc>
          <w:tcPr>
            <w:tcW w:w="10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887,882</w:t>
            </w:r>
          </w:p>
        </w:tc>
        <w:tc>
          <w:tcPr>
            <w:tcW w:w="2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280" w:type="dxa"/>
            <w:vAlign w:val="bottom"/>
            <w:gridSpan w:val="2"/>
          </w:tcPr>
          <w:p>
            <w:pPr>
              <w:jc w:val="right"/>
              <w:ind w:right="24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9"/>
                <w:szCs w:val="19"/>
                <w:color w:val="auto"/>
              </w:rPr>
            </w:pPr>
          </w:p>
        </w:tc>
        <w:tc>
          <w:tcPr>
            <w:tcW w:w="130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9"/>
                <w:szCs w:val="19"/>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887,882</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4880" w:type="dxa"/>
            <w:vAlign w:val="bottom"/>
            <w:tcBorders>
              <w:top w:val="single" w:sz="8" w:color="CFF0FC"/>
            </w:tcBorders>
            <w:shd w:val="clear" w:color="auto" w:fill="CFF0FC"/>
          </w:tcPr>
          <w:p>
            <w:pPr>
              <w:ind w:left="240"/>
              <w:spacing w:after="0"/>
              <w:rPr>
                <w:sz w:val="20"/>
                <w:szCs w:val="20"/>
                <w:color w:val="auto"/>
              </w:rPr>
            </w:pPr>
            <w:r>
              <w:rPr>
                <w:rFonts w:ascii="Arial" w:cs="Arial" w:eastAsia="Arial" w:hAnsi="Arial"/>
                <w:sz w:val="18"/>
                <w:szCs w:val="18"/>
                <w:color w:val="auto"/>
              </w:rPr>
              <w:t>Total Liabilities</w:t>
            </w:r>
          </w:p>
        </w:tc>
        <w:tc>
          <w:tcPr>
            <w:tcW w:w="1060" w:type="dxa"/>
            <w:vAlign w:val="bottom"/>
            <w:tcBorders>
              <w:top w:val="single" w:sz="8" w:color="CFF0FC"/>
            </w:tcBorders>
            <w:shd w:val="clear" w:color="auto" w:fill="CFF0FC"/>
          </w:tcPr>
          <w:p>
            <w:pPr>
              <w:spacing w:after="0"/>
              <w:rPr>
                <w:sz w:val="19"/>
                <w:szCs w:val="19"/>
                <w:color w:val="auto"/>
              </w:rPr>
            </w:pPr>
          </w:p>
        </w:tc>
        <w:tc>
          <w:tcPr>
            <w:tcW w:w="100" w:type="dxa"/>
            <w:vAlign w:val="bottom"/>
            <w:tcBorders>
              <w:top w:val="single" w:sz="8" w:color="auto"/>
              <w:bottom w:val="single" w:sz="8" w:color="auto"/>
            </w:tcBorders>
            <w:shd w:val="clear" w:color="auto" w:fill="CFF0FC"/>
          </w:tcPr>
          <w:p>
            <w:pPr>
              <w:spacing w:after="0"/>
              <w:rPr>
                <w:sz w:val="19"/>
                <w:szCs w:val="19"/>
                <w:color w:val="auto"/>
              </w:rPr>
            </w:pPr>
          </w:p>
        </w:tc>
        <w:tc>
          <w:tcPr>
            <w:tcW w:w="106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1,298,661</w:t>
            </w:r>
          </w:p>
        </w:tc>
        <w:tc>
          <w:tcPr>
            <w:tcW w:w="220" w:type="dxa"/>
            <w:vAlign w:val="bottom"/>
            <w:tcBorders>
              <w:top w:val="single" w:sz="8" w:color="CFF0FC"/>
            </w:tcBorders>
            <w:shd w:val="clear" w:color="auto" w:fill="CFF0FC"/>
          </w:tcPr>
          <w:p>
            <w:pPr>
              <w:spacing w:after="0"/>
              <w:rPr>
                <w:sz w:val="19"/>
                <w:szCs w:val="19"/>
                <w:color w:val="auto"/>
              </w:rPr>
            </w:pPr>
          </w:p>
        </w:tc>
        <w:tc>
          <w:tcPr>
            <w:tcW w:w="100" w:type="dxa"/>
            <w:vAlign w:val="bottom"/>
            <w:tcBorders>
              <w:top w:val="single" w:sz="8" w:color="auto"/>
              <w:bottom w:val="single" w:sz="8" w:color="auto"/>
            </w:tcBorders>
            <w:shd w:val="clear" w:color="auto" w:fill="CFF0FC"/>
          </w:tcPr>
          <w:p>
            <w:pPr>
              <w:spacing w:after="0"/>
              <w:rPr>
                <w:sz w:val="19"/>
                <w:szCs w:val="19"/>
                <w:color w:val="auto"/>
              </w:rPr>
            </w:pPr>
          </w:p>
        </w:tc>
        <w:tc>
          <w:tcPr>
            <w:tcW w:w="106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1,044,477</w:t>
            </w:r>
          </w:p>
        </w:tc>
        <w:tc>
          <w:tcPr>
            <w:tcW w:w="220" w:type="dxa"/>
            <w:vAlign w:val="bottom"/>
            <w:tcBorders>
              <w:top w:val="single" w:sz="8" w:color="CFF0FC"/>
            </w:tcBorders>
            <w:shd w:val="clear" w:color="auto" w:fill="CFF0FC"/>
          </w:tcPr>
          <w:p>
            <w:pPr>
              <w:spacing w:after="0"/>
              <w:rPr>
                <w:sz w:val="19"/>
                <w:szCs w:val="19"/>
                <w:color w:val="auto"/>
              </w:rPr>
            </w:pPr>
          </w:p>
        </w:tc>
        <w:tc>
          <w:tcPr>
            <w:tcW w:w="80" w:type="dxa"/>
            <w:vAlign w:val="bottom"/>
            <w:tcBorders>
              <w:top w:val="single" w:sz="8" w:color="auto"/>
              <w:bottom w:val="single" w:sz="8" w:color="auto"/>
            </w:tcBorders>
            <w:shd w:val="clear" w:color="auto" w:fill="CFF0FC"/>
          </w:tcPr>
          <w:p>
            <w:pPr>
              <w:spacing w:after="0"/>
              <w:rPr>
                <w:sz w:val="19"/>
                <w:szCs w:val="19"/>
                <w:color w:val="auto"/>
              </w:rPr>
            </w:pPr>
          </w:p>
        </w:tc>
        <w:tc>
          <w:tcPr>
            <w:tcW w:w="110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(861,518)</w:t>
            </w:r>
          </w:p>
        </w:tc>
        <w:tc>
          <w:tcPr>
            <w:tcW w:w="200" w:type="dxa"/>
            <w:vAlign w:val="bottom"/>
            <w:tcBorders>
              <w:top w:val="single" w:sz="8" w:color="CFF0FC"/>
            </w:tcBorders>
            <w:shd w:val="clear" w:color="auto" w:fill="CFF0FC"/>
          </w:tcPr>
          <w:p>
            <w:pPr>
              <w:spacing w:after="0"/>
              <w:rPr>
                <w:sz w:val="19"/>
                <w:szCs w:val="19"/>
                <w:color w:val="auto"/>
              </w:rPr>
            </w:pPr>
          </w:p>
        </w:tc>
        <w:tc>
          <w:tcPr>
            <w:tcW w:w="120" w:type="dxa"/>
            <w:vAlign w:val="bottom"/>
            <w:tcBorders>
              <w:top w:val="single" w:sz="8" w:color="auto"/>
              <w:bottom w:val="single" w:sz="8" w:color="auto"/>
            </w:tcBorders>
            <w:shd w:val="clear" w:color="auto" w:fill="CFF0FC"/>
          </w:tcPr>
          <w:p>
            <w:pPr>
              <w:spacing w:after="0"/>
              <w:rPr>
                <w:sz w:val="19"/>
                <w:szCs w:val="19"/>
                <w:color w:val="auto"/>
              </w:rPr>
            </w:pPr>
          </w:p>
        </w:tc>
        <w:tc>
          <w:tcPr>
            <w:tcW w:w="108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1,481,620</w:t>
            </w:r>
          </w:p>
        </w:tc>
        <w:tc>
          <w:tcPr>
            <w:tcW w:w="120" w:type="dxa"/>
            <w:vAlign w:val="bottom"/>
            <w:tcBorders>
              <w:top w:val="single" w:sz="8" w:color="CFF0FC"/>
            </w:tcBorders>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20" w:type="dxa"/>
            <w:vAlign w:val="bottom"/>
            <w:vMerge w:val="restart"/>
          </w:tcPr>
          <w:p>
            <w:pPr>
              <w:spacing w:after="0"/>
              <w:rPr>
                <w:sz w:val="19"/>
                <w:szCs w:val="19"/>
                <w:color w:val="auto"/>
              </w:rPr>
            </w:pPr>
          </w:p>
        </w:tc>
        <w:tc>
          <w:tcPr>
            <w:tcW w:w="4880" w:type="dxa"/>
            <w:vAlign w:val="bottom"/>
          </w:tcPr>
          <w:p>
            <w:pPr>
              <w:spacing w:after="0"/>
              <w:rPr>
                <w:sz w:val="19"/>
                <w:szCs w:val="19"/>
                <w:color w:val="auto"/>
              </w:rPr>
            </w:pPr>
          </w:p>
        </w:tc>
        <w:tc>
          <w:tcPr>
            <w:tcW w:w="10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6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6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1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vMerge w:val="continue"/>
          </w:tcPr>
          <w:p>
            <w:pPr>
              <w:spacing w:after="0"/>
              <w:rPr>
                <w:sz w:val="19"/>
                <w:szCs w:val="19"/>
                <w:color w:val="auto"/>
              </w:rPr>
            </w:pPr>
          </w:p>
        </w:tc>
        <w:tc>
          <w:tcPr>
            <w:tcW w:w="4880" w:type="dxa"/>
            <w:vAlign w:val="bottom"/>
            <w:shd w:val="clear" w:color="auto" w:fill="CFF0FC"/>
          </w:tcPr>
          <w:p>
            <w:pPr>
              <w:spacing w:after="0"/>
              <w:rPr>
                <w:sz w:val="20"/>
                <w:szCs w:val="20"/>
                <w:color w:val="auto"/>
              </w:rPr>
            </w:pPr>
            <w:r>
              <w:rPr>
                <w:rFonts w:ascii="Arial" w:cs="Arial" w:eastAsia="Arial" w:hAnsi="Arial"/>
                <w:sz w:val="18"/>
                <w:szCs w:val="18"/>
                <w:b w:val="1"/>
                <w:bCs w:val="1"/>
                <w:color w:val="auto"/>
              </w:rPr>
              <w:t>Equity</w:t>
            </w:r>
          </w:p>
        </w:tc>
        <w:tc>
          <w:tcPr>
            <w:tcW w:w="106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060" w:type="dxa"/>
            <w:vAlign w:val="bottom"/>
            <w:shd w:val="clear" w:color="auto" w:fill="CFF0FC"/>
          </w:tcPr>
          <w:p>
            <w:pPr>
              <w:spacing w:after="0"/>
              <w:rPr>
                <w:sz w:val="19"/>
                <w:szCs w:val="19"/>
                <w:color w:val="auto"/>
              </w:rPr>
            </w:pPr>
          </w:p>
        </w:tc>
        <w:tc>
          <w:tcPr>
            <w:tcW w:w="22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060" w:type="dxa"/>
            <w:vAlign w:val="bottom"/>
            <w:shd w:val="clear" w:color="auto" w:fill="CFF0FC"/>
          </w:tcPr>
          <w:p>
            <w:pPr>
              <w:spacing w:after="0"/>
              <w:rPr>
                <w:sz w:val="19"/>
                <w:szCs w:val="19"/>
                <w:color w:val="auto"/>
              </w:rPr>
            </w:pPr>
          </w:p>
        </w:tc>
        <w:tc>
          <w:tcPr>
            <w:tcW w:w="22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110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108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4880" w:type="dxa"/>
            <w:vAlign w:val="bottom"/>
          </w:tcPr>
          <w:p>
            <w:pPr>
              <w:spacing w:after="0"/>
              <w:rPr>
                <w:sz w:val="20"/>
                <w:szCs w:val="20"/>
                <w:color w:val="auto"/>
              </w:rPr>
            </w:pPr>
            <w:r>
              <w:rPr>
                <w:rFonts w:ascii="Arial" w:cs="Arial" w:eastAsia="Arial" w:hAnsi="Arial"/>
                <w:sz w:val="18"/>
                <w:szCs w:val="18"/>
                <w:color w:val="auto"/>
              </w:rPr>
              <w:t>Total Equity</w:t>
            </w:r>
          </w:p>
        </w:tc>
        <w:tc>
          <w:tcPr>
            <w:tcW w:w="10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1,490,627</w:t>
            </w:r>
          </w:p>
        </w:tc>
        <w:tc>
          <w:tcPr>
            <w:tcW w:w="2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975,284</w:t>
            </w:r>
          </w:p>
        </w:tc>
        <w:tc>
          <w:tcPr>
            <w:tcW w:w="2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300" w:type="dxa"/>
            <w:vAlign w:val="bottom"/>
            <w:gridSpan w:val="2"/>
          </w:tcPr>
          <w:p>
            <w:pPr>
              <w:jc w:val="right"/>
              <w:ind w:right="60"/>
              <w:spacing w:after="0"/>
              <w:rPr>
                <w:sz w:val="20"/>
                <w:szCs w:val="20"/>
                <w:color w:val="auto"/>
              </w:rPr>
            </w:pPr>
            <w:r>
              <w:rPr>
                <w:rFonts w:ascii="Arial" w:cs="Arial" w:eastAsia="Arial" w:hAnsi="Arial"/>
                <w:sz w:val="18"/>
                <w:szCs w:val="18"/>
                <w:color w:val="auto"/>
              </w:rPr>
              <w:t>(975,284)</w:t>
            </w:r>
          </w:p>
        </w:tc>
        <w:tc>
          <w:tcPr>
            <w:tcW w:w="120" w:type="dxa"/>
            <w:vAlign w:val="bottom"/>
          </w:tcPr>
          <w:p>
            <w:pPr>
              <w:spacing w:after="0"/>
              <w:rPr>
                <w:sz w:val="19"/>
                <w:szCs w:val="19"/>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1,490,627</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4880" w:type="dxa"/>
            <w:vAlign w:val="bottom"/>
            <w:tcBorders>
              <w:top w:val="single" w:sz="8" w:color="CFF0FC"/>
              <w:bottom w:val="single" w:sz="8" w:color="CFF0FC"/>
            </w:tcBorders>
            <w:shd w:val="clear" w:color="auto" w:fill="CFF0FC"/>
          </w:tcPr>
          <w:p>
            <w:pPr>
              <w:ind w:left="240"/>
              <w:spacing w:after="0"/>
              <w:rPr>
                <w:sz w:val="20"/>
                <w:szCs w:val="20"/>
                <w:color w:val="auto"/>
              </w:rPr>
            </w:pPr>
            <w:r>
              <w:rPr>
                <w:rFonts w:ascii="Arial" w:cs="Arial" w:eastAsia="Arial" w:hAnsi="Arial"/>
                <w:sz w:val="18"/>
                <w:szCs w:val="18"/>
                <w:color w:val="auto"/>
              </w:rPr>
              <w:t>Total Liabilities and Equity</w:t>
            </w:r>
          </w:p>
        </w:tc>
        <w:tc>
          <w:tcPr>
            <w:tcW w:w="1060" w:type="dxa"/>
            <w:vAlign w:val="bottom"/>
            <w:tcBorders>
              <w:top w:val="single" w:sz="8" w:color="CFF0FC"/>
              <w:bottom w:val="single" w:sz="8" w:color="CFF0FC"/>
            </w:tcBorders>
            <w:shd w:val="clear" w:color="auto" w:fill="CFF0FC"/>
          </w:tcPr>
          <w:p>
            <w:pPr>
              <w:spacing w:after="0"/>
              <w:rPr>
                <w:sz w:val="19"/>
                <w:szCs w:val="19"/>
                <w:color w:val="auto"/>
              </w:rPr>
            </w:pPr>
          </w:p>
        </w:tc>
        <w:tc>
          <w:tcPr>
            <w:tcW w:w="10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106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2,789,288</w:t>
            </w:r>
          </w:p>
        </w:tc>
        <w:tc>
          <w:tcPr>
            <w:tcW w:w="220" w:type="dxa"/>
            <w:vAlign w:val="bottom"/>
            <w:tcBorders>
              <w:top w:val="single" w:sz="8" w:color="CFF0FC"/>
              <w:bottom w:val="single" w:sz="8" w:color="CFF0FC"/>
            </w:tcBorders>
            <w:shd w:val="clear" w:color="auto" w:fill="CFF0FC"/>
          </w:tcPr>
          <w:p>
            <w:pPr>
              <w:spacing w:after="0"/>
              <w:rPr>
                <w:sz w:val="19"/>
                <w:szCs w:val="19"/>
                <w:color w:val="auto"/>
              </w:rPr>
            </w:pPr>
          </w:p>
        </w:tc>
        <w:tc>
          <w:tcPr>
            <w:tcW w:w="10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106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2,019,761</w:t>
            </w:r>
          </w:p>
        </w:tc>
        <w:tc>
          <w:tcPr>
            <w:tcW w:w="220" w:type="dxa"/>
            <w:vAlign w:val="bottom"/>
            <w:tcBorders>
              <w:top w:val="single" w:sz="8" w:color="CFF0FC"/>
              <w:bottom w:val="single" w:sz="8" w:color="CFF0FC"/>
            </w:tcBorders>
            <w:shd w:val="clear" w:color="auto" w:fill="CFF0FC"/>
          </w:tcPr>
          <w:p>
            <w:pPr>
              <w:spacing w:after="0"/>
              <w:rPr>
                <w:sz w:val="19"/>
                <w:szCs w:val="19"/>
                <w:color w:val="auto"/>
              </w:rPr>
            </w:pPr>
          </w:p>
        </w:tc>
        <w:tc>
          <w:tcPr>
            <w:tcW w:w="8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5"/>
                <w:szCs w:val="15"/>
                <w:color w:val="auto"/>
                <w:w w:val="71"/>
              </w:rPr>
              <w:t>$</w:t>
            </w:r>
          </w:p>
        </w:tc>
        <w:tc>
          <w:tcPr>
            <w:tcW w:w="110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(1,836,802</w:t>
            </w:r>
          </w:p>
        </w:tc>
        <w:tc>
          <w:tcPr>
            <w:tcW w:w="200" w:type="dxa"/>
            <w:vAlign w:val="bottom"/>
            <w:tcBorders>
              <w:top w:val="single" w:sz="8" w:color="CFF0FC"/>
              <w:bottom w:val="single" w:sz="8" w:color="CFF0FC"/>
            </w:tcBorders>
            <w:shd w:val="clear" w:color="auto" w:fill="CFF0FC"/>
          </w:tcPr>
          <w:p>
            <w:pPr>
              <w:jc w:val="right"/>
              <w:ind w:right="60"/>
              <w:spacing w:after="0"/>
              <w:rPr>
                <w:sz w:val="20"/>
                <w:szCs w:val="20"/>
                <w:color w:val="auto"/>
              </w:rPr>
            </w:pPr>
            <w:r>
              <w:rPr>
                <w:rFonts w:ascii="Arial" w:cs="Arial" w:eastAsia="Arial" w:hAnsi="Arial"/>
                <w:sz w:val="16"/>
                <w:szCs w:val="16"/>
                <w:color w:val="auto"/>
                <w:w w:val="74"/>
              </w:rPr>
              <w:t>)</w:t>
            </w:r>
          </w:p>
        </w:tc>
        <w:tc>
          <w:tcPr>
            <w:tcW w:w="12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108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2,972,247</w:t>
            </w:r>
          </w:p>
        </w:tc>
        <w:tc>
          <w:tcPr>
            <w:tcW w:w="120" w:type="dxa"/>
            <w:vAlign w:val="bottom"/>
            <w:tcBorders>
              <w:top w:val="single" w:sz="8" w:color="CFF0FC"/>
              <w:bottom w:val="single" w:sz="8" w:color="CFF0FC"/>
            </w:tcBorders>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880" w:type="dxa"/>
            <w:vAlign w:val="bottom"/>
          </w:tcPr>
          <w:p>
            <w:pPr>
              <w:spacing w:after="0" w:line="20" w:lineRule="exact"/>
              <w:rPr>
                <w:sz w:val="1"/>
                <w:szCs w:val="1"/>
                <w:color w:val="auto"/>
              </w:rPr>
            </w:pPr>
          </w:p>
        </w:tc>
        <w:tc>
          <w:tcPr>
            <w:tcW w:w="1060" w:type="dxa"/>
            <w:vAlign w:val="bottom"/>
            <w:vMerge w:val="restart"/>
          </w:tcPr>
          <w:p>
            <w:pPr>
              <w:jc w:val="right"/>
              <w:spacing w:after="0"/>
              <w:rPr>
                <w:sz w:val="20"/>
                <w:szCs w:val="20"/>
                <w:color w:val="auto"/>
              </w:rPr>
            </w:pPr>
            <w:r>
              <w:rPr>
                <w:rFonts w:ascii="Arial" w:cs="Arial" w:eastAsia="Arial" w:hAnsi="Arial"/>
                <w:sz w:val="18"/>
                <w:szCs w:val="18"/>
                <w:color w:val="auto"/>
              </w:rPr>
              <w:t>- 24 -</w:t>
            </w:r>
          </w:p>
        </w:tc>
        <w:tc>
          <w:tcPr>
            <w:tcW w:w="10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656"/>
        </w:trPr>
        <w:tc>
          <w:tcPr>
            <w:tcW w:w="20" w:type="dxa"/>
            <w:vAlign w:val="bottom"/>
          </w:tcPr>
          <w:p>
            <w:pPr>
              <w:spacing w:after="0"/>
              <w:rPr>
                <w:sz w:val="24"/>
                <w:szCs w:val="24"/>
                <w:color w:val="auto"/>
              </w:rPr>
            </w:pPr>
          </w:p>
        </w:tc>
        <w:tc>
          <w:tcPr>
            <w:tcW w:w="4880" w:type="dxa"/>
            <w:vAlign w:val="bottom"/>
          </w:tcPr>
          <w:p>
            <w:pPr>
              <w:spacing w:after="0"/>
              <w:rPr>
                <w:sz w:val="24"/>
                <w:szCs w:val="24"/>
                <w:color w:val="auto"/>
              </w:rPr>
            </w:pPr>
          </w:p>
        </w:tc>
        <w:tc>
          <w:tcPr>
            <w:tcW w:w="1060" w:type="dxa"/>
            <w:vAlign w:val="bottom"/>
            <w:vMerge w:val="continue"/>
          </w:tcPr>
          <w:p>
            <w:pPr>
              <w:spacing w:after="0"/>
              <w:rPr>
                <w:sz w:val="24"/>
                <w:szCs w:val="24"/>
                <w:color w:val="auto"/>
              </w:rPr>
            </w:pPr>
          </w:p>
        </w:tc>
        <w:tc>
          <w:tcPr>
            <w:tcW w:w="10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1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355" w:right="239" w:bottom="1440" w:gutter="0" w:footer="0" w:header="0"/>
        </w:sectPr>
      </w:pPr>
    </w:p>
    <w:bookmarkStart w:id="24" w:name="page25"/>
    <w:bookmarkEnd w:id="24"/>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4900" w:type="dxa"/>
            <w:vAlign w:val="bottom"/>
            <w:gridSpan w:val="2"/>
          </w:tcPr>
          <w:p>
            <w:pPr>
              <w:spacing w:after="0"/>
              <w:rPr>
                <w:sz w:val="20"/>
                <w:szCs w:val="20"/>
                <w:color w:val="auto"/>
              </w:rPr>
            </w:pPr>
            <w:r>
              <w:rPr>
                <w:rFonts w:ascii="Arial" w:cs="Arial" w:eastAsia="Arial" w:hAnsi="Arial"/>
                <w:sz w:val="18"/>
                <w:szCs w:val="18"/>
                <w:b w:val="1"/>
                <w:bCs w:val="1"/>
                <w:color w:val="auto"/>
              </w:rPr>
              <w:t>Condensed Consolidating Balance Sheet (in thousands):</w:t>
            </w:r>
          </w:p>
        </w:tc>
        <w:tc>
          <w:tcPr>
            <w:tcW w:w="10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06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06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10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0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73"/>
        </w:trPr>
        <w:tc>
          <w:tcPr>
            <w:tcW w:w="20" w:type="dxa"/>
            <w:vAlign w:val="bottom"/>
          </w:tcPr>
          <w:p>
            <w:pPr>
              <w:spacing w:after="0"/>
              <w:rPr>
                <w:sz w:val="24"/>
                <w:szCs w:val="24"/>
                <w:color w:val="auto"/>
              </w:rPr>
            </w:pPr>
          </w:p>
        </w:tc>
        <w:tc>
          <w:tcPr>
            <w:tcW w:w="488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06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2660" w:type="dxa"/>
            <w:vAlign w:val="bottom"/>
            <w:tcBorders>
              <w:bottom w:val="single" w:sz="8" w:color="auto"/>
            </w:tcBorders>
            <w:gridSpan w:val="5"/>
          </w:tcPr>
          <w:p>
            <w:pPr>
              <w:jc w:val="right"/>
              <w:ind w:right="660"/>
              <w:spacing w:after="0"/>
              <w:rPr>
                <w:sz w:val="20"/>
                <w:szCs w:val="20"/>
                <w:color w:val="auto"/>
              </w:rPr>
            </w:pPr>
            <w:r>
              <w:rPr>
                <w:rFonts w:ascii="Arial" w:cs="Arial" w:eastAsia="Arial" w:hAnsi="Arial"/>
                <w:sz w:val="18"/>
                <w:szCs w:val="18"/>
                <w:b w:val="1"/>
                <w:bCs w:val="1"/>
                <w:color w:val="auto"/>
              </w:rPr>
              <w:t>December 31, 2014</w:t>
            </w:r>
          </w:p>
        </w:tc>
        <w:tc>
          <w:tcPr>
            <w:tcW w:w="120" w:type="dxa"/>
            <w:vAlign w:val="bottom"/>
            <w:tcBorders>
              <w:bottom w:val="single" w:sz="8" w:color="auto"/>
            </w:tcBorders>
          </w:tcPr>
          <w:p>
            <w:pPr>
              <w:spacing w:after="0"/>
              <w:rPr>
                <w:sz w:val="24"/>
                <w:szCs w:val="24"/>
                <w:color w:val="auto"/>
              </w:rPr>
            </w:pPr>
          </w:p>
        </w:tc>
        <w:tc>
          <w:tcPr>
            <w:tcW w:w="1080" w:type="dxa"/>
            <w:vAlign w:val="bottom"/>
            <w:tcBorders>
              <w:bottom w:val="single" w:sz="8" w:color="auto"/>
            </w:tcBorders>
          </w:tcPr>
          <w:p>
            <w:pPr>
              <w:spacing w:after="0"/>
              <w:rPr>
                <w:sz w:val="24"/>
                <w:szCs w:val="24"/>
                <w:color w:val="auto"/>
              </w:rPr>
            </w:pPr>
          </w:p>
        </w:tc>
        <w:tc>
          <w:tcPr>
            <w:tcW w:w="1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8"/>
        </w:trPr>
        <w:tc>
          <w:tcPr>
            <w:tcW w:w="20" w:type="dxa"/>
            <w:vAlign w:val="bottom"/>
          </w:tcPr>
          <w:p>
            <w:pPr>
              <w:spacing w:after="0"/>
              <w:rPr>
                <w:sz w:val="18"/>
                <w:szCs w:val="18"/>
                <w:color w:val="auto"/>
              </w:rPr>
            </w:pPr>
          </w:p>
        </w:tc>
        <w:tc>
          <w:tcPr>
            <w:tcW w:w="488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200" w:type="dxa"/>
            <w:vAlign w:val="bottom"/>
            <w:gridSpan w:val="2"/>
          </w:tcPr>
          <w:p>
            <w:pPr>
              <w:jc w:val="center"/>
              <w:spacing w:after="0"/>
              <w:rPr>
                <w:sz w:val="20"/>
                <w:szCs w:val="20"/>
                <w:color w:val="auto"/>
              </w:rPr>
            </w:pPr>
            <w:r>
              <w:rPr>
                <w:rFonts w:ascii="Arial" w:cs="Arial" w:eastAsia="Arial" w:hAnsi="Arial"/>
                <w:sz w:val="18"/>
                <w:szCs w:val="18"/>
                <w:b w:val="1"/>
                <w:bCs w:val="1"/>
                <w:color w:val="auto"/>
                <w:w w:val="87"/>
              </w:rPr>
              <w:t>Consolidated</w:t>
            </w: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4880" w:type="dxa"/>
            <w:vAlign w:val="bottom"/>
          </w:tcPr>
          <w:p>
            <w:pPr>
              <w:spacing w:after="0"/>
              <w:rPr>
                <w:sz w:val="19"/>
                <w:szCs w:val="19"/>
                <w:color w:val="auto"/>
              </w:rPr>
            </w:pPr>
          </w:p>
        </w:tc>
        <w:tc>
          <w:tcPr>
            <w:tcW w:w="10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280" w:type="dxa"/>
            <w:vAlign w:val="bottom"/>
            <w:gridSpan w:val="2"/>
          </w:tcPr>
          <w:p>
            <w:pPr>
              <w:jc w:val="center"/>
              <w:ind w:right="320"/>
              <w:spacing w:after="0"/>
              <w:rPr>
                <w:sz w:val="20"/>
                <w:szCs w:val="20"/>
                <w:color w:val="auto"/>
              </w:rPr>
            </w:pPr>
            <w:r>
              <w:rPr>
                <w:rFonts w:ascii="Arial" w:cs="Arial" w:eastAsia="Arial" w:hAnsi="Arial"/>
                <w:sz w:val="18"/>
                <w:szCs w:val="18"/>
                <w:b w:val="1"/>
                <w:bCs w:val="1"/>
                <w:color w:val="auto"/>
                <w:w w:val="94"/>
              </w:rPr>
              <w:t>TRI Pointe</w:t>
            </w:r>
          </w:p>
        </w:tc>
        <w:tc>
          <w:tcPr>
            <w:tcW w:w="100" w:type="dxa"/>
            <w:vAlign w:val="bottom"/>
          </w:tcPr>
          <w:p>
            <w:pPr>
              <w:spacing w:after="0"/>
              <w:rPr>
                <w:sz w:val="19"/>
                <w:szCs w:val="19"/>
                <w:color w:val="auto"/>
              </w:rPr>
            </w:pPr>
          </w:p>
        </w:tc>
        <w:tc>
          <w:tcPr>
            <w:tcW w:w="1280" w:type="dxa"/>
            <w:vAlign w:val="bottom"/>
            <w:gridSpan w:val="2"/>
          </w:tcPr>
          <w:p>
            <w:pPr>
              <w:jc w:val="center"/>
              <w:ind w:right="320"/>
              <w:spacing w:after="0"/>
              <w:rPr>
                <w:sz w:val="20"/>
                <w:szCs w:val="20"/>
                <w:color w:val="auto"/>
              </w:rPr>
            </w:pPr>
            <w:r>
              <w:rPr>
                <w:rFonts w:ascii="Arial" w:cs="Arial" w:eastAsia="Arial" w:hAnsi="Arial"/>
                <w:sz w:val="18"/>
                <w:szCs w:val="18"/>
                <w:b w:val="1"/>
                <w:bCs w:val="1"/>
                <w:color w:val="auto"/>
                <w:w w:val="96"/>
              </w:rPr>
              <w:t>Guarantor</w:t>
            </w:r>
          </w:p>
        </w:tc>
        <w:tc>
          <w:tcPr>
            <w:tcW w:w="1380" w:type="dxa"/>
            <w:vAlign w:val="bottom"/>
            <w:gridSpan w:val="3"/>
          </w:tcPr>
          <w:p>
            <w:pPr>
              <w:jc w:val="right"/>
              <w:ind w:right="180"/>
              <w:spacing w:after="0"/>
              <w:rPr>
                <w:sz w:val="20"/>
                <w:szCs w:val="20"/>
                <w:color w:val="auto"/>
              </w:rPr>
            </w:pPr>
            <w:r>
              <w:rPr>
                <w:rFonts w:ascii="Arial" w:cs="Arial" w:eastAsia="Arial" w:hAnsi="Arial"/>
                <w:sz w:val="18"/>
                <w:szCs w:val="18"/>
                <w:b w:val="1"/>
                <w:bCs w:val="1"/>
                <w:color w:val="auto"/>
                <w:w w:val="91"/>
              </w:rPr>
              <w:t>Consolidating</w:t>
            </w:r>
          </w:p>
        </w:tc>
        <w:tc>
          <w:tcPr>
            <w:tcW w:w="120" w:type="dxa"/>
            <w:vAlign w:val="bottom"/>
          </w:tcPr>
          <w:p>
            <w:pPr>
              <w:spacing w:after="0"/>
              <w:rPr>
                <w:sz w:val="19"/>
                <w:szCs w:val="19"/>
                <w:color w:val="auto"/>
              </w:rPr>
            </w:pPr>
          </w:p>
        </w:tc>
        <w:tc>
          <w:tcPr>
            <w:tcW w:w="1200" w:type="dxa"/>
            <w:vAlign w:val="bottom"/>
            <w:gridSpan w:val="2"/>
          </w:tcPr>
          <w:p>
            <w:pPr>
              <w:jc w:val="center"/>
              <w:ind w:right="240"/>
              <w:spacing w:after="0"/>
              <w:rPr>
                <w:sz w:val="20"/>
                <w:szCs w:val="20"/>
                <w:color w:val="auto"/>
              </w:rPr>
            </w:pPr>
            <w:r>
              <w:rPr>
                <w:rFonts w:ascii="Arial" w:cs="Arial" w:eastAsia="Arial" w:hAnsi="Arial"/>
                <w:sz w:val="18"/>
                <w:szCs w:val="18"/>
                <w:b w:val="1"/>
                <w:bCs w:val="1"/>
                <w:color w:val="auto"/>
                <w:w w:val="94"/>
              </w:rPr>
              <w:t>TRI Pointe</w:t>
            </w:r>
          </w:p>
        </w:tc>
        <w:tc>
          <w:tcPr>
            <w:tcW w:w="0" w:type="dxa"/>
            <w:vAlign w:val="bottom"/>
          </w:tcPr>
          <w:p>
            <w:pPr>
              <w:spacing w:after="0"/>
              <w:rPr>
                <w:sz w:val="1"/>
                <w:szCs w:val="1"/>
                <w:color w:val="auto"/>
              </w:rPr>
            </w:pPr>
          </w:p>
        </w:tc>
      </w:tr>
      <w:tr>
        <w:trPr>
          <w:trHeight w:val="234"/>
        </w:trPr>
        <w:tc>
          <w:tcPr>
            <w:tcW w:w="20" w:type="dxa"/>
            <w:vAlign w:val="bottom"/>
          </w:tcPr>
          <w:p>
            <w:pPr>
              <w:spacing w:after="0"/>
              <w:rPr>
                <w:sz w:val="20"/>
                <w:szCs w:val="20"/>
                <w:color w:val="auto"/>
              </w:rPr>
            </w:pPr>
          </w:p>
        </w:tc>
        <w:tc>
          <w:tcPr>
            <w:tcW w:w="4880" w:type="dxa"/>
            <w:vAlign w:val="bottom"/>
          </w:tcPr>
          <w:p>
            <w:pPr>
              <w:spacing w:after="0"/>
              <w:rPr>
                <w:sz w:val="20"/>
                <w:szCs w:val="20"/>
                <w:color w:val="auto"/>
              </w:rPr>
            </w:pPr>
          </w:p>
        </w:tc>
        <w:tc>
          <w:tcPr>
            <w:tcW w:w="10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280" w:type="dxa"/>
            <w:vAlign w:val="bottom"/>
            <w:gridSpan w:val="2"/>
          </w:tcPr>
          <w:p>
            <w:pPr>
              <w:jc w:val="center"/>
              <w:ind w:right="320"/>
              <w:spacing w:after="0"/>
              <w:rPr>
                <w:sz w:val="20"/>
                <w:szCs w:val="20"/>
                <w:color w:val="auto"/>
              </w:rPr>
            </w:pPr>
            <w:r>
              <w:rPr>
                <w:rFonts w:ascii="Arial" w:cs="Arial" w:eastAsia="Arial" w:hAnsi="Arial"/>
                <w:sz w:val="18"/>
                <w:szCs w:val="18"/>
                <w:b w:val="1"/>
                <w:bCs w:val="1"/>
                <w:color w:val="auto"/>
                <w:w w:val="91"/>
              </w:rPr>
              <w:t>Homes, Inc.</w:t>
            </w:r>
          </w:p>
        </w:tc>
        <w:tc>
          <w:tcPr>
            <w:tcW w:w="100" w:type="dxa"/>
            <w:vAlign w:val="bottom"/>
          </w:tcPr>
          <w:p>
            <w:pPr>
              <w:spacing w:after="0"/>
              <w:rPr>
                <w:sz w:val="20"/>
                <w:szCs w:val="20"/>
                <w:color w:val="auto"/>
              </w:rPr>
            </w:pPr>
          </w:p>
        </w:tc>
        <w:tc>
          <w:tcPr>
            <w:tcW w:w="1280" w:type="dxa"/>
            <w:vAlign w:val="bottom"/>
            <w:gridSpan w:val="2"/>
          </w:tcPr>
          <w:p>
            <w:pPr>
              <w:jc w:val="center"/>
              <w:ind w:right="340"/>
              <w:spacing w:after="0"/>
              <w:rPr>
                <w:sz w:val="20"/>
                <w:szCs w:val="20"/>
                <w:color w:val="auto"/>
              </w:rPr>
            </w:pPr>
            <w:r>
              <w:rPr>
                <w:rFonts w:ascii="Arial" w:cs="Arial" w:eastAsia="Arial" w:hAnsi="Arial"/>
                <w:sz w:val="18"/>
                <w:szCs w:val="18"/>
                <w:b w:val="1"/>
                <w:bCs w:val="1"/>
                <w:color w:val="auto"/>
                <w:w w:val="87"/>
              </w:rPr>
              <w:t>Subsidiaries</w:t>
            </w:r>
          </w:p>
        </w:tc>
        <w:tc>
          <w:tcPr>
            <w:tcW w:w="80" w:type="dxa"/>
            <w:vAlign w:val="bottom"/>
          </w:tcPr>
          <w:p>
            <w:pPr>
              <w:spacing w:after="0"/>
              <w:rPr>
                <w:sz w:val="20"/>
                <w:szCs w:val="20"/>
                <w:color w:val="auto"/>
              </w:rPr>
            </w:pPr>
          </w:p>
        </w:tc>
        <w:tc>
          <w:tcPr>
            <w:tcW w:w="1300" w:type="dxa"/>
            <w:vAlign w:val="bottom"/>
            <w:gridSpan w:val="2"/>
          </w:tcPr>
          <w:p>
            <w:pPr>
              <w:jc w:val="right"/>
              <w:ind w:right="240"/>
              <w:spacing w:after="0"/>
              <w:rPr>
                <w:sz w:val="20"/>
                <w:szCs w:val="20"/>
                <w:color w:val="auto"/>
              </w:rPr>
            </w:pPr>
            <w:r>
              <w:rPr>
                <w:rFonts w:ascii="Arial" w:cs="Arial" w:eastAsia="Arial" w:hAnsi="Arial"/>
                <w:sz w:val="18"/>
                <w:szCs w:val="18"/>
                <w:b w:val="1"/>
                <w:bCs w:val="1"/>
                <w:color w:val="auto"/>
                <w:w w:val="88"/>
              </w:rPr>
              <w:t>Adjustments</w:t>
            </w:r>
          </w:p>
        </w:tc>
        <w:tc>
          <w:tcPr>
            <w:tcW w:w="120" w:type="dxa"/>
            <w:vAlign w:val="bottom"/>
          </w:tcPr>
          <w:p>
            <w:pPr>
              <w:spacing w:after="0"/>
              <w:rPr>
                <w:sz w:val="20"/>
                <w:szCs w:val="20"/>
                <w:color w:val="auto"/>
              </w:rPr>
            </w:pPr>
          </w:p>
        </w:tc>
        <w:tc>
          <w:tcPr>
            <w:tcW w:w="1200" w:type="dxa"/>
            <w:vAlign w:val="bottom"/>
            <w:gridSpan w:val="2"/>
          </w:tcPr>
          <w:p>
            <w:pPr>
              <w:jc w:val="center"/>
              <w:ind w:right="240"/>
              <w:spacing w:after="0"/>
              <w:rPr>
                <w:sz w:val="20"/>
                <w:szCs w:val="20"/>
                <w:color w:val="auto"/>
              </w:rPr>
            </w:pPr>
            <w:r>
              <w:rPr>
                <w:rFonts w:ascii="Arial" w:cs="Arial" w:eastAsia="Arial" w:hAnsi="Arial"/>
                <w:sz w:val="18"/>
                <w:szCs w:val="18"/>
                <w:b w:val="1"/>
                <w:bCs w:val="1"/>
                <w:color w:val="auto"/>
                <w:w w:val="91"/>
              </w:rPr>
              <w:t>Homes, Inc.</w:t>
            </w: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4880" w:type="dxa"/>
            <w:vAlign w:val="bottom"/>
            <w:tcBorders>
              <w:top w:val="single" w:sz="8" w:color="CFF0FC"/>
            </w:tcBorders>
            <w:shd w:val="clear" w:color="auto" w:fill="CFF0FC"/>
          </w:tcPr>
          <w:p>
            <w:pPr>
              <w:spacing w:after="0"/>
              <w:rPr>
                <w:sz w:val="20"/>
                <w:szCs w:val="20"/>
                <w:color w:val="auto"/>
              </w:rPr>
            </w:pPr>
            <w:r>
              <w:rPr>
                <w:rFonts w:ascii="Arial" w:cs="Arial" w:eastAsia="Arial" w:hAnsi="Arial"/>
                <w:sz w:val="18"/>
                <w:szCs w:val="18"/>
                <w:b w:val="1"/>
                <w:bCs w:val="1"/>
                <w:color w:val="auto"/>
              </w:rPr>
              <w:t>Assets</w:t>
            </w:r>
          </w:p>
        </w:tc>
        <w:tc>
          <w:tcPr>
            <w:tcW w:w="1060" w:type="dxa"/>
            <w:vAlign w:val="bottom"/>
            <w:tcBorders>
              <w:top w:val="single" w:sz="8" w:color="CFF0FC"/>
            </w:tcBorders>
            <w:shd w:val="clear" w:color="auto" w:fill="CFF0FC"/>
          </w:tcPr>
          <w:p>
            <w:pPr>
              <w:spacing w:after="0"/>
              <w:rPr>
                <w:sz w:val="19"/>
                <w:szCs w:val="19"/>
                <w:color w:val="auto"/>
              </w:rPr>
            </w:pPr>
          </w:p>
        </w:tc>
        <w:tc>
          <w:tcPr>
            <w:tcW w:w="100" w:type="dxa"/>
            <w:vAlign w:val="bottom"/>
            <w:tcBorders>
              <w:top w:val="single" w:sz="8" w:color="auto"/>
            </w:tcBorders>
            <w:shd w:val="clear" w:color="auto" w:fill="CFF0FC"/>
          </w:tcPr>
          <w:p>
            <w:pPr>
              <w:spacing w:after="0"/>
              <w:rPr>
                <w:sz w:val="19"/>
                <w:szCs w:val="19"/>
                <w:color w:val="auto"/>
              </w:rPr>
            </w:pPr>
          </w:p>
        </w:tc>
        <w:tc>
          <w:tcPr>
            <w:tcW w:w="1060" w:type="dxa"/>
            <w:vAlign w:val="bottom"/>
            <w:tcBorders>
              <w:top w:val="single" w:sz="8" w:color="auto"/>
            </w:tcBorders>
            <w:shd w:val="clear" w:color="auto" w:fill="CFF0FC"/>
          </w:tcPr>
          <w:p>
            <w:pPr>
              <w:spacing w:after="0"/>
              <w:rPr>
                <w:sz w:val="19"/>
                <w:szCs w:val="19"/>
                <w:color w:val="auto"/>
              </w:rPr>
            </w:pPr>
          </w:p>
        </w:tc>
        <w:tc>
          <w:tcPr>
            <w:tcW w:w="220" w:type="dxa"/>
            <w:vAlign w:val="bottom"/>
            <w:tcBorders>
              <w:top w:val="single" w:sz="8" w:color="CFF0FC"/>
            </w:tcBorders>
            <w:shd w:val="clear" w:color="auto" w:fill="CFF0FC"/>
          </w:tcPr>
          <w:p>
            <w:pPr>
              <w:spacing w:after="0"/>
              <w:rPr>
                <w:sz w:val="19"/>
                <w:szCs w:val="19"/>
                <w:color w:val="auto"/>
              </w:rPr>
            </w:pPr>
          </w:p>
        </w:tc>
        <w:tc>
          <w:tcPr>
            <w:tcW w:w="100" w:type="dxa"/>
            <w:vAlign w:val="bottom"/>
            <w:tcBorders>
              <w:top w:val="single" w:sz="8" w:color="auto"/>
            </w:tcBorders>
            <w:shd w:val="clear" w:color="auto" w:fill="CFF0FC"/>
          </w:tcPr>
          <w:p>
            <w:pPr>
              <w:spacing w:after="0"/>
              <w:rPr>
                <w:sz w:val="19"/>
                <w:szCs w:val="19"/>
                <w:color w:val="auto"/>
              </w:rPr>
            </w:pPr>
          </w:p>
        </w:tc>
        <w:tc>
          <w:tcPr>
            <w:tcW w:w="1060" w:type="dxa"/>
            <w:vAlign w:val="bottom"/>
            <w:tcBorders>
              <w:top w:val="single" w:sz="8" w:color="auto"/>
            </w:tcBorders>
            <w:shd w:val="clear" w:color="auto" w:fill="CFF0FC"/>
          </w:tcPr>
          <w:p>
            <w:pPr>
              <w:spacing w:after="0"/>
              <w:rPr>
                <w:sz w:val="19"/>
                <w:szCs w:val="19"/>
                <w:color w:val="auto"/>
              </w:rPr>
            </w:pPr>
          </w:p>
        </w:tc>
        <w:tc>
          <w:tcPr>
            <w:tcW w:w="220" w:type="dxa"/>
            <w:vAlign w:val="bottom"/>
            <w:tcBorders>
              <w:top w:val="single" w:sz="8" w:color="CFF0FC"/>
            </w:tcBorders>
            <w:shd w:val="clear" w:color="auto" w:fill="CFF0FC"/>
          </w:tcPr>
          <w:p>
            <w:pPr>
              <w:spacing w:after="0"/>
              <w:rPr>
                <w:sz w:val="19"/>
                <w:szCs w:val="19"/>
                <w:color w:val="auto"/>
              </w:rPr>
            </w:pPr>
          </w:p>
        </w:tc>
        <w:tc>
          <w:tcPr>
            <w:tcW w:w="80" w:type="dxa"/>
            <w:vAlign w:val="bottom"/>
            <w:tcBorders>
              <w:top w:val="single" w:sz="8" w:color="auto"/>
            </w:tcBorders>
            <w:shd w:val="clear" w:color="auto" w:fill="CFF0FC"/>
          </w:tcPr>
          <w:p>
            <w:pPr>
              <w:spacing w:after="0"/>
              <w:rPr>
                <w:sz w:val="19"/>
                <w:szCs w:val="19"/>
                <w:color w:val="auto"/>
              </w:rPr>
            </w:pPr>
          </w:p>
        </w:tc>
        <w:tc>
          <w:tcPr>
            <w:tcW w:w="1100" w:type="dxa"/>
            <w:vAlign w:val="bottom"/>
            <w:tcBorders>
              <w:top w:val="single" w:sz="8" w:color="auto"/>
            </w:tcBorders>
            <w:shd w:val="clear" w:color="auto" w:fill="CFF0FC"/>
          </w:tcPr>
          <w:p>
            <w:pPr>
              <w:spacing w:after="0"/>
              <w:rPr>
                <w:sz w:val="19"/>
                <w:szCs w:val="19"/>
                <w:color w:val="auto"/>
              </w:rPr>
            </w:pPr>
          </w:p>
        </w:tc>
        <w:tc>
          <w:tcPr>
            <w:tcW w:w="200" w:type="dxa"/>
            <w:vAlign w:val="bottom"/>
            <w:tcBorders>
              <w:top w:val="single" w:sz="8" w:color="CFF0FC"/>
            </w:tcBorders>
            <w:shd w:val="clear" w:color="auto" w:fill="CFF0FC"/>
          </w:tcPr>
          <w:p>
            <w:pPr>
              <w:spacing w:after="0"/>
              <w:rPr>
                <w:sz w:val="19"/>
                <w:szCs w:val="19"/>
                <w:color w:val="auto"/>
              </w:rPr>
            </w:pPr>
          </w:p>
        </w:tc>
        <w:tc>
          <w:tcPr>
            <w:tcW w:w="120" w:type="dxa"/>
            <w:vAlign w:val="bottom"/>
            <w:tcBorders>
              <w:top w:val="single" w:sz="8" w:color="auto"/>
            </w:tcBorders>
            <w:shd w:val="clear" w:color="auto" w:fill="CFF0FC"/>
          </w:tcPr>
          <w:p>
            <w:pPr>
              <w:spacing w:after="0"/>
              <w:rPr>
                <w:sz w:val="19"/>
                <w:szCs w:val="19"/>
                <w:color w:val="auto"/>
              </w:rPr>
            </w:pPr>
          </w:p>
        </w:tc>
        <w:tc>
          <w:tcPr>
            <w:tcW w:w="1080" w:type="dxa"/>
            <w:vAlign w:val="bottom"/>
            <w:tcBorders>
              <w:top w:val="single" w:sz="8" w:color="auto"/>
            </w:tcBorders>
            <w:shd w:val="clear" w:color="auto" w:fill="CFF0FC"/>
          </w:tcPr>
          <w:p>
            <w:pPr>
              <w:spacing w:after="0"/>
              <w:rPr>
                <w:sz w:val="19"/>
                <w:szCs w:val="19"/>
                <w:color w:val="auto"/>
              </w:rPr>
            </w:pPr>
          </w:p>
        </w:tc>
        <w:tc>
          <w:tcPr>
            <w:tcW w:w="120" w:type="dxa"/>
            <w:vAlign w:val="bottom"/>
            <w:tcBorders>
              <w:top w:val="single" w:sz="8" w:color="CFF0FC"/>
            </w:tcBorders>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4880" w:type="dxa"/>
            <w:vAlign w:val="bottom"/>
          </w:tcPr>
          <w:p>
            <w:pPr>
              <w:spacing w:after="0"/>
              <w:rPr>
                <w:sz w:val="20"/>
                <w:szCs w:val="20"/>
                <w:color w:val="auto"/>
              </w:rPr>
            </w:pPr>
            <w:r>
              <w:rPr>
                <w:rFonts w:ascii="Arial" w:cs="Arial" w:eastAsia="Arial" w:hAnsi="Arial"/>
                <w:sz w:val="18"/>
                <w:szCs w:val="18"/>
                <w:color w:val="auto"/>
              </w:rPr>
              <w:t>Cash and cash equivalents</w:t>
            </w:r>
          </w:p>
        </w:tc>
        <w:tc>
          <w:tcPr>
            <w:tcW w:w="116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060" w:type="dxa"/>
            <w:vAlign w:val="bottom"/>
          </w:tcPr>
          <w:p>
            <w:pPr>
              <w:jc w:val="right"/>
              <w:spacing w:after="0"/>
              <w:rPr>
                <w:sz w:val="20"/>
                <w:szCs w:val="20"/>
                <w:color w:val="auto"/>
              </w:rPr>
            </w:pPr>
            <w:r>
              <w:rPr>
                <w:rFonts w:ascii="Arial" w:cs="Arial" w:eastAsia="Arial" w:hAnsi="Arial"/>
                <w:sz w:val="18"/>
                <w:szCs w:val="18"/>
                <w:color w:val="auto"/>
              </w:rPr>
              <w:t>105,888</w:t>
            </w:r>
          </w:p>
        </w:tc>
        <w:tc>
          <w:tcPr>
            <w:tcW w:w="220" w:type="dxa"/>
            <w:vAlign w:val="bottom"/>
          </w:tcPr>
          <w:p>
            <w:pPr>
              <w:spacing w:after="0"/>
              <w:rPr>
                <w:sz w:val="19"/>
                <w:szCs w:val="19"/>
                <w:color w:val="auto"/>
              </w:rPr>
            </w:pP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060" w:type="dxa"/>
            <w:vAlign w:val="bottom"/>
          </w:tcPr>
          <w:p>
            <w:pPr>
              <w:jc w:val="right"/>
              <w:spacing w:after="0"/>
              <w:rPr>
                <w:sz w:val="20"/>
                <w:szCs w:val="20"/>
                <w:color w:val="auto"/>
              </w:rPr>
            </w:pPr>
            <w:r>
              <w:rPr>
                <w:rFonts w:ascii="Arial" w:cs="Arial" w:eastAsia="Arial" w:hAnsi="Arial"/>
                <w:sz w:val="18"/>
                <w:szCs w:val="18"/>
                <w:color w:val="auto"/>
              </w:rPr>
              <w:t>64,741</w:t>
            </w:r>
          </w:p>
        </w:tc>
        <w:tc>
          <w:tcPr>
            <w:tcW w:w="220" w:type="dxa"/>
            <w:vAlign w:val="bottom"/>
          </w:tcPr>
          <w:p>
            <w:pPr>
              <w:spacing w:after="0"/>
              <w:rPr>
                <w:sz w:val="19"/>
                <w:szCs w:val="19"/>
                <w:color w:val="auto"/>
              </w:rPr>
            </w:pPr>
          </w:p>
        </w:tc>
        <w:tc>
          <w:tcPr>
            <w:tcW w:w="8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130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12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080" w:type="dxa"/>
            <w:vAlign w:val="bottom"/>
          </w:tcPr>
          <w:p>
            <w:pPr>
              <w:jc w:val="right"/>
              <w:spacing w:after="0"/>
              <w:rPr>
                <w:sz w:val="20"/>
                <w:szCs w:val="20"/>
                <w:color w:val="auto"/>
              </w:rPr>
            </w:pPr>
            <w:r>
              <w:rPr>
                <w:rFonts w:ascii="Arial" w:cs="Arial" w:eastAsia="Arial" w:hAnsi="Arial"/>
                <w:sz w:val="18"/>
                <w:szCs w:val="18"/>
                <w:color w:val="auto"/>
              </w:rPr>
              <w:t>170,629</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4880" w:type="dxa"/>
            <w:vAlign w:val="bottom"/>
            <w:shd w:val="clear" w:color="auto" w:fill="CFF0FC"/>
          </w:tcPr>
          <w:p>
            <w:pPr>
              <w:spacing w:after="0"/>
              <w:rPr>
                <w:sz w:val="20"/>
                <w:szCs w:val="20"/>
                <w:color w:val="auto"/>
              </w:rPr>
            </w:pPr>
            <w:r>
              <w:rPr>
                <w:rFonts w:ascii="Arial" w:cs="Arial" w:eastAsia="Arial" w:hAnsi="Arial"/>
                <w:sz w:val="18"/>
                <w:szCs w:val="18"/>
                <w:color w:val="auto"/>
              </w:rPr>
              <w:t>Receivables</w:t>
            </w:r>
          </w:p>
        </w:tc>
        <w:tc>
          <w:tcPr>
            <w:tcW w:w="106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0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5,050</w:t>
            </w:r>
          </w:p>
        </w:tc>
        <w:tc>
          <w:tcPr>
            <w:tcW w:w="22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0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15,068</w:t>
            </w:r>
          </w:p>
        </w:tc>
        <w:tc>
          <w:tcPr>
            <w:tcW w:w="22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1300" w:type="dxa"/>
            <w:vAlign w:val="bottom"/>
            <w:gridSpan w:val="2"/>
            <w:shd w:val="clear" w:color="auto" w:fill="CFF0FC"/>
          </w:tcPr>
          <w:p>
            <w:pPr>
              <w:jc w:val="right"/>
              <w:ind w:right="140"/>
              <w:spacing w:after="0"/>
              <w:rPr>
                <w:sz w:val="20"/>
                <w:szCs w:val="20"/>
                <w:color w:val="auto"/>
              </w:rPr>
            </w:pPr>
            <w:r>
              <w:rPr>
                <w:rFonts w:ascii="Arial" w:cs="Arial" w:eastAsia="Arial" w:hAnsi="Arial"/>
                <w:sz w:val="18"/>
                <w:szCs w:val="18"/>
                <w:color w:val="auto"/>
              </w:rPr>
              <w:t>—</w:t>
            </w:r>
          </w:p>
        </w:tc>
        <w:tc>
          <w:tcPr>
            <w:tcW w:w="120" w:type="dxa"/>
            <w:vAlign w:val="bottom"/>
            <w:shd w:val="clear" w:color="auto" w:fill="CFF0FC"/>
          </w:tcPr>
          <w:p>
            <w:pPr>
              <w:spacing w:after="0"/>
              <w:rPr>
                <w:sz w:val="19"/>
                <w:szCs w:val="19"/>
                <w:color w:val="auto"/>
              </w:rPr>
            </w:pPr>
          </w:p>
        </w:tc>
        <w:tc>
          <w:tcPr>
            <w:tcW w:w="10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20,118</w:t>
            </w:r>
          </w:p>
        </w:tc>
        <w:tc>
          <w:tcPr>
            <w:tcW w:w="1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4880" w:type="dxa"/>
            <w:vAlign w:val="bottom"/>
          </w:tcPr>
          <w:p>
            <w:pPr>
              <w:spacing w:after="0"/>
              <w:rPr>
                <w:sz w:val="20"/>
                <w:szCs w:val="20"/>
                <w:color w:val="auto"/>
              </w:rPr>
            </w:pPr>
            <w:r>
              <w:rPr>
                <w:rFonts w:ascii="Arial" w:cs="Arial" w:eastAsia="Arial" w:hAnsi="Arial"/>
                <w:sz w:val="18"/>
                <w:szCs w:val="18"/>
                <w:color w:val="auto"/>
              </w:rPr>
              <w:t>Intercompany receivables</w:t>
            </w:r>
          </w:p>
        </w:tc>
        <w:tc>
          <w:tcPr>
            <w:tcW w:w="10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797,480</w:t>
            </w:r>
          </w:p>
        </w:tc>
        <w:tc>
          <w:tcPr>
            <w:tcW w:w="2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280" w:type="dxa"/>
            <w:vAlign w:val="bottom"/>
            <w:gridSpan w:val="2"/>
          </w:tcPr>
          <w:p>
            <w:pPr>
              <w:jc w:val="right"/>
              <w:ind w:right="24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9"/>
                <w:szCs w:val="19"/>
                <w:color w:val="auto"/>
              </w:rPr>
            </w:pPr>
          </w:p>
        </w:tc>
        <w:tc>
          <w:tcPr>
            <w:tcW w:w="1300" w:type="dxa"/>
            <w:vAlign w:val="bottom"/>
            <w:gridSpan w:val="2"/>
          </w:tcPr>
          <w:p>
            <w:pPr>
              <w:jc w:val="right"/>
              <w:ind w:right="60"/>
              <w:spacing w:after="0"/>
              <w:rPr>
                <w:sz w:val="20"/>
                <w:szCs w:val="20"/>
                <w:color w:val="auto"/>
              </w:rPr>
            </w:pPr>
            <w:r>
              <w:rPr>
                <w:rFonts w:ascii="Arial" w:cs="Arial" w:eastAsia="Arial" w:hAnsi="Arial"/>
                <w:sz w:val="18"/>
                <w:szCs w:val="18"/>
                <w:color w:val="auto"/>
              </w:rPr>
              <w:t>(797,480)</w:t>
            </w:r>
          </w:p>
        </w:tc>
        <w:tc>
          <w:tcPr>
            <w:tcW w:w="120" w:type="dxa"/>
            <w:vAlign w:val="bottom"/>
          </w:tcPr>
          <w:p>
            <w:pPr>
              <w:spacing w:after="0"/>
              <w:rPr>
                <w:sz w:val="19"/>
                <w:szCs w:val="19"/>
                <w:color w:val="auto"/>
              </w:rPr>
            </w:pPr>
          </w:p>
        </w:tc>
        <w:tc>
          <w:tcPr>
            <w:tcW w:w="120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4880" w:type="dxa"/>
            <w:vAlign w:val="bottom"/>
            <w:shd w:val="clear" w:color="auto" w:fill="CFF0FC"/>
          </w:tcPr>
          <w:p>
            <w:pPr>
              <w:spacing w:after="0"/>
              <w:rPr>
                <w:sz w:val="20"/>
                <w:szCs w:val="20"/>
                <w:color w:val="auto"/>
              </w:rPr>
            </w:pPr>
            <w:r>
              <w:rPr>
                <w:rFonts w:ascii="Arial" w:cs="Arial" w:eastAsia="Arial" w:hAnsi="Arial"/>
                <w:sz w:val="18"/>
                <w:szCs w:val="18"/>
                <w:color w:val="auto"/>
              </w:rPr>
              <w:t>Real estate inventories</w:t>
            </w:r>
          </w:p>
        </w:tc>
        <w:tc>
          <w:tcPr>
            <w:tcW w:w="106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0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613,665</w:t>
            </w:r>
          </w:p>
        </w:tc>
        <w:tc>
          <w:tcPr>
            <w:tcW w:w="22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0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1,666,518</w:t>
            </w:r>
          </w:p>
        </w:tc>
        <w:tc>
          <w:tcPr>
            <w:tcW w:w="22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1300" w:type="dxa"/>
            <w:vAlign w:val="bottom"/>
            <w:gridSpan w:val="2"/>
            <w:shd w:val="clear" w:color="auto" w:fill="CFF0FC"/>
          </w:tcPr>
          <w:p>
            <w:pPr>
              <w:jc w:val="right"/>
              <w:ind w:right="140"/>
              <w:spacing w:after="0"/>
              <w:rPr>
                <w:sz w:val="20"/>
                <w:szCs w:val="20"/>
                <w:color w:val="auto"/>
              </w:rPr>
            </w:pPr>
            <w:r>
              <w:rPr>
                <w:rFonts w:ascii="Arial" w:cs="Arial" w:eastAsia="Arial" w:hAnsi="Arial"/>
                <w:sz w:val="18"/>
                <w:szCs w:val="18"/>
                <w:color w:val="auto"/>
              </w:rPr>
              <w:t>—</w:t>
            </w:r>
          </w:p>
        </w:tc>
        <w:tc>
          <w:tcPr>
            <w:tcW w:w="120" w:type="dxa"/>
            <w:vAlign w:val="bottom"/>
            <w:shd w:val="clear" w:color="auto" w:fill="CFF0FC"/>
          </w:tcPr>
          <w:p>
            <w:pPr>
              <w:spacing w:after="0"/>
              <w:rPr>
                <w:sz w:val="19"/>
                <w:szCs w:val="19"/>
                <w:color w:val="auto"/>
              </w:rPr>
            </w:pPr>
          </w:p>
        </w:tc>
        <w:tc>
          <w:tcPr>
            <w:tcW w:w="10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2,280,183</w:t>
            </w:r>
          </w:p>
        </w:tc>
        <w:tc>
          <w:tcPr>
            <w:tcW w:w="1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4880" w:type="dxa"/>
            <w:vAlign w:val="bottom"/>
          </w:tcPr>
          <w:p>
            <w:pPr>
              <w:spacing w:after="0"/>
              <w:rPr>
                <w:sz w:val="20"/>
                <w:szCs w:val="20"/>
                <w:color w:val="auto"/>
              </w:rPr>
            </w:pPr>
            <w:r>
              <w:rPr>
                <w:rFonts w:ascii="Arial" w:cs="Arial" w:eastAsia="Arial" w:hAnsi="Arial"/>
                <w:sz w:val="18"/>
                <w:szCs w:val="18"/>
                <w:color w:val="auto"/>
              </w:rPr>
              <w:t>Investments in unconsolidated entities</w:t>
            </w:r>
          </w:p>
        </w:tc>
        <w:tc>
          <w:tcPr>
            <w:tcW w:w="10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28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9"/>
                <w:szCs w:val="19"/>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16,805</w:t>
            </w:r>
          </w:p>
        </w:tc>
        <w:tc>
          <w:tcPr>
            <w:tcW w:w="2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30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9"/>
                <w:szCs w:val="19"/>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16,805</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4880" w:type="dxa"/>
            <w:vAlign w:val="bottom"/>
            <w:shd w:val="clear" w:color="auto" w:fill="CFF0FC"/>
          </w:tcPr>
          <w:p>
            <w:pPr>
              <w:spacing w:after="0"/>
              <w:rPr>
                <w:sz w:val="20"/>
                <w:szCs w:val="20"/>
                <w:color w:val="auto"/>
              </w:rPr>
            </w:pPr>
            <w:r>
              <w:rPr>
                <w:rFonts w:ascii="Arial" w:cs="Arial" w:eastAsia="Arial" w:hAnsi="Arial"/>
                <w:sz w:val="18"/>
                <w:szCs w:val="18"/>
                <w:color w:val="auto"/>
              </w:rPr>
              <w:t>Goodwill and other intangible assets, net</w:t>
            </w:r>
          </w:p>
        </w:tc>
        <w:tc>
          <w:tcPr>
            <w:tcW w:w="106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0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156,603</w:t>
            </w:r>
          </w:p>
        </w:tc>
        <w:tc>
          <w:tcPr>
            <w:tcW w:w="22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0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5,960</w:t>
            </w:r>
          </w:p>
        </w:tc>
        <w:tc>
          <w:tcPr>
            <w:tcW w:w="22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1300" w:type="dxa"/>
            <w:vAlign w:val="bottom"/>
            <w:gridSpan w:val="2"/>
            <w:shd w:val="clear" w:color="auto" w:fill="CFF0FC"/>
          </w:tcPr>
          <w:p>
            <w:pPr>
              <w:jc w:val="right"/>
              <w:ind w:right="140"/>
              <w:spacing w:after="0"/>
              <w:rPr>
                <w:sz w:val="20"/>
                <w:szCs w:val="20"/>
                <w:color w:val="auto"/>
              </w:rPr>
            </w:pPr>
            <w:r>
              <w:rPr>
                <w:rFonts w:ascii="Arial" w:cs="Arial" w:eastAsia="Arial" w:hAnsi="Arial"/>
                <w:sz w:val="18"/>
                <w:szCs w:val="18"/>
                <w:color w:val="auto"/>
              </w:rPr>
              <w:t>—</w:t>
            </w:r>
          </w:p>
        </w:tc>
        <w:tc>
          <w:tcPr>
            <w:tcW w:w="120" w:type="dxa"/>
            <w:vAlign w:val="bottom"/>
            <w:shd w:val="clear" w:color="auto" w:fill="CFF0FC"/>
          </w:tcPr>
          <w:p>
            <w:pPr>
              <w:spacing w:after="0"/>
              <w:rPr>
                <w:sz w:val="19"/>
                <w:szCs w:val="19"/>
                <w:color w:val="auto"/>
              </w:rPr>
            </w:pPr>
          </w:p>
        </w:tc>
        <w:tc>
          <w:tcPr>
            <w:tcW w:w="10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162,563</w:t>
            </w:r>
          </w:p>
        </w:tc>
        <w:tc>
          <w:tcPr>
            <w:tcW w:w="1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4880" w:type="dxa"/>
            <w:vAlign w:val="bottom"/>
          </w:tcPr>
          <w:p>
            <w:pPr>
              <w:spacing w:after="0"/>
              <w:rPr>
                <w:sz w:val="20"/>
                <w:szCs w:val="20"/>
                <w:color w:val="auto"/>
              </w:rPr>
            </w:pPr>
            <w:r>
              <w:rPr>
                <w:rFonts w:ascii="Arial" w:cs="Arial" w:eastAsia="Arial" w:hAnsi="Arial"/>
                <w:sz w:val="18"/>
                <w:szCs w:val="18"/>
                <w:color w:val="auto"/>
              </w:rPr>
              <w:t>Investments in subsidiaries</w:t>
            </w:r>
          </w:p>
        </w:tc>
        <w:tc>
          <w:tcPr>
            <w:tcW w:w="10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959,693</w:t>
            </w:r>
          </w:p>
        </w:tc>
        <w:tc>
          <w:tcPr>
            <w:tcW w:w="2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280" w:type="dxa"/>
            <w:vAlign w:val="bottom"/>
            <w:gridSpan w:val="2"/>
          </w:tcPr>
          <w:p>
            <w:pPr>
              <w:jc w:val="right"/>
              <w:ind w:right="24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9"/>
                <w:szCs w:val="19"/>
                <w:color w:val="auto"/>
              </w:rPr>
            </w:pPr>
          </w:p>
        </w:tc>
        <w:tc>
          <w:tcPr>
            <w:tcW w:w="1300" w:type="dxa"/>
            <w:vAlign w:val="bottom"/>
            <w:gridSpan w:val="2"/>
          </w:tcPr>
          <w:p>
            <w:pPr>
              <w:jc w:val="right"/>
              <w:ind w:right="60"/>
              <w:spacing w:after="0"/>
              <w:rPr>
                <w:sz w:val="20"/>
                <w:szCs w:val="20"/>
                <w:color w:val="auto"/>
              </w:rPr>
            </w:pPr>
            <w:r>
              <w:rPr>
                <w:rFonts w:ascii="Arial" w:cs="Arial" w:eastAsia="Arial" w:hAnsi="Arial"/>
                <w:sz w:val="18"/>
                <w:szCs w:val="18"/>
                <w:color w:val="auto"/>
              </w:rPr>
              <w:t>(959,693)</w:t>
            </w:r>
          </w:p>
        </w:tc>
        <w:tc>
          <w:tcPr>
            <w:tcW w:w="120" w:type="dxa"/>
            <w:vAlign w:val="bottom"/>
          </w:tcPr>
          <w:p>
            <w:pPr>
              <w:spacing w:after="0"/>
              <w:rPr>
                <w:sz w:val="19"/>
                <w:szCs w:val="19"/>
                <w:color w:val="auto"/>
              </w:rPr>
            </w:pPr>
          </w:p>
        </w:tc>
        <w:tc>
          <w:tcPr>
            <w:tcW w:w="120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4880" w:type="dxa"/>
            <w:vAlign w:val="bottom"/>
            <w:shd w:val="clear" w:color="auto" w:fill="CFF0FC"/>
          </w:tcPr>
          <w:p>
            <w:pPr>
              <w:spacing w:after="0"/>
              <w:rPr>
                <w:sz w:val="20"/>
                <w:szCs w:val="20"/>
                <w:color w:val="auto"/>
              </w:rPr>
            </w:pPr>
            <w:r>
              <w:rPr>
                <w:rFonts w:ascii="Arial" w:cs="Arial" w:eastAsia="Arial" w:hAnsi="Arial"/>
                <w:sz w:val="18"/>
                <w:szCs w:val="18"/>
                <w:color w:val="auto"/>
              </w:rPr>
              <w:t>Deferred tax assets</w:t>
            </w:r>
          </w:p>
        </w:tc>
        <w:tc>
          <w:tcPr>
            <w:tcW w:w="106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0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23,630</w:t>
            </w:r>
          </w:p>
        </w:tc>
        <w:tc>
          <w:tcPr>
            <w:tcW w:w="22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0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134,191</w:t>
            </w:r>
          </w:p>
        </w:tc>
        <w:tc>
          <w:tcPr>
            <w:tcW w:w="22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1300" w:type="dxa"/>
            <w:vAlign w:val="bottom"/>
            <w:gridSpan w:val="2"/>
            <w:shd w:val="clear" w:color="auto" w:fill="CFF0FC"/>
          </w:tcPr>
          <w:p>
            <w:pPr>
              <w:jc w:val="right"/>
              <w:ind w:right="140"/>
              <w:spacing w:after="0"/>
              <w:rPr>
                <w:sz w:val="20"/>
                <w:szCs w:val="20"/>
                <w:color w:val="auto"/>
              </w:rPr>
            </w:pPr>
            <w:r>
              <w:rPr>
                <w:rFonts w:ascii="Arial" w:cs="Arial" w:eastAsia="Arial" w:hAnsi="Arial"/>
                <w:sz w:val="18"/>
                <w:szCs w:val="18"/>
                <w:color w:val="auto"/>
              </w:rPr>
              <w:t>—</w:t>
            </w:r>
          </w:p>
        </w:tc>
        <w:tc>
          <w:tcPr>
            <w:tcW w:w="120" w:type="dxa"/>
            <w:vAlign w:val="bottom"/>
            <w:shd w:val="clear" w:color="auto" w:fill="CFF0FC"/>
          </w:tcPr>
          <w:p>
            <w:pPr>
              <w:spacing w:after="0"/>
              <w:rPr>
                <w:sz w:val="19"/>
                <w:szCs w:val="19"/>
                <w:color w:val="auto"/>
              </w:rPr>
            </w:pPr>
          </w:p>
        </w:tc>
        <w:tc>
          <w:tcPr>
            <w:tcW w:w="10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157,821</w:t>
            </w:r>
          </w:p>
        </w:tc>
        <w:tc>
          <w:tcPr>
            <w:tcW w:w="1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4880" w:type="dxa"/>
            <w:vAlign w:val="bottom"/>
          </w:tcPr>
          <w:p>
            <w:pPr>
              <w:spacing w:after="0"/>
              <w:rPr>
                <w:sz w:val="20"/>
                <w:szCs w:val="20"/>
                <w:color w:val="auto"/>
              </w:rPr>
            </w:pPr>
            <w:r>
              <w:rPr>
                <w:rFonts w:ascii="Arial" w:cs="Arial" w:eastAsia="Arial" w:hAnsi="Arial"/>
                <w:sz w:val="18"/>
                <w:szCs w:val="18"/>
                <w:color w:val="auto"/>
              </w:rPr>
              <w:t>Other assets</w:t>
            </w:r>
          </w:p>
        </w:tc>
        <w:tc>
          <w:tcPr>
            <w:tcW w:w="10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55,199</w:t>
            </w:r>
          </w:p>
        </w:tc>
        <w:tc>
          <w:tcPr>
            <w:tcW w:w="2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50,206</w:t>
            </w:r>
          </w:p>
        </w:tc>
        <w:tc>
          <w:tcPr>
            <w:tcW w:w="2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30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9"/>
                <w:szCs w:val="19"/>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105,405</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4880" w:type="dxa"/>
            <w:vAlign w:val="bottom"/>
            <w:tcBorders>
              <w:top w:val="single" w:sz="8" w:color="CFF0FC"/>
              <w:bottom w:val="single" w:sz="8" w:color="CFF0FC"/>
            </w:tcBorders>
            <w:shd w:val="clear" w:color="auto" w:fill="CFF0FC"/>
          </w:tcPr>
          <w:p>
            <w:pPr>
              <w:ind w:left="240"/>
              <w:spacing w:after="0"/>
              <w:rPr>
                <w:sz w:val="20"/>
                <w:szCs w:val="20"/>
                <w:color w:val="auto"/>
              </w:rPr>
            </w:pPr>
            <w:r>
              <w:rPr>
                <w:rFonts w:ascii="Arial" w:cs="Arial" w:eastAsia="Arial" w:hAnsi="Arial"/>
                <w:sz w:val="18"/>
                <w:szCs w:val="18"/>
                <w:color w:val="auto"/>
              </w:rPr>
              <w:t>Total Assets</w:t>
            </w:r>
          </w:p>
        </w:tc>
        <w:tc>
          <w:tcPr>
            <w:tcW w:w="1060" w:type="dxa"/>
            <w:vAlign w:val="bottom"/>
            <w:tcBorders>
              <w:top w:val="single" w:sz="8" w:color="CFF0FC"/>
              <w:bottom w:val="single" w:sz="8" w:color="CFF0FC"/>
            </w:tcBorders>
            <w:shd w:val="clear" w:color="auto" w:fill="CFF0FC"/>
          </w:tcPr>
          <w:p>
            <w:pPr>
              <w:spacing w:after="0"/>
              <w:rPr>
                <w:sz w:val="19"/>
                <w:szCs w:val="19"/>
                <w:color w:val="auto"/>
              </w:rPr>
            </w:pPr>
          </w:p>
        </w:tc>
        <w:tc>
          <w:tcPr>
            <w:tcW w:w="10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106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2,717,208</w:t>
            </w:r>
          </w:p>
        </w:tc>
        <w:tc>
          <w:tcPr>
            <w:tcW w:w="220" w:type="dxa"/>
            <w:vAlign w:val="bottom"/>
            <w:tcBorders>
              <w:top w:val="single" w:sz="8" w:color="CFF0FC"/>
              <w:bottom w:val="single" w:sz="8" w:color="CFF0FC"/>
            </w:tcBorders>
            <w:shd w:val="clear" w:color="auto" w:fill="CFF0FC"/>
          </w:tcPr>
          <w:p>
            <w:pPr>
              <w:spacing w:after="0"/>
              <w:rPr>
                <w:sz w:val="19"/>
                <w:szCs w:val="19"/>
                <w:color w:val="auto"/>
              </w:rPr>
            </w:pPr>
          </w:p>
        </w:tc>
        <w:tc>
          <w:tcPr>
            <w:tcW w:w="10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106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1,953,489</w:t>
            </w:r>
          </w:p>
        </w:tc>
        <w:tc>
          <w:tcPr>
            <w:tcW w:w="220" w:type="dxa"/>
            <w:vAlign w:val="bottom"/>
            <w:tcBorders>
              <w:top w:val="single" w:sz="8" w:color="CFF0FC"/>
              <w:bottom w:val="single" w:sz="8" w:color="CFF0FC"/>
            </w:tcBorders>
            <w:shd w:val="clear" w:color="auto" w:fill="CFF0FC"/>
          </w:tcPr>
          <w:p>
            <w:pPr>
              <w:spacing w:after="0"/>
              <w:rPr>
                <w:sz w:val="19"/>
                <w:szCs w:val="19"/>
                <w:color w:val="auto"/>
              </w:rPr>
            </w:pPr>
          </w:p>
        </w:tc>
        <w:tc>
          <w:tcPr>
            <w:tcW w:w="8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5"/>
                <w:szCs w:val="15"/>
                <w:color w:val="auto"/>
                <w:w w:val="71"/>
              </w:rPr>
              <w:t>$</w:t>
            </w:r>
          </w:p>
        </w:tc>
        <w:tc>
          <w:tcPr>
            <w:tcW w:w="110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(1,757,173</w:t>
            </w:r>
          </w:p>
        </w:tc>
        <w:tc>
          <w:tcPr>
            <w:tcW w:w="200" w:type="dxa"/>
            <w:vAlign w:val="bottom"/>
            <w:tcBorders>
              <w:top w:val="single" w:sz="8" w:color="CFF0FC"/>
              <w:bottom w:val="single" w:sz="8" w:color="CFF0FC"/>
            </w:tcBorders>
            <w:shd w:val="clear" w:color="auto" w:fill="CFF0FC"/>
          </w:tcPr>
          <w:p>
            <w:pPr>
              <w:jc w:val="right"/>
              <w:ind w:right="60"/>
              <w:spacing w:after="0"/>
              <w:rPr>
                <w:sz w:val="20"/>
                <w:szCs w:val="20"/>
                <w:color w:val="auto"/>
              </w:rPr>
            </w:pPr>
            <w:r>
              <w:rPr>
                <w:rFonts w:ascii="Arial" w:cs="Arial" w:eastAsia="Arial" w:hAnsi="Arial"/>
                <w:sz w:val="16"/>
                <w:szCs w:val="16"/>
                <w:color w:val="auto"/>
                <w:w w:val="74"/>
              </w:rPr>
              <w:t>)</w:t>
            </w:r>
          </w:p>
        </w:tc>
        <w:tc>
          <w:tcPr>
            <w:tcW w:w="12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108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2,913,524</w:t>
            </w:r>
          </w:p>
        </w:tc>
        <w:tc>
          <w:tcPr>
            <w:tcW w:w="120" w:type="dxa"/>
            <w:vAlign w:val="bottom"/>
            <w:tcBorders>
              <w:top w:val="single" w:sz="8" w:color="CFF0FC"/>
              <w:bottom w:val="single" w:sz="8" w:color="CFF0FC"/>
            </w:tcBorders>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880" w:type="dxa"/>
            <w:vAlign w:val="bottom"/>
          </w:tcPr>
          <w:p>
            <w:pPr>
              <w:spacing w:after="0" w:line="20" w:lineRule="exact"/>
              <w:rPr>
                <w:sz w:val="1"/>
                <w:szCs w:val="1"/>
                <w:color w:val="auto"/>
              </w:rPr>
            </w:pPr>
          </w:p>
        </w:tc>
        <w:tc>
          <w:tcPr>
            <w:tcW w:w="10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vMerge w:val="restart"/>
          </w:tcPr>
          <w:p>
            <w:pPr>
              <w:spacing w:after="0"/>
              <w:rPr>
                <w:sz w:val="18"/>
                <w:szCs w:val="18"/>
                <w:color w:val="auto"/>
              </w:rPr>
            </w:pPr>
          </w:p>
        </w:tc>
        <w:tc>
          <w:tcPr>
            <w:tcW w:w="488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20" w:type="dxa"/>
            <w:vAlign w:val="bottom"/>
            <w:vMerge w:val="continue"/>
          </w:tcPr>
          <w:p>
            <w:pPr>
              <w:spacing w:after="0"/>
              <w:rPr>
                <w:sz w:val="19"/>
                <w:szCs w:val="19"/>
                <w:color w:val="auto"/>
              </w:rPr>
            </w:pPr>
          </w:p>
        </w:tc>
        <w:tc>
          <w:tcPr>
            <w:tcW w:w="4880" w:type="dxa"/>
            <w:vAlign w:val="bottom"/>
            <w:shd w:val="clear" w:color="auto" w:fill="CFF0FC"/>
          </w:tcPr>
          <w:p>
            <w:pPr>
              <w:spacing w:after="0"/>
              <w:rPr>
                <w:sz w:val="20"/>
                <w:szCs w:val="20"/>
                <w:color w:val="auto"/>
              </w:rPr>
            </w:pPr>
            <w:r>
              <w:rPr>
                <w:rFonts w:ascii="Arial" w:cs="Arial" w:eastAsia="Arial" w:hAnsi="Arial"/>
                <w:sz w:val="18"/>
                <w:szCs w:val="18"/>
                <w:b w:val="1"/>
                <w:bCs w:val="1"/>
                <w:color w:val="auto"/>
              </w:rPr>
              <w:t>Liabilities</w:t>
            </w:r>
          </w:p>
        </w:tc>
        <w:tc>
          <w:tcPr>
            <w:tcW w:w="106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060" w:type="dxa"/>
            <w:vAlign w:val="bottom"/>
            <w:shd w:val="clear" w:color="auto" w:fill="CFF0FC"/>
          </w:tcPr>
          <w:p>
            <w:pPr>
              <w:spacing w:after="0"/>
              <w:rPr>
                <w:sz w:val="19"/>
                <w:szCs w:val="19"/>
                <w:color w:val="auto"/>
              </w:rPr>
            </w:pPr>
          </w:p>
        </w:tc>
        <w:tc>
          <w:tcPr>
            <w:tcW w:w="22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060" w:type="dxa"/>
            <w:vAlign w:val="bottom"/>
            <w:shd w:val="clear" w:color="auto" w:fill="CFF0FC"/>
          </w:tcPr>
          <w:p>
            <w:pPr>
              <w:spacing w:after="0"/>
              <w:rPr>
                <w:sz w:val="19"/>
                <w:szCs w:val="19"/>
                <w:color w:val="auto"/>
              </w:rPr>
            </w:pPr>
          </w:p>
        </w:tc>
        <w:tc>
          <w:tcPr>
            <w:tcW w:w="22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110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108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4880" w:type="dxa"/>
            <w:vAlign w:val="bottom"/>
          </w:tcPr>
          <w:p>
            <w:pPr>
              <w:spacing w:after="0"/>
              <w:rPr>
                <w:sz w:val="20"/>
                <w:szCs w:val="20"/>
                <w:color w:val="auto"/>
              </w:rPr>
            </w:pPr>
            <w:r>
              <w:rPr>
                <w:rFonts w:ascii="Arial" w:cs="Arial" w:eastAsia="Arial" w:hAnsi="Arial"/>
                <w:sz w:val="18"/>
                <w:szCs w:val="18"/>
                <w:color w:val="auto"/>
              </w:rPr>
              <w:t>Accounts payable</w:t>
            </w:r>
          </w:p>
        </w:tc>
        <w:tc>
          <w:tcPr>
            <w:tcW w:w="116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060" w:type="dxa"/>
            <w:vAlign w:val="bottom"/>
          </w:tcPr>
          <w:p>
            <w:pPr>
              <w:jc w:val="right"/>
              <w:spacing w:after="0"/>
              <w:rPr>
                <w:sz w:val="20"/>
                <w:szCs w:val="20"/>
                <w:color w:val="auto"/>
              </w:rPr>
            </w:pPr>
            <w:r>
              <w:rPr>
                <w:rFonts w:ascii="Arial" w:cs="Arial" w:eastAsia="Arial" w:hAnsi="Arial"/>
                <w:sz w:val="18"/>
                <w:szCs w:val="18"/>
                <w:color w:val="auto"/>
              </w:rPr>
              <w:t>25,800</w:t>
            </w:r>
          </w:p>
        </w:tc>
        <w:tc>
          <w:tcPr>
            <w:tcW w:w="220" w:type="dxa"/>
            <w:vAlign w:val="bottom"/>
          </w:tcPr>
          <w:p>
            <w:pPr>
              <w:spacing w:after="0"/>
              <w:rPr>
                <w:sz w:val="19"/>
                <w:szCs w:val="19"/>
                <w:color w:val="auto"/>
              </w:rPr>
            </w:pP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060" w:type="dxa"/>
            <w:vAlign w:val="bottom"/>
          </w:tcPr>
          <w:p>
            <w:pPr>
              <w:jc w:val="right"/>
              <w:spacing w:after="0"/>
              <w:rPr>
                <w:sz w:val="20"/>
                <w:szCs w:val="20"/>
                <w:color w:val="auto"/>
              </w:rPr>
            </w:pPr>
            <w:r>
              <w:rPr>
                <w:rFonts w:ascii="Arial" w:cs="Arial" w:eastAsia="Arial" w:hAnsi="Arial"/>
                <w:sz w:val="18"/>
                <w:szCs w:val="18"/>
                <w:color w:val="auto"/>
              </w:rPr>
              <w:t>43,060</w:t>
            </w:r>
          </w:p>
        </w:tc>
        <w:tc>
          <w:tcPr>
            <w:tcW w:w="220" w:type="dxa"/>
            <w:vAlign w:val="bottom"/>
          </w:tcPr>
          <w:p>
            <w:pPr>
              <w:spacing w:after="0"/>
              <w:rPr>
                <w:sz w:val="19"/>
                <w:szCs w:val="19"/>
                <w:color w:val="auto"/>
              </w:rPr>
            </w:pPr>
          </w:p>
        </w:tc>
        <w:tc>
          <w:tcPr>
            <w:tcW w:w="8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130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12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080" w:type="dxa"/>
            <w:vAlign w:val="bottom"/>
          </w:tcPr>
          <w:p>
            <w:pPr>
              <w:jc w:val="right"/>
              <w:spacing w:after="0"/>
              <w:rPr>
                <w:sz w:val="20"/>
                <w:szCs w:val="20"/>
                <w:color w:val="auto"/>
              </w:rPr>
            </w:pPr>
            <w:r>
              <w:rPr>
                <w:rFonts w:ascii="Arial" w:cs="Arial" w:eastAsia="Arial" w:hAnsi="Arial"/>
                <w:sz w:val="18"/>
                <w:szCs w:val="18"/>
                <w:color w:val="auto"/>
              </w:rPr>
              <w:t>68,860</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4880" w:type="dxa"/>
            <w:vAlign w:val="bottom"/>
            <w:shd w:val="clear" w:color="auto" w:fill="CFF0FC"/>
          </w:tcPr>
          <w:p>
            <w:pPr>
              <w:spacing w:after="0"/>
              <w:rPr>
                <w:sz w:val="20"/>
                <w:szCs w:val="20"/>
                <w:color w:val="auto"/>
              </w:rPr>
            </w:pPr>
            <w:r>
              <w:rPr>
                <w:rFonts w:ascii="Arial" w:cs="Arial" w:eastAsia="Arial" w:hAnsi="Arial"/>
                <w:sz w:val="18"/>
                <w:szCs w:val="18"/>
                <w:color w:val="auto"/>
              </w:rPr>
              <w:t>Intercompany payables</w:t>
            </w:r>
          </w:p>
        </w:tc>
        <w:tc>
          <w:tcPr>
            <w:tcW w:w="106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280" w:type="dxa"/>
            <w:vAlign w:val="bottom"/>
            <w:gridSpan w:val="2"/>
            <w:shd w:val="clear" w:color="auto" w:fill="CFF0FC"/>
          </w:tcPr>
          <w:p>
            <w:pPr>
              <w:jc w:val="right"/>
              <w:ind w:right="220"/>
              <w:spacing w:after="0"/>
              <w:rPr>
                <w:sz w:val="20"/>
                <w:szCs w:val="20"/>
                <w:color w:val="auto"/>
              </w:rPr>
            </w:pPr>
            <w:r>
              <w:rPr>
                <w:rFonts w:ascii="Arial" w:cs="Arial" w:eastAsia="Arial" w:hAnsi="Arial"/>
                <w:sz w:val="18"/>
                <w:szCs w:val="18"/>
                <w:color w:val="auto"/>
              </w:rPr>
              <w:t>—</w:t>
            </w:r>
          </w:p>
        </w:tc>
        <w:tc>
          <w:tcPr>
            <w:tcW w:w="100" w:type="dxa"/>
            <w:vAlign w:val="bottom"/>
            <w:shd w:val="clear" w:color="auto" w:fill="CFF0FC"/>
          </w:tcPr>
          <w:p>
            <w:pPr>
              <w:spacing w:after="0"/>
              <w:rPr>
                <w:sz w:val="19"/>
                <w:szCs w:val="19"/>
                <w:color w:val="auto"/>
              </w:rPr>
            </w:pPr>
          </w:p>
        </w:tc>
        <w:tc>
          <w:tcPr>
            <w:tcW w:w="10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797,480</w:t>
            </w:r>
          </w:p>
        </w:tc>
        <w:tc>
          <w:tcPr>
            <w:tcW w:w="22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1300" w:type="dxa"/>
            <w:vAlign w:val="bottom"/>
            <w:gridSpan w:val="2"/>
            <w:shd w:val="clear" w:color="auto" w:fill="CFF0FC"/>
          </w:tcPr>
          <w:p>
            <w:pPr>
              <w:jc w:val="right"/>
              <w:ind w:right="60"/>
              <w:spacing w:after="0"/>
              <w:rPr>
                <w:sz w:val="20"/>
                <w:szCs w:val="20"/>
                <w:color w:val="auto"/>
              </w:rPr>
            </w:pPr>
            <w:r>
              <w:rPr>
                <w:rFonts w:ascii="Arial" w:cs="Arial" w:eastAsia="Arial" w:hAnsi="Arial"/>
                <w:sz w:val="18"/>
                <w:szCs w:val="18"/>
                <w:color w:val="auto"/>
              </w:rPr>
              <w:t>(797,480)</w:t>
            </w:r>
          </w:p>
        </w:tc>
        <w:tc>
          <w:tcPr>
            <w:tcW w:w="120" w:type="dxa"/>
            <w:vAlign w:val="bottom"/>
            <w:shd w:val="clear" w:color="auto" w:fill="CFF0FC"/>
          </w:tcPr>
          <w:p>
            <w:pPr>
              <w:spacing w:after="0"/>
              <w:rPr>
                <w:sz w:val="19"/>
                <w:szCs w:val="19"/>
                <w:color w:val="auto"/>
              </w:rPr>
            </w:pPr>
          </w:p>
        </w:tc>
        <w:tc>
          <w:tcPr>
            <w:tcW w:w="1200" w:type="dxa"/>
            <w:vAlign w:val="bottom"/>
            <w:gridSpan w:val="2"/>
            <w:shd w:val="clear" w:color="auto" w:fill="CFF0FC"/>
          </w:tcPr>
          <w:p>
            <w:pPr>
              <w:jc w:val="right"/>
              <w:ind w:right="14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4880" w:type="dxa"/>
            <w:vAlign w:val="bottom"/>
          </w:tcPr>
          <w:p>
            <w:pPr>
              <w:spacing w:after="0"/>
              <w:rPr>
                <w:sz w:val="20"/>
                <w:szCs w:val="20"/>
                <w:color w:val="auto"/>
              </w:rPr>
            </w:pPr>
            <w:r>
              <w:rPr>
                <w:rFonts w:ascii="Arial" w:cs="Arial" w:eastAsia="Arial" w:hAnsi="Arial"/>
                <w:sz w:val="18"/>
                <w:szCs w:val="18"/>
                <w:color w:val="auto"/>
              </w:rPr>
              <w:t>Accrued expenses and other liabilities</w:t>
            </w:r>
          </w:p>
        </w:tc>
        <w:tc>
          <w:tcPr>
            <w:tcW w:w="10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57,353</w:t>
            </w:r>
          </w:p>
        </w:tc>
        <w:tc>
          <w:tcPr>
            <w:tcW w:w="2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152,656</w:t>
            </w:r>
          </w:p>
        </w:tc>
        <w:tc>
          <w:tcPr>
            <w:tcW w:w="2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30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9"/>
                <w:szCs w:val="19"/>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210,009</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4880" w:type="dxa"/>
            <w:vAlign w:val="bottom"/>
            <w:shd w:val="clear" w:color="auto" w:fill="CFF0FC"/>
          </w:tcPr>
          <w:p>
            <w:pPr>
              <w:spacing w:after="0"/>
              <w:rPr>
                <w:sz w:val="20"/>
                <w:szCs w:val="20"/>
                <w:color w:val="auto"/>
              </w:rPr>
            </w:pPr>
            <w:r>
              <w:rPr>
                <w:rFonts w:ascii="Arial" w:cs="Arial" w:eastAsia="Arial" w:hAnsi="Arial"/>
                <w:sz w:val="18"/>
                <w:szCs w:val="18"/>
                <w:color w:val="auto"/>
              </w:rPr>
              <w:t>Notes payable and other borrowings</w:t>
            </w:r>
          </w:p>
        </w:tc>
        <w:tc>
          <w:tcPr>
            <w:tcW w:w="106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0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274,077</w:t>
            </w:r>
          </w:p>
        </w:tc>
        <w:tc>
          <w:tcPr>
            <w:tcW w:w="22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0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600</w:t>
            </w:r>
          </w:p>
        </w:tc>
        <w:tc>
          <w:tcPr>
            <w:tcW w:w="22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1300" w:type="dxa"/>
            <w:vAlign w:val="bottom"/>
            <w:gridSpan w:val="2"/>
            <w:shd w:val="clear" w:color="auto" w:fill="CFF0FC"/>
          </w:tcPr>
          <w:p>
            <w:pPr>
              <w:jc w:val="right"/>
              <w:ind w:right="140"/>
              <w:spacing w:after="0"/>
              <w:rPr>
                <w:sz w:val="20"/>
                <w:szCs w:val="20"/>
                <w:color w:val="auto"/>
              </w:rPr>
            </w:pPr>
            <w:r>
              <w:rPr>
                <w:rFonts w:ascii="Arial" w:cs="Arial" w:eastAsia="Arial" w:hAnsi="Arial"/>
                <w:sz w:val="18"/>
                <w:szCs w:val="18"/>
                <w:color w:val="auto"/>
              </w:rPr>
              <w:t>—</w:t>
            </w:r>
          </w:p>
        </w:tc>
        <w:tc>
          <w:tcPr>
            <w:tcW w:w="120" w:type="dxa"/>
            <w:vAlign w:val="bottom"/>
            <w:shd w:val="clear" w:color="auto" w:fill="CFF0FC"/>
          </w:tcPr>
          <w:p>
            <w:pPr>
              <w:spacing w:after="0"/>
              <w:rPr>
                <w:sz w:val="19"/>
                <w:szCs w:val="19"/>
                <w:color w:val="auto"/>
              </w:rPr>
            </w:pPr>
          </w:p>
        </w:tc>
        <w:tc>
          <w:tcPr>
            <w:tcW w:w="10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274,677</w:t>
            </w:r>
          </w:p>
        </w:tc>
        <w:tc>
          <w:tcPr>
            <w:tcW w:w="1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4880" w:type="dxa"/>
            <w:vAlign w:val="bottom"/>
          </w:tcPr>
          <w:p>
            <w:pPr>
              <w:spacing w:after="0"/>
              <w:rPr>
                <w:sz w:val="20"/>
                <w:szCs w:val="20"/>
                <w:color w:val="auto"/>
              </w:rPr>
            </w:pPr>
            <w:r>
              <w:rPr>
                <w:rFonts w:ascii="Arial" w:cs="Arial" w:eastAsia="Arial" w:hAnsi="Arial"/>
                <w:sz w:val="18"/>
                <w:szCs w:val="18"/>
                <w:color w:val="auto"/>
              </w:rPr>
              <w:t>Senior notes</w:t>
            </w:r>
          </w:p>
        </w:tc>
        <w:tc>
          <w:tcPr>
            <w:tcW w:w="10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887,502</w:t>
            </w:r>
          </w:p>
        </w:tc>
        <w:tc>
          <w:tcPr>
            <w:tcW w:w="2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280" w:type="dxa"/>
            <w:vAlign w:val="bottom"/>
            <w:gridSpan w:val="2"/>
          </w:tcPr>
          <w:p>
            <w:pPr>
              <w:jc w:val="right"/>
              <w:ind w:right="24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9"/>
                <w:szCs w:val="19"/>
                <w:color w:val="auto"/>
              </w:rPr>
            </w:pPr>
          </w:p>
        </w:tc>
        <w:tc>
          <w:tcPr>
            <w:tcW w:w="130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9"/>
                <w:szCs w:val="19"/>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887,502</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4880" w:type="dxa"/>
            <w:vAlign w:val="bottom"/>
            <w:tcBorders>
              <w:top w:val="single" w:sz="8" w:color="CFF0FC"/>
            </w:tcBorders>
            <w:shd w:val="clear" w:color="auto" w:fill="CFF0FC"/>
          </w:tcPr>
          <w:p>
            <w:pPr>
              <w:ind w:left="240"/>
              <w:spacing w:after="0"/>
              <w:rPr>
                <w:sz w:val="20"/>
                <w:szCs w:val="20"/>
                <w:color w:val="auto"/>
              </w:rPr>
            </w:pPr>
            <w:r>
              <w:rPr>
                <w:rFonts w:ascii="Arial" w:cs="Arial" w:eastAsia="Arial" w:hAnsi="Arial"/>
                <w:sz w:val="18"/>
                <w:szCs w:val="18"/>
                <w:color w:val="auto"/>
              </w:rPr>
              <w:t>Total Liabilities</w:t>
            </w:r>
          </w:p>
        </w:tc>
        <w:tc>
          <w:tcPr>
            <w:tcW w:w="1060" w:type="dxa"/>
            <w:vAlign w:val="bottom"/>
            <w:tcBorders>
              <w:top w:val="single" w:sz="8" w:color="CFF0FC"/>
            </w:tcBorders>
            <w:shd w:val="clear" w:color="auto" w:fill="CFF0FC"/>
          </w:tcPr>
          <w:p>
            <w:pPr>
              <w:spacing w:after="0"/>
              <w:rPr>
                <w:sz w:val="19"/>
                <w:szCs w:val="19"/>
                <w:color w:val="auto"/>
              </w:rPr>
            </w:pPr>
          </w:p>
        </w:tc>
        <w:tc>
          <w:tcPr>
            <w:tcW w:w="100" w:type="dxa"/>
            <w:vAlign w:val="bottom"/>
            <w:tcBorders>
              <w:top w:val="single" w:sz="8" w:color="auto"/>
              <w:bottom w:val="single" w:sz="8" w:color="auto"/>
            </w:tcBorders>
            <w:shd w:val="clear" w:color="auto" w:fill="CFF0FC"/>
          </w:tcPr>
          <w:p>
            <w:pPr>
              <w:spacing w:after="0"/>
              <w:rPr>
                <w:sz w:val="19"/>
                <w:szCs w:val="19"/>
                <w:color w:val="auto"/>
              </w:rPr>
            </w:pPr>
          </w:p>
        </w:tc>
        <w:tc>
          <w:tcPr>
            <w:tcW w:w="106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1,244,732</w:t>
            </w:r>
          </w:p>
        </w:tc>
        <w:tc>
          <w:tcPr>
            <w:tcW w:w="220" w:type="dxa"/>
            <w:vAlign w:val="bottom"/>
            <w:tcBorders>
              <w:top w:val="single" w:sz="8" w:color="CFF0FC"/>
            </w:tcBorders>
            <w:shd w:val="clear" w:color="auto" w:fill="CFF0FC"/>
          </w:tcPr>
          <w:p>
            <w:pPr>
              <w:spacing w:after="0"/>
              <w:rPr>
                <w:sz w:val="19"/>
                <w:szCs w:val="19"/>
                <w:color w:val="auto"/>
              </w:rPr>
            </w:pPr>
          </w:p>
        </w:tc>
        <w:tc>
          <w:tcPr>
            <w:tcW w:w="100" w:type="dxa"/>
            <w:vAlign w:val="bottom"/>
            <w:tcBorders>
              <w:top w:val="single" w:sz="8" w:color="auto"/>
              <w:bottom w:val="single" w:sz="8" w:color="auto"/>
            </w:tcBorders>
            <w:shd w:val="clear" w:color="auto" w:fill="CFF0FC"/>
          </w:tcPr>
          <w:p>
            <w:pPr>
              <w:spacing w:after="0"/>
              <w:rPr>
                <w:sz w:val="19"/>
                <w:szCs w:val="19"/>
                <w:color w:val="auto"/>
              </w:rPr>
            </w:pPr>
          </w:p>
        </w:tc>
        <w:tc>
          <w:tcPr>
            <w:tcW w:w="106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993,796</w:t>
            </w:r>
          </w:p>
        </w:tc>
        <w:tc>
          <w:tcPr>
            <w:tcW w:w="220" w:type="dxa"/>
            <w:vAlign w:val="bottom"/>
            <w:tcBorders>
              <w:top w:val="single" w:sz="8" w:color="CFF0FC"/>
            </w:tcBorders>
            <w:shd w:val="clear" w:color="auto" w:fill="CFF0FC"/>
          </w:tcPr>
          <w:p>
            <w:pPr>
              <w:spacing w:after="0"/>
              <w:rPr>
                <w:sz w:val="19"/>
                <w:szCs w:val="19"/>
                <w:color w:val="auto"/>
              </w:rPr>
            </w:pPr>
          </w:p>
        </w:tc>
        <w:tc>
          <w:tcPr>
            <w:tcW w:w="80" w:type="dxa"/>
            <w:vAlign w:val="bottom"/>
            <w:tcBorders>
              <w:top w:val="single" w:sz="8" w:color="auto"/>
              <w:bottom w:val="single" w:sz="8" w:color="auto"/>
            </w:tcBorders>
            <w:shd w:val="clear" w:color="auto" w:fill="CFF0FC"/>
          </w:tcPr>
          <w:p>
            <w:pPr>
              <w:spacing w:after="0"/>
              <w:rPr>
                <w:sz w:val="19"/>
                <w:szCs w:val="19"/>
                <w:color w:val="auto"/>
              </w:rPr>
            </w:pPr>
          </w:p>
        </w:tc>
        <w:tc>
          <w:tcPr>
            <w:tcW w:w="110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(797,480)</w:t>
            </w:r>
          </w:p>
        </w:tc>
        <w:tc>
          <w:tcPr>
            <w:tcW w:w="200" w:type="dxa"/>
            <w:vAlign w:val="bottom"/>
            <w:tcBorders>
              <w:top w:val="single" w:sz="8" w:color="CFF0FC"/>
            </w:tcBorders>
            <w:shd w:val="clear" w:color="auto" w:fill="CFF0FC"/>
          </w:tcPr>
          <w:p>
            <w:pPr>
              <w:spacing w:after="0"/>
              <w:rPr>
                <w:sz w:val="19"/>
                <w:szCs w:val="19"/>
                <w:color w:val="auto"/>
              </w:rPr>
            </w:pPr>
          </w:p>
        </w:tc>
        <w:tc>
          <w:tcPr>
            <w:tcW w:w="120" w:type="dxa"/>
            <w:vAlign w:val="bottom"/>
            <w:tcBorders>
              <w:top w:val="single" w:sz="8" w:color="auto"/>
              <w:bottom w:val="single" w:sz="8" w:color="auto"/>
            </w:tcBorders>
            <w:shd w:val="clear" w:color="auto" w:fill="CFF0FC"/>
          </w:tcPr>
          <w:p>
            <w:pPr>
              <w:spacing w:after="0"/>
              <w:rPr>
                <w:sz w:val="19"/>
                <w:szCs w:val="19"/>
                <w:color w:val="auto"/>
              </w:rPr>
            </w:pPr>
          </w:p>
        </w:tc>
        <w:tc>
          <w:tcPr>
            <w:tcW w:w="108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1,441,048</w:t>
            </w:r>
          </w:p>
        </w:tc>
        <w:tc>
          <w:tcPr>
            <w:tcW w:w="120" w:type="dxa"/>
            <w:vAlign w:val="bottom"/>
            <w:tcBorders>
              <w:top w:val="single" w:sz="8" w:color="CFF0FC"/>
            </w:tcBorders>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20" w:type="dxa"/>
            <w:vAlign w:val="bottom"/>
            <w:vMerge w:val="restart"/>
          </w:tcPr>
          <w:p>
            <w:pPr>
              <w:spacing w:after="0"/>
              <w:rPr>
                <w:sz w:val="19"/>
                <w:szCs w:val="19"/>
                <w:color w:val="auto"/>
              </w:rPr>
            </w:pPr>
          </w:p>
        </w:tc>
        <w:tc>
          <w:tcPr>
            <w:tcW w:w="4880" w:type="dxa"/>
            <w:vAlign w:val="bottom"/>
          </w:tcPr>
          <w:p>
            <w:pPr>
              <w:spacing w:after="0"/>
              <w:rPr>
                <w:sz w:val="19"/>
                <w:szCs w:val="19"/>
                <w:color w:val="auto"/>
              </w:rPr>
            </w:pPr>
          </w:p>
        </w:tc>
        <w:tc>
          <w:tcPr>
            <w:tcW w:w="10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6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6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1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vMerge w:val="continue"/>
          </w:tcPr>
          <w:p>
            <w:pPr>
              <w:spacing w:after="0"/>
              <w:rPr>
                <w:sz w:val="19"/>
                <w:szCs w:val="19"/>
                <w:color w:val="auto"/>
              </w:rPr>
            </w:pPr>
          </w:p>
        </w:tc>
        <w:tc>
          <w:tcPr>
            <w:tcW w:w="4880" w:type="dxa"/>
            <w:vAlign w:val="bottom"/>
            <w:shd w:val="clear" w:color="auto" w:fill="CFF0FC"/>
          </w:tcPr>
          <w:p>
            <w:pPr>
              <w:spacing w:after="0"/>
              <w:rPr>
                <w:sz w:val="20"/>
                <w:szCs w:val="20"/>
                <w:color w:val="auto"/>
              </w:rPr>
            </w:pPr>
            <w:r>
              <w:rPr>
                <w:rFonts w:ascii="Arial" w:cs="Arial" w:eastAsia="Arial" w:hAnsi="Arial"/>
                <w:sz w:val="18"/>
                <w:szCs w:val="18"/>
                <w:b w:val="1"/>
                <w:bCs w:val="1"/>
                <w:color w:val="auto"/>
              </w:rPr>
              <w:t>Equity</w:t>
            </w:r>
          </w:p>
        </w:tc>
        <w:tc>
          <w:tcPr>
            <w:tcW w:w="106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060" w:type="dxa"/>
            <w:vAlign w:val="bottom"/>
            <w:shd w:val="clear" w:color="auto" w:fill="CFF0FC"/>
          </w:tcPr>
          <w:p>
            <w:pPr>
              <w:spacing w:after="0"/>
              <w:rPr>
                <w:sz w:val="19"/>
                <w:szCs w:val="19"/>
                <w:color w:val="auto"/>
              </w:rPr>
            </w:pPr>
          </w:p>
        </w:tc>
        <w:tc>
          <w:tcPr>
            <w:tcW w:w="22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060" w:type="dxa"/>
            <w:vAlign w:val="bottom"/>
            <w:shd w:val="clear" w:color="auto" w:fill="CFF0FC"/>
          </w:tcPr>
          <w:p>
            <w:pPr>
              <w:spacing w:after="0"/>
              <w:rPr>
                <w:sz w:val="19"/>
                <w:szCs w:val="19"/>
                <w:color w:val="auto"/>
              </w:rPr>
            </w:pPr>
          </w:p>
        </w:tc>
        <w:tc>
          <w:tcPr>
            <w:tcW w:w="22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110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108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4880" w:type="dxa"/>
            <w:vAlign w:val="bottom"/>
          </w:tcPr>
          <w:p>
            <w:pPr>
              <w:spacing w:after="0"/>
              <w:rPr>
                <w:sz w:val="20"/>
                <w:szCs w:val="20"/>
                <w:color w:val="auto"/>
              </w:rPr>
            </w:pPr>
            <w:r>
              <w:rPr>
                <w:rFonts w:ascii="Arial" w:cs="Arial" w:eastAsia="Arial" w:hAnsi="Arial"/>
                <w:sz w:val="18"/>
                <w:szCs w:val="18"/>
                <w:color w:val="auto"/>
              </w:rPr>
              <w:t>Total Equity</w:t>
            </w:r>
          </w:p>
        </w:tc>
        <w:tc>
          <w:tcPr>
            <w:tcW w:w="10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1,472,476</w:t>
            </w:r>
          </w:p>
        </w:tc>
        <w:tc>
          <w:tcPr>
            <w:tcW w:w="2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959,693</w:t>
            </w:r>
          </w:p>
        </w:tc>
        <w:tc>
          <w:tcPr>
            <w:tcW w:w="2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300" w:type="dxa"/>
            <w:vAlign w:val="bottom"/>
            <w:gridSpan w:val="2"/>
          </w:tcPr>
          <w:p>
            <w:pPr>
              <w:jc w:val="right"/>
              <w:ind w:right="60"/>
              <w:spacing w:after="0"/>
              <w:rPr>
                <w:sz w:val="20"/>
                <w:szCs w:val="20"/>
                <w:color w:val="auto"/>
              </w:rPr>
            </w:pPr>
            <w:r>
              <w:rPr>
                <w:rFonts w:ascii="Arial" w:cs="Arial" w:eastAsia="Arial" w:hAnsi="Arial"/>
                <w:sz w:val="18"/>
                <w:szCs w:val="18"/>
                <w:color w:val="auto"/>
              </w:rPr>
              <w:t>(959,693)</w:t>
            </w:r>
          </w:p>
        </w:tc>
        <w:tc>
          <w:tcPr>
            <w:tcW w:w="120" w:type="dxa"/>
            <w:vAlign w:val="bottom"/>
          </w:tcPr>
          <w:p>
            <w:pPr>
              <w:spacing w:after="0"/>
              <w:rPr>
                <w:sz w:val="19"/>
                <w:szCs w:val="19"/>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1,472,476</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4880" w:type="dxa"/>
            <w:vAlign w:val="bottom"/>
            <w:tcBorders>
              <w:top w:val="single" w:sz="8" w:color="CFF0FC"/>
              <w:bottom w:val="single" w:sz="8" w:color="CFF0FC"/>
            </w:tcBorders>
            <w:shd w:val="clear" w:color="auto" w:fill="CFF0FC"/>
          </w:tcPr>
          <w:p>
            <w:pPr>
              <w:ind w:left="240"/>
              <w:spacing w:after="0"/>
              <w:rPr>
                <w:sz w:val="20"/>
                <w:szCs w:val="20"/>
                <w:color w:val="auto"/>
              </w:rPr>
            </w:pPr>
            <w:r>
              <w:rPr>
                <w:rFonts w:ascii="Arial" w:cs="Arial" w:eastAsia="Arial" w:hAnsi="Arial"/>
                <w:sz w:val="18"/>
                <w:szCs w:val="18"/>
                <w:color w:val="auto"/>
              </w:rPr>
              <w:t>Total Liabilities and Equity</w:t>
            </w:r>
          </w:p>
        </w:tc>
        <w:tc>
          <w:tcPr>
            <w:tcW w:w="1060" w:type="dxa"/>
            <w:vAlign w:val="bottom"/>
            <w:tcBorders>
              <w:top w:val="single" w:sz="8" w:color="CFF0FC"/>
              <w:bottom w:val="single" w:sz="8" w:color="CFF0FC"/>
            </w:tcBorders>
            <w:shd w:val="clear" w:color="auto" w:fill="CFF0FC"/>
          </w:tcPr>
          <w:p>
            <w:pPr>
              <w:spacing w:after="0"/>
              <w:rPr>
                <w:sz w:val="19"/>
                <w:szCs w:val="19"/>
                <w:color w:val="auto"/>
              </w:rPr>
            </w:pPr>
          </w:p>
        </w:tc>
        <w:tc>
          <w:tcPr>
            <w:tcW w:w="10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106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2,717,208</w:t>
            </w:r>
          </w:p>
        </w:tc>
        <w:tc>
          <w:tcPr>
            <w:tcW w:w="220" w:type="dxa"/>
            <w:vAlign w:val="bottom"/>
            <w:tcBorders>
              <w:top w:val="single" w:sz="8" w:color="CFF0FC"/>
              <w:bottom w:val="single" w:sz="8" w:color="CFF0FC"/>
            </w:tcBorders>
            <w:shd w:val="clear" w:color="auto" w:fill="CFF0FC"/>
          </w:tcPr>
          <w:p>
            <w:pPr>
              <w:spacing w:after="0"/>
              <w:rPr>
                <w:sz w:val="19"/>
                <w:szCs w:val="19"/>
                <w:color w:val="auto"/>
              </w:rPr>
            </w:pPr>
          </w:p>
        </w:tc>
        <w:tc>
          <w:tcPr>
            <w:tcW w:w="10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106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1,953,489</w:t>
            </w:r>
          </w:p>
        </w:tc>
        <w:tc>
          <w:tcPr>
            <w:tcW w:w="220" w:type="dxa"/>
            <w:vAlign w:val="bottom"/>
            <w:tcBorders>
              <w:top w:val="single" w:sz="8" w:color="CFF0FC"/>
              <w:bottom w:val="single" w:sz="8" w:color="CFF0FC"/>
            </w:tcBorders>
            <w:shd w:val="clear" w:color="auto" w:fill="CFF0FC"/>
          </w:tcPr>
          <w:p>
            <w:pPr>
              <w:spacing w:after="0"/>
              <w:rPr>
                <w:sz w:val="19"/>
                <w:szCs w:val="19"/>
                <w:color w:val="auto"/>
              </w:rPr>
            </w:pPr>
          </w:p>
        </w:tc>
        <w:tc>
          <w:tcPr>
            <w:tcW w:w="8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5"/>
                <w:szCs w:val="15"/>
                <w:color w:val="auto"/>
                <w:w w:val="71"/>
              </w:rPr>
              <w:t>$</w:t>
            </w:r>
          </w:p>
        </w:tc>
        <w:tc>
          <w:tcPr>
            <w:tcW w:w="110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(1,757,173</w:t>
            </w:r>
          </w:p>
        </w:tc>
        <w:tc>
          <w:tcPr>
            <w:tcW w:w="200" w:type="dxa"/>
            <w:vAlign w:val="bottom"/>
            <w:tcBorders>
              <w:top w:val="single" w:sz="8" w:color="CFF0FC"/>
              <w:bottom w:val="single" w:sz="8" w:color="CFF0FC"/>
            </w:tcBorders>
            <w:shd w:val="clear" w:color="auto" w:fill="CFF0FC"/>
          </w:tcPr>
          <w:p>
            <w:pPr>
              <w:jc w:val="right"/>
              <w:ind w:right="60"/>
              <w:spacing w:after="0"/>
              <w:rPr>
                <w:sz w:val="20"/>
                <w:szCs w:val="20"/>
                <w:color w:val="auto"/>
              </w:rPr>
            </w:pPr>
            <w:r>
              <w:rPr>
                <w:rFonts w:ascii="Arial" w:cs="Arial" w:eastAsia="Arial" w:hAnsi="Arial"/>
                <w:sz w:val="16"/>
                <w:szCs w:val="16"/>
                <w:color w:val="auto"/>
                <w:w w:val="74"/>
              </w:rPr>
              <w:t>)</w:t>
            </w:r>
          </w:p>
        </w:tc>
        <w:tc>
          <w:tcPr>
            <w:tcW w:w="12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108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2,913,524</w:t>
            </w:r>
          </w:p>
        </w:tc>
        <w:tc>
          <w:tcPr>
            <w:tcW w:w="120" w:type="dxa"/>
            <w:vAlign w:val="bottom"/>
            <w:tcBorders>
              <w:top w:val="single" w:sz="8" w:color="CFF0FC"/>
              <w:bottom w:val="single" w:sz="8" w:color="CFF0FC"/>
            </w:tcBorders>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880" w:type="dxa"/>
            <w:vAlign w:val="bottom"/>
          </w:tcPr>
          <w:p>
            <w:pPr>
              <w:spacing w:after="0" w:line="20" w:lineRule="exact"/>
              <w:rPr>
                <w:sz w:val="1"/>
                <w:szCs w:val="1"/>
                <w:color w:val="auto"/>
              </w:rPr>
            </w:pPr>
          </w:p>
        </w:tc>
        <w:tc>
          <w:tcPr>
            <w:tcW w:w="1060" w:type="dxa"/>
            <w:vAlign w:val="bottom"/>
            <w:vMerge w:val="restart"/>
          </w:tcPr>
          <w:p>
            <w:pPr>
              <w:jc w:val="right"/>
              <w:spacing w:after="0"/>
              <w:rPr>
                <w:sz w:val="20"/>
                <w:szCs w:val="20"/>
                <w:color w:val="auto"/>
              </w:rPr>
            </w:pPr>
            <w:r>
              <w:rPr>
                <w:rFonts w:ascii="Arial" w:cs="Arial" w:eastAsia="Arial" w:hAnsi="Arial"/>
                <w:sz w:val="18"/>
                <w:szCs w:val="18"/>
                <w:color w:val="auto"/>
              </w:rPr>
              <w:t>- 25 -</w:t>
            </w:r>
          </w:p>
        </w:tc>
        <w:tc>
          <w:tcPr>
            <w:tcW w:w="10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656"/>
        </w:trPr>
        <w:tc>
          <w:tcPr>
            <w:tcW w:w="20" w:type="dxa"/>
            <w:vAlign w:val="bottom"/>
          </w:tcPr>
          <w:p>
            <w:pPr>
              <w:spacing w:after="0"/>
              <w:rPr>
                <w:sz w:val="24"/>
                <w:szCs w:val="24"/>
                <w:color w:val="auto"/>
              </w:rPr>
            </w:pPr>
          </w:p>
        </w:tc>
        <w:tc>
          <w:tcPr>
            <w:tcW w:w="4880" w:type="dxa"/>
            <w:vAlign w:val="bottom"/>
          </w:tcPr>
          <w:p>
            <w:pPr>
              <w:spacing w:after="0"/>
              <w:rPr>
                <w:sz w:val="24"/>
                <w:szCs w:val="24"/>
                <w:color w:val="auto"/>
              </w:rPr>
            </w:pPr>
          </w:p>
        </w:tc>
        <w:tc>
          <w:tcPr>
            <w:tcW w:w="1060" w:type="dxa"/>
            <w:vAlign w:val="bottom"/>
            <w:vMerge w:val="continue"/>
          </w:tcPr>
          <w:p>
            <w:pPr>
              <w:spacing w:after="0"/>
              <w:rPr>
                <w:sz w:val="24"/>
                <w:szCs w:val="24"/>
                <w:color w:val="auto"/>
              </w:rPr>
            </w:pPr>
          </w:p>
        </w:tc>
        <w:tc>
          <w:tcPr>
            <w:tcW w:w="10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1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459" w:right="239" w:bottom="1440" w:gutter="0" w:footer="0" w:header="0"/>
        </w:sectPr>
      </w:pPr>
    </w:p>
    <w:bookmarkStart w:id="25" w:name="page26"/>
    <w:bookmarkEnd w:id="25"/>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5300" w:type="dxa"/>
            <w:vAlign w:val="bottom"/>
            <w:gridSpan w:val="2"/>
          </w:tcPr>
          <w:p>
            <w:pPr>
              <w:spacing w:after="0"/>
              <w:rPr>
                <w:sz w:val="20"/>
                <w:szCs w:val="20"/>
                <w:color w:val="auto"/>
              </w:rPr>
            </w:pPr>
            <w:r>
              <w:rPr>
                <w:rFonts w:ascii="Arial" w:cs="Arial" w:eastAsia="Arial" w:hAnsi="Arial"/>
                <w:sz w:val="18"/>
                <w:szCs w:val="18"/>
                <w:b w:val="1"/>
                <w:bCs w:val="1"/>
                <w:color w:val="auto"/>
                <w:w w:val="92"/>
              </w:rPr>
              <w:t>Condensed Consolidating Statement of Operations (in thousands):</w:t>
            </w:r>
          </w:p>
        </w:tc>
        <w:tc>
          <w:tcPr>
            <w:tcW w:w="8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04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06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0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73"/>
        </w:trPr>
        <w:tc>
          <w:tcPr>
            <w:tcW w:w="20" w:type="dxa"/>
            <w:vAlign w:val="bottom"/>
          </w:tcPr>
          <w:p>
            <w:pPr>
              <w:spacing w:after="0"/>
              <w:rPr>
                <w:sz w:val="24"/>
                <w:szCs w:val="24"/>
                <w:color w:val="auto"/>
              </w:rPr>
            </w:pPr>
          </w:p>
        </w:tc>
        <w:tc>
          <w:tcPr>
            <w:tcW w:w="528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040" w:type="dxa"/>
            <w:vAlign w:val="bottom"/>
            <w:tcBorders>
              <w:bottom w:val="single" w:sz="8" w:color="auto"/>
            </w:tcBorders>
          </w:tcPr>
          <w:p>
            <w:pPr>
              <w:spacing w:after="0"/>
              <w:rPr>
                <w:sz w:val="24"/>
                <w:szCs w:val="24"/>
                <w:color w:val="auto"/>
              </w:rPr>
            </w:pPr>
          </w:p>
        </w:tc>
        <w:tc>
          <w:tcPr>
            <w:tcW w:w="2900" w:type="dxa"/>
            <w:vAlign w:val="bottom"/>
            <w:tcBorders>
              <w:bottom w:val="single" w:sz="8" w:color="auto"/>
            </w:tcBorders>
            <w:gridSpan w:val="8"/>
          </w:tcPr>
          <w:p>
            <w:pPr>
              <w:jc w:val="right"/>
              <w:ind w:right="20"/>
              <w:spacing w:after="0"/>
              <w:rPr>
                <w:sz w:val="20"/>
                <w:szCs w:val="20"/>
                <w:color w:val="auto"/>
              </w:rPr>
            </w:pPr>
            <w:r>
              <w:rPr>
                <w:rFonts w:ascii="Arial" w:cs="Arial" w:eastAsia="Arial" w:hAnsi="Arial"/>
                <w:sz w:val="18"/>
                <w:szCs w:val="18"/>
                <w:b w:val="1"/>
                <w:bCs w:val="1"/>
                <w:color w:val="auto"/>
                <w:w w:val="91"/>
              </w:rPr>
              <w:t>Three Months Ended March 31, 2015</w:t>
            </w:r>
          </w:p>
        </w:tc>
        <w:tc>
          <w:tcPr>
            <w:tcW w:w="2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040" w:type="dxa"/>
            <w:vAlign w:val="bottom"/>
            <w:tcBorders>
              <w:bottom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8"/>
        </w:trPr>
        <w:tc>
          <w:tcPr>
            <w:tcW w:w="20" w:type="dxa"/>
            <w:vAlign w:val="bottom"/>
          </w:tcPr>
          <w:p>
            <w:pPr>
              <w:spacing w:after="0"/>
              <w:rPr>
                <w:sz w:val="18"/>
                <w:szCs w:val="18"/>
                <w:color w:val="auto"/>
              </w:rPr>
            </w:pPr>
          </w:p>
        </w:tc>
        <w:tc>
          <w:tcPr>
            <w:tcW w:w="528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140" w:type="dxa"/>
            <w:vAlign w:val="bottom"/>
            <w:gridSpan w:val="2"/>
          </w:tcPr>
          <w:p>
            <w:pPr>
              <w:jc w:val="center"/>
              <w:spacing w:after="0"/>
              <w:rPr>
                <w:sz w:val="20"/>
                <w:szCs w:val="20"/>
                <w:color w:val="auto"/>
              </w:rPr>
            </w:pPr>
            <w:r>
              <w:rPr>
                <w:rFonts w:ascii="Arial" w:cs="Arial" w:eastAsia="Arial" w:hAnsi="Arial"/>
                <w:sz w:val="18"/>
                <w:szCs w:val="18"/>
                <w:b w:val="1"/>
                <w:bCs w:val="1"/>
                <w:color w:val="auto"/>
                <w:w w:val="87"/>
              </w:rPr>
              <w:t>Consolidated</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5280" w:type="dxa"/>
            <w:vAlign w:val="bottom"/>
          </w:tcPr>
          <w:p>
            <w:pPr>
              <w:spacing w:after="0"/>
              <w:rPr>
                <w:sz w:val="19"/>
                <w:szCs w:val="19"/>
                <w:color w:val="auto"/>
              </w:rPr>
            </w:pPr>
          </w:p>
        </w:tc>
        <w:tc>
          <w:tcPr>
            <w:tcW w:w="8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180" w:type="dxa"/>
            <w:vAlign w:val="bottom"/>
            <w:gridSpan w:val="2"/>
          </w:tcPr>
          <w:p>
            <w:pPr>
              <w:jc w:val="right"/>
              <w:ind w:right="190"/>
              <w:spacing w:after="0"/>
              <w:rPr>
                <w:sz w:val="20"/>
                <w:szCs w:val="20"/>
                <w:color w:val="auto"/>
              </w:rPr>
            </w:pPr>
            <w:r>
              <w:rPr>
                <w:rFonts w:ascii="Arial" w:cs="Arial" w:eastAsia="Arial" w:hAnsi="Arial"/>
                <w:sz w:val="18"/>
                <w:szCs w:val="18"/>
                <w:b w:val="1"/>
                <w:bCs w:val="1"/>
                <w:color w:val="auto"/>
                <w:w w:val="98"/>
              </w:rPr>
              <w:t>TRI Pointe</w:t>
            </w:r>
          </w:p>
        </w:tc>
        <w:tc>
          <w:tcPr>
            <w:tcW w:w="8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260" w:type="dxa"/>
            <w:vAlign w:val="bottom"/>
            <w:gridSpan w:val="2"/>
          </w:tcPr>
          <w:p>
            <w:pPr>
              <w:jc w:val="right"/>
              <w:ind w:right="360"/>
              <w:spacing w:after="0"/>
              <w:rPr>
                <w:sz w:val="20"/>
                <w:szCs w:val="20"/>
                <w:color w:val="auto"/>
              </w:rPr>
            </w:pPr>
            <w:r>
              <w:rPr>
                <w:rFonts w:ascii="Arial" w:cs="Arial" w:eastAsia="Arial" w:hAnsi="Arial"/>
                <w:sz w:val="18"/>
                <w:szCs w:val="18"/>
                <w:b w:val="1"/>
                <w:bCs w:val="1"/>
                <w:color w:val="auto"/>
              </w:rPr>
              <w:t>Guarantor</w:t>
            </w:r>
          </w:p>
        </w:tc>
        <w:tc>
          <w:tcPr>
            <w:tcW w:w="1340" w:type="dxa"/>
            <w:vAlign w:val="bottom"/>
            <w:gridSpan w:val="3"/>
          </w:tcPr>
          <w:p>
            <w:pPr>
              <w:jc w:val="right"/>
              <w:ind w:right="240"/>
              <w:spacing w:after="0"/>
              <w:rPr>
                <w:sz w:val="20"/>
                <w:szCs w:val="20"/>
                <w:color w:val="auto"/>
              </w:rPr>
            </w:pPr>
            <w:r>
              <w:rPr>
                <w:rFonts w:ascii="Arial" w:cs="Arial" w:eastAsia="Arial" w:hAnsi="Arial"/>
                <w:sz w:val="18"/>
                <w:szCs w:val="18"/>
                <w:b w:val="1"/>
                <w:bCs w:val="1"/>
                <w:color w:val="auto"/>
                <w:w w:val="89"/>
              </w:rPr>
              <w:t>Consolidating</w:t>
            </w: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140" w:type="dxa"/>
            <w:vAlign w:val="bottom"/>
            <w:gridSpan w:val="2"/>
          </w:tcPr>
          <w:p>
            <w:pPr>
              <w:jc w:val="center"/>
              <w:ind w:right="220"/>
              <w:spacing w:after="0"/>
              <w:rPr>
                <w:sz w:val="20"/>
                <w:szCs w:val="20"/>
                <w:color w:val="auto"/>
              </w:rPr>
            </w:pPr>
            <w:r>
              <w:rPr>
                <w:rFonts w:ascii="Arial" w:cs="Arial" w:eastAsia="Arial" w:hAnsi="Arial"/>
                <w:sz w:val="18"/>
                <w:szCs w:val="18"/>
                <w:b w:val="1"/>
                <w:bCs w:val="1"/>
                <w:color w:val="auto"/>
                <w:w w:val="94"/>
              </w:rPr>
              <w:t>TRI Pointe</w:t>
            </w:r>
          </w:p>
        </w:tc>
        <w:tc>
          <w:tcPr>
            <w:tcW w:w="0" w:type="dxa"/>
            <w:vAlign w:val="bottom"/>
          </w:tcPr>
          <w:p>
            <w:pPr>
              <w:spacing w:after="0"/>
              <w:rPr>
                <w:sz w:val="1"/>
                <w:szCs w:val="1"/>
                <w:color w:val="auto"/>
              </w:rPr>
            </w:pPr>
          </w:p>
        </w:tc>
      </w:tr>
      <w:tr>
        <w:trPr>
          <w:trHeight w:val="234"/>
        </w:trPr>
        <w:tc>
          <w:tcPr>
            <w:tcW w:w="20" w:type="dxa"/>
            <w:vAlign w:val="bottom"/>
          </w:tcPr>
          <w:p>
            <w:pPr>
              <w:spacing w:after="0"/>
              <w:rPr>
                <w:sz w:val="20"/>
                <w:szCs w:val="20"/>
                <w:color w:val="auto"/>
              </w:rPr>
            </w:pPr>
          </w:p>
        </w:tc>
        <w:tc>
          <w:tcPr>
            <w:tcW w:w="5280" w:type="dxa"/>
            <w:vAlign w:val="bottom"/>
          </w:tcPr>
          <w:p>
            <w:pPr>
              <w:spacing w:after="0"/>
              <w:rPr>
                <w:sz w:val="20"/>
                <w:szCs w:val="20"/>
                <w:color w:val="auto"/>
              </w:rPr>
            </w:pPr>
          </w:p>
        </w:tc>
        <w:tc>
          <w:tcPr>
            <w:tcW w:w="8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180" w:type="dxa"/>
            <w:vAlign w:val="bottom"/>
            <w:gridSpan w:val="2"/>
          </w:tcPr>
          <w:p>
            <w:pPr>
              <w:jc w:val="right"/>
              <w:ind w:right="170"/>
              <w:spacing w:after="0"/>
              <w:rPr>
                <w:sz w:val="20"/>
                <w:szCs w:val="20"/>
                <w:color w:val="auto"/>
              </w:rPr>
            </w:pPr>
            <w:r>
              <w:rPr>
                <w:rFonts w:ascii="Arial" w:cs="Arial" w:eastAsia="Arial" w:hAnsi="Arial"/>
                <w:sz w:val="18"/>
                <w:szCs w:val="18"/>
                <w:b w:val="1"/>
                <w:bCs w:val="1"/>
                <w:color w:val="auto"/>
                <w:w w:val="89"/>
              </w:rPr>
              <w:t>Homes, Inc.</w:t>
            </w:r>
          </w:p>
        </w:tc>
        <w:tc>
          <w:tcPr>
            <w:tcW w:w="8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260" w:type="dxa"/>
            <w:vAlign w:val="bottom"/>
            <w:gridSpan w:val="2"/>
          </w:tcPr>
          <w:p>
            <w:pPr>
              <w:jc w:val="right"/>
              <w:ind w:right="320"/>
              <w:spacing w:after="0"/>
              <w:rPr>
                <w:sz w:val="20"/>
                <w:szCs w:val="20"/>
                <w:color w:val="auto"/>
              </w:rPr>
            </w:pPr>
            <w:r>
              <w:rPr>
                <w:rFonts w:ascii="Arial" w:cs="Arial" w:eastAsia="Arial" w:hAnsi="Arial"/>
                <w:sz w:val="18"/>
                <w:szCs w:val="18"/>
                <w:b w:val="1"/>
                <w:bCs w:val="1"/>
                <w:color w:val="auto"/>
                <w:w w:val="85"/>
              </w:rPr>
              <w:t>Subsidiaries</w:t>
            </w:r>
          </w:p>
        </w:tc>
        <w:tc>
          <w:tcPr>
            <w:tcW w:w="1340" w:type="dxa"/>
            <w:vAlign w:val="bottom"/>
            <w:gridSpan w:val="3"/>
          </w:tcPr>
          <w:p>
            <w:pPr>
              <w:jc w:val="right"/>
              <w:ind w:right="280"/>
              <w:spacing w:after="0"/>
              <w:rPr>
                <w:sz w:val="20"/>
                <w:szCs w:val="20"/>
                <w:color w:val="auto"/>
              </w:rPr>
            </w:pPr>
            <w:r>
              <w:rPr>
                <w:rFonts w:ascii="Arial" w:cs="Arial" w:eastAsia="Arial" w:hAnsi="Arial"/>
                <w:sz w:val="18"/>
                <w:szCs w:val="18"/>
                <w:b w:val="1"/>
                <w:bCs w:val="1"/>
                <w:color w:val="auto"/>
                <w:w w:val="95"/>
              </w:rPr>
              <w:t>Adjustments</w:t>
            </w:r>
          </w:p>
        </w:tc>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140" w:type="dxa"/>
            <w:vAlign w:val="bottom"/>
            <w:gridSpan w:val="2"/>
          </w:tcPr>
          <w:p>
            <w:pPr>
              <w:jc w:val="center"/>
              <w:ind w:right="220"/>
              <w:spacing w:after="0"/>
              <w:rPr>
                <w:sz w:val="20"/>
                <w:szCs w:val="20"/>
                <w:color w:val="auto"/>
              </w:rPr>
            </w:pPr>
            <w:r>
              <w:rPr>
                <w:rFonts w:ascii="Arial" w:cs="Arial" w:eastAsia="Arial" w:hAnsi="Arial"/>
                <w:sz w:val="18"/>
                <w:szCs w:val="18"/>
                <w:b w:val="1"/>
                <w:bCs w:val="1"/>
                <w:color w:val="auto"/>
                <w:w w:val="91"/>
              </w:rPr>
              <w:t>Homes, Inc.</w:t>
            </w: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5280" w:type="dxa"/>
            <w:vAlign w:val="bottom"/>
            <w:tcBorders>
              <w:top w:val="single" w:sz="8" w:color="CFF0FC"/>
            </w:tcBorders>
            <w:shd w:val="clear" w:color="auto" w:fill="CFF0FC"/>
          </w:tcPr>
          <w:p>
            <w:pPr>
              <w:spacing w:after="0"/>
              <w:rPr>
                <w:sz w:val="20"/>
                <w:szCs w:val="20"/>
                <w:color w:val="auto"/>
              </w:rPr>
            </w:pPr>
            <w:r>
              <w:rPr>
                <w:rFonts w:ascii="Arial" w:cs="Arial" w:eastAsia="Arial" w:hAnsi="Arial"/>
                <w:sz w:val="18"/>
                <w:szCs w:val="18"/>
                <w:b w:val="1"/>
                <w:bCs w:val="1"/>
                <w:color w:val="auto"/>
              </w:rPr>
              <w:t>Revenues:</w:t>
            </w:r>
          </w:p>
        </w:tc>
        <w:tc>
          <w:tcPr>
            <w:tcW w:w="820" w:type="dxa"/>
            <w:vAlign w:val="bottom"/>
            <w:tcBorders>
              <w:top w:val="single" w:sz="8" w:color="CFF0FC"/>
            </w:tcBorders>
            <w:shd w:val="clear" w:color="auto" w:fill="CFF0FC"/>
          </w:tcPr>
          <w:p>
            <w:pPr>
              <w:spacing w:after="0"/>
              <w:rPr>
                <w:sz w:val="19"/>
                <w:szCs w:val="19"/>
                <w:color w:val="auto"/>
              </w:rPr>
            </w:pPr>
          </w:p>
        </w:tc>
        <w:tc>
          <w:tcPr>
            <w:tcW w:w="100" w:type="dxa"/>
            <w:vAlign w:val="bottom"/>
            <w:tcBorders>
              <w:top w:val="single" w:sz="8" w:color="auto"/>
            </w:tcBorders>
            <w:shd w:val="clear" w:color="auto" w:fill="CFF0FC"/>
          </w:tcPr>
          <w:p>
            <w:pPr>
              <w:spacing w:after="0"/>
              <w:rPr>
                <w:sz w:val="19"/>
                <w:szCs w:val="19"/>
                <w:color w:val="auto"/>
              </w:rPr>
            </w:pPr>
          </w:p>
        </w:tc>
        <w:tc>
          <w:tcPr>
            <w:tcW w:w="1040" w:type="dxa"/>
            <w:vAlign w:val="bottom"/>
            <w:tcBorders>
              <w:top w:val="single" w:sz="8" w:color="auto"/>
            </w:tcBorders>
            <w:shd w:val="clear" w:color="auto" w:fill="CFF0FC"/>
          </w:tcPr>
          <w:p>
            <w:pPr>
              <w:spacing w:after="0"/>
              <w:rPr>
                <w:sz w:val="19"/>
                <w:szCs w:val="19"/>
                <w:color w:val="auto"/>
              </w:rPr>
            </w:pPr>
          </w:p>
        </w:tc>
        <w:tc>
          <w:tcPr>
            <w:tcW w:w="140" w:type="dxa"/>
            <w:vAlign w:val="bottom"/>
            <w:tcBorders>
              <w:top w:val="single" w:sz="8" w:color="CFF0FC"/>
            </w:tcBorders>
            <w:shd w:val="clear" w:color="auto" w:fill="CFF0FC"/>
          </w:tcPr>
          <w:p>
            <w:pPr>
              <w:spacing w:after="0"/>
              <w:rPr>
                <w:sz w:val="19"/>
                <w:szCs w:val="19"/>
                <w:color w:val="auto"/>
              </w:rPr>
            </w:pPr>
          </w:p>
        </w:tc>
        <w:tc>
          <w:tcPr>
            <w:tcW w:w="80" w:type="dxa"/>
            <w:vAlign w:val="bottom"/>
            <w:tcBorders>
              <w:top w:val="single" w:sz="8" w:color="CFF0FC"/>
            </w:tcBorders>
            <w:shd w:val="clear" w:color="auto" w:fill="CFF0FC"/>
          </w:tcPr>
          <w:p>
            <w:pPr>
              <w:spacing w:after="0"/>
              <w:rPr>
                <w:sz w:val="19"/>
                <w:szCs w:val="19"/>
                <w:color w:val="auto"/>
              </w:rPr>
            </w:pPr>
          </w:p>
        </w:tc>
        <w:tc>
          <w:tcPr>
            <w:tcW w:w="80" w:type="dxa"/>
            <w:vAlign w:val="bottom"/>
            <w:tcBorders>
              <w:top w:val="single" w:sz="8" w:color="auto"/>
            </w:tcBorders>
            <w:shd w:val="clear" w:color="auto" w:fill="CFF0FC"/>
          </w:tcPr>
          <w:p>
            <w:pPr>
              <w:spacing w:after="0"/>
              <w:rPr>
                <w:sz w:val="19"/>
                <w:szCs w:val="19"/>
                <w:color w:val="auto"/>
              </w:rPr>
            </w:pPr>
          </w:p>
        </w:tc>
        <w:tc>
          <w:tcPr>
            <w:tcW w:w="1060" w:type="dxa"/>
            <w:vAlign w:val="bottom"/>
            <w:tcBorders>
              <w:top w:val="single" w:sz="8" w:color="auto"/>
            </w:tcBorders>
            <w:shd w:val="clear" w:color="auto" w:fill="CFF0FC"/>
          </w:tcPr>
          <w:p>
            <w:pPr>
              <w:spacing w:after="0"/>
              <w:rPr>
                <w:sz w:val="19"/>
                <w:szCs w:val="19"/>
                <w:color w:val="auto"/>
              </w:rPr>
            </w:pPr>
          </w:p>
        </w:tc>
        <w:tc>
          <w:tcPr>
            <w:tcW w:w="200" w:type="dxa"/>
            <w:vAlign w:val="bottom"/>
            <w:tcBorders>
              <w:top w:val="single" w:sz="8" w:color="CFF0FC"/>
            </w:tcBorders>
            <w:shd w:val="clear" w:color="auto" w:fill="CFF0FC"/>
          </w:tcPr>
          <w:p>
            <w:pPr>
              <w:spacing w:after="0"/>
              <w:rPr>
                <w:sz w:val="19"/>
                <w:szCs w:val="19"/>
                <w:color w:val="auto"/>
              </w:rPr>
            </w:pPr>
          </w:p>
        </w:tc>
        <w:tc>
          <w:tcPr>
            <w:tcW w:w="340" w:type="dxa"/>
            <w:vAlign w:val="bottom"/>
            <w:tcBorders>
              <w:top w:val="single" w:sz="8" w:color="auto"/>
            </w:tcBorders>
            <w:shd w:val="clear" w:color="auto" w:fill="CFF0FC"/>
          </w:tcPr>
          <w:p>
            <w:pPr>
              <w:spacing w:after="0"/>
              <w:rPr>
                <w:sz w:val="19"/>
                <w:szCs w:val="19"/>
                <w:color w:val="auto"/>
              </w:rPr>
            </w:pPr>
          </w:p>
        </w:tc>
        <w:tc>
          <w:tcPr>
            <w:tcW w:w="800" w:type="dxa"/>
            <w:vAlign w:val="bottom"/>
            <w:tcBorders>
              <w:top w:val="single" w:sz="8" w:color="auto"/>
            </w:tcBorders>
            <w:shd w:val="clear" w:color="auto" w:fill="CFF0FC"/>
          </w:tcPr>
          <w:p>
            <w:pPr>
              <w:spacing w:after="0"/>
              <w:rPr>
                <w:sz w:val="19"/>
                <w:szCs w:val="19"/>
                <w:color w:val="auto"/>
              </w:rPr>
            </w:pPr>
          </w:p>
        </w:tc>
        <w:tc>
          <w:tcPr>
            <w:tcW w:w="200" w:type="dxa"/>
            <w:vAlign w:val="bottom"/>
            <w:tcBorders>
              <w:top w:val="single" w:sz="8" w:color="CFF0FC"/>
            </w:tcBorders>
            <w:shd w:val="clear" w:color="auto" w:fill="CFF0FC"/>
          </w:tcPr>
          <w:p>
            <w:pPr>
              <w:spacing w:after="0"/>
              <w:rPr>
                <w:sz w:val="19"/>
                <w:szCs w:val="19"/>
                <w:color w:val="auto"/>
              </w:rPr>
            </w:pPr>
          </w:p>
        </w:tc>
        <w:tc>
          <w:tcPr>
            <w:tcW w:w="20" w:type="dxa"/>
            <w:vAlign w:val="bottom"/>
            <w:tcBorders>
              <w:top w:val="single" w:sz="8" w:color="CFF0FC"/>
            </w:tcBorders>
            <w:shd w:val="clear" w:color="auto" w:fill="CFF0FC"/>
          </w:tcPr>
          <w:p>
            <w:pPr>
              <w:spacing w:after="0"/>
              <w:rPr>
                <w:sz w:val="19"/>
                <w:szCs w:val="19"/>
                <w:color w:val="auto"/>
              </w:rPr>
            </w:pPr>
          </w:p>
        </w:tc>
        <w:tc>
          <w:tcPr>
            <w:tcW w:w="100" w:type="dxa"/>
            <w:vAlign w:val="bottom"/>
            <w:tcBorders>
              <w:top w:val="single" w:sz="8" w:color="auto"/>
            </w:tcBorders>
            <w:shd w:val="clear" w:color="auto" w:fill="CFF0FC"/>
          </w:tcPr>
          <w:p>
            <w:pPr>
              <w:spacing w:after="0"/>
              <w:rPr>
                <w:sz w:val="19"/>
                <w:szCs w:val="19"/>
                <w:color w:val="auto"/>
              </w:rPr>
            </w:pPr>
          </w:p>
        </w:tc>
        <w:tc>
          <w:tcPr>
            <w:tcW w:w="1040" w:type="dxa"/>
            <w:vAlign w:val="bottom"/>
            <w:tcBorders>
              <w:top w:val="single" w:sz="8" w:color="auto"/>
            </w:tcBorders>
            <w:shd w:val="clear" w:color="auto" w:fill="CFF0FC"/>
          </w:tcPr>
          <w:p>
            <w:pPr>
              <w:spacing w:after="0"/>
              <w:rPr>
                <w:sz w:val="19"/>
                <w:szCs w:val="19"/>
                <w:color w:val="auto"/>
              </w:rPr>
            </w:pPr>
          </w:p>
        </w:tc>
        <w:tc>
          <w:tcPr>
            <w:tcW w:w="100" w:type="dxa"/>
            <w:vAlign w:val="bottom"/>
            <w:tcBorders>
              <w:top w:val="single" w:sz="8" w:color="CFF0FC"/>
            </w:tcBorders>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5280" w:type="dxa"/>
            <w:vAlign w:val="bottom"/>
          </w:tcPr>
          <w:p>
            <w:pPr>
              <w:ind w:left="240"/>
              <w:spacing w:after="0"/>
              <w:rPr>
                <w:sz w:val="20"/>
                <w:szCs w:val="20"/>
                <w:color w:val="auto"/>
              </w:rPr>
            </w:pPr>
            <w:r>
              <w:rPr>
                <w:rFonts w:ascii="Arial" w:cs="Arial" w:eastAsia="Arial" w:hAnsi="Arial"/>
                <w:sz w:val="18"/>
                <w:szCs w:val="18"/>
                <w:color w:val="auto"/>
              </w:rPr>
              <w:t>Home sales</w:t>
            </w:r>
          </w:p>
        </w:tc>
        <w:tc>
          <w:tcPr>
            <w:tcW w:w="9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040" w:type="dxa"/>
            <w:vAlign w:val="bottom"/>
          </w:tcPr>
          <w:p>
            <w:pPr>
              <w:jc w:val="right"/>
              <w:spacing w:after="0"/>
              <w:rPr>
                <w:sz w:val="20"/>
                <w:szCs w:val="20"/>
                <w:color w:val="auto"/>
              </w:rPr>
            </w:pPr>
            <w:r>
              <w:rPr>
                <w:rFonts w:ascii="Arial" w:cs="Arial" w:eastAsia="Arial" w:hAnsi="Arial"/>
                <w:sz w:val="18"/>
                <w:szCs w:val="18"/>
                <w:color w:val="auto"/>
              </w:rPr>
              <w:t>106,858</w:t>
            </w:r>
          </w:p>
        </w:tc>
        <w:tc>
          <w:tcPr>
            <w:tcW w:w="140" w:type="dxa"/>
            <w:vAlign w:val="bottom"/>
          </w:tcPr>
          <w:p>
            <w:pPr>
              <w:spacing w:after="0"/>
              <w:rPr>
                <w:sz w:val="19"/>
                <w:szCs w:val="19"/>
                <w:color w:val="auto"/>
              </w:rPr>
            </w:pPr>
          </w:p>
        </w:tc>
        <w:tc>
          <w:tcPr>
            <w:tcW w:w="16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060" w:type="dxa"/>
            <w:vAlign w:val="bottom"/>
          </w:tcPr>
          <w:p>
            <w:pPr>
              <w:jc w:val="right"/>
              <w:spacing w:after="0"/>
              <w:rPr>
                <w:sz w:val="20"/>
                <w:szCs w:val="20"/>
                <w:color w:val="auto"/>
              </w:rPr>
            </w:pPr>
            <w:r>
              <w:rPr>
                <w:rFonts w:ascii="Arial" w:cs="Arial" w:eastAsia="Arial" w:hAnsi="Arial"/>
                <w:sz w:val="18"/>
                <w:szCs w:val="18"/>
                <w:color w:val="auto"/>
              </w:rPr>
              <w:t>267,407</w:t>
            </w:r>
          </w:p>
        </w:tc>
        <w:tc>
          <w:tcPr>
            <w:tcW w:w="200" w:type="dxa"/>
            <w:vAlign w:val="bottom"/>
          </w:tcPr>
          <w:p>
            <w:pPr>
              <w:spacing w:after="0"/>
              <w:rPr>
                <w:sz w:val="19"/>
                <w:szCs w:val="19"/>
                <w:color w:val="auto"/>
              </w:rPr>
            </w:pPr>
          </w:p>
        </w:tc>
        <w:tc>
          <w:tcPr>
            <w:tcW w:w="340" w:type="dxa"/>
            <w:vAlign w:val="bottom"/>
          </w:tcPr>
          <w:p>
            <w:pPr>
              <w:jc w:val="right"/>
              <w:ind w:right="150"/>
              <w:spacing w:after="0"/>
              <w:rPr>
                <w:sz w:val="20"/>
                <w:szCs w:val="20"/>
                <w:color w:val="auto"/>
              </w:rPr>
            </w:pPr>
            <w:r>
              <w:rPr>
                <w:rFonts w:ascii="Arial" w:cs="Arial" w:eastAsia="Arial" w:hAnsi="Arial"/>
                <w:sz w:val="18"/>
                <w:szCs w:val="18"/>
                <w:color w:val="auto"/>
                <w:w w:val="79"/>
              </w:rPr>
              <w:t>$</w:t>
            </w:r>
          </w:p>
        </w:tc>
        <w:tc>
          <w:tcPr>
            <w:tcW w:w="10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20" w:type="dxa"/>
            <w:vAlign w:val="bottom"/>
            <w:gridSpan w:val="2"/>
          </w:tcPr>
          <w:p>
            <w:pPr>
              <w:jc w:val="right"/>
              <w:spacing w:after="0"/>
              <w:rPr>
                <w:sz w:val="20"/>
                <w:szCs w:val="20"/>
                <w:color w:val="auto"/>
              </w:rPr>
            </w:pPr>
            <w:r>
              <w:rPr>
                <w:rFonts w:ascii="Arial" w:cs="Arial" w:eastAsia="Arial" w:hAnsi="Arial"/>
                <w:sz w:val="18"/>
                <w:szCs w:val="18"/>
                <w:color w:val="auto"/>
                <w:w w:val="79"/>
              </w:rPr>
              <w:t>$</w:t>
            </w:r>
          </w:p>
        </w:tc>
        <w:tc>
          <w:tcPr>
            <w:tcW w:w="1040" w:type="dxa"/>
            <w:vAlign w:val="bottom"/>
          </w:tcPr>
          <w:p>
            <w:pPr>
              <w:jc w:val="right"/>
              <w:spacing w:after="0"/>
              <w:rPr>
                <w:sz w:val="20"/>
                <w:szCs w:val="20"/>
                <w:color w:val="auto"/>
              </w:rPr>
            </w:pPr>
            <w:r>
              <w:rPr>
                <w:rFonts w:ascii="Arial" w:cs="Arial" w:eastAsia="Arial" w:hAnsi="Arial"/>
                <w:sz w:val="18"/>
                <w:szCs w:val="18"/>
                <w:color w:val="auto"/>
              </w:rPr>
              <w:t>374,265</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5280" w:type="dxa"/>
            <w:vAlign w:val="bottom"/>
            <w:shd w:val="clear" w:color="auto" w:fill="CFF0FC"/>
          </w:tcPr>
          <w:p>
            <w:pPr>
              <w:ind w:left="240"/>
              <w:spacing w:after="0"/>
              <w:rPr>
                <w:sz w:val="20"/>
                <w:szCs w:val="20"/>
                <w:color w:val="auto"/>
              </w:rPr>
            </w:pPr>
            <w:r>
              <w:rPr>
                <w:rFonts w:ascii="Arial" w:cs="Arial" w:eastAsia="Arial" w:hAnsi="Arial"/>
                <w:sz w:val="18"/>
                <w:szCs w:val="18"/>
                <w:color w:val="auto"/>
              </w:rPr>
              <w:t>Land and lot sales</w:t>
            </w:r>
          </w:p>
        </w:tc>
        <w:tc>
          <w:tcPr>
            <w:tcW w:w="82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180" w:type="dxa"/>
            <w:vAlign w:val="bottom"/>
            <w:gridSpan w:val="2"/>
            <w:shd w:val="clear" w:color="auto" w:fill="CFF0FC"/>
          </w:tcPr>
          <w:p>
            <w:pPr>
              <w:jc w:val="right"/>
              <w:ind w:right="70"/>
              <w:spacing w:after="0"/>
              <w:rPr>
                <w:sz w:val="20"/>
                <w:szCs w:val="20"/>
                <w:color w:val="auto"/>
              </w:rPr>
            </w:pPr>
            <w:r>
              <w:rPr>
                <w:rFonts w:ascii="Arial" w:cs="Arial" w:eastAsia="Arial" w:hAnsi="Arial"/>
                <w:sz w:val="18"/>
                <w:szCs w:val="18"/>
                <w:color w:val="auto"/>
              </w:rPr>
              <w:t>—</w:t>
            </w:r>
          </w:p>
        </w:tc>
        <w:tc>
          <w:tcPr>
            <w:tcW w:w="8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10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2,000</w:t>
            </w:r>
          </w:p>
        </w:tc>
        <w:tc>
          <w:tcPr>
            <w:tcW w:w="200" w:type="dxa"/>
            <w:vAlign w:val="bottom"/>
            <w:shd w:val="clear" w:color="auto" w:fill="CFF0FC"/>
          </w:tcPr>
          <w:p>
            <w:pPr>
              <w:spacing w:after="0"/>
              <w:rPr>
                <w:sz w:val="19"/>
                <w:szCs w:val="19"/>
                <w:color w:val="auto"/>
              </w:rPr>
            </w:pPr>
          </w:p>
        </w:tc>
        <w:tc>
          <w:tcPr>
            <w:tcW w:w="340" w:type="dxa"/>
            <w:vAlign w:val="bottom"/>
            <w:shd w:val="clear" w:color="auto" w:fill="CFF0FC"/>
          </w:tcPr>
          <w:p>
            <w:pPr>
              <w:spacing w:after="0"/>
              <w:rPr>
                <w:sz w:val="19"/>
                <w:szCs w:val="19"/>
                <w:color w:val="auto"/>
              </w:rPr>
            </w:pPr>
          </w:p>
        </w:tc>
        <w:tc>
          <w:tcPr>
            <w:tcW w:w="1000" w:type="dxa"/>
            <w:vAlign w:val="bottom"/>
            <w:gridSpan w:val="2"/>
            <w:shd w:val="clear" w:color="auto" w:fill="CFF0FC"/>
          </w:tcPr>
          <w:p>
            <w:pPr>
              <w:jc w:val="right"/>
              <w:ind w:right="220"/>
              <w:spacing w:after="0"/>
              <w:rPr>
                <w:sz w:val="20"/>
                <w:szCs w:val="20"/>
                <w:color w:val="auto"/>
              </w:rPr>
            </w:pPr>
            <w:r>
              <w:rPr>
                <w:rFonts w:ascii="Arial" w:cs="Arial" w:eastAsia="Arial" w:hAnsi="Arial"/>
                <w:sz w:val="18"/>
                <w:szCs w:val="18"/>
                <w:color w:val="auto"/>
              </w:rPr>
              <w:t>—</w:t>
            </w:r>
          </w:p>
        </w:tc>
        <w:tc>
          <w:tcPr>
            <w:tcW w:w="2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0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2,000</w:t>
            </w:r>
          </w:p>
        </w:tc>
        <w:tc>
          <w:tcPr>
            <w:tcW w:w="10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5280" w:type="dxa"/>
            <w:vAlign w:val="bottom"/>
          </w:tcPr>
          <w:p>
            <w:pPr>
              <w:ind w:left="240"/>
              <w:spacing w:after="0"/>
              <w:rPr>
                <w:sz w:val="20"/>
                <w:szCs w:val="20"/>
                <w:color w:val="auto"/>
              </w:rPr>
            </w:pPr>
            <w:r>
              <w:rPr>
                <w:rFonts w:ascii="Arial" w:cs="Arial" w:eastAsia="Arial" w:hAnsi="Arial"/>
                <w:sz w:val="18"/>
                <w:szCs w:val="18"/>
                <w:color w:val="auto"/>
              </w:rPr>
              <w:t>Other operations</w:t>
            </w:r>
          </w:p>
        </w:tc>
        <w:tc>
          <w:tcPr>
            <w:tcW w:w="8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180" w:type="dxa"/>
            <w:vAlign w:val="bottom"/>
            <w:gridSpan w:val="2"/>
          </w:tcPr>
          <w:p>
            <w:pPr>
              <w:jc w:val="right"/>
              <w:ind w:right="7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993</w:t>
            </w:r>
          </w:p>
        </w:tc>
        <w:tc>
          <w:tcPr>
            <w:tcW w:w="20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0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993</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5280" w:type="dxa"/>
            <w:vAlign w:val="bottom"/>
            <w:tcBorders>
              <w:top w:val="single" w:sz="8" w:color="CFF0FC"/>
            </w:tcBorders>
            <w:shd w:val="clear" w:color="auto" w:fill="CFF0FC"/>
          </w:tcPr>
          <w:p>
            <w:pPr>
              <w:ind w:left="480"/>
              <w:spacing w:after="0"/>
              <w:rPr>
                <w:sz w:val="20"/>
                <w:szCs w:val="20"/>
                <w:color w:val="auto"/>
              </w:rPr>
            </w:pPr>
            <w:r>
              <w:rPr>
                <w:rFonts w:ascii="Arial" w:cs="Arial" w:eastAsia="Arial" w:hAnsi="Arial"/>
                <w:sz w:val="18"/>
                <w:szCs w:val="18"/>
                <w:color w:val="auto"/>
              </w:rPr>
              <w:t>Total revenues</w:t>
            </w:r>
          </w:p>
        </w:tc>
        <w:tc>
          <w:tcPr>
            <w:tcW w:w="820" w:type="dxa"/>
            <w:vAlign w:val="bottom"/>
            <w:tcBorders>
              <w:top w:val="single" w:sz="8" w:color="CFF0FC"/>
            </w:tcBorders>
            <w:shd w:val="clear" w:color="auto" w:fill="CFF0FC"/>
          </w:tcPr>
          <w:p>
            <w:pPr>
              <w:spacing w:after="0"/>
              <w:rPr>
                <w:sz w:val="19"/>
                <w:szCs w:val="19"/>
                <w:color w:val="auto"/>
              </w:rPr>
            </w:pPr>
          </w:p>
        </w:tc>
        <w:tc>
          <w:tcPr>
            <w:tcW w:w="100" w:type="dxa"/>
            <w:vAlign w:val="bottom"/>
            <w:tcBorders>
              <w:top w:val="single" w:sz="8" w:color="auto"/>
              <w:bottom w:val="single" w:sz="8" w:color="auto"/>
            </w:tcBorders>
            <w:shd w:val="clear" w:color="auto" w:fill="CFF0FC"/>
          </w:tcPr>
          <w:p>
            <w:pPr>
              <w:spacing w:after="0"/>
              <w:rPr>
                <w:sz w:val="19"/>
                <w:szCs w:val="19"/>
                <w:color w:val="auto"/>
              </w:rPr>
            </w:pPr>
          </w:p>
        </w:tc>
        <w:tc>
          <w:tcPr>
            <w:tcW w:w="104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106,858</w:t>
            </w:r>
          </w:p>
        </w:tc>
        <w:tc>
          <w:tcPr>
            <w:tcW w:w="140" w:type="dxa"/>
            <w:vAlign w:val="bottom"/>
            <w:tcBorders>
              <w:top w:val="single" w:sz="8" w:color="CFF0FC"/>
            </w:tcBorders>
            <w:shd w:val="clear" w:color="auto" w:fill="CFF0FC"/>
          </w:tcPr>
          <w:p>
            <w:pPr>
              <w:spacing w:after="0"/>
              <w:rPr>
                <w:sz w:val="19"/>
                <w:szCs w:val="19"/>
                <w:color w:val="auto"/>
              </w:rPr>
            </w:pPr>
          </w:p>
        </w:tc>
        <w:tc>
          <w:tcPr>
            <w:tcW w:w="80" w:type="dxa"/>
            <w:vAlign w:val="bottom"/>
            <w:tcBorders>
              <w:top w:val="single" w:sz="8" w:color="CFF0FC"/>
            </w:tcBorders>
            <w:shd w:val="clear" w:color="auto" w:fill="CFF0FC"/>
          </w:tcPr>
          <w:p>
            <w:pPr>
              <w:spacing w:after="0"/>
              <w:rPr>
                <w:sz w:val="19"/>
                <w:szCs w:val="19"/>
                <w:color w:val="auto"/>
              </w:rPr>
            </w:pPr>
          </w:p>
        </w:tc>
        <w:tc>
          <w:tcPr>
            <w:tcW w:w="80" w:type="dxa"/>
            <w:vAlign w:val="bottom"/>
            <w:tcBorders>
              <w:top w:val="single" w:sz="8" w:color="auto"/>
              <w:bottom w:val="single" w:sz="8" w:color="auto"/>
            </w:tcBorders>
            <w:shd w:val="clear" w:color="auto" w:fill="CFF0FC"/>
          </w:tcPr>
          <w:p>
            <w:pPr>
              <w:spacing w:after="0"/>
              <w:rPr>
                <w:sz w:val="19"/>
                <w:szCs w:val="19"/>
                <w:color w:val="auto"/>
              </w:rPr>
            </w:pPr>
          </w:p>
        </w:tc>
        <w:tc>
          <w:tcPr>
            <w:tcW w:w="106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270,400</w:t>
            </w:r>
          </w:p>
        </w:tc>
        <w:tc>
          <w:tcPr>
            <w:tcW w:w="200" w:type="dxa"/>
            <w:vAlign w:val="bottom"/>
            <w:tcBorders>
              <w:top w:val="single" w:sz="8" w:color="CFF0FC"/>
            </w:tcBorders>
            <w:shd w:val="clear" w:color="auto" w:fill="CFF0FC"/>
          </w:tcPr>
          <w:p>
            <w:pPr>
              <w:spacing w:after="0"/>
              <w:rPr>
                <w:sz w:val="19"/>
                <w:szCs w:val="19"/>
                <w:color w:val="auto"/>
              </w:rPr>
            </w:pPr>
          </w:p>
        </w:tc>
        <w:tc>
          <w:tcPr>
            <w:tcW w:w="340" w:type="dxa"/>
            <w:vAlign w:val="bottom"/>
            <w:tcBorders>
              <w:top w:val="single" w:sz="8" w:color="auto"/>
              <w:bottom w:val="single" w:sz="8" w:color="auto"/>
            </w:tcBorders>
            <w:shd w:val="clear" w:color="auto" w:fill="CFF0FC"/>
          </w:tcPr>
          <w:p>
            <w:pPr>
              <w:spacing w:after="0"/>
              <w:rPr>
                <w:sz w:val="19"/>
                <w:szCs w:val="19"/>
                <w:color w:val="auto"/>
              </w:rPr>
            </w:pPr>
          </w:p>
        </w:tc>
        <w:tc>
          <w:tcPr>
            <w:tcW w:w="80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200" w:type="dxa"/>
            <w:vAlign w:val="bottom"/>
            <w:tcBorders>
              <w:top w:val="single" w:sz="8" w:color="CFF0FC"/>
            </w:tcBorders>
            <w:shd w:val="clear" w:color="auto" w:fill="CFF0FC"/>
          </w:tcPr>
          <w:p>
            <w:pPr>
              <w:spacing w:after="0"/>
              <w:rPr>
                <w:sz w:val="19"/>
                <w:szCs w:val="19"/>
                <w:color w:val="auto"/>
              </w:rPr>
            </w:pPr>
          </w:p>
        </w:tc>
        <w:tc>
          <w:tcPr>
            <w:tcW w:w="20" w:type="dxa"/>
            <w:vAlign w:val="bottom"/>
            <w:tcBorders>
              <w:top w:val="single" w:sz="8" w:color="CFF0FC"/>
            </w:tcBorders>
            <w:shd w:val="clear" w:color="auto" w:fill="CFF0FC"/>
          </w:tcPr>
          <w:p>
            <w:pPr>
              <w:spacing w:after="0"/>
              <w:rPr>
                <w:sz w:val="19"/>
                <w:szCs w:val="19"/>
                <w:color w:val="auto"/>
              </w:rPr>
            </w:pPr>
          </w:p>
        </w:tc>
        <w:tc>
          <w:tcPr>
            <w:tcW w:w="100" w:type="dxa"/>
            <w:vAlign w:val="bottom"/>
            <w:tcBorders>
              <w:top w:val="single" w:sz="8" w:color="auto"/>
              <w:bottom w:val="single" w:sz="8" w:color="auto"/>
            </w:tcBorders>
            <w:shd w:val="clear" w:color="auto" w:fill="CFF0FC"/>
          </w:tcPr>
          <w:p>
            <w:pPr>
              <w:spacing w:after="0"/>
              <w:rPr>
                <w:sz w:val="19"/>
                <w:szCs w:val="19"/>
                <w:color w:val="auto"/>
              </w:rPr>
            </w:pPr>
          </w:p>
        </w:tc>
        <w:tc>
          <w:tcPr>
            <w:tcW w:w="104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377,258</w:t>
            </w:r>
          </w:p>
        </w:tc>
        <w:tc>
          <w:tcPr>
            <w:tcW w:w="100" w:type="dxa"/>
            <w:vAlign w:val="bottom"/>
            <w:tcBorders>
              <w:top w:val="single" w:sz="8" w:color="CFF0FC"/>
            </w:tcBorders>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20" w:type="dxa"/>
            <w:vAlign w:val="bottom"/>
            <w:vMerge w:val="restart"/>
          </w:tcPr>
          <w:p>
            <w:pPr>
              <w:spacing w:after="0"/>
              <w:rPr>
                <w:sz w:val="19"/>
                <w:szCs w:val="19"/>
                <w:color w:val="auto"/>
              </w:rPr>
            </w:pPr>
          </w:p>
        </w:tc>
        <w:tc>
          <w:tcPr>
            <w:tcW w:w="5280" w:type="dxa"/>
            <w:vAlign w:val="bottom"/>
          </w:tcPr>
          <w:p>
            <w:pPr>
              <w:spacing w:after="0"/>
              <w:rPr>
                <w:sz w:val="19"/>
                <w:szCs w:val="19"/>
                <w:color w:val="auto"/>
              </w:rPr>
            </w:pPr>
          </w:p>
        </w:tc>
        <w:tc>
          <w:tcPr>
            <w:tcW w:w="8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4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06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vMerge w:val="continue"/>
          </w:tcPr>
          <w:p>
            <w:pPr>
              <w:spacing w:after="0"/>
              <w:rPr>
                <w:sz w:val="19"/>
                <w:szCs w:val="19"/>
                <w:color w:val="auto"/>
              </w:rPr>
            </w:pPr>
          </w:p>
        </w:tc>
        <w:tc>
          <w:tcPr>
            <w:tcW w:w="5280" w:type="dxa"/>
            <w:vAlign w:val="bottom"/>
            <w:shd w:val="clear" w:color="auto" w:fill="CFF0FC"/>
          </w:tcPr>
          <w:p>
            <w:pPr>
              <w:spacing w:after="0"/>
              <w:rPr>
                <w:sz w:val="20"/>
                <w:szCs w:val="20"/>
                <w:color w:val="auto"/>
              </w:rPr>
            </w:pPr>
            <w:r>
              <w:rPr>
                <w:rFonts w:ascii="Arial" w:cs="Arial" w:eastAsia="Arial" w:hAnsi="Arial"/>
                <w:sz w:val="18"/>
                <w:szCs w:val="18"/>
                <w:b w:val="1"/>
                <w:bCs w:val="1"/>
                <w:color w:val="auto"/>
              </w:rPr>
              <w:t>Expenses:</w:t>
            </w:r>
          </w:p>
        </w:tc>
        <w:tc>
          <w:tcPr>
            <w:tcW w:w="82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040" w:type="dxa"/>
            <w:vAlign w:val="bottom"/>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106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340" w:type="dxa"/>
            <w:vAlign w:val="bottom"/>
            <w:shd w:val="clear" w:color="auto" w:fill="CFF0FC"/>
          </w:tcPr>
          <w:p>
            <w:pPr>
              <w:spacing w:after="0"/>
              <w:rPr>
                <w:sz w:val="19"/>
                <w:szCs w:val="19"/>
                <w:color w:val="auto"/>
              </w:rPr>
            </w:pPr>
          </w:p>
        </w:tc>
        <w:tc>
          <w:tcPr>
            <w:tcW w:w="80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04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5280" w:type="dxa"/>
            <w:vAlign w:val="bottom"/>
          </w:tcPr>
          <w:p>
            <w:pPr>
              <w:ind w:left="240"/>
              <w:spacing w:after="0"/>
              <w:rPr>
                <w:sz w:val="20"/>
                <w:szCs w:val="20"/>
                <w:color w:val="auto"/>
              </w:rPr>
            </w:pPr>
            <w:r>
              <w:rPr>
                <w:rFonts w:ascii="Arial" w:cs="Arial" w:eastAsia="Arial" w:hAnsi="Arial"/>
                <w:sz w:val="18"/>
                <w:szCs w:val="18"/>
                <w:color w:val="auto"/>
              </w:rPr>
              <w:t>Cost of home sales</w:t>
            </w:r>
          </w:p>
        </w:tc>
        <w:tc>
          <w:tcPr>
            <w:tcW w:w="8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86,981</w:t>
            </w:r>
          </w:p>
        </w:tc>
        <w:tc>
          <w:tcPr>
            <w:tcW w:w="1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212,926</w:t>
            </w:r>
          </w:p>
        </w:tc>
        <w:tc>
          <w:tcPr>
            <w:tcW w:w="20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0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299,907</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5280" w:type="dxa"/>
            <w:vAlign w:val="bottom"/>
            <w:shd w:val="clear" w:color="auto" w:fill="CFF0FC"/>
          </w:tcPr>
          <w:p>
            <w:pPr>
              <w:ind w:left="240"/>
              <w:spacing w:after="0"/>
              <w:rPr>
                <w:sz w:val="20"/>
                <w:szCs w:val="20"/>
                <w:color w:val="auto"/>
              </w:rPr>
            </w:pPr>
            <w:r>
              <w:rPr>
                <w:rFonts w:ascii="Arial" w:cs="Arial" w:eastAsia="Arial" w:hAnsi="Arial"/>
                <w:sz w:val="18"/>
                <w:szCs w:val="18"/>
                <w:color w:val="auto"/>
              </w:rPr>
              <w:t>Cost of land and lot sales</w:t>
            </w:r>
          </w:p>
        </w:tc>
        <w:tc>
          <w:tcPr>
            <w:tcW w:w="82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180" w:type="dxa"/>
            <w:vAlign w:val="bottom"/>
            <w:gridSpan w:val="2"/>
            <w:shd w:val="clear" w:color="auto" w:fill="CFF0FC"/>
          </w:tcPr>
          <w:p>
            <w:pPr>
              <w:jc w:val="right"/>
              <w:ind w:right="70"/>
              <w:spacing w:after="0"/>
              <w:rPr>
                <w:sz w:val="20"/>
                <w:szCs w:val="20"/>
                <w:color w:val="auto"/>
              </w:rPr>
            </w:pPr>
            <w:r>
              <w:rPr>
                <w:rFonts w:ascii="Arial" w:cs="Arial" w:eastAsia="Arial" w:hAnsi="Arial"/>
                <w:sz w:val="18"/>
                <w:szCs w:val="18"/>
                <w:color w:val="auto"/>
              </w:rPr>
              <w:t>—</w:t>
            </w:r>
          </w:p>
        </w:tc>
        <w:tc>
          <w:tcPr>
            <w:tcW w:w="8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10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2,308</w:t>
            </w:r>
          </w:p>
        </w:tc>
        <w:tc>
          <w:tcPr>
            <w:tcW w:w="200" w:type="dxa"/>
            <w:vAlign w:val="bottom"/>
            <w:shd w:val="clear" w:color="auto" w:fill="CFF0FC"/>
          </w:tcPr>
          <w:p>
            <w:pPr>
              <w:spacing w:after="0"/>
              <w:rPr>
                <w:sz w:val="19"/>
                <w:szCs w:val="19"/>
                <w:color w:val="auto"/>
              </w:rPr>
            </w:pPr>
          </w:p>
        </w:tc>
        <w:tc>
          <w:tcPr>
            <w:tcW w:w="340" w:type="dxa"/>
            <w:vAlign w:val="bottom"/>
            <w:shd w:val="clear" w:color="auto" w:fill="CFF0FC"/>
          </w:tcPr>
          <w:p>
            <w:pPr>
              <w:spacing w:after="0"/>
              <w:rPr>
                <w:sz w:val="19"/>
                <w:szCs w:val="19"/>
                <w:color w:val="auto"/>
              </w:rPr>
            </w:pPr>
          </w:p>
        </w:tc>
        <w:tc>
          <w:tcPr>
            <w:tcW w:w="1000" w:type="dxa"/>
            <w:vAlign w:val="bottom"/>
            <w:gridSpan w:val="2"/>
            <w:shd w:val="clear" w:color="auto" w:fill="CFF0FC"/>
          </w:tcPr>
          <w:p>
            <w:pPr>
              <w:jc w:val="right"/>
              <w:ind w:right="220"/>
              <w:spacing w:after="0"/>
              <w:rPr>
                <w:sz w:val="20"/>
                <w:szCs w:val="20"/>
                <w:color w:val="auto"/>
              </w:rPr>
            </w:pPr>
            <w:r>
              <w:rPr>
                <w:rFonts w:ascii="Arial" w:cs="Arial" w:eastAsia="Arial" w:hAnsi="Arial"/>
                <w:sz w:val="18"/>
                <w:szCs w:val="18"/>
                <w:color w:val="auto"/>
              </w:rPr>
              <w:t>—</w:t>
            </w:r>
          </w:p>
        </w:tc>
        <w:tc>
          <w:tcPr>
            <w:tcW w:w="2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0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2,308</w:t>
            </w:r>
          </w:p>
        </w:tc>
        <w:tc>
          <w:tcPr>
            <w:tcW w:w="10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5280" w:type="dxa"/>
            <w:vAlign w:val="bottom"/>
          </w:tcPr>
          <w:p>
            <w:pPr>
              <w:ind w:left="240"/>
              <w:spacing w:after="0"/>
              <w:rPr>
                <w:sz w:val="20"/>
                <w:szCs w:val="20"/>
                <w:color w:val="auto"/>
              </w:rPr>
            </w:pPr>
            <w:r>
              <w:rPr>
                <w:rFonts w:ascii="Arial" w:cs="Arial" w:eastAsia="Arial" w:hAnsi="Arial"/>
                <w:sz w:val="18"/>
                <w:szCs w:val="18"/>
                <w:color w:val="auto"/>
              </w:rPr>
              <w:t>Other operations</w:t>
            </w:r>
          </w:p>
        </w:tc>
        <w:tc>
          <w:tcPr>
            <w:tcW w:w="8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180" w:type="dxa"/>
            <w:vAlign w:val="bottom"/>
            <w:gridSpan w:val="2"/>
          </w:tcPr>
          <w:p>
            <w:pPr>
              <w:jc w:val="right"/>
              <w:ind w:right="7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562</w:t>
            </w:r>
          </w:p>
        </w:tc>
        <w:tc>
          <w:tcPr>
            <w:tcW w:w="20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0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562</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5280" w:type="dxa"/>
            <w:vAlign w:val="bottom"/>
            <w:shd w:val="clear" w:color="auto" w:fill="CFF0FC"/>
          </w:tcPr>
          <w:p>
            <w:pPr>
              <w:ind w:left="240"/>
              <w:spacing w:after="0"/>
              <w:rPr>
                <w:sz w:val="20"/>
                <w:szCs w:val="20"/>
                <w:color w:val="auto"/>
              </w:rPr>
            </w:pPr>
            <w:r>
              <w:rPr>
                <w:rFonts w:ascii="Arial" w:cs="Arial" w:eastAsia="Arial" w:hAnsi="Arial"/>
                <w:sz w:val="18"/>
                <w:szCs w:val="18"/>
                <w:color w:val="auto"/>
              </w:rPr>
              <w:t>Sales and marketing</w:t>
            </w:r>
          </w:p>
        </w:tc>
        <w:tc>
          <w:tcPr>
            <w:tcW w:w="82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0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4,981</w:t>
            </w:r>
          </w:p>
        </w:tc>
        <w:tc>
          <w:tcPr>
            <w:tcW w:w="14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10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18,305</w:t>
            </w:r>
          </w:p>
        </w:tc>
        <w:tc>
          <w:tcPr>
            <w:tcW w:w="200" w:type="dxa"/>
            <w:vAlign w:val="bottom"/>
            <w:shd w:val="clear" w:color="auto" w:fill="CFF0FC"/>
          </w:tcPr>
          <w:p>
            <w:pPr>
              <w:spacing w:after="0"/>
              <w:rPr>
                <w:sz w:val="19"/>
                <w:szCs w:val="19"/>
                <w:color w:val="auto"/>
              </w:rPr>
            </w:pPr>
          </w:p>
        </w:tc>
        <w:tc>
          <w:tcPr>
            <w:tcW w:w="340" w:type="dxa"/>
            <w:vAlign w:val="bottom"/>
            <w:shd w:val="clear" w:color="auto" w:fill="CFF0FC"/>
          </w:tcPr>
          <w:p>
            <w:pPr>
              <w:spacing w:after="0"/>
              <w:rPr>
                <w:sz w:val="19"/>
                <w:szCs w:val="19"/>
                <w:color w:val="auto"/>
              </w:rPr>
            </w:pPr>
          </w:p>
        </w:tc>
        <w:tc>
          <w:tcPr>
            <w:tcW w:w="1000" w:type="dxa"/>
            <w:vAlign w:val="bottom"/>
            <w:gridSpan w:val="2"/>
            <w:shd w:val="clear" w:color="auto" w:fill="CFF0FC"/>
          </w:tcPr>
          <w:p>
            <w:pPr>
              <w:jc w:val="right"/>
              <w:ind w:right="220"/>
              <w:spacing w:after="0"/>
              <w:rPr>
                <w:sz w:val="20"/>
                <w:szCs w:val="20"/>
                <w:color w:val="auto"/>
              </w:rPr>
            </w:pPr>
            <w:r>
              <w:rPr>
                <w:rFonts w:ascii="Arial" w:cs="Arial" w:eastAsia="Arial" w:hAnsi="Arial"/>
                <w:sz w:val="18"/>
                <w:szCs w:val="18"/>
                <w:color w:val="auto"/>
              </w:rPr>
              <w:t>—</w:t>
            </w:r>
          </w:p>
        </w:tc>
        <w:tc>
          <w:tcPr>
            <w:tcW w:w="2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0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23,286</w:t>
            </w:r>
          </w:p>
        </w:tc>
        <w:tc>
          <w:tcPr>
            <w:tcW w:w="10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5280" w:type="dxa"/>
            <w:vAlign w:val="bottom"/>
          </w:tcPr>
          <w:p>
            <w:pPr>
              <w:ind w:left="240"/>
              <w:spacing w:after="0"/>
              <w:rPr>
                <w:sz w:val="20"/>
                <w:szCs w:val="20"/>
                <w:color w:val="auto"/>
              </w:rPr>
            </w:pPr>
            <w:r>
              <w:rPr>
                <w:rFonts w:ascii="Arial" w:cs="Arial" w:eastAsia="Arial" w:hAnsi="Arial"/>
                <w:sz w:val="18"/>
                <w:szCs w:val="18"/>
                <w:color w:val="auto"/>
              </w:rPr>
              <w:t>General and administrative</w:t>
            </w:r>
          </w:p>
        </w:tc>
        <w:tc>
          <w:tcPr>
            <w:tcW w:w="8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12,672</w:t>
            </w:r>
          </w:p>
        </w:tc>
        <w:tc>
          <w:tcPr>
            <w:tcW w:w="1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15,507</w:t>
            </w:r>
          </w:p>
        </w:tc>
        <w:tc>
          <w:tcPr>
            <w:tcW w:w="20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0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28,179</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5280" w:type="dxa"/>
            <w:vAlign w:val="bottom"/>
            <w:shd w:val="clear" w:color="auto" w:fill="CFF0FC"/>
          </w:tcPr>
          <w:p>
            <w:pPr>
              <w:ind w:left="240"/>
              <w:spacing w:after="0"/>
              <w:rPr>
                <w:sz w:val="20"/>
                <w:szCs w:val="20"/>
                <w:color w:val="auto"/>
              </w:rPr>
            </w:pPr>
            <w:r>
              <w:rPr>
                <w:rFonts w:ascii="Arial" w:cs="Arial" w:eastAsia="Arial" w:hAnsi="Arial"/>
                <w:sz w:val="18"/>
                <w:szCs w:val="18"/>
                <w:color w:val="auto"/>
              </w:rPr>
              <w:t>Restructuring charges</w:t>
            </w:r>
          </w:p>
        </w:tc>
        <w:tc>
          <w:tcPr>
            <w:tcW w:w="82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180" w:type="dxa"/>
            <w:vAlign w:val="bottom"/>
            <w:gridSpan w:val="2"/>
            <w:shd w:val="clear" w:color="auto" w:fill="CFF0FC"/>
          </w:tcPr>
          <w:p>
            <w:pPr>
              <w:jc w:val="right"/>
              <w:ind w:right="70"/>
              <w:spacing w:after="0"/>
              <w:rPr>
                <w:sz w:val="20"/>
                <w:szCs w:val="20"/>
                <w:color w:val="auto"/>
              </w:rPr>
            </w:pPr>
            <w:r>
              <w:rPr>
                <w:rFonts w:ascii="Arial" w:cs="Arial" w:eastAsia="Arial" w:hAnsi="Arial"/>
                <w:sz w:val="18"/>
                <w:szCs w:val="18"/>
                <w:color w:val="auto"/>
              </w:rPr>
              <w:t>—</w:t>
            </w:r>
          </w:p>
        </w:tc>
        <w:tc>
          <w:tcPr>
            <w:tcW w:w="8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10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222</w:t>
            </w:r>
          </w:p>
        </w:tc>
        <w:tc>
          <w:tcPr>
            <w:tcW w:w="200" w:type="dxa"/>
            <w:vAlign w:val="bottom"/>
            <w:shd w:val="clear" w:color="auto" w:fill="CFF0FC"/>
          </w:tcPr>
          <w:p>
            <w:pPr>
              <w:spacing w:after="0"/>
              <w:rPr>
                <w:sz w:val="19"/>
                <w:szCs w:val="19"/>
                <w:color w:val="auto"/>
              </w:rPr>
            </w:pPr>
          </w:p>
        </w:tc>
        <w:tc>
          <w:tcPr>
            <w:tcW w:w="340" w:type="dxa"/>
            <w:vAlign w:val="bottom"/>
            <w:shd w:val="clear" w:color="auto" w:fill="CFF0FC"/>
          </w:tcPr>
          <w:p>
            <w:pPr>
              <w:spacing w:after="0"/>
              <w:rPr>
                <w:sz w:val="19"/>
                <w:szCs w:val="19"/>
                <w:color w:val="auto"/>
              </w:rPr>
            </w:pPr>
          </w:p>
        </w:tc>
        <w:tc>
          <w:tcPr>
            <w:tcW w:w="1000" w:type="dxa"/>
            <w:vAlign w:val="bottom"/>
            <w:gridSpan w:val="2"/>
            <w:shd w:val="clear" w:color="auto" w:fill="CFF0FC"/>
          </w:tcPr>
          <w:p>
            <w:pPr>
              <w:jc w:val="right"/>
              <w:ind w:right="220"/>
              <w:spacing w:after="0"/>
              <w:rPr>
                <w:sz w:val="20"/>
                <w:szCs w:val="20"/>
                <w:color w:val="auto"/>
              </w:rPr>
            </w:pPr>
            <w:r>
              <w:rPr>
                <w:rFonts w:ascii="Arial" w:cs="Arial" w:eastAsia="Arial" w:hAnsi="Arial"/>
                <w:sz w:val="18"/>
                <w:szCs w:val="18"/>
                <w:color w:val="auto"/>
              </w:rPr>
              <w:t>—</w:t>
            </w:r>
          </w:p>
        </w:tc>
        <w:tc>
          <w:tcPr>
            <w:tcW w:w="2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0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222</w:t>
            </w:r>
          </w:p>
        </w:tc>
        <w:tc>
          <w:tcPr>
            <w:tcW w:w="10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5280" w:type="dxa"/>
            <w:vAlign w:val="bottom"/>
            <w:tcBorders>
              <w:bottom w:val="single" w:sz="8" w:color="CFF0FC"/>
            </w:tcBorders>
          </w:tcPr>
          <w:p>
            <w:pPr>
              <w:ind w:left="480"/>
              <w:spacing w:after="0"/>
              <w:rPr>
                <w:sz w:val="20"/>
                <w:szCs w:val="20"/>
                <w:color w:val="auto"/>
              </w:rPr>
            </w:pPr>
            <w:r>
              <w:rPr>
                <w:rFonts w:ascii="Arial" w:cs="Arial" w:eastAsia="Arial" w:hAnsi="Arial"/>
                <w:sz w:val="18"/>
                <w:szCs w:val="18"/>
                <w:color w:val="auto"/>
              </w:rPr>
              <w:t>Total expenses</w:t>
            </w:r>
          </w:p>
        </w:tc>
        <w:tc>
          <w:tcPr>
            <w:tcW w:w="820" w:type="dxa"/>
            <w:vAlign w:val="bottom"/>
            <w:tcBorders>
              <w:bottom w:val="single" w:sz="8" w:color="CFF0FC"/>
            </w:tcBorders>
          </w:tcPr>
          <w:p>
            <w:pPr>
              <w:spacing w:after="0"/>
              <w:rPr>
                <w:sz w:val="19"/>
                <w:szCs w:val="19"/>
                <w:color w:val="auto"/>
              </w:rPr>
            </w:pPr>
          </w:p>
        </w:tc>
        <w:tc>
          <w:tcPr>
            <w:tcW w:w="100" w:type="dxa"/>
            <w:vAlign w:val="bottom"/>
            <w:tcBorders>
              <w:top w:val="single" w:sz="8" w:color="auto"/>
              <w:bottom w:val="single" w:sz="8" w:color="auto"/>
            </w:tcBorders>
          </w:tcPr>
          <w:p>
            <w:pPr>
              <w:spacing w:after="0"/>
              <w:rPr>
                <w:sz w:val="19"/>
                <w:szCs w:val="19"/>
                <w:color w:val="auto"/>
              </w:rPr>
            </w:pPr>
          </w:p>
        </w:tc>
        <w:tc>
          <w:tcPr>
            <w:tcW w:w="10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104,634</w:t>
            </w:r>
          </w:p>
        </w:tc>
        <w:tc>
          <w:tcPr>
            <w:tcW w:w="140" w:type="dxa"/>
            <w:vAlign w:val="bottom"/>
            <w:tcBorders>
              <w:bottom w:val="single" w:sz="8" w:color="CFF0FC"/>
            </w:tcBorders>
          </w:tcPr>
          <w:p>
            <w:pPr>
              <w:spacing w:after="0"/>
              <w:rPr>
                <w:sz w:val="19"/>
                <w:szCs w:val="19"/>
                <w:color w:val="auto"/>
              </w:rPr>
            </w:pPr>
          </w:p>
        </w:tc>
        <w:tc>
          <w:tcPr>
            <w:tcW w:w="80" w:type="dxa"/>
            <w:vAlign w:val="bottom"/>
            <w:tcBorders>
              <w:bottom w:val="single" w:sz="8" w:color="CFF0FC"/>
            </w:tcBorders>
          </w:tcPr>
          <w:p>
            <w:pPr>
              <w:spacing w:after="0"/>
              <w:rPr>
                <w:sz w:val="19"/>
                <w:szCs w:val="19"/>
                <w:color w:val="auto"/>
              </w:rPr>
            </w:pPr>
          </w:p>
        </w:tc>
        <w:tc>
          <w:tcPr>
            <w:tcW w:w="80" w:type="dxa"/>
            <w:vAlign w:val="bottom"/>
            <w:tcBorders>
              <w:top w:val="single" w:sz="8" w:color="auto"/>
              <w:bottom w:val="single" w:sz="8" w:color="auto"/>
            </w:tcBorders>
          </w:tcPr>
          <w:p>
            <w:pPr>
              <w:spacing w:after="0"/>
              <w:rPr>
                <w:sz w:val="19"/>
                <w:szCs w:val="19"/>
                <w:color w:val="auto"/>
              </w:rPr>
            </w:pPr>
          </w:p>
        </w:tc>
        <w:tc>
          <w:tcPr>
            <w:tcW w:w="10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249,830</w:t>
            </w:r>
          </w:p>
        </w:tc>
        <w:tc>
          <w:tcPr>
            <w:tcW w:w="200" w:type="dxa"/>
            <w:vAlign w:val="bottom"/>
            <w:tcBorders>
              <w:bottom w:val="single" w:sz="8" w:color="CFF0FC"/>
            </w:tcBorders>
          </w:tcPr>
          <w:p>
            <w:pPr>
              <w:spacing w:after="0"/>
              <w:rPr>
                <w:sz w:val="19"/>
                <w:szCs w:val="19"/>
                <w:color w:val="auto"/>
              </w:rPr>
            </w:pPr>
          </w:p>
        </w:tc>
        <w:tc>
          <w:tcPr>
            <w:tcW w:w="340" w:type="dxa"/>
            <w:vAlign w:val="bottom"/>
            <w:tcBorders>
              <w:top w:val="single" w:sz="8" w:color="auto"/>
              <w:bottom w:val="single" w:sz="8" w:color="auto"/>
            </w:tcBorders>
          </w:tcPr>
          <w:p>
            <w:pPr>
              <w:spacing w:after="0"/>
              <w:rPr>
                <w:sz w:val="19"/>
                <w:szCs w:val="19"/>
                <w:color w:val="auto"/>
              </w:rPr>
            </w:pPr>
          </w:p>
        </w:tc>
        <w:tc>
          <w:tcPr>
            <w:tcW w:w="8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200" w:type="dxa"/>
            <w:vAlign w:val="bottom"/>
            <w:tcBorders>
              <w:bottom w:val="single" w:sz="8" w:color="CFF0FC"/>
            </w:tcBorders>
          </w:tcPr>
          <w:p>
            <w:pPr>
              <w:spacing w:after="0"/>
              <w:rPr>
                <w:sz w:val="19"/>
                <w:szCs w:val="19"/>
                <w:color w:val="auto"/>
              </w:rPr>
            </w:pPr>
          </w:p>
        </w:tc>
        <w:tc>
          <w:tcPr>
            <w:tcW w:w="20" w:type="dxa"/>
            <w:vAlign w:val="bottom"/>
            <w:tcBorders>
              <w:bottom w:val="single" w:sz="8" w:color="CFF0FC"/>
            </w:tcBorders>
          </w:tcPr>
          <w:p>
            <w:pPr>
              <w:spacing w:after="0"/>
              <w:rPr>
                <w:sz w:val="19"/>
                <w:szCs w:val="19"/>
                <w:color w:val="auto"/>
              </w:rPr>
            </w:pPr>
          </w:p>
        </w:tc>
        <w:tc>
          <w:tcPr>
            <w:tcW w:w="100" w:type="dxa"/>
            <w:vAlign w:val="bottom"/>
            <w:tcBorders>
              <w:top w:val="single" w:sz="8" w:color="auto"/>
              <w:bottom w:val="single" w:sz="8" w:color="auto"/>
            </w:tcBorders>
          </w:tcPr>
          <w:p>
            <w:pPr>
              <w:spacing w:after="0"/>
              <w:rPr>
                <w:sz w:val="19"/>
                <w:szCs w:val="19"/>
                <w:color w:val="auto"/>
              </w:rPr>
            </w:pPr>
          </w:p>
        </w:tc>
        <w:tc>
          <w:tcPr>
            <w:tcW w:w="10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354,464</w:t>
            </w:r>
          </w:p>
        </w:tc>
        <w:tc>
          <w:tcPr>
            <w:tcW w:w="100" w:type="dxa"/>
            <w:vAlign w:val="bottom"/>
            <w:tcBorders>
              <w:bottom w:val="single" w:sz="8" w:color="CFF0FC"/>
            </w:tcBorders>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5280" w:type="dxa"/>
            <w:vAlign w:val="bottom"/>
            <w:shd w:val="clear" w:color="auto" w:fill="CFF0FC"/>
          </w:tcPr>
          <w:p>
            <w:pPr>
              <w:spacing w:after="0"/>
              <w:rPr>
                <w:sz w:val="20"/>
                <w:szCs w:val="20"/>
                <w:color w:val="auto"/>
              </w:rPr>
            </w:pPr>
            <w:r>
              <w:rPr>
                <w:rFonts w:ascii="Arial" w:cs="Arial" w:eastAsia="Arial" w:hAnsi="Arial"/>
                <w:sz w:val="18"/>
                <w:szCs w:val="18"/>
                <w:color w:val="auto"/>
              </w:rPr>
              <w:t>Income from operations</w:t>
            </w:r>
          </w:p>
        </w:tc>
        <w:tc>
          <w:tcPr>
            <w:tcW w:w="82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0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2,224</w:t>
            </w:r>
          </w:p>
        </w:tc>
        <w:tc>
          <w:tcPr>
            <w:tcW w:w="14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10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20,570</w:t>
            </w:r>
          </w:p>
        </w:tc>
        <w:tc>
          <w:tcPr>
            <w:tcW w:w="200" w:type="dxa"/>
            <w:vAlign w:val="bottom"/>
            <w:shd w:val="clear" w:color="auto" w:fill="CFF0FC"/>
          </w:tcPr>
          <w:p>
            <w:pPr>
              <w:spacing w:after="0"/>
              <w:rPr>
                <w:sz w:val="19"/>
                <w:szCs w:val="19"/>
                <w:color w:val="auto"/>
              </w:rPr>
            </w:pPr>
          </w:p>
        </w:tc>
        <w:tc>
          <w:tcPr>
            <w:tcW w:w="340" w:type="dxa"/>
            <w:vAlign w:val="bottom"/>
            <w:shd w:val="clear" w:color="auto" w:fill="CFF0FC"/>
          </w:tcPr>
          <w:p>
            <w:pPr>
              <w:spacing w:after="0"/>
              <w:rPr>
                <w:sz w:val="19"/>
                <w:szCs w:val="19"/>
                <w:color w:val="auto"/>
              </w:rPr>
            </w:pPr>
          </w:p>
        </w:tc>
        <w:tc>
          <w:tcPr>
            <w:tcW w:w="8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20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0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22,794</w:t>
            </w:r>
          </w:p>
        </w:tc>
        <w:tc>
          <w:tcPr>
            <w:tcW w:w="10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5280" w:type="dxa"/>
            <w:vAlign w:val="bottom"/>
          </w:tcPr>
          <w:p>
            <w:pPr>
              <w:spacing w:after="0"/>
              <w:rPr>
                <w:sz w:val="20"/>
                <w:szCs w:val="20"/>
                <w:color w:val="auto"/>
              </w:rPr>
            </w:pPr>
            <w:r>
              <w:rPr>
                <w:rFonts w:ascii="Arial" w:cs="Arial" w:eastAsia="Arial" w:hAnsi="Arial"/>
                <w:sz w:val="18"/>
                <w:szCs w:val="18"/>
                <w:color w:val="auto"/>
              </w:rPr>
              <w:t>Equity in loss of unconsolidated entities</w:t>
            </w:r>
          </w:p>
        </w:tc>
        <w:tc>
          <w:tcPr>
            <w:tcW w:w="8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180" w:type="dxa"/>
            <w:vAlign w:val="bottom"/>
            <w:gridSpan w:val="2"/>
          </w:tcPr>
          <w:p>
            <w:pPr>
              <w:jc w:val="right"/>
              <w:ind w:right="7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74</w:t>
            </w:r>
          </w:p>
        </w:tc>
        <w:tc>
          <w:tcPr>
            <w:tcW w:w="20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0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74</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5280" w:type="dxa"/>
            <w:vAlign w:val="bottom"/>
            <w:shd w:val="clear" w:color="auto" w:fill="CFF0FC"/>
          </w:tcPr>
          <w:p>
            <w:pPr>
              <w:spacing w:after="0"/>
              <w:rPr>
                <w:sz w:val="20"/>
                <w:szCs w:val="20"/>
                <w:color w:val="auto"/>
              </w:rPr>
            </w:pPr>
            <w:r>
              <w:rPr>
                <w:rFonts w:ascii="Arial" w:cs="Arial" w:eastAsia="Arial" w:hAnsi="Arial"/>
                <w:sz w:val="18"/>
                <w:szCs w:val="18"/>
                <w:color w:val="auto"/>
              </w:rPr>
              <w:t>Other income, net</w:t>
            </w:r>
          </w:p>
        </w:tc>
        <w:tc>
          <w:tcPr>
            <w:tcW w:w="82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0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39</w:t>
            </w:r>
          </w:p>
        </w:tc>
        <w:tc>
          <w:tcPr>
            <w:tcW w:w="14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10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217</w:t>
            </w:r>
          </w:p>
        </w:tc>
        <w:tc>
          <w:tcPr>
            <w:tcW w:w="200" w:type="dxa"/>
            <w:vAlign w:val="bottom"/>
            <w:shd w:val="clear" w:color="auto" w:fill="CFF0FC"/>
          </w:tcPr>
          <w:p>
            <w:pPr>
              <w:spacing w:after="0"/>
              <w:rPr>
                <w:sz w:val="19"/>
                <w:szCs w:val="19"/>
                <w:color w:val="auto"/>
              </w:rPr>
            </w:pPr>
          </w:p>
        </w:tc>
        <w:tc>
          <w:tcPr>
            <w:tcW w:w="340" w:type="dxa"/>
            <w:vAlign w:val="bottom"/>
            <w:shd w:val="clear" w:color="auto" w:fill="CFF0FC"/>
          </w:tcPr>
          <w:p>
            <w:pPr>
              <w:spacing w:after="0"/>
              <w:rPr>
                <w:sz w:val="19"/>
                <w:szCs w:val="19"/>
                <w:color w:val="auto"/>
              </w:rPr>
            </w:pPr>
          </w:p>
        </w:tc>
        <w:tc>
          <w:tcPr>
            <w:tcW w:w="1000" w:type="dxa"/>
            <w:vAlign w:val="bottom"/>
            <w:gridSpan w:val="2"/>
            <w:shd w:val="clear" w:color="auto" w:fill="CFF0FC"/>
          </w:tcPr>
          <w:p>
            <w:pPr>
              <w:jc w:val="right"/>
              <w:ind w:right="220"/>
              <w:spacing w:after="0"/>
              <w:rPr>
                <w:sz w:val="20"/>
                <w:szCs w:val="20"/>
                <w:color w:val="auto"/>
              </w:rPr>
            </w:pPr>
            <w:r>
              <w:rPr>
                <w:rFonts w:ascii="Arial" w:cs="Arial" w:eastAsia="Arial" w:hAnsi="Arial"/>
                <w:sz w:val="18"/>
                <w:szCs w:val="18"/>
                <w:color w:val="auto"/>
              </w:rPr>
              <w:t>—</w:t>
            </w:r>
          </w:p>
        </w:tc>
        <w:tc>
          <w:tcPr>
            <w:tcW w:w="2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0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256</w:t>
            </w:r>
          </w:p>
        </w:tc>
        <w:tc>
          <w:tcPr>
            <w:tcW w:w="10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5300" w:type="dxa"/>
            <w:vAlign w:val="bottom"/>
            <w:gridSpan w:val="2"/>
          </w:tcPr>
          <w:p>
            <w:pPr>
              <w:spacing w:after="0"/>
              <w:rPr>
                <w:sz w:val="20"/>
                <w:szCs w:val="20"/>
                <w:color w:val="auto"/>
              </w:rPr>
            </w:pPr>
            <w:r>
              <w:rPr>
                <w:rFonts w:ascii="Arial" w:cs="Arial" w:eastAsia="Arial" w:hAnsi="Arial"/>
                <w:sz w:val="18"/>
                <w:szCs w:val="18"/>
                <w:color w:val="auto"/>
              </w:rPr>
              <w:t>Income before taxes</w:t>
            </w:r>
          </w:p>
        </w:tc>
        <w:tc>
          <w:tcPr>
            <w:tcW w:w="820" w:type="dxa"/>
            <w:vAlign w:val="bottom"/>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10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2,263</w:t>
            </w:r>
          </w:p>
        </w:tc>
        <w:tc>
          <w:tcPr>
            <w:tcW w:w="1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80" w:type="dxa"/>
            <w:vAlign w:val="bottom"/>
            <w:tcBorders>
              <w:top w:val="single" w:sz="8" w:color="auto"/>
            </w:tcBorders>
          </w:tcPr>
          <w:p>
            <w:pPr>
              <w:spacing w:after="0"/>
              <w:rPr>
                <w:sz w:val="19"/>
                <w:szCs w:val="19"/>
                <w:color w:val="auto"/>
              </w:rPr>
            </w:pPr>
          </w:p>
        </w:tc>
        <w:tc>
          <w:tcPr>
            <w:tcW w:w="10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20,861</w:t>
            </w:r>
          </w:p>
        </w:tc>
        <w:tc>
          <w:tcPr>
            <w:tcW w:w="200" w:type="dxa"/>
            <w:vAlign w:val="bottom"/>
          </w:tcPr>
          <w:p>
            <w:pPr>
              <w:spacing w:after="0"/>
              <w:rPr>
                <w:sz w:val="19"/>
                <w:szCs w:val="19"/>
                <w:color w:val="auto"/>
              </w:rPr>
            </w:pPr>
          </w:p>
        </w:tc>
        <w:tc>
          <w:tcPr>
            <w:tcW w:w="340" w:type="dxa"/>
            <w:vAlign w:val="bottom"/>
            <w:tcBorders>
              <w:top w:val="single" w:sz="8" w:color="auto"/>
            </w:tcBorders>
          </w:tcPr>
          <w:p>
            <w:pPr>
              <w:spacing w:after="0"/>
              <w:rPr>
                <w:sz w:val="19"/>
                <w:szCs w:val="19"/>
                <w:color w:val="auto"/>
              </w:rPr>
            </w:pPr>
          </w:p>
        </w:tc>
        <w:tc>
          <w:tcPr>
            <w:tcW w:w="8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10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23,124</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5280" w:type="dxa"/>
            <w:vAlign w:val="bottom"/>
            <w:shd w:val="clear" w:color="auto" w:fill="CFF0FC"/>
          </w:tcPr>
          <w:p>
            <w:pPr>
              <w:spacing w:after="0"/>
              <w:rPr>
                <w:sz w:val="20"/>
                <w:szCs w:val="20"/>
                <w:color w:val="auto"/>
              </w:rPr>
            </w:pPr>
            <w:r>
              <w:rPr>
                <w:rFonts w:ascii="Arial" w:cs="Arial" w:eastAsia="Arial" w:hAnsi="Arial"/>
                <w:sz w:val="18"/>
                <w:szCs w:val="18"/>
                <w:color w:val="auto"/>
              </w:rPr>
              <w:t>Provision for income taxes</w:t>
            </w:r>
          </w:p>
        </w:tc>
        <w:tc>
          <w:tcPr>
            <w:tcW w:w="82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180" w:type="dxa"/>
            <w:vAlign w:val="bottom"/>
            <w:gridSpan w:val="2"/>
            <w:shd w:val="clear" w:color="auto" w:fill="CFF0FC"/>
          </w:tcPr>
          <w:p>
            <w:pPr>
              <w:jc w:val="right"/>
              <w:spacing w:after="0"/>
              <w:rPr>
                <w:sz w:val="20"/>
                <w:szCs w:val="20"/>
                <w:color w:val="auto"/>
              </w:rPr>
            </w:pPr>
            <w:r>
              <w:rPr>
                <w:rFonts w:ascii="Arial" w:cs="Arial" w:eastAsia="Arial" w:hAnsi="Arial"/>
                <w:sz w:val="18"/>
                <w:szCs w:val="18"/>
                <w:color w:val="auto"/>
              </w:rPr>
              <w:t>(827)</w:t>
            </w:r>
          </w:p>
        </w:tc>
        <w:tc>
          <w:tcPr>
            <w:tcW w:w="8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1260" w:type="dxa"/>
            <w:vAlign w:val="bottom"/>
            <w:gridSpan w:val="2"/>
            <w:shd w:val="clear" w:color="auto" w:fill="CFF0FC"/>
          </w:tcPr>
          <w:p>
            <w:pPr>
              <w:jc w:val="right"/>
              <w:ind w:right="140"/>
              <w:spacing w:after="0"/>
              <w:rPr>
                <w:sz w:val="20"/>
                <w:szCs w:val="20"/>
                <w:color w:val="auto"/>
              </w:rPr>
            </w:pPr>
            <w:r>
              <w:rPr>
                <w:rFonts w:ascii="Arial" w:cs="Arial" w:eastAsia="Arial" w:hAnsi="Arial"/>
                <w:sz w:val="18"/>
                <w:szCs w:val="18"/>
                <w:color w:val="auto"/>
              </w:rPr>
              <w:t>(7,000)</w:t>
            </w:r>
          </w:p>
        </w:tc>
        <w:tc>
          <w:tcPr>
            <w:tcW w:w="340" w:type="dxa"/>
            <w:vAlign w:val="bottom"/>
            <w:shd w:val="clear" w:color="auto" w:fill="CFF0FC"/>
          </w:tcPr>
          <w:p>
            <w:pPr>
              <w:spacing w:after="0"/>
              <w:rPr>
                <w:sz w:val="19"/>
                <w:szCs w:val="19"/>
                <w:color w:val="auto"/>
              </w:rPr>
            </w:pPr>
          </w:p>
        </w:tc>
        <w:tc>
          <w:tcPr>
            <w:tcW w:w="1000" w:type="dxa"/>
            <w:vAlign w:val="bottom"/>
            <w:gridSpan w:val="2"/>
            <w:shd w:val="clear" w:color="auto" w:fill="CFF0FC"/>
          </w:tcPr>
          <w:p>
            <w:pPr>
              <w:jc w:val="right"/>
              <w:ind w:right="220"/>
              <w:spacing w:after="0"/>
              <w:rPr>
                <w:sz w:val="20"/>
                <w:szCs w:val="20"/>
                <w:color w:val="auto"/>
              </w:rPr>
            </w:pPr>
            <w:r>
              <w:rPr>
                <w:rFonts w:ascii="Arial" w:cs="Arial" w:eastAsia="Arial" w:hAnsi="Arial"/>
                <w:sz w:val="18"/>
                <w:szCs w:val="18"/>
                <w:color w:val="auto"/>
              </w:rPr>
              <w:t>—</w:t>
            </w:r>
          </w:p>
        </w:tc>
        <w:tc>
          <w:tcPr>
            <w:tcW w:w="2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140" w:type="dxa"/>
            <w:vAlign w:val="bottom"/>
            <w:gridSpan w:val="2"/>
            <w:shd w:val="clear" w:color="auto" w:fill="CFF0FC"/>
          </w:tcPr>
          <w:p>
            <w:pPr>
              <w:jc w:val="right"/>
              <w:ind w:right="40"/>
              <w:spacing w:after="0"/>
              <w:rPr>
                <w:sz w:val="20"/>
                <w:szCs w:val="20"/>
                <w:color w:val="auto"/>
              </w:rPr>
            </w:pPr>
            <w:r>
              <w:rPr>
                <w:rFonts w:ascii="Arial" w:cs="Arial" w:eastAsia="Arial" w:hAnsi="Arial"/>
                <w:sz w:val="18"/>
                <w:szCs w:val="18"/>
                <w:color w:val="auto"/>
              </w:rPr>
              <w:t>(7,827)</w:t>
            </w: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5280" w:type="dxa"/>
            <w:vAlign w:val="bottom"/>
          </w:tcPr>
          <w:p>
            <w:pPr>
              <w:spacing w:after="0"/>
              <w:rPr>
                <w:sz w:val="20"/>
                <w:szCs w:val="20"/>
                <w:color w:val="auto"/>
              </w:rPr>
            </w:pPr>
            <w:r>
              <w:rPr>
                <w:rFonts w:ascii="Arial" w:cs="Arial" w:eastAsia="Arial" w:hAnsi="Arial"/>
                <w:sz w:val="18"/>
                <w:szCs w:val="18"/>
                <w:color w:val="auto"/>
              </w:rPr>
              <w:t>Equity in net income of subsidiaries</w:t>
            </w:r>
          </w:p>
        </w:tc>
        <w:tc>
          <w:tcPr>
            <w:tcW w:w="8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13,861</w:t>
            </w:r>
          </w:p>
        </w:tc>
        <w:tc>
          <w:tcPr>
            <w:tcW w:w="1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26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340" w:type="dxa"/>
            <w:vAlign w:val="bottom"/>
          </w:tcPr>
          <w:p>
            <w:pPr>
              <w:spacing w:after="0"/>
              <w:rPr>
                <w:sz w:val="19"/>
                <w:szCs w:val="19"/>
                <w:color w:val="auto"/>
              </w:rPr>
            </w:pPr>
          </w:p>
        </w:tc>
        <w:tc>
          <w:tcPr>
            <w:tcW w:w="1000" w:type="dxa"/>
            <w:vAlign w:val="bottom"/>
            <w:gridSpan w:val="2"/>
          </w:tcPr>
          <w:p>
            <w:pPr>
              <w:jc w:val="right"/>
              <w:ind w:right="140"/>
              <w:spacing w:after="0"/>
              <w:rPr>
                <w:sz w:val="20"/>
                <w:szCs w:val="20"/>
                <w:color w:val="auto"/>
              </w:rPr>
            </w:pPr>
            <w:r>
              <w:rPr>
                <w:rFonts w:ascii="Arial" w:cs="Arial" w:eastAsia="Arial" w:hAnsi="Arial"/>
                <w:sz w:val="18"/>
                <w:szCs w:val="18"/>
                <w:color w:val="auto"/>
              </w:rPr>
              <w:t>(13,861)</w:t>
            </w: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14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5280" w:type="dxa"/>
            <w:vAlign w:val="bottom"/>
            <w:tcBorders>
              <w:top w:val="single" w:sz="8" w:color="CFF0FC"/>
              <w:bottom w:val="single" w:sz="8" w:color="CFF0FC"/>
            </w:tcBorders>
            <w:shd w:val="clear" w:color="auto" w:fill="CFF0FC"/>
          </w:tcPr>
          <w:p>
            <w:pPr>
              <w:spacing w:after="0"/>
              <w:rPr>
                <w:sz w:val="20"/>
                <w:szCs w:val="20"/>
                <w:color w:val="auto"/>
              </w:rPr>
            </w:pPr>
            <w:r>
              <w:rPr>
                <w:rFonts w:ascii="Arial" w:cs="Arial" w:eastAsia="Arial" w:hAnsi="Arial"/>
                <w:sz w:val="18"/>
                <w:szCs w:val="18"/>
                <w:color w:val="auto"/>
              </w:rPr>
              <w:t>Net income</w:t>
            </w:r>
          </w:p>
        </w:tc>
        <w:tc>
          <w:tcPr>
            <w:tcW w:w="820" w:type="dxa"/>
            <w:vAlign w:val="bottom"/>
            <w:tcBorders>
              <w:top w:val="single" w:sz="8" w:color="CFF0FC"/>
              <w:bottom w:val="single" w:sz="8" w:color="CFF0FC"/>
            </w:tcBorders>
            <w:shd w:val="clear" w:color="auto" w:fill="CFF0FC"/>
          </w:tcPr>
          <w:p>
            <w:pPr>
              <w:spacing w:after="0"/>
              <w:rPr>
                <w:sz w:val="19"/>
                <w:szCs w:val="19"/>
                <w:color w:val="auto"/>
              </w:rPr>
            </w:pPr>
          </w:p>
        </w:tc>
        <w:tc>
          <w:tcPr>
            <w:tcW w:w="10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104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15,297</w:t>
            </w:r>
          </w:p>
        </w:tc>
        <w:tc>
          <w:tcPr>
            <w:tcW w:w="140" w:type="dxa"/>
            <w:vAlign w:val="bottom"/>
            <w:tcBorders>
              <w:top w:val="single" w:sz="8" w:color="CFF0FC"/>
              <w:bottom w:val="single" w:sz="8" w:color="CFF0FC"/>
            </w:tcBorders>
            <w:shd w:val="clear" w:color="auto" w:fill="CFF0FC"/>
          </w:tcPr>
          <w:p>
            <w:pPr>
              <w:spacing w:after="0"/>
              <w:rPr>
                <w:sz w:val="19"/>
                <w:szCs w:val="19"/>
                <w:color w:val="auto"/>
              </w:rPr>
            </w:pPr>
          </w:p>
        </w:tc>
        <w:tc>
          <w:tcPr>
            <w:tcW w:w="80" w:type="dxa"/>
            <w:vAlign w:val="bottom"/>
            <w:tcBorders>
              <w:top w:val="single" w:sz="8" w:color="CFF0FC"/>
              <w:bottom w:val="single" w:sz="8" w:color="CFF0FC"/>
            </w:tcBorders>
            <w:shd w:val="clear" w:color="auto" w:fill="CFF0FC"/>
          </w:tcPr>
          <w:p>
            <w:pPr>
              <w:spacing w:after="0"/>
              <w:rPr>
                <w:sz w:val="19"/>
                <w:szCs w:val="19"/>
                <w:color w:val="auto"/>
              </w:rPr>
            </w:pPr>
          </w:p>
        </w:tc>
        <w:tc>
          <w:tcPr>
            <w:tcW w:w="8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5"/>
                <w:szCs w:val="15"/>
                <w:color w:val="auto"/>
                <w:w w:val="71"/>
              </w:rPr>
              <w:t>$</w:t>
            </w:r>
          </w:p>
        </w:tc>
        <w:tc>
          <w:tcPr>
            <w:tcW w:w="106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13,861</w:t>
            </w:r>
          </w:p>
        </w:tc>
        <w:tc>
          <w:tcPr>
            <w:tcW w:w="200" w:type="dxa"/>
            <w:vAlign w:val="bottom"/>
            <w:tcBorders>
              <w:top w:val="single" w:sz="8" w:color="CFF0FC"/>
              <w:bottom w:val="single" w:sz="8" w:color="CFF0FC"/>
            </w:tcBorders>
            <w:shd w:val="clear" w:color="auto" w:fill="CFF0FC"/>
          </w:tcPr>
          <w:p>
            <w:pPr>
              <w:spacing w:after="0"/>
              <w:rPr>
                <w:sz w:val="19"/>
                <w:szCs w:val="19"/>
                <w:color w:val="auto"/>
              </w:rPr>
            </w:pPr>
          </w:p>
        </w:tc>
        <w:tc>
          <w:tcPr>
            <w:tcW w:w="340" w:type="dxa"/>
            <w:vAlign w:val="bottom"/>
            <w:tcBorders>
              <w:top w:val="single" w:sz="8" w:color="auto"/>
              <w:bottom w:val="single" w:sz="8" w:color="auto"/>
            </w:tcBorders>
            <w:shd w:val="clear" w:color="auto" w:fill="CFF0FC"/>
          </w:tcPr>
          <w:p>
            <w:pPr>
              <w:jc w:val="right"/>
              <w:ind w:right="150"/>
              <w:spacing w:after="0"/>
              <w:rPr>
                <w:sz w:val="20"/>
                <w:szCs w:val="20"/>
                <w:color w:val="auto"/>
              </w:rPr>
            </w:pPr>
            <w:r>
              <w:rPr>
                <w:rFonts w:ascii="Arial" w:cs="Arial" w:eastAsia="Arial" w:hAnsi="Arial"/>
                <w:sz w:val="18"/>
                <w:szCs w:val="18"/>
                <w:color w:val="auto"/>
                <w:w w:val="79"/>
              </w:rPr>
              <w:t>$</w:t>
            </w:r>
          </w:p>
        </w:tc>
        <w:tc>
          <w:tcPr>
            <w:tcW w:w="80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(13,861)</w:t>
            </w:r>
          </w:p>
        </w:tc>
        <w:tc>
          <w:tcPr>
            <w:tcW w:w="200" w:type="dxa"/>
            <w:vAlign w:val="bottom"/>
            <w:tcBorders>
              <w:top w:val="single" w:sz="8" w:color="CFF0FC"/>
              <w:bottom w:val="single" w:sz="8" w:color="CFF0FC"/>
            </w:tcBorders>
            <w:shd w:val="clear" w:color="auto" w:fill="CFF0FC"/>
          </w:tcPr>
          <w:p>
            <w:pPr>
              <w:spacing w:after="0"/>
              <w:rPr>
                <w:sz w:val="19"/>
                <w:szCs w:val="19"/>
                <w:color w:val="auto"/>
              </w:rPr>
            </w:pPr>
          </w:p>
        </w:tc>
        <w:tc>
          <w:tcPr>
            <w:tcW w:w="20" w:type="dxa"/>
            <w:vAlign w:val="bottom"/>
            <w:tcBorders>
              <w:top w:val="single" w:sz="8" w:color="CFF0FC"/>
              <w:bottom w:val="single" w:sz="8" w:color="CFF0FC"/>
            </w:tcBorders>
            <w:shd w:val="clear" w:color="auto" w:fill="CFF0FC"/>
          </w:tcPr>
          <w:p>
            <w:pPr>
              <w:spacing w:after="0"/>
              <w:rPr>
                <w:sz w:val="19"/>
                <w:szCs w:val="19"/>
                <w:color w:val="auto"/>
              </w:rPr>
            </w:pPr>
          </w:p>
        </w:tc>
        <w:tc>
          <w:tcPr>
            <w:tcW w:w="10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5"/>
                <w:szCs w:val="15"/>
                <w:color w:val="auto"/>
                <w:w w:val="71"/>
              </w:rPr>
              <w:t>$</w:t>
            </w:r>
          </w:p>
        </w:tc>
        <w:tc>
          <w:tcPr>
            <w:tcW w:w="104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15,297</w:t>
            </w:r>
          </w:p>
        </w:tc>
        <w:tc>
          <w:tcPr>
            <w:tcW w:w="100" w:type="dxa"/>
            <w:vAlign w:val="bottom"/>
            <w:tcBorders>
              <w:top w:val="single" w:sz="8" w:color="CFF0FC"/>
              <w:bottom w:val="single" w:sz="8" w:color="CFF0FC"/>
            </w:tcBorders>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5280" w:type="dxa"/>
            <w:vAlign w:val="bottom"/>
          </w:tcPr>
          <w:p>
            <w:pPr>
              <w:spacing w:after="0" w:line="20" w:lineRule="exact"/>
              <w:rPr>
                <w:sz w:val="1"/>
                <w:szCs w:val="1"/>
                <w:color w:val="auto"/>
              </w:rPr>
            </w:pPr>
          </w:p>
        </w:tc>
        <w:tc>
          <w:tcPr>
            <w:tcW w:w="820" w:type="dxa"/>
            <w:vAlign w:val="bottom"/>
            <w:vMerge w:val="restart"/>
          </w:tcPr>
          <w:p>
            <w:pPr>
              <w:jc w:val="right"/>
              <w:ind w:right="130"/>
              <w:spacing w:after="0"/>
              <w:rPr>
                <w:sz w:val="20"/>
                <w:szCs w:val="20"/>
                <w:color w:val="auto"/>
              </w:rPr>
            </w:pPr>
            <w:r>
              <w:rPr>
                <w:rFonts w:ascii="Arial" w:cs="Arial" w:eastAsia="Arial" w:hAnsi="Arial"/>
                <w:sz w:val="18"/>
                <w:szCs w:val="18"/>
                <w:color w:val="auto"/>
              </w:rPr>
              <w:t>- 26 -</w:t>
            </w:r>
          </w:p>
        </w:tc>
        <w:tc>
          <w:tcPr>
            <w:tcW w:w="10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872"/>
        </w:trPr>
        <w:tc>
          <w:tcPr>
            <w:tcW w:w="20" w:type="dxa"/>
            <w:vAlign w:val="bottom"/>
          </w:tcPr>
          <w:p>
            <w:pPr>
              <w:spacing w:after="0"/>
              <w:rPr>
                <w:sz w:val="24"/>
                <w:szCs w:val="24"/>
                <w:color w:val="auto"/>
              </w:rPr>
            </w:pPr>
          </w:p>
        </w:tc>
        <w:tc>
          <w:tcPr>
            <w:tcW w:w="5280" w:type="dxa"/>
            <w:vAlign w:val="bottom"/>
          </w:tcPr>
          <w:p>
            <w:pPr>
              <w:spacing w:after="0"/>
              <w:rPr>
                <w:sz w:val="24"/>
                <w:szCs w:val="24"/>
                <w:color w:val="auto"/>
              </w:rPr>
            </w:pPr>
          </w:p>
        </w:tc>
        <w:tc>
          <w:tcPr>
            <w:tcW w:w="820" w:type="dxa"/>
            <w:vAlign w:val="bottom"/>
            <w:vMerge w:val="continue"/>
          </w:tcPr>
          <w:p>
            <w:pPr>
              <w:spacing w:after="0"/>
              <w:rPr>
                <w:sz w:val="24"/>
                <w:szCs w:val="24"/>
                <w:color w:val="auto"/>
              </w:rPr>
            </w:pPr>
          </w:p>
        </w:tc>
        <w:tc>
          <w:tcPr>
            <w:tcW w:w="10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148" w:right="239" w:bottom="1440" w:gutter="0" w:footer="0" w:header="0"/>
        </w:sectPr>
      </w:pPr>
    </w:p>
    <w:bookmarkStart w:id="26" w:name="page27"/>
    <w:bookmarkEnd w:id="26"/>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6000" w:type="dxa"/>
            <w:vAlign w:val="bottom"/>
          </w:tcPr>
          <w:p>
            <w:pPr>
              <w:spacing w:after="0"/>
              <w:rPr>
                <w:sz w:val="20"/>
                <w:szCs w:val="20"/>
                <w:color w:val="auto"/>
              </w:rPr>
            </w:pPr>
            <w:r>
              <w:rPr>
                <w:rFonts w:ascii="Arial" w:cs="Arial" w:eastAsia="Arial" w:hAnsi="Arial"/>
                <w:sz w:val="18"/>
                <w:szCs w:val="18"/>
                <w:b w:val="1"/>
                <w:bCs w:val="1"/>
                <w:color w:val="auto"/>
              </w:rPr>
              <w:t>Condensed Consolidating Statement of Cash Flows (in thousands):</w:t>
            </w:r>
          </w:p>
        </w:tc>
        <w:tc>
          <w:tcPr>
            <w:tcW w:w="8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04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0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8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0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46"/>
        </w:trPr>
        <w:tc>
          <w:tcPr>
            <w:tcW w:w="60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040" w:type="dxa"/>
            <w:vAlign w:val="bottom"/>
            <w:tcBorders>
              <w:bottom w:val="single" w:sz="8" w:color="auto"/>
            </w:tcBorders>
          </w:tcPr>
          <w:p>
            <w:pPr>
              <w:spacing w:after="0"/>
              <w:rPr>
                <w:sz w:val="24"/>
                <w:szCs w:val="24"/>
                <w:color w:val="auto"/>
              </w:rPr>
            </w:pPr>
          </w:p>
        </w:tc>
        <w:tc>
          <w:tcPr>
            <w:tcW w:w="2940" w:type="dxa"/>
            <w:vAlign w:val="bottom"/>
            <w:tcBorders>
              <w:bottom w:val="single" w:sz="8" w:color="auto"/>
            </w:tcBorders>
            <w:gridSpan w:val="9"/>
          </w:tcPr>
          <w:p>
            <w:pPr>
              <w:jc w:val="right"/>
              <w:ind w:right="20"/>
              <w:spacing w:after="0"/>
              <w:rPr>
                <w:sz w:val="20"/>
                <w:szCs w:val="20"/>
                <w:color w:val="auto"/>
              </w:rPr>
            </w:pPr>
            <w:r>
              <w:rPr>
                <w:rFonts w:ascii="Arial" w:cs="Arial" w:eastAsia="Arial" w:hAnsi="Arial"/>
                <w:sz w:val="18"/>
                <w:szCs w:val="18"/>
                <w:b w:val="1"/>
                <w:bCs w:val="1"/>
                <w:color w:val="auto"/>
                <w:w w:val="93"/>
              </w:rPr>
              <w:t>Three Months Ended March 31, 2015</w:t>
            </w:r>
          </w:p>
        </w:tc>
        <w:tc>
          <w:tcPr>
            <w:tcW w:w="2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040" w:type="dxa"/>
            <w:vAlign w:val="bottom"/>
            <w:tcBorders>
              <w:bottom w:val="single" w:sz="8" w:color="auto"/>
            </w:tcBorders>
          </w:tcPr>
          <w:p>
            <w:pPr>
              <w:spacing w:after="0"/>
              <w:rPr>
                <w:sz w:val="24"/>
                <w:szCs w:val="24"/>
                <w:color w:val="auto"/>
              </w:rPr>
            </w:pPr>
          </w:p>
        </w:tc>
        <w:tc>
          <w:tcPr>
            <w:tcW w:w="1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8"/>
        </w:trPr>
        <w:tc>
          <w:tcPr>
            <w:tcW w:w="60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140" w:type="dxa"/>
            <w:vAlign w:val="bottom"/>
            <w:gridSpan w:val="2"/>
          </w:tcPr>
          <w:p>
            <w:pPr>
              <w:jc w:val="center"/>
              <w:spacing w:after="0"/>
              <w:rPr>
                <w:sz w:val="20"/>
                <w:szCs w:val="20"/>
                <w:color w:val="auto"/>
              </w:rPr>
            </w:pPr>
            <w:r>
              <w:rPr>
                <w:rFonts w:ascii="Arial" w:cs="Arial" w:eastAsia="Arial" w:hAnsi="Arial"/>
                <w:sz w:val="18"/>
                <w:szCs w:val="18"/>
                <w:b w:val="1"/>
                <w:bCs w:val="1"/>
                <w:color w:val="auto"/>
                <w:w w:val="87"/>
              </w:rPr>
              <w:t>Consolidated</w:t>
            </w: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600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180" w:type="dxa"/>
            <w:vAlign w:val="bottom"/>
            <w:gridSpan w:val="2"/>
          </w:tcPr>
          <w:p>
            <w:pPr>
              <w:jc w:val="right"/>
              <w:ind w:right="190"/>
              <w:spacing w:after="0"/>
              <w:rPr>
                <w:sz w:val="20"/>
                <w:szCs w:val="20"/>
                <w:color w:val="auto"/>
              </w:rPr>
            </w:pPr>
            <w:r>
              <w:rPr>
                <w:rFonts w:ascii="Arial" w:cs="Arial" w:eastAsia="Arial" w:hAnsi="Arial"/>
                <w:sz w:val="18"/>
                <w:szCs w:val="18"/>
                <w:b w:val="1"/>
                <w:bCs w:val="1"/>
                <w:color w:val="auto"/>
                <w:w w:val="98"/>
              </w:rPr>
              <w:t>TRI Pointe</w:t>
            </w:r>
          </w:p>
        </w:tc>
        <w:tc>
          <w:tcPr>
            <w:tcW w:w="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180" w:type="dxa"/>
            <w:vAlign w:val="bottom"/>
            <w:gridSpan w:val="2"/>
          </w:tcPr>
          <w:p>
            <w:pPr>
              <w:jc w:val="right"/>
              <w:ind w:right="300"/>
              <w:spacing w:after="0"/>
              <w:rPr>
                <w:sz w:val="20"/>
                <w:szCs w:val="20"/>
                <w:color w:val="auto"/>
              </w:rPr>
            </w:pPr>
            <w:r>
              <w:rPr>
                <w:rFonts w:ascii="Arial" w:cs="Arial" w:eastAsia="Arial" w:hAnsi="Arial"/>
                <w:sz w:val="18"/>
                <w:szCs w:val="18"/>
                <w:b w:val="1"/>
                <w:bCs w:val="1"/>
                <w:color w:val="auto"/>
                <w:w w:val="98"/>
              </w:rPr>
              <w:t>Guarantor</w:t>
            </w:r>
          </w:p>
        </w:tc>
        <w:tc>
          <w:tcPr>
            <w:tcW w:w="80" w:type="dxa"/>
            <w:vAlign w:val="bottom"/>
          </w:tcPr>
          <w:p>
            <w:pPr>
              <w:spacing w:after="0"/>
              <w:rPr>
                <w:sz w:val="19"/>
                <w:szCs w:val="19"/>
                <w:color w:val="auto"/>
              </w:rPr>
            </w:pPr>
          </w:p>
        </w:tc>
        <w:tc>
          <w:tcPr>
            <w:tcW w:w="1360" w:type="dxa"/>
            <w:vAlign w:val="bottom"/>
            <w:gridSpan w:val="3"/>
          </w:tcPr>
          <w:p>
            <w:pPr>
              <w:jc w:val="right"/>
              <w:ind w:right="260"/>
              <w:spacing w:after="0"/>
              <w:rPr>
                <w:sz w:val="20"/>
                <w:szCs w:val="20"/>
                <w:color w:val="auto"/>
              </w:rPr>
            </w:pPr>
            <w:r>
              <w:rPr>
                <w:rFonts w:ascii="Arial" w:cs="Arial" w:eastAsia="Arial" w:hAnsi="Arial"/>
                <w:sz w:val="18"/>
                <w:szCs w:val="18"/>
                <w:b w:val="1"/>
                <w:bCs w:val="1"/>
                <w:color w:val="auto"/>
                <w:w w:val="89"/>
              </w:rPr>
              <w:t>Consolidating</w:t>
            </w: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160" w:type="dxa"/>
            <w:vAlign w:val="bottom"/>
            <w:gridSpan w:val="2"/>
          </w:tcPr>
          <w:p>
            <w:pPr>
              <w:jc w:val="center"/>
              <w:ind w:right="240"/>
              <w:spacing w:after="0"/>
              <w:rPr>
                <w:sz w:val="20"/>
                <w:szCs w:val="20"/>
                <w:color w:val="auto"/>
              </w:rPr>
            </w:pPr>
            <w:r>
              <w:rPr>
                <w:rFonts w:ascii="Arial" w:cs="Arial" w:eastAsia="Arial" w:hAnsi="Arial"/>
                <w:sz w:val="18"/>
                <w:szCs w:val="18"/>
                <w:b w:val="1"/>
                <w:bCs w:val="1"/>
                <w:color w:val="auto"/>
                <w:w w:val="94"/>
              </w:rPr>
              <w:t>TRI Pointe</w:t>
            </w:r>
          </w:p>
        </w:tc>
        <w:tc>
          <w:tcPr>
            <w:tcW w:w="0" w:type="dxa"/>
            <w:vAlign w:val="bottom"/>
          </w:tcPr>
          <w:p>
            <w:pPr>
              <w:spacing w:after="0"/>
              <w:rPr>
                <w:sz w:val="1"/>
                <w:szCs w:val="1"/>
                <w:color w:val="auto"/>
              </w:rPr>
            </w:pPr>
          </w:p>
        </w:tc>
      </w:tr>
      <w:tr>
        <w:trPr>
          <w:trHeight w:val="234"/>
        </w:trPr>
        <w:tc>
          <w:tcPr>
            <w:tcW w:w="600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180" w:type="dxa"/>
            <w:vAlign w:val="bottom"/>
            <w:gridSpan w:val="2"/>
          </w:tcPr>
          <w:p>
            <w:pPr>
              <w:jc w:val="right"/>
              <w:ind w:right="170"/>
              <w:spacing w:after="0"/>
              <w:rPr>
                <w:sz w:val="20"/>
                <w:szCs w:val="20"/>
                <w:color w:val="auto"/>
              </w:rPr>
            </w:pPr>
            <w:r>
              <w:rPr>
                <w:rFonts w:ascii="Arial" w:cs="Arial" w:eastAsia="Arial" w:hAnsi="Arial"/>
                <w:sz w:val="18"/>
                <w:szCs w:val="18"/>
                <w:b w:val="1"/>
                <w:bCs w:val="1"/>
                <w:color w:val="auto"/>
                <w:w w:val="89"/>
              </w:rPr>
              <w:t>Homes, Inc.</w:t>
            </w:r>
          </w:p>
        </w:tc>
        <w:tc>
          <w:tcPr>
            <w:tcW w:w="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180" w:type="dxa"/>
            <w:vAlign w:val="bottom"/>
            <w:gridSpan w:val="2"/>
          </w:tcPr>
          <w:p>
            <w:pPr>
              <w:jc w:val="right"/>
              <w:ind w:right="240"/>
              <w:spacing w:after="0"/>
              <w:rPr>
                <w:sz w:val="20"/>
                <w:szCs w:val="20"/>
                <w:color w:val="auto"/>
              </w:rPr>
            </w:pPr>
            <w:r>
              <w:rPr>
                <w:rFonts w:ascii="Arial" w:cs="Arial" w:eastAsia="Arial" w:hAnsi="Arial"/>
                <w:sz w:val="18"/>
                <w:szCs w:val="18"/>
                <w:b w:val="1"/>
                <w:bCs w:val="1"/>
                <w:color w:val="auto"/>
                <w:w w:val="85"/>
              </w:rPr>
              <w:t>Subsidiaries</w:t>
            </w:r>
          </w:p>
        </w:tc>
        <w:tc>
          <w:tcPr>
            <w:tcW w:w="80" w:type="dxa"/>
            <w:vAlign w:val="bottom"/>
          </w:tcPr>
          <w:p>
            <w:pPr>
              <w:spacing w:after="0"/>
              <w:rPr>
                <w:sz w:val="20"/>
                <w:szCs w:val="20"/>
                <w:color w:val="auto"/>
              </w:rPr>
            </w:pPr>
          </w:p>
        </w:tc>
        <w:tc>
          <w:tcPr>
            <w:tcW w:w="1360" w:type="dxa"/>
            <w:vAlign w:val="bottom"/>
            <w:gridSpan w:val="3"/>
          </w:tcPr>
          <w:p>
            <w:pPr>
              <w:jc w:val="right"/>
              <w:ind w:right="300"/>
              <w:spacing w:after="0"/>
              <w:rPr>
                <w:sz w:val="20"/>
                <w:szCs w:val="20"/>
                <w:color w:val="auto"/>
              </w:rPr>
            </w:pPr>
            <w:r>
              <w:rPr>
                <w:rFonts w:ascii="Arial" w:cs="Arial" w:eastAsia="Arial" w:hAnsi="Arial"/>
                <w:sz w:val="18"/>
                <w:szCs w:val="18"/>
                <w:b w:val="1"/>
                <w:bCs w:val="1"/>
                <w:color w:val="auto"/>
                <w:w w:val="95"/>
              </w:rPr>
              <w:t>Adjustments</w:t>
            </w:r>
          </w:p>
        </w:tc>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160" w:type="dxa"/>
            <w:vAlign w:val="bottom"/>
            <w:gridSpan w:val="2"/>
          </w:tcPr>
          <w:p>
            <w:pPr>
              <w:jc w:val="center"/>
              <w:ind w:right="240"/>
              <w:spacing w:after="0"/>
              <w:rPr>
                <w:sz w:val="20"/>
                <w:szCs w:val="20"/>
                <w:color w:val="auto"/>
              </w:rPr>
            </w:pPr>
            <w:r>
              <w:rPr>
                <w:rFonts w:ascii="Arial" w:cs="Arial" w:eastAsia="Arial" w:hAnsi="Arial"/>
                <w:sz w:val="18"/>
                <w:szCs w:val="18"/>
                <w:b w:val="1"/>
                <w:bCs w:val="1"/>
                <w:color w:val="auto"/>
                <w:w w:val="91"/>
              </w:rPr>
              <w:t>Homes, Inc.</w:t>
            </w:r>
          </w:p>
        </w:tc>
        <w:tc>
          <w:tcPr>
            <w:tcW w:w="0" w:type="dxa"/>
            <w:vAlign w:val="bottom"/>
          </w:tcPr>
          <w:p>
            <w:pPr>
              <w:spacing w:after="0"/>
              <w:rPr>
                <w:sz w:val="1"/>
                <w:szCs w:val="1"/>
                <w:color w:val="auto"/>
              </w:rPr>
            </w:pPr>
          </w:p>
        </w:tc>
      </w:tr>
      <w:tr>
        <w:trPr>
          <w:trHeight w:val="223"/>
        </w:trPr>
        <w:tc>
          <w:tcPr>
            <w:tcW w:w="6000" w:type="dxa"/>
            <w:vAlign w:val="bottom"/>
            <w:tcBorders>
              <w:top w:val="single" w:sz="8" w:color="CFF0FC"/>
            </w:tcBorders>
            <w:shd w:val="clear" w:color="auto" w:fill="CFF0FC"/>
          </w:tcPr>
          <w:p>
            <w:pPr>
              <w:spacing w:after="0"/>
              <w:rPr>
                <w:sz w:val="20"/>
                <w:szCs w:val="20"/>
                <w:color w:val="auto"/>
              </w:rPr>
            </w:pPr>
            <w:r>
              <w:rPr>
                <w:rFonts w:ascii="Arial" w:cs="Arial" w:eastAsia="Arial" w:hAnsi="Arial"/>
                <w:sz w:val="18"/>
                <w:szCs w:val="18"/>
                <w:b w:val="1"/>
                <w:bCs w:val="1"/>
                <w:color w:val="auto"/>
              </w:rPr>
              <w:t>Cash flows from operating activities</w:t>
            </w:r>
          </w:p>
        </w:tc>
        <w:tc>
          <w:tcPr>
            <w:tcW w:w="80" w:type="dxa"/>
            <w:vAlign w:val="bottom"/>
            <w:tcBorders>
              <w:top w:val="single" w:sz="8" w:color="CFF0FC"/>
            </w:tcBorders>
            <w:shd w:val="clear" w:color="auto" w:fill="CFF0FC"/>
          </w:tcPr>
          <w:p>
            <w:pPr>
              <w:spacing w:after="0"/>
              <w:rPr>
                <w:sz w:val="19"/>
                <w:szCs w:val="19"/>
                <w:color w:val="auto"/>
              </w:rPr>
            </w:pPr>
          </w:p>
        </w:tc>
        <w:tc>
          <w:tcPr>
            <w:tcW w:w="80" w:type="dxa"/>
            <w:vAlign w:val="bottom"/>
            <w:tcBorders>
              <w:top w:val="single" w:sz="8" w:color="auto"/>
            </w:tcBorders>
            <w:shd w:val="clear" w:color="auto" w:fill="CFF0FC"/>
          </w:tcPr>
          <w:p>
            <w:pPr>
              <w:spacing w:after="0"/>
              <w:rPr>
                <w:sz w:val="19"/>
                <w:szCs w:val="19"/>
                <w:color w:val="auto"/>
              </w:rPr>
            </w:pPr>
          </w:p>
        </w:tc>
        <w:tc>
          <w:tcPr>
            <w:tcW w:w="1040" w:type="dxa"/>
            <w:vAlign w:val="bottom"/>
            <w:tcBorders>
              <w:top w:val="single" w:sz="8" w:color="auto"/>
            </w:tcBorders>
            <w:shd w:val="clear" w:color="auto" w:fill="CFF0FC"/>
          </w:tcPr>
          <w:p>
            <w:pPr>
              <w:spacing w:after="0"/>
              <w:rPr>
                <w:sz w:val="19"/>
                <w:szCs w:val="19"/>
                <w:color w:val="auto"/>
              </w:rPr>
            </w:pPr>
          </w:p>
        </w:tc>
        <w:tc>
          <w:tcPr>
            <w:tcW w:w="140" w:type="dxa"/>
            <w:vAlign w:val="bottom"/>
            <w:tcBorders>
              <w:top w:val="single" w:sz="8" w:color="CFF0FC"/>
            </w:tcBorders>
            <w:shd w:val="clear" w:color="auto" w:fill="CFF0FC"/>
          </w:tcPr>
          <w:p>
            <w:pPr>
              <w:spacing w:after="0"/>
              <w:rPr>
                <w:sz w:val="19"/>
                <w:szCs w:val="19"/>
                <w:color w:val="auto"/>
              </w:rPr>
            </w:pPr>
          </w:p>
        </w:tc>
        <w:tc>
          <w:tcPr>
            <w:tcW w:w="80" w:type="dxa"/>
            <w:vAlign w:val="bottom"/>
            <w:tcBorders>
              <w:top w:val="single" w:sz="8" w:color="CFF0FC"/>
            </w:tcBorders>
            <w:shd w:val="clear" w:color="auto" w:fill="CFF0FC"/>
          </w:tcPr>
          <w:p>
            <w:pPr>
              <w:spacing w:after="0"/>
              <w:rPr>
                <w:sz w:val="19"/>
                <w:szCs w:val="19"/>
                <w:color w:val="auto"/>
              </w:rPr>
            </w:pPr>
          </w:p>
        </w:tc>
        <w:tc>
          <w:tcPr>
            <w:tcW w:w="100" w:type="dxa"/>
            <w:vAlign w:val="bottom"/>
            <w:tcBorders>
              <w:top w:val="single" w:sz="8" w:color="auto"/>
            </w:tcBorders>
            <w:shd w:val="clear" w:color="auto" w:fill="CFF0FC"/>
          </w:tcPr>
          <w:p>
            <w:pPr>
              <w:spacing w:after="0"/>
              <w:rPr>
                <w:sz w:val="19"/>
                <w:szCs w:val="19"/>
                <w:color w:val="auto"/>
              </w:rPr>
            </w:pPr>
          </w:p>
        </w:tc>
        <w:tc>
          <w:tcPr>
            <w:tcW w:w="1060" w:type="dxa"/>
            <w:vAlign w:val="bottom"/>
            <w:tcBorders>
              <w:top w:val="single" w:sz="8" w:color="auto"/>
            </w:tcBorders>
            <w:shd w:val="clear" w:color="auto" w:fill="CFF0FC"/>
          </w:tcPr>
          <w:p>
            <w:pPr>
              <w:spacing w:after="0"/>
              <w:rPr>
                <w:sz w:val="19"/>
                <w:szCs w:val="19"/>
                <w:color w:val="auto"/>
              </w:rPr>
            </w:pPr>
          </w:p>
        </w:tc>
        <w:tc>
          <w:tcPr>
            <w:tcW w:w="120" w:type="dxa"/>
            <w:vAlign w:val="bottom"/>
            <w:tcBorders>
              <w:top w:val="single" w:sz="8" w:color="CFF0FC"/>
            </w:tcBorders>
            <w:shd w:val="clear" w:color="auto" w:fill="CFF0FC"/>
          </w:tcPr>
          <w:p>
            <w:pPr>
              <w:spacing w:after="0"/>
              <w:rPr>
                <w:sz w:val="19"/>
                <w:szCs w:val="19"/>
                <w:color w:val="auto"/>
              </w:rPr>
            </w:pPr>
          </w:p>
        </w:tc>
        <w:tc>
          <w:tcPr>
            <w:tcW w:w="80" w:type="dxa"/>
            <w:vAlign w:val="bottom"/>
            <w:tcBorders>
              <w:top w:val="single" w:sz="8" w:color="CFF0FC"/>
            </w:tcBorders>
            <w:shd w:val="clear" w:color="auto" w:fill="CFF0FC"/>
          </w:tcPr>
          <w:p>
            <w:pPr>
              <w:spacing w:after="0"/>
              <w:rPr>
                <w:sz w:val="19"/>
                <w:szCs w:val="19"/>
                <w:color w:val="auto"/>
              </w:rPr>
            </w:pPr>
          </w:p>
        </w:tc>
        <w:tc>
          <w:tcPr>
            <w:tcW w:w="340" w:type="dxa"/>
            <w:vAlign w:val="bottom"/>
            <w:tcBorders>
              <w:top w:val="single" w:sz="8" w:color="auto"/>
            </w:tcBorders>
            <w:shd w:val="clear" w:color="auto" w:fill="CFF0FC"/>
          </w:tcPr>
          <w:p>
            <w:pPr>
              <w:spacing w:after="0"/>
              <w:rPr>
                <w:sz w:val="19"/>
                <w:szCs w:val="19"/>
                <w:color w:val="auto"/>
              </w:rPr>
            </w:pPr>
          </w:p>
        </w:tc>
        <w:tc>
          <w:tcPr>
            <w:tcW w:w="820" w:type="dxa"/>
            <w:vAlign w:val="bottom"/>
            <w:tcBorders>
              <w:top w:val="single" w:sz="8" w:color="auto"/>
            </w:tcBorders>
            <w:shd w:val="clear" w:color="auto" w:fill="CFF0FC"/>
          </w:tcPr>
          <w:p>
            <w:pPr>
              <w:spacing w:after="0"/>
              <w:rPr>
                <w:sz w:val="19"/>
                <w:szCs w:val="19"/>
                <w:color w:val="auto"/>
              </w:rPr>
            </w:pPr>
          </w:p>
        </w:tc>
        <w:tc>
          <w:tcPr>
            <w:tcW w:w="200" w:type="dxa"/>
            <w:vAlign w:val="bottom"/>
            <w:tcBorders>
              <w:top w:val="single" w:sz="8" w:color="CFF0FC"/>
            </w:tcBorders>
            <w:shd w:val="clear" w:color="auto" w:fill="CFF0FC"/>
          </w:tcPr>
          <w:p>
            <w:pPr>
              <w:spacing w:after="0"/>
              <w:rPr>
                <w:sz w:val="19"/>
                <w:szCs w:val="19"/>
                <w:color w:val="auto"/>
              </w:rPr>
            </w:pPr>
          </w:p>
        </w:tc>
        <w:tc>
          <w:tcPr>
            <w:tcW w:w="20" w:type="dxa"/>
            <w:vAlign w:val="bottom"/>
            <w:tcBorders>
              <w:top w:val="single" w:sz="8" w:color="CFF0FC"/>
            </w:tcBorders>
            <w:shd w:val="clear" w:color="auto" w:fill="CFF0FC"/>
          </w:tcPr>
          <w:p>
            <w:pPr>
              <w:spacing w:after="0"/>
              <w:rPr>
                <w:sz w:val="19"/>
                <w:szCs w:val="19"/>
                <w:color w:val="auto"/>
              </w:rPr>
            </w:pPr>
          </w:p>
        </w:tc>
        <w:tc>
          <w:tcPr>
            <w:tcW w:w="100" w:type="dxa"/>
            <w:vAlign w:val="bottom"/>
            <w:tcBorders>
              <w:top w:val="single" w:sz="8" w:color="auto"/>
            </w:tcBorders>
            <w:shd w:val="clear" w:color="auto" w:fill="CFF0FC"/>
          </w:tcPr>
          <w:p>
            <w:pPr>
              <w:spacing w:after="0"/>
              <w:rPr>
                <w:sz w:val="19"/>
                <w:szCs w:val="19"/>
                <w:color w:val="auto"/>
              </w:rPr>
            </w:pPr>
          </w:p>
        </w:tc>
        <w:tc>
          <w:tcPr>
            <w:tcW w:w="1040" w:type="dxa"/>
            <w:vAlign w:val="bottom"/>
            <w:tcBorders>
              <w:top w:val="single" w:sz="8" w:color="auto"/>
            </w:tcBorders>
            <w:shd w:val="clear" w:color="auto" w:fill="CFF0FC"/>
          </w:tcPr>
          <w:p>
            <w:pPr>
              <w:spacing w:after="0"/>
              <w:rPr>
                <w:sz w:val="19"/>
                <w:szCs w:val="19"/>
                <w:color w:val="auto"/>
              </w:rPr>
            </w:pPr>
          </w:p>
        </w:tc>
        <w:tc>
          <w:tcPr>
            <w:tcW w:w="120" w:type="dxa"/>
            <w:vAlign w:val="bottom"/>
            <w:tcBorders>
              <w:top w:val="single" w:sz="8" w:color="CFF0FC"/>
            </w:tcBorders>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6000" w:type="dxa"/>
            <w:vAlign w:val="bottom"/>
          </w:tcPr>
          <w:p>
            <w:pPr>
              <w:spacing w:after="0"/>
              <w:rPr>
                <w:sz w:val="20"/>
                <w:szCs w:val="20"/>
                <w:color w:val="auto"/>
              </w:rPr>
            </w:pPr>
            <w:r>
              <w:rPr>
                <w:rFonts w:ascii="Arial" w:cs="Arial" w:eastAsia="Arial" w:hAnsi="Arial"/>
                <w:sz w:val="18"/>
                <w:szCs w:val="18"/>
                <w:color w:val="auto"/>
              </w:rPr>
              <w:t>Net cash used in operating activities</w:t>
            </w:r>
          </w:p>
        </w:tc>
        <w:tc>
          <w:tcPr>
            <w:tcW w:w="16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180" w:type="dxa"/>
            <w:vAlign w:val="bottom"/>
            <w:gridSpan w:val="2"/>
          </w:tcPr>
          <w:p>
            <w:pPr>
              <w:jc w:val="right"/>
              <w:spacing w:after="0"/>
              <w:rPr>
                <w:sz w:val="20"/>
                <w:szCs w:val="20"/>
                <w:color w:val="auto"/>
              </w:rPr>
            </w:pPr>
            <w:r>
              <w:rPr>
                <w:rFonts w:ascii="Arial" w:cs="Arial" w:eastAsia="Arial" w:hAnsi="Arial"/>
                <w:sz w:val="18"/>
                <w:szCs w:val="18"/>
                <w:color w:val="auto"/>
              </w:rPr>
              <w:t>(52,695)</w:t>
            </w:r>
          </w:p>
        </w:tc>
        <w:tc>
          <w:tcPr>
            <w:tcW w:w="18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180" w:type="dxa"/>
            <w:vAlign w:val="bottom"/>
            <w:gridSpan w:val="2"/>
          </w:tcPr>
          <w:p>
            <w:pPr>
              <w:jc w:val="right"/>
              <w:ind w:right="60"/>
              <w:spacing w:after="0"/>
              <w:rPr>
                <w:sz w:val="20"/>
                <w:szCs w:val="20"/>
                <w:color w:val="auto"/>
              </w:rPr>
            </w:pPr>
            <w:r>
              <w:rPr>
                <w:rFonts w:ascii="Arial" w:cs="Arial" w:eastAsia="Arial" w:hAnsi="Arial"/>
                <w:sz w:val="18"/>
                <w:szCs w:val="18"/>
                <w:color w:val="auto"/>
              </w:rPr>
              <w:t>(55,619)</w:t>
            </w:r>
          </w:p>
        </w:tc>
        <w:tc>
          <w:tcPr>
            <w:tcW w:w="420" w:type="dxa"/>
            <w:vAlign w:val="bottom"/>
            <w:gridSpan w:val="2"/>
          </w:tcPr>
          <w:p>
            <w:pPr>
              <w:jc w:val="right"/>
              <w:ind w:right="150"/>
              <w:spacing w:after="0"/>
              <w:rPr>
                <w:sz w:val="20"/>
                <w:szCs w:val="20"/>
                <w:color w:val="auto"/>
              </w:rPr>
            </w:pPr>
            <w:r>
              <w:rPr>
                <w:rFonts w:ascii="Arial" w:cs="Arial" w:eastAsia="Arial" w:hAnsi="Arial"/>
                <w:sz w:val="18"/>
                <w:szCs w:val="18"/>
                <w:color w:val="auto"/>
              </w:rPr>
              <w:t>$</w:t>
            </w:r>
          </w:p>
        </w:tc>
        <w:tc>
          <w:tcPr>
            <w:tcW w:w="102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20" w:type="dxa"/>
            <w:vAlign w:val="bottom"/>
            <w:gridSpan w:val="2"/>
          </w:tcPr>
          <w:p>
            <w:pPr>
              <w:jc w:val="right"/>
              <w:spacing w:after="0"/>
              <w:rPr>
                <w:sz w:val="20"/>
                <w:szCs w:val="20"/>
                <w:color w:val="auto"/>
              </w:rPr>
            </w:pPr>
            <w:r>
              <w:rPr>
                <w:rFonts w:ascii="Arial" w:cs="Arial" w:eastAsia="Arial" w:hAnsi="Arial"/>
                <w:sz w:val="18"/>
                <w:szCs w:val="18"/>
                <w:color w:val="auto"/>
                <w:w w:val="79"/>
              </w:rPr>
              <w:t>$</w:t>
            </w:r>
          </w:p>
        </w:tc>
        <w:tc>
          <w:tcPr>
            <w:tcW w:w="1160" w:type="dxa"/>
            <w:vAlign w:val="bottom"/>
            <w:gridSpan w:val="2"/>
          </w:tcPr>
          <w:p>
            <w:pPr>
              <w:jc w:val="right"/>
              <w:ind w:right="60"/>
              <w:spacing w:after="0"/>
              <w:rPr>
                <w:sz w:val="20"/>
                <w:szCs w:val="20"/>
                <w:color w:val="auto"/>
              </w:rPr>
            </w:pPr>
            <w:r>
              <w:rPr>
                <w:rFonts w:ascii="Arial" w:cs="Arial" w:eastAsia="Arial" w:hAnsi="Arial"/>
                <w:sz w:val="18"/>
                <w:szCs w:val="18"/>
                <w:color w:val="auto"/>
              </w:rPr>
              <w:t>(108,314)</w:t>
            </w:r>
          </w:p>
        </w:tc>
        <w:tc>
          <w:tcPr>
            <w:tcW w:w="0" w:type="dxa"/>
            <w:vAlign w:val="bottom"/>
          </w:tcPr>
          <w:p>
            <w:pPr>
              <w:spacing w:after="0"/>
              <w:rPr>
                <w:sz w:val="1"/>
                <w:szCs w:val="1"/>
                <w:color w:val="auto"/>
              </w:rPr>
            </w:pPr>
          </w:p>
        </w:tc>
      </w:tr>
      <w:tr>
        <w:trPr>
          <w:trHeight w:val="223"/>
        </w:trPr>
        <w:tc>
          <w:tcPr>
            <w:tcW w:w="6000" w:type="dxa"/>
            <w:vAlign w:val="bottom"/>
            <w:tcBorders>
              <w:top w:val="single" w:sz="8" w:color="CFF0FC"/>
            </w:tcBorders>
            <w:shd w:val="clear" w:color="auto" w:fill="CFF0FC"/>
          </w:tcPr>
          <w:p>
            <w:pPr>
              <w:spacing w:after="0"/>
              <w:rPr>
                <w:sz w:val="20"/>
                <w:szCs w:val="20"/>
                <w:color w:val="auto"/>
              </w:rPr>
            </w:pPr>
            <w:r>
              <w:rPr>
                <w:rFonts w:ascii="Arial" w:cs="Arial" w:eastAsia="Arial" w:hAnsi="Arial"/>
                <w:sz w:val="18"/>
                <w:szCs w:val="18"/>
                <w:b w:val="1"/>
                <w:bCs w:val="1"/>
                <w:color w:val="auto"/>
              </w:rPr>
              <w:t>Cash flows from investing activities:</w:t>
            </w:r>
          </w:p>
        </w:tc>
        <w:tc>
          <w:tcPr>
            <w:tcW w:w="80" w:type="dxa"/>
            <w:vAlign w:val="bottom"/>
            <w:tcBorders>
              <w:top w:val="single" w:sz="8" w:color="CFF0FC"/>
            </w:tcBorders>
            <w:shd w:val="clear" w:color="auto" w:fill="CFF0FC"/>
          </w:tcPr>
          <w:p>
            <w:pPr>
              <w:spacing w:after="0"/>
              <w:rPr>
                <w:sz w:val="19"/>
                <w:szCs w:val="19"/>
                <w:color w:val="auto"/>
              </w:rPr>
            </w:pPr>
          </w:p>
        </w:tc>
        <w:tc>
          <w:tcPr>
            <w:tcW w:w="80" w:type="dxa"/>
            <w:vAlign w:val="bottom"/>
            <w:tcBorders>
              <w:top w:val="single" w:sz="8" w:color="auto"/>
            </w:tcBorders>
            <w:shd w:val="clear" w:color="auto" w:fill="CFF0FC"/>
          </w:tcPr>
          <w:p>
            <w:pPr>
              <w:spacing w:after="0"/>
              <w:rPr>
                <w:sz w:val="19"/>
                <w:szCs w:val="19"/>
                <w:color w:val="auto"/>
              </w:rPr>
            </w:pPr>
          </w:p>
        </w:tc>
        <w:tc>
          <w:tcPr>
            <w:tcW w:w="1040" w:type="dxa"/>
            <w:vAlign w:val="bottom"/>
            <w:tcBorders>
              <w:top w:val="single" w:sz="8" w:color="auto"/>
            </w:tcBorders>
            <w:shd w:val="clear" w:color="auto" w:fill="CFF0FC"/>
          </w:tcPr>
          <w:p>
            <w:pPr>
              <w:spacing w:after="0"/>
              <w:rPr>
                <w:sz w:val="19"/>
                <w:szCs w:val="19"/>
                <w:color w:val="auto"/>
              </w:rPr>
            </w:pPr>
          </w:p>
        </w:tc>
        <w:tc>
          <w:tcPr>
            <w:tcW w:w="140" w:type="dxa"/>
            <w:vAlign w:val="bottom"/>
            <w:tcBorders>
              <w:top w:val="single" w:sz="8" w:color="CFF0FC"/>
            </w:tcBorders>
            <w:shd w:val="clear" w:color="auto" w:fill="CFF0FC"/>
          </w:tcPr>
          <w:p>
            <w:pPr>
              <w:spacing w:after="0"/>
              <w:rPr>
                <w:sz w:val="19"/>
                <w:szCs w:val="19"/>
                <w:color w:val="auto"/>
              </w:rPr>
            </w:pPr>
          </w:p>
        </w:tc>
        <w:tc>
          <w:tcPr>
            <w:tcW w:w="80" w:type="dxa"/>
            <w:vAlign w:val="bottom"/>
            <w:tcBorders>
              <w:top w:val="single" w:sz="8" w:color="CFF0FC"/>
            </w:tcBorders>
            <w:shd w:val="clear" w:color="auto" w:fill="CFF0FC"/>
          </w:tcPr>
          <w:p>
            <w:pPr>
              <w:spacing w:after="0"/>
              <w:rPr>
                <w:sz w:val="19"/>
                <w:szCs w:val="19"/>
                <w:color w:val="auto"/>
              </w:rPr>
            </w:pPr>
          </w:p>
        </w:tc>
        <w:tc>
          <w:tcPr>
            <w:tcW w:w="100" w:type="dxa"/>
            <w:vAlign w:val="bottom"/>
            <w:tcBorders>
              <w:top w:val="single" w:sz="8" w:color="auto"/>
            </w:tcBorders>
            <w:shd w:val="clear" w:color="auto" w:fill="CFF0FC"/>
          </w:tcPr>
          <w:p>
            <w:pPr>
              <w:spacing w:after="0"/>
              <w:rPr>
                <w:sz w:val="19"/>
                <w:szCs w:val="19"/>
                <w:color w:val="auto"/>
              </w:rPr>
            </w:pPr>
          </w:p>
        </w:tc>
        <w:tc>
          <w:tcPr>
            <w:tcW w:w="1060" w:type="dxa"/>
            <w:vAlign w:val="bottom"/>
            <w:tcBorders>
              <w:top w:val="single" w:sz="8" w:color="auto"/>
            </w:tcBorders>
            <w:shd w:val="clear" w:color="auto" w:fill="CFF0FC"/>
          </w:tcPr>
          <w:p>
            <w:pPr>
              <w:spacing w:after="0"/>
              <w:rPr>
                <w:sz w:val="19"/>
                <w:szCs w:val="19"/>
                <w:color w:val="auto"/>
              </w:rPr>
            </w:pPr>
          </w:p>
        </w:tc>
        <w:tc>
          <w:tcPr>
            <w:tcW w:w="120" w:type="dxa"/>
            <w:vAlign w:val="bottom"/>
            <w:tcBorders>
              <w:top w:val="single" w:sz="8" w:color="CFF0FC"/>
            </w:tcBorders>
            <w:shd w:val="clear" w:color="auto" w:fill="CFF0FC"/>
          </w:tcPr>
          <w:p>
            <w:pPr>
              <w:spacing w:after="0"/>
              <w:rPr>
                <w:sz w:val="19"/>
                <w:szCs w:val="19"/>
                <w:color w:val="auto"/>
              </w:rPr>
            </w:pPr>
          </w:p>
        </w:tc>
        <w:tc>
          <w:tcPr>
            <w:tcW w:w="80" w:type="dxa"/>
            <w:vAlign w:val="bottom"/>
            <w:tcBorders>
              <w:top w:val="single" w:sz="8" w:color="CFF0FC"/>
            </w:tcBorders>
            <w:shd w:val="clear" w:color="auto" w:fill="CFF0FC"/>
          </w:tcPr>
          <w:p>
            <w:pPr>
              <w:spacing w:after="0"/>
              <w:rPr>
                <w:sz w:val="19"/>
                <w:szCs w:val="19"/>
                <w:color w:val="auto"/>
              </w:rPr>
            </w:pPr>
          </w:p>
        </w:tc>
        <w:tc>
          <w:tcPr>
            <w:tcW w:w="340" w:type="dxa"/>
            <w:vAlign w:val="bottom"/>
            <w:tcBorders>
              <w:top w:val="single" w:sz="8" w:color="auto"/>
            </w:tcBorders>
            <w:shd w:val="clear" w:color="auto" w:fill="CFF0FC"/>
          </w:tcPr>
          <w:p>
            <w:pPr>
              <w:spacing w:after="0"/>
              <w:rPr>
                <w:sz w:val="19"/>
                <w:szCs w:val="19"/>
                <w:color w:val="auto"/>
              </w:rPr>
            </w:pPr>
          </w:p>
        </w:tc>
        <w:tc>
          <w:tcPr>
            <w:tcW w:w="820" w:type="dxa"/>
            <w:vAlign w:val="bottom"/>
            <w:tcBorders>
              <w:top w:val="single" w:sz="8" w:color="auto"/>
            </w:tcBorders>
            <w:shd w:val="clear" w:color="auto" w:fill="CFF0FC"/>
          </w:tcPr>
          <w:p>
            <w:pPr>
              <w:spacing w:after="0"/>
              <w:rPr>
                <w:sz w:val="19"/>
                <w:szCs w:val="19"/>
                <w:color w:val="auto"/>
              </w:rPr>
            </w:pPr>
          </w:p>
        </w:tc>
        <w:tc>
          <w:tcPr>
            <w:tcW w:w="200" w:type="dxa"/>
            <w:vAlign w:val="bottom"/>
            <w:tcBorders>
              <w:top w:val="single" w:sz="8" w:color="CFF0FC"/>
            </w:tcBorders>
            <w:shd w:val="clear" w:color="auto" w:fill="CFF0FC"/>
          </w:tcPr>
          <w:p>
            <w:pPr>
              <w:spacing w:after="0"/>
              <w:rPr>
                <w:sz w:val="19"/>
                <w:szCs w:val="19"/>
                <w:color w:val="auto"/>
              </w:rPr>
            </w:pPr>
          </w:p>
        </w:tc>
        <w:tc>
          <w:tcPr>
            <w:tcW w:w="20" w:type="dxa"/>
            <w:vAlign w:val="bottom"/>
            <w:tcBorders>
              <w:top w:val="single" w:sz="8" w:color="CFF0FC"/>
            </w:tcBorders>
            <w:shd w:val="clear" w:color="auto" w:fill="CFF0FC"/>
          </w:tcPr>
          <w:p>
            <w:pPr>
              <w:spacing w:after="0"/>
              <w:rPr>
                <w:sz w:val="19"/>
                <w:szCs w:val="19"/>
                <w:color w:val="auto"/>
              </w:rPr>
            </w:pPr>
          </w:p>
        </w:tc>
        <w:tc>
          <w:tcPr>
            <w:tcW w:w="100" w:type="dxa"/>
            <w:vAlign w:val="bottom"/>
            <w:tcBorders>
              <w:top w:val="single" w:sz="8" w:color="auto"/>
            </w:tcBorders>
            <w:shd w:val="clear" w:color="auto" w:fill="CFF0FC"/>
          </w:tcPr>
          <w:p>
            <w:pPr>
              <w:spacing w:after="0"/>
              <w:rPr>
                <w:sz w:val="19"/>
                <w:szCs w:val="19"/>
                <w:color w:val="auto"/>
              </w:rPr>
            </w:pPr>
          </w:p>
        </w:tc>
        <w:tc>
          <w:tcPr>
            <w:tcW w:w="1040" w:type="dxa"/>
            <w:vAlign w:val="bottom"/>
            <w:tcBorders>
              <w:top w:val="single" w:sz="8" w:color="auto"/>
            </w:tcBorders>
            <w:shd w:val="clear" w:color="auto" w:fill="CFF0FC"/>
          </w:tcPr>
          <w:p>
            <w:pPr>
              <w:spacing w:after="0"/>
              <w:rPr>
                <w:sz w:val="19"/>
                <w:szCs w:val="19"/>
                <w:color w:val="auto"/>
              </w:rPr>
            </w:pPr>
          </w:p>
        </w:tc>
        <w:tc>
          <w:tcPr>
            <w:tcW w:w="120" w:type="dxa"/>
            <w:vAlign w:val="bottom"/>
            <w:tcBorders>
              <w:top w:val="single" w:sz="8" w:color="CFF0FC"/>
            </w:tcBorders>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6000" w:type="dxa"/>
            <w:vAlign w:val="bottom"/>
          </w:tcPr>
          <w:p>
            <w:pPr>
              <w:ind w:left="260"/>
              <w:spacing w:after="0"/>
              <w:rPr>
                <w:sz w:val="20"/>
                <w:szCs w:val="20"/>
                <w:color w:val="auto"/>
              </w:rPr>
            </w:pPr>
            <w:r>
              <w:rPr>
                <w:rFonts w:ascii="Arial" w:cs="Arial" w:eastAsia="Arial" w:hAnsi="Arial"/>
                <w:sz w:val="18"/>
                <w:szCs w:val="18"/>
                <w:color w:val="auto"/>
              </w:rPr>
              <w:t>Purchases of property and equipment</w:t>
            </w:r>
          </w:p>
        </w:tc>
        <w:tc>
          <w:tcPr>
            <w:tcW w:w="8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180" w:type="dxa"/>
            <w:vAlign w:val="bottom"/>
            <w:gridSpan w:val="2"/>
          </w:tcPr>
          <w:p>
            <w:pPr>
              <w:jc w:val="right"/>
              <w:spacing w:after="0"/>
              <w:rPr>
                <w:sz w:val="20"/>
                <w:szCs w:val="20"/>
                <w:color w:val="auto"/>
              </w:rPr>
            </w:pPr>
            <w:r>
              <w:rPr>
                <w:rFonts w:ascii="Arial" w:cs="Arial" w:eastAsia="Arial" w:hAnsi="Arial"/>
                <w:sz w:val="18"/>
                <w:szCs w:val="18"/>
                <w:color w:val="auto"/>
              </w:rPr>
              <w:t>(303)</w:t>
            </w:r>
          </w:p>
        </w:tc>
        <w:tc>
          <w:tcPr>
            <w:tcW w:w="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180" w:type="dxa"/>
            <w:vAlign w:val="bottom"/>
            <w:gridSpan w:val="2"/>
          </w:tcPr>
          <w:p>
            <w:pPr>
              <w:jc w:val="right"/>
              <w:ind w:right="60"/>
              <w:spacing w:after="0"/>
              <w:rPr>
                <w:sz w:val="20"/>
                <w:szCs w:val="20"/>
                <w:color w:val="auto"/>
              </w:rPr>
            </w:pPr>
            <w:r>
              <w:rPr>
                <w:rFonts w:ascii="Arial" w:cs="Arial" w:eastAsia="Arial" w:hAnsi="Arial"/>
                <w:sz w:val="18"/>
                <w:szCs w:val="18"/>
                <w:color w:val="auto"/>
              </w:rPr>
              <w:t>(75)</w:t>
            </w:r>
          </w:p>
        </w:tc>
        <w:tc>
          <w:tcPr>
            <w:tcW w:w="8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02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160" w:type="dxa"/>
            <w:vAlign w:val="bottom"/>
            <w:gridSpan w:val="2"/>
          </w:tcPr>
          <w:p>
            <w:pPr>
              <w:jc w:val="right"/>
              <w:ind w:right="60"/>
              <w:spacing w:after="0"/>
              <w:rPr>
                <w:sz w:val="20"/>
                <w:szCs w:val="20"/>
                <w:color w:val="auto"/>
              </w:rPr>
            </w:pPr>
            <w:r>
              <w:rPr>
                <w:rFonts w:ascii="Arial" w:cs="Arial" w:eastAsia="Arial" w:hAnsi="Arial"/>
                <w:sz w:val="18"/>
                <w:szCs w:val="18"/>
                <w:color w:val="auto"/>
              </w:rPr>
              <w:t>(378)</w:t>
            </w:r>
          </w:p>
        </w:tc>
        <w:tc>
          <w:tcPr>
            <w:tcW w:w="0" w:type="dxa"/>
            <w:vAlign w:val="bottom"/>
          </w:tcPr>
          <w:p>
            <w:pPr>
              <w:spacing w:after="0"/>
              <w:rPr>
                <w:sz w:val="1"/>
                <w:szCs w:val="1"/>
                <w:color w:val="auto"/>
              </w:rPr>
            </w:pPr>
          </w:p>
        </w:tc>
      </w:tr>
      <w:tr>
        <w:trPr>
          <w:trHeight w:val="230"/>
        </w:trPr>
        <w:tc>
          <w:tcPr>
            <w:tcW w:w="6000" w:type="dxa"/>
            <w:vAlign w:val="bottom"/>
            <w:shd w:val="clear" w:color="auto" w:fill="CFF0FC"/>
          </w:tcPr>
          <w:p>
            <w:pPr>
              <w:ind w:left="260"/>
              <w:spacing w:after="0"/>
              <w:rPr>
                <w:sz w:val="20"/>
                <w:szCs w:val="20"/>
                <w:color w:val="auto"/>
              </w:rPr>
            </w:pPr>
            <w:r>
              <w:rPr>
                <w:rFonts w:ascii="Arial" w:cs="Arial" w:eastAsia="Arial" w:hAnsi="Arial"/>
                <w:sz w:val="18"/>
                <w:szCs w:val="18"/>
                <w:color w:val="auto"/>
              </w:rPr>
              <w:t>Investments in unconsolidated entities</w:t>
            </w:r>
          </w:p>
        </w:tc>
        <w:tc>
          <w:tcPr>
            <w:tcW w:w="8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1180" w:type="dxa"/>
            <w:vAlign w:val="bottom"/>
            <w:gridSpan w:val="2"/>
            <w:shd w:val="clear" w:color="auto" w:fill="CFF0FC"/>
          </w:tcPr>
          <w:p>
            <w:pPr>
              <w:jc w:val="right"/>
              <w:ind w:right="50"/>
              <w:spacing w:after="0"/>
              <w:rPr>
                <w:sz w:val="20"/>
                <w:szCs w:val="20"/>
                <w:color w:val="auto"/>
              </w:rPr>
            </w:pPr>
            <w:r>
              <w:rPr>
                <w:rFonts w:ascii="Arial" w:cs="Arial" w:eastAsia="Arial" w:hAnsi="Arial"/>
                <w:sz w:val="18"/>
                <w:szCs w:val="18"/>
                <w:color w:val="auto"/>
              </w:rPr>
              <w:t>—</w:t>
            </w:r>
          </w:p>
        </w:tc>
        <w:tc>
          <w:tcPr>
            <w:tcW w:w="8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180" w:type="dxa"/>
            <w:vAlign w:val="bottom"/>
            <w:gridSpan w:val="2"/>
            <w:shd w:val="clear" w:color="auto" w:fill="CFF0FC"/>
          </w:tcPr>
          <w:p>
            <w:pPr>
              <w:jc w:val="right"/>
              <w:ind w:right="60"/>
              <w:spacing w:after="0"/>
              <w:rPr>
                <w:sz w:val="20"/>
                <w:szCs w:val="20"/>
                <w:color w:val="auto"/>
              </w:rPr>
            </w:pPr>
            <w:r>
              <w:rPr>
                <w:rFonts w:ascii="Arial" w:cs="Arial" w:eastAsia="Arial" w:hAnsi="Arial"/>
                <w:sz w:val="18"/>
                <w:szCs w:val="18"/>
                <w:color w:val="auto"/>
              </w:rPr>
              <w:t>(978)</w:t>
            </w:r>
          </w:p>
        </w:tc>
        <w:tc>
          <w:tcPr>
            <w:tcW w:w="80" w:type="dxa"/>
            <w:vAlign w:val="bottom"/>
            <w:shd w:val="clear" w:color="auto" w:fill="CFF0FC"/>
          </w:tcPr>
          <w:p>
            <w:pPr>
              <w:spacing w:after="0"/>
              <w:rPr>
                <w:sz w:val="19"/>
                <w:szCs w:val="19"/>
                <w:color w:val="auto"/>
              </w:rPr>
            </w:pPr>
          </w:p>
        </w:tc>
        <w:tc>
          <w:tcPr>
            <w:tcW w:w="340" w:type="dxa"/>
            <w:vAlign w:val="bottom"/>
            <w:shd w:val="clear" w:color="auto" w:fill="CFF0FC"/>
          </w:tcPr>
          <w:p>
            <w:pPr>
              <w:spacing w:after="0"/>
              <w:rPr>
                <w:sz w:val="19"/>
                <w:szCs w:val="19"/>
                <w:color w:val="auto"/>
              </w:rPr>
            </w:pPr>
          </w:p>
        </w:tc>
        <w:tc>
          <w:tcPr>
            <w:tcW w:w="1020" w:type="dxa"/>
            <w:vAlign w:val="bottom"/>
            <w:gridSpan w:val="2"/>
            <w:shd w:val="clear" w:color="auto" w:fill="CFF0FC"/>
          </w:tcPr>
          <w:p>
            <w:pPr>
              <w:jc w:val="right"/>
              <w:ind w:right="220"/>
              <w:spacing w:after="0"/>
              <w:rPr>
                <w:sz w:val="20"/>
                <w:szCs w:val="20"/>
                <w:color w:val="auto"/>
              </w:rPr>
            </w:pPr>
            <w:r>
              <w:rPr>
                <w:rFonts w:ascii="Arial" w:cs="Arial" w:eastAsia="Arial" w:hAnsi="Arial"/>
                <w:sz w:val="18"/>
                <w:szCs w:val="18"/>
                <w:color w:val="auto"/>
              </w:rPr>
              <w:t>—</w:t>
            </w:r>
          </w:p>
        </w:tc>
        <w:tc>
          <w:tcPr>
            <w:tcW w:w="2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160" w:type="dxa"/>
            <w:vAlign w:val="bottom"/>
            <w:gridSpan w:val="2"/>
            <w:shd w:val="clear" w:color="auto" w:fill="CFF0FC"/>
          </w:tcPr>
          <w:p>
            <w:pPr>
              <w:jc w:val="right"/>
              <w:ind w:right="60"/>
              <w:spacing w:after="0"/>
              <w:rPr>
                <w:sz w:val="20"/>
                <w:szCs w:val="20"/>
                <w:color w:val="auto"/>
              </w:rPr>
            </w:pPr>
            <w:r>
              <w:rPr>
                <w:rFonts w:ascii="Arial" w:cs="Arial" w:eastAsia="Arial" w:hAnsi="Arial"/>
                <w:sz w:val="18"/>
                <w:szCs w:val="18"/>
                <w:color w:val="auto"/>
              </w:rPr>
              <w:t>(978)</w:t>
            </w:r>
          </w:p>
        </w:tc>
        <w:tc>
          <w:tcPr>
            <w:tcW w:w="0" w:type="dxa"/>
            <w:vAlign w:val="bottom"/>
          </w:tcPr>
          <w:p>
            <w:pPr>
              <w:spacing w:after="0"/>
              <w:rPr>
                <w:sz w:val="1"/>
                <w:szCs w:val="1"/>
                <w:color w:val="auto"/>
              </w:rPr>
            </w:pPr>
          </w:p>
        </w:tc>
      </w:tr>
      <w:tr>
        <w:trPr>
          <w:trHeight w:val="230"/>
        </w:trPr>
        <w:tc>
          <w:tcPr>
            <w:tcW w:w="6000" w:type="dxa"/>
            <w:vAlign w:val="bottom"/>
          </w:tcPr>
          <w:p>
            <w:pPr>
              <w:ind w:left="260"/>
              <w:spacing w:after="0"/>
              <w:rPr>
                <w:sz w:val="20"/>
                <w:szCs w:val="20"/>
                <w:color w:val="auto"/>
              </w:rPr>
            </w:pPr>
            <w:r>
              <w:rPr>
                <w:rFonts w:ascii="Arial" w:cs="Arial" w:eastAsia="Arial" w:hAnsi="Arial"/>
                <w:sz w:val="18"/>
                <w:szCs w:val="18"/>
                <w:color w:val="auto"/>
              </w:rPr>
              <w:t>Intercompany</w:t>
            </w:r>
          </w:p>
        </w:tc>
        <w:tc>
          <w:tcPr>
            <w:tcW w:w="8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180" w:type="dxa"/>
            <w:vAlign w:val="bottom"/>
            <w:gridSpan w:val="2"/>
          </w:tcPr>
          <w:p>
            <w:pPr>
              <w:jc w:val="right"/>
              <w:spacing w:after="0"/>
              <w:rPr>
                <w:sz w:val="20"/>
                <w:szCs w:val="20"/>
                <w:color w:val="auto"/>
              </w:rPr>
            </w:pPr>
            <w:r>
              <w:rPr>
                <w:rFonts w:ascii="Arial" w:cs="Arial" w:eastAsia="Arial" w:hAnsi="Arial"/>
                <w:sz w:val="18"/>
                <w:szCs w:val="18"/>
                <w:color w:val="auto"/>
              </w:rPr>
              <w:t>(69,212)</w:t>
            </w:r>
          </w:p>
        </w:tc>
        <w:tc>
          <w:tcPr>
            <w:tcW w:w="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18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820" w:type="dxa"/>
            <w:vAlign w:val="bottom"/>
          </w:tcPr>
          <w:p>
            <w:pPr>
              <w:jc w:val="right"/>
              <w:spacing w:after="0"/>
              <w:rPr>
                <w:sz w:val="20"/>
                <w:szCs w:val="20"/>
                <w:color w:val="auto"/>
              </w:rPr>
            </w:pPr>
            <w:r>
              <w:rPr>
                <w:rFonts w:ascii="Arial" w:cs="Arial" w:eastAsia="Arial" w:hAnsi="Arial"/>
                <w:sz w:val="18"/>
                <w:szCs w:val="18"/>
                <w:color w:val="auto"/>
              </w:rPr>
              <w:t>69,212</w:t>
            </w:r>
          </w:p>
        </w:tc>
        <w:tc>
          <w:tcPr>
            <w:tcW w:w="2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16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23"/>
        </w:trPr>
        <w:tc>
          <w:tcPr>
            <w:tcW w:w="6000" w:type="dxa"/>
            <w:vAlign w:val="bottom"/>
            <w:tcBorders>
              <w:top w:val="single" w:sz="8" w:color="CFF0FC"/>
            </w:tcBorders>
            <w:shd w:val="clear" w:color="auto" w:fill="CFF0FC"/>
          </w:tcPr>
          <w:p>
            <w:pPr>
              <w:spacing w:after="0"/>
              <w:rPr>
                <w:sz w:val="20"/>
                <w:szCs w:val="20"/>
                <w:color w:val="auto"/>
              </w:rPr>
            </w:pPr>
            <w:r>
              <w:rPr>
                <w:rFonts w:ascii="Arial" w:cs="Arial" w:eastAsia="Arial" w:hAnsi="Arial"/>
                <w:sz w:val="18"/>
                <w:szCs w:val="18"/>
                <w:color w:val="auto"/>
              </w:rPr>
              <w:t>Net cash used in investing activities</w:t>
            </w:r>
          </w:p>
        </w:tc>
        <w:tc>
          <w:tcPr>
            <w:tcW w:w="80" w:type="dxa"/>
            <w:vAlign w:val="bottom"/>
            <w:tcBorders>
              <w:top w:val="single" w:sz="8" w:color="CFF0FC"/>
            </w:tcBorders>
            <w:shd w:val="clear" w:color="auto" w:fill="CFF0FC"/>
          </w:tcPr>
          <w:p>
            <w:pPr>
              <w:spacing w:after="0"/>
              <w:rPr>
                <w:sz w:val="19"/>
                <w:szCs w:val="19"/>
                <w:color w:val="auto"/>
              </w:rPr>
            </w:pPr>
          </w:p>
        </w:tc>
        <w:tc>
          <w:tcPr>
            <w:tcW w:w="80" w:type="dxa"/>
            <w:vAlign w:val="bottom"/>
            <w:tcBorders>
              <w:top w:val="single" w:sz="8" w:color="auto"/>
              <w:bottom w:val="single" w:sz="8" w:color="auto"/>
            </w:tcBorders>
            <w:shd w:val="clear" w:color="auto" w:fill="CFF0FC"/>
          </w:tcPr>
          <w:p>
            <w:pPr>
              <w:spacing w:after="0"/>
              <w:rPr>
                <w:sz w:val="19"/>
                <w:szCs w:val="19"/>
                <w:color w:val="auto"/>
              </w:rPr>
            </w:pPr>
          </w:p>
        </w:tc>
        <w:tc>
          <w:tcPr>
            <w:tcW w:w="104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(69,515)</w:t>
            </w:r>
          </w:p>
        </w:tc>
        <w:tc>
          <w:tcPr>
            <w:tcW w:w="140" w:type="dxa"/>
            <w:vAlign w:val="bottom"/>
            <w:tcBorders>
              <w:top w:val="single" w:sz="8" w:color="CFF0FC"/>
            </w:tcBorders>
            <w:shd w:val="clear" w:color="auto" w:fill="CFF0FC"/>
          </w:tcPr>
          <w:p>
            <w:pPr>
              <w:spacing w:after="0"/>
              <w:rPr>
                <w:sz w:val="19"/>
                <w:szCs w:val="19"/>
                <w:color w:val="auto"/>
              </w:rPr>
            </w:pPr>
          </w:p>
        </w:tc>
        <w:tc>
          <w:tcPr>
            <w:tcW w:w="80" w:type="dxa"/>
            <w:vAlign w:val="bottom"/>
            <w:tcBorders>
              <w:top w:val="single" w:sz="8" w:color="CFF0FC"/>
            </w:tcBorders>
            <w:shd w:val="clear" w:color="auto" w:fill="CFF0FC"/>
          </w:tcPr>
          <w:p>
            <w:pPr>
              <w:spacing w:after="0"/>
              <w:rPr>
                <w:sz w:val="19"/>
                <w:szCs w:val="19"/>
                <w:color w:val="auto"/>
              </w:rPr>
            </w:pPr>
          </w:p>
        </w:tc>
        <w:tc>
          <w:tcPr>
            <w:tcW w:w="100" w:type="dxa"/>
            <w:vAlign w:val="bottom"/>
            <w:tcBorders>
              <w:top w:val="single" w:sz="8" w:color="auto"/>
              <w:bottom w:val="single" w:sz="8" w:color="auto"/>
            </w:tcBorders>
            <w:shd w:val="clear" w:color="auto" w:fill="CFF0FC"/>
          </w:tcPr>
          <w:p>
            <w:pPr>
              <w:spacing w:after="0"/>
              <w:rPr>
                <w:sz w:val="19"/>
                <w:szCs w:val="19"/>
                <w:color w:val="auto"/>
              </w:rPr>
            </w:pPr>
          </w:p>
        </w:tc>
        <w:tc>
          <w:tcPr>
            <w:tcW w:w="106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(1,053)</w:t>
            </w:r>
          </w:p>
        </w:tc>
        <w:tc>
          <w:tcPr>
            <w:tcW w:w="120" w:type="dxa"/>
            <w:vAlign w:val="bottom"/>
            <w:tcBorders>
              <w:top w:val="single" w:sz="8" w:color="CFF0FC"/>
            </w:tcBorders>
            <w:shd w:val="clear" w:color="auto" w:fill="CFF0FC"/>
          </w:tcPr>
          <w:p>
            <w:pPr>
              <w:spacing w:after="0"/>
              <w:rPr>
                <w:sz w:val="19"/>
                <w:szCs w:val="19"/>
                <w:color w:val="auto"/>
              </w:rPr>
            </w:pPr>
          </w:p>
        </w:tc>
        <w:tc>
          <w:tcPr>
            <w:tcW w:w="80" w:type="dxa"/>
            <w:vAlign w:val="bottom"/>
            <w:tcBorders>
              <w:top w:val="single" w:sz="8" w:color="CFF0FC"/>
            </w:tcBorders>
            <w:shd w:val="clear" w:color="auto" w:fill="CFF0FC"/>
          </w:tcPr>
          <w:p>
            <w:pPr>
              <w:spacing w:after="0"/>
              <w:rPr>
                <w:sz w:val="19"/>
                <w:szCs w:val="19"/>
                <w:color w:val="auto"/>
              </w:rPr>
            </w:pPr>
          </w:p>
        </w:tc>
        <w:tc>
          <w:tcPr>
            <w:tcW w:w="340" w:type="dxa"/>
            <w:vAlign w:val="bottom"/>
            <w:tcBorders>
              <w:top w:val="single" w:sz="8" w:color="auto"/>
              <w:bottom w:val="single" w:sz="8" w:color="auto"/>
            </w:tcBorders>
            <w:shd w:val="clear" w:color="auto" w:fill="CFF0FC"/>
          </w:tcPr>
          <w:p>
            <w:pPr>
              <w:spacing w:after="0"/>
              <w:rPr>
                <w:sz w:val="19"/>
                <w:szCs w:val="19"/>
                <w:color w:val="auto"/>
              </w:rPr>
            </w:pPr>
          </w:p>
        </w:tc>
        <w:tc>
          <w:tcPr>
            <w:tcW w:w="82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69,212</w:t>
            </w:r>
          </w:p>
        </w:tc>
        <w:tc>
          <w:tcPr>
            <w:tcW w:w="200" w:type="dxa"/>
            <w:vAlign w:val="bottom"/>
            <w:tcBorders>
              <w:top w:val="single" w:sz="8" w:color="CFF0FC"/>
            </w:tcBorders>
            <w:shd w:val="clear" w:color="auto" w:fill="CFF0FC"/>
          </w:tcPr>
          <w:p>
            <w:pPr>
              <w:spacing w:after="0"/>
              <w:rPr>
                <w:sz w:val="19"/>
                <w:szCs w:val="19"/>
                <w:color w:val="auto"/>
              </w:rPr>
            </w:pPr>
          </w:p>
        </w:tc>
        <w:tc>
          <w:tcPr>
            <w:tcW w:w="20" w:type="dxa"/>
            <w:vAlign w:val="bottom"/>
            <w:tcBorders>
              <w:top w:val="single" w:sz="8" w:color="CFF0FC"/>
            </w:tcBorders>
            <w:shd w:val="clear" w:color="auto" w:fill="CFF0FC"/>
          </w:tcPr>
          <w:p>
            <w:pPr>
              <w:spacing w:after="0"/>
              <w:rPr>
                <w:sz w:val="19"/>
                <w:szCs w:val="19"/>
                <w:color w:val="auto"/>
              </w:rPr>
            </w:pPr>
          </w:p>
        </w:tc>
        <w:tc>
          <w:tcPr>
            <w:tcW w:w="100" w:type="dxa"/>
            <w:vAlign w:val="bottom"/>
            <w:tcBorders>
              <w:top w:val="single" w:sz="8" w:color="auto"/>
              <w:bottom w:val="single" w:sz="8" w:color="auto"/>
            </w:tcBorders>
            <w:shd w:val="clear" w:color="auto" w:fill="CFF0FC"/>
          </w:tcPr>
          <w:p>
            <w:pPr>
              <w:spacing w:after="0"/>
              <w:rPr>
                <w:sz w:val="19"/>
                <w:szCs w:val="19"/>
                <w:color w:val="auto"/>
              </w:rPr>
            </w:pPr>
          </w:p>
        </w:tc>
        <w:tc>
          <w:tcPr>
            <w:tcW w:w="104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(1,356)</w:t>
            </w:r>
          </w:p>
        </w:tc>
        <w:tc>
          <w:tcPr>
            <w:tcW w:w="120" w:type="dxa"/>
            <w:vAlign w:val="bottom"/>
            <w:tcBorders>
              <w:top w:val="single" w:sz="8" w:color="CFF0FC"/>
            </w:tcBorders>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6000" w:type="dxa"/>
            <w:vAlign w:val="bottom"/>
          </w:tcPr>
          <w:p>
            <w:pPr>
              <w:spacing w:after="0"/>
              <w:rPr>
                <w:sz w:val="20"/>
                <w:szCs w:val="20"/>
                <w:color w:val="auto"/>
              </w:rPr>
            </w:pPr>
            <w:r>
              <w:rPr>
                <w:rFonts w:ascii="Arial" w:cs="Arial" w:eastAsia="Arial" w:hAnsi="Arial"/>
                <w:sz w:val="18"/>
                <w:szCs w:val="18"/>
                <w:b w:val="1"/>
                <w:bCs w:val="1"/>
                <w:color w:val="auto"/>
              </w:rPr>
              <w:t>Cash flows from financing activities:</w:t>
            </w:r>
          </w:p>
        </w:tc>
        <w:tc>
          <w:tcPr>
            <w:tcW w:w="8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04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8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6000" w:type="dxa"/>
            <w:vAlign w:val="bottom"/>
            <w:shd w:val="clear" w:color="auto" w:fill="CFF0FC"/>
          </w:tcPr>
          <w:p>
            <w:pPr>
              <w:ind w:left="260"/>
              <w:spacing w:after="0"/>
              <w:rPr>
                <w:sz w:val="20"/>
                <w:szCs w:val="20"/>
                <w:color w:val="auto"/>
              </w:rPr>
            </w:pPr>
            <w:r>
              <w:rPr>
                <w:rFonts w:ascii="Arial" w:cs="Arial" w:eastAsia="Arial" w:hAnsi="Arial"/>
                <w:sz w:val="18"/>
                <w:szCs w:val="18"/>
                <w:color w:val="auto"/>
              </w:rPr>
              <w:t>Borrowings from notes payable</w:t>
            </w:r>
          </w:p>
        </w:tc>
        <w:tc>
          <w:tcPr>
            <w:tcW w:w="8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10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50,000</w:t>
            </w:r>
          </w:p>
        </w:tc>
        <w:tc>
          <w:tcPr>
            <w:tcW w:w="14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180" w:type="dxa"/>
            <w:vAlign w:val="bottom"/>
            <w:gridSpan w:val="2"/>
            <w:shd w:val="clear" w:color="auto" w:fill="CFF0FC"/>
          </w:tcPr>
          <w:p>
            <w:pPr>
              <w:jc w:val="right"/>
              <w:ind w:right="140"/>
              <w:spacing w:after="0"/>
              <w:rPr>
                <w:sz w:val="20"/>
                <w:szCs w:val="20"/>
                <w:color w:val="auto"/>
              </w:rPr>
            </w:pPr>
            <w:r>
              <w:rPr>
                <w:rFonts w:ascii="Arial" w:cs="Arial" w:eastAsia="Arial" w:hAnsi="Arial"/>
                <w:sz w:val="18"/>
                <w:szCs w:val="18"/>
                <w:color w:val="auto"/>
              </w:rPr>
              <w:t>—</w:t>
            </w:r>
          </w:p>
        </w:tc>
        <w:tc>
          <w:tcPr>
            <w:tcW w:w="80" w:type="dxa"/>
            <w:vAlign w:val="bottom"/>
            <w:shd w:val="clear" w:color="auto" w:fill="CFF0FC"/>
          </w:tcPr>
          <w:p>
            <w:pPr>
              <w:spacing w:after="0"/>
              <w:rPr>
                <w:sz w:val="19"/>
                <w:szCs w:val="19"/>
                <w:color w:val="auto"/>
              </w:rPr>
            </w:pPr>
          </w:p>
        </w:tc>
        <w:tc>
          <w:tcPr>
            <w:tcW w:w="340" w:type="dxa"/>
            <w:vAlign w:val="bottom"/>
            <w:shd w:val="clear" w:color="auto" w:fill="CFF0FC"/>
          </w:tcPr>
          <w:p>
            <w:pPr>
              <w:spacing w:after="0"/>
              <w:rPr>
                <w:sz w:val="19"/>
                <w:szCs w:val="19"/>
                <w:color w:val="auto"/>
              </w:rPr>
            </w:pPr>
          </w:p>
        </w:tc>
        <w:tc>
          <w:tcPr>
            <w:tcW w:w="1020" w:type="dxa"/>
            <w:vAlign w:val="bottom"/>
            <w:gridSpan w:val="2"/>
            <w:shd w:val="clear" w:color="auto" w:fill="CFF0FC"/>
          </w:tcPr>
          <w:p>
            <w:pPr>
              <w:jc w:val="right"/>
              <w:ind w:right="220"/>
              <w:spacing w:after="0"/>
              <w:rPr>
                <w:sz w:val="20"/>
                <w:szCs w:val="20"/>
                <w:color w:val="auto"/>
              </w:rPr>
            </w:pPr>
            <w:r>
              <w:rPr>
                <w:rFonts w:ascii="Arial" w:cs="Arial" w:eastAsia="Arial" w:hAnsi="Arial"/>
                <w:sz w:val="18"/>
                <w:szCs w:val="18"/>
                <w:color w:val="auto"/>
              </w:rPr>
              <w:t>—</w:t>
            </w:r>
          </w:p>
        </w:tc>
        <w:tc>
          <w:tcPr>
            <w:tcW w:w="2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0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50,000</w:t>
            </w:r>
          </w:p>
        </w:tc>
        <w:tc>
          <w:tcPr>
            <w:tcW w:w="1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6000" w:type="dxa"/>
            <w:vAlign w:val="bottom"/>
          </w:tcPr>
          <w:p>
            <w:pPr>
              <w:ind w:left="260"/>
              <w:spacing w:after="0"/>
              <w:rPr>
                <w:sz w:val="20"/>
                <w:szCs w:val="20"/>
                <w:color w:val="auto"/>
              </w:rPr>
            </w:pPr>
            <w:r>
              <w:rPr>
                <w:rFonts w:ascii="Arial" w:cs="Arial" w:eastAsia="Arial" w:hAnsi="Arial"/>
                <w:sz w:val="18"/>
                <w:szCs w:val="18"/>
                <w:color w:val="auto"/>
              </w:rPr>
              <w:t>Repayment of notes payable</w:t>
            </w:r>
          </w:p>
        </w:tc>
        <w:tc>
          <w:tcPr>
            <w:tcW w:w="8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180" w:type="dxa"/>
            <w:vAlign w:val="bottom"/>
            <w:gridSpan w:val="2"/>
          </w:tcPr>
          <w:p>
            <w:pPr>
              <w:jc w:val="right"/>
              <w:spacing w:after="0"/>
              <w:rPr>
                <w:sz w:val="20"/>
                <w:szCs w:val="20"/>
                <w:color w:val="auto"/>
              </w:rPr>
            </w:pPr>
            <w:r>
              <w:rPr>
                <w:rFonts w:ascii="Arial" w:cs="Arial" w:eastAsia="Arial" w:hAnsi="Arial"/>
                <w:sz w:val="18"/>
                <w:szCs w:val="18"/>
                <w:color w:val="auto"/>
              </w:rPr>
              <w:t>(2,535)</w:t>
            </w:r>
          </w:p>
        </w:tc>
        <w:tc>
          <w:tcPr>
            <w:tcW w:w="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18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02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160" w:type="dxa"/>
            <w:vAlign w:val="bottom"/>
            <w:gridSpan w:val="2"/>
          </w:tcPr>
          <w:p>
            <w:pPr>
              <w:jc w:val="right"/>
              <w:ind w:right="60"/>
              <w:spacing w:after="0"/>
              <w:rPr>
                <w:sz w:val="20"/>
                <w:szCs w:val="20"/>
                <w:color w:val="auto"/>
              </w:rPr>
            </w:pPr>
            <w:r>
              <w:rPr>
                <w:rFonts w:ascii="Arial" w:cs="Arial" w:eastAsia="Arial" w:hAnsi="Arial"/>
                <w:sz w:val="18"/>
                <w:szCs w:val="18"/>
                <w:color w:val="auto"/>
              </w:rPr>
              <w:t>(2,535)</w:t>
            </w:r>
          </w:p>
        </w:tc>
        <w:tc>
          <w:tcPr>
            <w:tcW w:w="0" w:type="dxa"/>
            <w:vAlign w:val="bottom"/>
          </w:tcPr>
          <w:p>
            <w:pPr>
              <w:spacing w:after="0"/>
              <w:rPr>
                <w:sz w:val="1"/>
                <w:szCs w:val="1"/>
                <w:color w:val="auto"/>
              </w:rPr>
            </w:pPr>
          </w:p>
        </w:tc>
      </w:tr>
      <w:tr>
        <w:trPr>
          <w:trHeight w:val="230"/>
        </w:trPr>
        <w:tc>
          <w:tcPr>
            <w:tcW w:w="6000" w:type="dxa"/>
            <w:vAlign w:val="bottom"/>
            <w:shd w:val="clear" w:color="auto" w:fill="CFF0FC"/>
          </w:tcPr>
          <w:p>
            <w:pPr>
              <w:ind w:left="260"/>
              <w:spacing w:after="0"/>
              <w:rPr>
                <w:sz w:val="20"/>
                <w:szCs w:val="20"/>
                <w:color w:val="auto"/>
              </w:rPr>
            </w:pPr>
            <w:r>
              <w:rPr>
                <w:rFonts w:ascii="Arial" w:cs="Arial" w:eastAsia="Arial" w:hAnsi="Arial"/>
                <w:sz w:val="18"/>
                <w:szCs w:val="18"/>
                <w:color w:val="auto"/>
              </w:rPr>
              <w:t>Net repayments of debt held by variable interest entities</w:t>
            </w:r>
          </w:p>
        </w:tc>
        <w:tc>
          <w:tcPr>
            <w:tcW w:w="8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1180" w:type="dxa"/>
            <w:vAlign w:val="bottom"/>
            <w:gridSpan w:val="2"/>
            <w:shd w:val="clear" w:color="auto" w:fill="CFF0FC"/>
          </w:tcPr>
          <w:p>
            <w:pPr>
              <w:jc w:val="right"/>
              <w:ind w:right="50"/>
              <w:spacing w:after="0"/>
              <w:rPr>
                <w:sz w:val="20"/>
                <w:szCs w:val="20"/>
                <w:color w:val="auto"/>
              </w:rPr>
            </w:pPr>
            <w:r>
              <w:rPr>
                <w:rFonts w:ascii="Arial" w:cs="Arial" w:eastAsia="Arial" w:hAnsi="Arial"/>
                <w:sz w:val="18"/>
                <w:szCs w:val="18"/>
                <w:color w:val="auto"/>
              </w:rPr>
              <w:t>—</w:t>
            </w:r>
          </w:p>
        </w:tc>
        <w:tc>
          <w:tcPr>
            <w:tcW w:w="8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180" w:type="dxa"/>
            <w:vAlign w:val="bottom"/>
            <w:gridSpan w:val="2"/>
            <w:shd w:val="clear" w:color="auto" w:fill="CFF0FC"/>
          </w:tcPr>
          <w:p>
            <w:pPr>
              <w:jc w:val="right"/>
              <w:ind w:right="60"/>
              <w:spacing w:after="0"/>
              <w:rPr>
                <w:sz w:val="20"/>
                <w:szCs w:val="20"/>
                <w:color w:val="auto"/>
              </w:rPr>
            </w:pPr>
            <w:r>
              <w:rPr>
                <w:rFonts w:ascii="Arial" w:cs="Arial" w:eastAsia="Arial" w:hAnsi="Arial"/>
                <w:sz w:val="18"/>
                <w:szCs w:val="18"/>
                <w:color w:val="auto"/>
              </w:rPr>
              <w:t>(742)</w:t>
            </w:r>
          </w:p>
        </w:tc>
        <w:tc>
          <w:tcPr>
            <w:tcW w:w="80" w:type="dxa"/>
            <w:vAlign w:val="bottom"/>
            <w:shd w:val="clear" w:color="auto" w:fill="CFF0FC"/>
          </w:tcPr>
          <w:p>
            <w:pPr>
              <w:spacing w:after="0"/>
              <w:rPr>
                <w:sz w:val="19"/>
                <w:szCs w:val="19"/>
                <w:color w:val="auto"/>
              </w:rPr>
            </w:pPr>
          </w:p>
        </w:tc>
        <w:tc>
          <w:tcPr>
            <w:tcW w:w="340" w:type="dxa"/>
            <w:vAlign w:val="bottom"/>
            <w:shd w:val="clear" w:color="auto" w:fill="CFF0FC"/>
          </w:tcPr>
          <w:p>
            <w:pPr>
              <w:spacing w:after="0"/>
              <w:rPr>
                <w:sz w:val="19"/>
                <w:szCs w:val="19"/>
                <w:color w:val="auto"/>
              </w:rPr>
            </w:pPr>
          </w:p>
        </w:tc>
        <w:tc>
          <w:tcPr>
            <w:tcW w:w="1020" w:type="dxa"/>
            <w:vAlign w:val="bottom"/>
            <w:gridSpan w:val="2"/>
            <w:shd w:val="clear" w:color="auto" w:fill="CFF0FC"/>
          </w:tcPr>
          <w:p>
            <w:pPr>
              <w:jc w:val="right"/>
              <w:ind w:right="220"/>
              <w:spacing w:after="0"/>
              <w:rPr>
                <w:sz w:val="20"/>
                <w:szCs w:val="20"/>
                <w:color w:val="auto"/>
              </w:rPr>
            </w:pPr>
            <w:r>
              <w:rPr>
                <w:rFonts w:ascii="Arial" w:cs="Arial" w:eastAsia="Arial" w:hAnsi="Arial"/>
                <w:sz w:val="18"/>
                <w:szCs w:val="18"/>
                <w:color w:val="auto"/>
              </w:rPr>
              <w:t>—</w:t>
            </w:r>
          </w:p>
        </w:tc>
        <w:tc>
          <w:tcPr>
            <w:tcW w:w="2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160" w:type="dxa"/>
            <w:vAlign w:val="bottom"/>
            <w:gridSpan w:val="2"/>
            <w:shd w:val="clear" w:color="auto" w:fill="CFF0FC"/>
          </w:tcPr>
          <w:p>
            <w:pPr>
              <w:jc w:val="right"/>
              <w:ind w:right="60"/>
              <w:spacing w:after="0"/>
              <w:rPr>
                <w:sz w:val="20"/>
                <w:szCs w:val="20"/>
                <w:color w:val="auto"/>
              </w:rPr>
            </w:pPr>
            <w:r>
              <w:rPr>
                <w:rFonts w:ascii="Arial" w:cs="Arial" w:eastAsia="Arial" w:hAnsi="Arial"/>
                <w:sz w:val="18"/>
                <w:szCs w:val="18"/>
                <w:color w:val="auto"/>
              </w:rPr>
              <w:t>(742)</w:t>
            </w:r>
          </w:p>
        </w:tc>
        <w:tc>
          <w:tcPr>
            <w:tcW w:w="0" w:type="dxa"/>
            <w:vAlign w:val="bottom"/>
          </w:tcPr>
          <w:p>
            <w:pPr>
              <w:spacing w:after="0"/>
              <w:rPr>
                <w:sz w:val="1"/>
                <w:szCs w:val="1"/>
                <w:color w:val="auto"/>
              </w:rPr>
            </w:pPr>
          </w:p>
        </w:tc>
      </w:tr>
      <w:tr>
        <w:trPr>
          <w:trHeight w:val="230"/>
        </w:trPr>
        <w:tc>
          <w:tcPr>
            <w:tcW w:w="6000" w:type="dxa"/>
            <w:vAlign w:val="bottom"/>
          </w:tcPr>
          <w:p>
            <w:pPr>
              <w:ind w:left="260"/>
              <w:spacing w:after="0"/>
              <w:rPr>
                <w:sz w:val="20"/>
                <w:szCs w:val="20"/>
                <w:color w:val="auto"/>
              </w:rPr>
            </w:pPr>
            <w:r>
              <w:rPr>
                <w:rFonts w:ascii="Arial" w:cs="Arial" w:eastAsia="Arial" w:hAnsi="Arial"/>
                <w:sz w:val="18"/>
                <w:szCs w:val="18"/>
                <w:color w:val="auto"/>
              </w:rPr>
              <w:t>Contributions from noncontrolling interests</w:t>
            </w:r>
          </w:p>
        </w:tc>
        <w:tc>
          <w:tcPr>
            <w:tcW w:w="8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180" w:type="dxa"/>
            <w:vAlign w:val="bottom"/>
            <w:gridSpan w:val="2"/>
          </w:tcPr>
          <w:p>
            <w:pPr>
              <w:jc w:val="right"/>
              <w:ind w:right="5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873</w:t>
            </w:r>
          </w:p>
        </w:tc>
        <w:tc>
          <w:tcPr>
            <w:tcW w:w="1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02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873</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6000" w:type="dxa"/>
            <w:vAlign w:val="bottom"/>
            <w:shd w:val="clear" w:color="auto" w:fill="CFF0FC"/>
          </w:tcPr>
          <w:p>
            <w:pPr>
              <w:ind w:left="260"/>
              <w:spacing w:after="0"/>
              <w:rPr>
                <w:sz w:val="20"/>
                <w:szCs w:val="20"/>
                <w:color w:val="auto"/>
              </w:rPr>
            </w:pPr>
            <w:r>
              <w:rPr>
                <w:rFonts w:ascii="Arial" w:cs="Arial" w:eastAsia="Arial" w:hAnsi="Arial"/>
                <w:sz w:val="18"/>
                <w:szCs w:val="18"/>
                <w:color w:val="auto"/>
              </w:rPr>
              <w:t>Distributions to noncontrolling interests</w:t>
            </w:r>
          </w:p>
        </w:tc>
        <w:tc>
          <w:tcPr>
            <w:tcW w:w="8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1180" w:type="dxa"/>
            <w:vAlign w:val="bottom"/>
            <w:gridSpan w:val="2"/>
            <w:shd w:val="clear" w:color="auto" w:fill="CFF0FC"/>
          </w:tcPr>
          <w:p>
            <w:pPr>
              <w:jc w:val="right"/>
              <w:ind w:right="50"/>
              <w:spacing w:after="0"/>
              <w:rPr>
                <w:sz w:val="20"/>
                <w:szCs w:val="20"/>
                <w:color w:val="auto"/>
              </w:rPr>
            </w:pPr>
            <w:r>
              <w:rPr>
                <w:rFonts w:ascii="Arial" w:cs="Arial" w:eastAsia="Arial" w:hAnsi="Arial"/>
                <w:sz w:val="18"/>
                <w:szCs w:val="18"/>
                <w:color w:val="auto"/>
              </w:rPr>
              <w:t>—</w:t>
            </w:r>
          </w:p>
        </w:tc>
        <w:tc>
          <w:tcPr>
            <w:tcW w:w="8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180" w:type="dxa"/>
            <w:vAlign w:val="bottom"/>
            <w:gridSpan w:val="2"/>
            <w:shd w:val="clear" w:color="auto" w:fill="CFF0FC"/>
          </w:tcPr>
          <w:p>
            <w:pPr>
              <w:jc w:val="right"/>
              <w:ind w:right="60"/>
              <w:spacing w:after="0"/>
              <w:rPr>
                <w:sz w:val="20"/>
                <w:szCs w:val="20"/>
                <w:color w:val="auto"/>
              </w:rPr>
            </w:pPr>
            <w:r>
              <w:rPr>
                <w:rFonts w:ascii="Arial" w:cs="Arial" w:eastAsia="Arial" w:hAnsi="Arial"/>
                <w:sz w:val="18"/>
                <w:szCs w:val="18"/>
                <w:color w:val="auto"/>
              </w:rPr>
              <w:t>(726)</w:t>
            </w:r>
          </w:p>
        </w:tc>
        <w:tc>
          <w:tcPr>
            <w:tcW w:w="80" w:type="dxa"/>
            <w:vAlign w:val="bottom"/>
            <w:shd w:val="clear" w:color="auto" w:fill="CFF0FC"/>
          </w:tcPr>
          <w:p>
            <w:pPr>
              <w:spacing w:after="0"/>
              <w:rPr>
                <w:sz w:val="19"/>
                <w:szCs w:val="19"/>
                <w:color w:val="auto"/>
              </w:rPr>
            </w:pPr>
          </w:p>
        </w:tc>
        <w:tc>
          <w:tcPr>
            <w:tcW w:w="340" w:type="dxa"/>
            <w:vAlign w:val="bottom"/>
            <w:shd w:val="clear" w:color="auto" w:fill="CFF0FC"/>
          </w:tcPr>
          <w:p>
            <w:pPr>
              <w:spacing w:after="0"/>
              <w:rPr>
                <w:sz w:val="19"/>
                <w:szCs w:val="19"/>
                <w:color w:val="auto"/>
              </w:rPr>
            </w:pPr>
          </w:p>
        </w:tc>
        <w:tc>
          <w:tcPr>
            <w:tcW w:w="1020" w:type="dxa"/>
            <w:vAlign w:val="bottom"/>
            <w:gridSpan w:val="2"/>
            <w:shd w:val="clear" w:color="auto" w:fill="CFF0FC"/>
          </w:tcPr>
          <w:p>
            <w:pPr>
              <w:jc w:val="right"/>
              <w:ind w:right="220"/>
              <w:spacing w:after="0"/>
              <w:rPr>
                <w:sz w:val="20"/>
                <w:szCs w:val="20"/>
                <w:color w:val="auto"/>
              </w:rPr>
            </w:pPr>
            <w:r>
              <w:rPr>
                <w:rFonts w:ascii="Arial" w:cs="Arial" w:eastAsia="Arial" w:hAnsi="Arial"/>
                <w:sz w:val="18"/>
                <w:szCs w:val="18"/>
                <w:color w:val="auto"/>
              </w:rPr>
              <w:t>—</w:t>
            </w:r>
          </w:p>
        </w:tc>
        <w:tc>
          <w:tcPr>
            <w:tcW w:w="2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160" w:type="dxa"/>
            <w:vAlign w:val="bottom"/>
            <w:gridSpan w:val="2"/>
            <w:shd w:val="clear" w:color="auto" w:fill="CFF0FC"/>
          </w:tcPr>
          <w:p>
            <w:pPr>
              <w:jc w:val="right"/>
              <w:ind w:right="60"/>
              <w:spacing w:after="0"/>
              <w:rPr>
                <w:sz w:val="20"/>
                <w:szCs w:val="20"/>
                <w:color w:val="auto"/>
              </w:rPr>
            </w:pPr>
            <w:r>
              <w:rPr>
                <w:rFonts w:ascii="Arial" w:cs="Arial" w:eastAsia="Arial" w:hAnsi="Arial"/>
                <w:sz w:val="18"/>
                <w:szCs w:val="18"/>
                <w:color w:val="auto"/>
              </w:rPr>
              <w:t>(726)</w:t>
            </w:r>
          </w:p>
        </w:tc>
        <w:tc>
          <w:tcPr>
            <w:tcW w:w="0" w:type="dxa"/>
            <w:vAlign w:val="bottom"/>
          </w:tcPr>
          <w:p>
            <w:pPr>
              <w:spacing w:after="0"/>
              <w:rPr>
                <w:sz w:val="1"/>
                <w:szCs w:val="1"/>
                <w:color w:val="auto"/>
              </w:rPr>
            </w:pPr>
          </w:p>
        </w:tc>
      </w:tr>
      <w:tr>
        <w:trPr>
          <w:trHeight w:val="230"/>
        </w:trPr>
        <w:tc>
          <w:tcPr>
            <w:tcW w:w="6000" w:type="dxa"/>
            <w:vAlign w:val="bottom"/>
          </w:tcPr>
          <w:p>
            <w:pPr>
              <w:ind w:left="260"/>
              <w:spacing w:after="0"/>
              <w:rPr>
                <w:sz w:val="20"/>
                <w:szCs w:val="20"/>
                <w:color w:val="auto"/>
              </w:rPr>
            </w:pPr>
            <w:r>
              <w:rPr>
                <w:rFonts w:ascii="Arial" w:cs="Arial" w:eastAsia="Arial" w:hAnsi="Arial"/>
                <w:sz w:val="18"/>
                <w:szCs w:val="18"/>
                <w:color w:val="auto"/>
              </w:rPr>
              <w:t>Proceeds from issuance of common stock under share-based awards</w:t>
            </w:r>
          </w:p>
        </w:tc>
        <w:tc>
          <w:tcPr>
            <w:tcW w:w="8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263</w:t>
            </w:r>
          </w:p>
        </w:tc>
        <w:tc>
          <w:tcPr>
            <w:tcW w:w="1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18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02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263</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6000" w:type="dxa"/>
            <w:vAlign w:val="bottom"/>
            <w:shd w:val="clear" w:color="auto" w:fill="CFF0FC"/>
          </w:tcPr>
          <w:p>
            <w:pPr>
              <w:ind w:left="260"/>
              <w:spacing w:after="0"/>
              <w:rPr>
                <w:sz w:val="20"/>
                <w:szCs w:val="20"/>
                <w:color w:val="auto"/>
              </w:rPr>
            </w:pPr>
            <w:r>
              <w:rPr>
                <w:rFonts w:ascii="Arial" w:cs="Arial" w:eastAsia="Arial" w:hAnsi="Arial"/>
                <w:sz w:val="18"/>
                <w:szCs w:val="18"/>
                <w:color w:val="auto"/>
              </w:rPr>
              <w:t>Excess tax benefits of share-based awards</w:t>
            </w:r>
          </w:p>
        </w:tc>
        <w:tc>
          <w:tcPr>
            <w:tcW w:w="8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10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308</w:t>
            </w:r>
          </w:p>
        </w:tc>
        <w:tc>
          <w:tcPr>
            <w:tcW w:w="14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180" w:type="dxa"/>
            <w:vAlign w:val="bottom"/>
            <w:gridSpan w:val="2"/>
            <w:shd w:val="clear" w:color="auto" w:fill="CFF0FC"/>
          </w:tcPr>
          <w:p>
            <w:pPr>
              <w:jc w:val="right"/>
              <w:ind w:right="140"/>
              <w:spacing w:after="0"/>
              <w:rPr>
                <w:sz w:val="20"/>
                <w:szCs w:val="20"/>
                <w:color w:val="auto"/>
              </w:rPr>
            </w:pPr>
            <w:r>
              <w:rPr>
                <w:rFonts w:ascii="Arial" w:cs="Arial" w:eastAsia="Arial" w:hAnsi="Arial"/>
                <w:sz w:val="18"/>
                <w:szCs w:val="18"/>
                <w:color w:val="auto"/>
              </w:rPr>
              <w:t>—</w:t>
            </w:r>
          </w:p>
        </w:tc>
        <w:tc>
          <w:tcPr>
            <w:tcW w:w="80" w:type="dxa"/>
            <w:vAlign w:val="bottom"/>
            <w:shd w:val="clear" w:color="auto" w:fill="CFF0FC"/>
          </w:tcPr>
          <w:p>
            <w:pPr>
              <w:spacing w:after="0"/>
              <w:rPr>
                <w:sz w:val="19"/>
                <w:szCs w:val="19"/>
                <w:color w:val="auto"/>
              </w:rPr>
            </w:pPr>
          </w:p>
        </w:tc>
        <w:tc>
          <w:tcPr>
            <w:tcW w:w="340" w:type="dxa"/>
            <w:vAlign w:val="bottom"/>
            <w:shd w:val="clear" w:color="auto" w:fill="CFF0FC"/>
          </w:tcPr>
          <w:p>
            <w:pPr>
              <w:spacing w:after="0"/>
              <w:rPr>
                <w:sz w:val="19"/>
                <w:szCs w:val="19"/>
                <w:color w:val="auto"/>
              </w:rPr>
            </w:pPr>
          </w:p>
        </w:tc>
        <w:tc>
          <w:tcPr>
            <w:tcW w:w="1020" w:type="dxa"/>
            <w:vAlign w:val="bottom"/>
            <w:gridSpan w:val="2"/>
            <w:shd w:val="clear" w:color="auto" w:fill="CFF0FC"/>
          </w:tcPr>
          <w:p>
            <w:pPr>
              <w:jc w:val="right"/>
              <w:ind w:right="220"/>
              <w:spacing w:after="0"/>
              <w:rPr>
                <w:sz w:val="20"/>
                <w:szCs w:val="20"/>
                <w:color w:val="auto"/>
              </w:rPr>
            </w:pPr>
            <w:r>
              <w:rPr>
                <w:rFonts w:ascii="Arial" w:cs="Arial" w:eastAsia="Arial" w:hAnsi="Arial"/>
                <w:sz w:val="18"/>
                <w:szCs w:val="18"/>
                <w:color w:val="auto"/>
              </w:rPr>
              <w:t>—</w:t>
            </w:r>
          </w:p>
        </w:tc>
        <w:tc>
          <w:tcPr>
            <w:tcW w:w="2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0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308</w:t>
            </w:r>
          </w:p>
        </w:tc>
        <w:tc>
          <w:tcPr>
            <w:tcW w:w="1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15"/>
        </w:trPr>
        <w:tc>
          <w:tcPr>
            <w:tcW w:w="6000" w:type="dxa"/>
            <w:vAlign w:val="bottom"/>
          </w:tcPr>
          <w:p>
            <w:pPr>
              <w:ind w:left="260"/>
              <w:spacing w:after="0"/>
              <w:rPr>
                <w:sz w:val="20"/>
                <w:szCs w:val="20"/>
                <w:color w:val="auto"/>
              </w:rPr>
            </w:pPr>
            <w:r>
              <w:rPr>
                <w:rFonts w:ascii="Arial" w:cs="Arial" w:eastAsia="Arial" w:hAnsi="Arial"/>
                <w:sz w:val="18"/>
                <w:szCs w:val="18"/>
                <w:color w:val="auto"/>
                <w:w w:val="98"/>
              </w:rPr>
              <w:t>Minimum tax withholding paid on behalf of employees for restricted stock</w:t>
            </w: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6000" w:type="dxa"/>
            <w:vAlign w:val="bottom"/>
          </w:tcPr>
          <w:p>
            <w:pPr>
              <w:ind w:left="260"/>
              <w:spacing w:after="0"/>
              <w:rPr>
                <w:sz w:val="20"/>
                <w:szCs w:val="20"/>
                <w:color w:val="auto"/>
              </w:rPr>
            </w:pPr>
            <w:r>
              <w:rPr>
                <w:rFonts w:ascii="Arial" w:cs="Arial" w:eastAsia="Arial" w:hAnsi="Arial"/>
                <w:sz w:val="18"/>
                <w:szCs w:val="18"/>
                <w:color w:val="auto"/>
              </w:rPr>
              <w:t>units</w:t>
            </w:r>
          </w:p>
        </w:tc>
        <w:tc>
          <w:tcPr>
            <w:tcW w:w="8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180" w:type="dxa"/>
            <w:vAlign w:val="bottom"/>
            <w:gridSpan w:val="2"/>
          </w:tcPr>
          <w:p>
            <w:pPr>
              <w:jc w:val="right"/>
              <w:spacing w:after="0"/>
              <w:rPr>
                <w:sz w:val="20"/>
                <w:szCs w:val="20"/>
                <w:color w:val="auto"/>
              </w:rPr>
            </w:pPr>
            <w:r>
              <w:rPr>
                <w:rFonts w:ascii="Arial" w:cs="Arial" w:eastAsia="Arial" w:hAnsi="Arial"/>
                <w:sz w:val="18"/>
                <w:szCs w:val="18"/>
                <w:color w:val="auto"/>
              </w:rPr>
              <w:t>(1,827)</w:t>
            </w:r>
          </w:p>
        </w:tc>
        <w:tc>
          <w:tcPr>
            <w:tcW w:w="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18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02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160" w:type="dxa"/>
            <w:vAlign w:val="bottom"/>
            <w:gridSpan w:val="2"/>
          </w:tcPr>
          <w:p>
            <w:pPr>
              <w:jc w:val="right"/>
              <w:ind w:right="60"/>
              <w:spacing w:after="0"/>
              <w:rPr>
                <w:sz w:val="20"/>
                <w:szCs w:val="20"/>
                <w:color w:val="auto"/>
              </w:rPr>
            </w:pPr>
            <w:r>
              <w:rPr>
                <w:rFonts w:ascii="Arial" w:cs="Arial" w:eastAsia="Arial" w:hAnsi="Arial"/>
                <w:sz w:val="18"/>
                <w:szCs w:val="18"/>
                <w:color w:val="auto"/>
              </w:rPr>
              <w:t>(1,827)</w:t>
            </w:r>
          </w:p>
        </w:tc>
        <w:tc>
          <w:tcPr>
            <w:tcW w:w="0" w:type="dxa"/>
            <w:vAlign w:val="bottom"/>
          </w:tcPr>
          <w:p>
            <w:pPr>
              <w:spacing w:after="0"/>
              <w:rPr>
                <w:sz w:val="1"/>
                <w:szCs w:val="1"/>
                <w:color w:val="auto"/>
              </w:rPr>
            </w:pPr>
          </w:p>
        </w:tc>
      </w:tr>
      <w:tr>
        <w:trPr>
          <w:trHeight w:val="230"/>
        </w:trPr>
        <w:tc>
          <w:tcPr>
            <w:tcW w:w="6000" w:type="dxa"/>
            <w:vAlign w:val="bottom"/>
            <w:shd w:val="clear" w:color="auto" w:fill="CFF0FC"/>
          </w:tcPr>
          <w:p>
            <w:pPr>
              <w:ind w:left="260"/>
              <w:spacing w:after="0"/>
              <w:rPr>
                <w:sz w:val="20"/>
                <w:szCs w:val="20"/>
                <w:color w:val="auto"/>
              </w:rPr>
            </w:pPr>
            <w:r>
              <w:rPr>
                <w:rFonts w:ascii="Arial" w:cs="Arial" w:eastAsia="Arial" w:hAnsi="Arial"/>
                <w:sz w:val="18"/>
                <w:szCs w:val="18"/>
                <w:color w:val="auto"/>
              </w:rPr>
              <w:t>Intercompany</w:t>
            </w:r>
          </w:p>
        </w:tc>
        <w:tc>
          <w:tcPr>
            <w:tcW w:w="8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1180" w:type="dxa"/>
            <w:vAlign w:val="bottom"/>
            <w:gridSpan w:val="2"/>
            <w:shd w:val="clear" w:color="auto" w:fill="CFF0FC"/>
          </w:tcPr>
          <w:p>
            <w:pPr>
              <w:jc w:val="right"/>
              <w:ind w:right="50"/>
              <w:spacing w:after="0"/>
              <w:rPr>
                <w:sz w:val="20"/>
                <w:szCs w:val="20"/>
                <w:color w:val="auto"/>
              </w:rPr>
            </w:pPr>
            <w:r>
              <w:rPr>
                <w:rFonts w:ascii="Arial" w:cs="Arial" w:eastAsia="Arial" w:hAnsi="Arial"/>
                <w:sz w:val="18"/>
                <w:szCs w:val="18"/>
                <w:color w:val="auto"/>
              </w:rPr>
              <w:t>—</w:t>
            </w:r>
          </w:p>
        </w:tc>
        <w:tc>
          <w:tcPr>
            <w:tcW w:w="8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0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69,212</w:t>
            </w:r>
          </w:p>
        </w:tc>
        <w:tc>
          <w:tcPr>
            <w:tcW w:w="12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340" w:type="dxa"/>
            <w:vAlign w:val="bottom"/>
            <w:shd w:val="clear" w:color="auto" w:fill="CFF0FC"/>
          </w:tcPr>
          <w:p>
            <w:pPr>
              <w:spacing w:after="0"/>
              <w:rPr>
                <w:sz w:val="19"/>
                <w:szCs w:val="19"/>
                <w:color w:val="auto"/>
              </w:rPr>
            </w:pPr>
          </w:p>
        </w:tc>
        <w:tc>
          <w:tcPr>
            <w:tcW w:w="1020" w:type="dxa"/>
            <w:vAlign w:val="bottom"/>
            <w:gridSpan w:val="2"/>
            <w:shd w:val="clear" w:color="auto" w:fill="CFF0FC"/>
          </w:tcPr>
          <w:p>
            <w:pPr>
              <w:jc w:val="right"/>
              <w:ind w:right="140"/>
              <w:spacing w:after="0"/>
              <w:rPr>
                <w:sz w:val="20"/>
                <w:szCs w:val="20"/>
                <w:color w:val="auto"/>
              </w:rPr>
            </w:pPr>
            <w:r>
              <w:rPr>
                <w:rFonts w:ascii="Arial" w:cs="Arial" w:eastAsia="Arial" w:hAnsi="Arial"/>
                <w:sz w:val="18"/>
                <w:szCs w:val="18"/>
                <w:color w:val="auto"/>
              </w:rPr>
              <w:t>(69,212)</w:t>
            </w:r>
          </w:p>
        </w:tc>
        <w:tc>
          <w:tcPr>
            <w:tcW w:w="2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160" w:type="dxa"/>
            <w:vAlign w:val="bottom"/>
            <w:gridSpan w:val="2"/>
            <w:shd w:val="clear" w:color="auto" w:fill="CFF0FC"/>
          </w:tcPr>
          <w:p>
            <w:pPr>
              <w:jc w:val="right"/>
              <w:ind w:right="14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23"/>
        </w:trPr>
        <w:tc>
          <w:tcPr>
            <w:tcW w:w="6000" w:type="dxa"/>
            <w:vAlign w:val="bottom"/>
            <w:tcBorders>
              <w:bottom w:val="single" w:sz="8" w:color="CFF0FC"/>
            </w:tcBorders>
          </w:tcPr>
          <w:p>
            <w:pPr>
              <w:spacing w:after="0"/>
              <w:rPr>
                <w:sz w:val="20"/>
                <w:szCs w:val="20"/>
                <w:color w:val="auto"/>
              </w:rPr>
            </w:pPr>
            <w:r>
              <w:rPr>
                <w:rFonts w:ascii="Arial" w:cs="Arial" w:eastAsia="Arial" w:hAnsi="Arial"/>
                <w:sz w:val="18"/>
                <w:szCs w:val="18"/>
                <w:color w:val="auto"/>
              </w:rPr>
              <w:t>Net cash provided by financing activities</w:t>
            </w:r>
          </w:p>
        </w:tc>
        <w:tc>
          <w:tcPr>
            <w:tcW w:w="80" w:type="dxa"/>
            <w:vAlign w:val="bottom"/>
            <w:tcBorders>
              <w:bottom w:val="single" w:sz="8" w:color="CFF0FC"/>
            </w:tcBorders>
          </w:tcPr>
          <w:p>
            <w:pPr>
              <w:spacing w:after="0"/>
              <w:rPr>
                <w:sz w:val="19"/>
                <w:szCs w:val="19"/>
                <w:color w:val="auto"/>
              </w:rPr>
            </w:pPr>
          </w:p>
        </w:tc>
        <w:tc>
          <w:tcPr>
            <w:tcW w:w="80" w:type="dxa"/>
            <w:vAlign w:val="bottom"/>
            <w:tcBorders>
              <w:top w:val="single" w:sz="8" w:color="auto"/>
              <w:bottom w:val="single" w:sz="8" w:color="auto"/>
            </w:tcBorders>
          </w:tcPr>
          <w:p>
            <w:pPr>
              <w:spacing w:after="0"/>
              <w:rPr>
                <w:sz w:val="19"/>
                <w:szCs w:val="19"/>
                <w:color w:val="auto"/>
              </w:rPr>
            </w:pPr>
          </w:p>
        </w:tc>
        <w:tc>
          <w:tcPr>
            <w:tcW w:w="10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46,209</w:t>
            </w:r>
          </w:p>
        </w:tc>
        <w:tc>
          <w:tcPr>
            <w:tcW w:w="140" w:type="dxa"/>
            <w:vAlign w:val="bottom"/>
            <w:tcBorders>
              <w:bottom w:val="single" w:sz="8" w:color="CFF0FC"/>
            </w:tcBorders>
          </w:tcPr>
          <w:p>
            <w:pPr>
              <w:spacing w:after="0"/>
              <w:rPr>
                <w:sz w:val="19"/>
                <w:szCs w:val="19"/>
                <w:color w:val="auto"/>
              </w:rPr>
            </w:pPr>
          </w:p>
        </w:tc>
        <w:tc>
          <w:tcPr>
            <w:tcW w:w="80" w:type="dxa"/>
            <w:vAlign w:val="bottom"/>
            <w:tcBorders>
              <w:bottom w:val="single" w:sz="8" w:color="CFF0FC"/>
            </w:tcBorders>
          </w:tcPr>
          <w:p>
            <w:pPr>
              <w:spacing w:after="0"/>
              <w:rPr>
                <w:sz w:val="19"/>
                <w:szCs w:val="19"/>
                <w:color w:val="auto"/>
              </w:rPr>
            </w:pPr>
          </w:p>
        </w:tc>
        <w:tc>
          <w:tcPr>
            <w:tcW w:w="100" w:type="dxa"/>
            <w:vAlign w:val="bottom"/>
            <w:tcBorders>
              <w:top w:val="single" w:sz="8" w:color="auto"/>
              <w:bottom w:val="single" w:sz="8" w:color="auto"/>
            </w:tcBorders>
          </w:tcPr>
          <w:p>
            <w:pPr>
              <w:spacing w:after="0"/>
              <w:rPr>
                <w:sz w:val="19"/>
                <w:szCs w:val="19"/>
                <w:color w:val="auto"/>
              </w:rPr>
            </w:pPr>
          </w:p>
        </w:tc>
        <w:tc>
          <w:tcPr>
            <w:tcW w:w="10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68,617</w:t>
            </w:r>
          </w:p>
        </w:tc>
        <w:tc>
          <w:tcPr>
            <w:tcW w:w="120" w:type="dxa"/>
            <w:vAlign w:val="bottom"/>
            <w:tcBorders>
              <w:bottom w:val="single" w:sz="8" w:color="CFF0FC"/>
            </w:tcBorders>
          </w:tcPr>
          <w:p>
            <w:pPr>
              <w:spacing w:after="0"/>
              <w:rPr>
                <w:sz w:val="19"/>
                <w:szCs w:val="19"/>
                <w:color w:val="auto"/>
              </w:rPr>
            </w:pPr>
          </w:p>
        </w:tc>
        <w:tc>
          <w:tcPr>
            <w:tcW w:w="80" w:type="dxa"/>
            <w:vAlign w:val="bottom"/>
            <w:tcBorders>
              <w:bottom w:val="single" w:sz="8" w:color="CFF0FC"/>
            </w:tcBorders>
          </w:tcPr>
          <w:p>
            <w:pPr>
              <w:spacing w:after="0"/>
              <w:rPr>
                <w:sz w:val="19"/>
                <w:szCs w:val="19"/>
                <w:color w:val="auto"/>
              </w:rPr>
            </w:pPr>
          </w:p>
        </w:tc>
        <w:tc>
          <w:tcPr>
            <w:tcW w:w="340" w:type="dxa"/>
            <w:vAlign w:val="bottom"/>
            <w:tcBorders>
              <w:top w:val="single" w:sz="8" w:color="auto"/>
              <w:bottom w:val="single" w:sz="8" w:color="auto"/>
            </w:tcBorders>
          </w:tcPr>
          <w:p>
            <w:pPr>
              <w:spacing w:after="0"/>
              <w:rPr>
                <w:sz w:val="19"/>
                <w:szCs w:val="19"/>
                <w:color w:val="auto"/>
              </w:rPr>
            </w:pPr>
          </w:p>
        </w:tc>
        <w:tc>
          <w:tcPr>
            <w:tcW w:w="8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(69,212)</w:t>
            </w:r>
          </w:p>
        </w:tc>
        <w:tc>
          <w:tcPr>
            <w:tcW w:w="200" w:type="dxa"/>
            <w:vAlign w:val="bottom"/>
            <w:tcBorders>
              <w:bottom w:val="single" w:sz="8" w:color="CFF0FC"/>
            </w:tcBorders>
          </w:tcPr>
          <w:p>
            <w:pPr>
              <w:spacing w:after="0"/>
              <w:rPr>
                <w:sz w:val="19"/>
                <w:szCs w:val="19"/>
                <w:color w:val="auto"/>
              </w:rPr>
            </w:pPr>
          </w:p>
        </w:tc>
        <w:tc>
          <w:tcPr>
            <w:tcW w:w="20" w:type="dxa"/>
            <w:vAlign w:val="bottom"/>
            <w:tcBorders>
              <w:bottom w:val="single" w:sz="8" w:color="CFF0FC"/>
            </w:tcBorders>
          </w:tcPr>
          <w:p>
            <w:pPr>
              <w:spacing w:after="0"/>
              <w:rPr>
                <w:sz w:val="19"/>
                <w:szCs w:val="19"/>
                <w:color w:val="auto"/>
              </w:rPr>
            </w:pPr>
          </w:p>
        </w:tc>
        <w:tc>
          <w:tcPr>
            <w:tcW w:w="100" w:type="dxa"/>
            <w:vAlign w:val="bottom"/>
            <w:tcBorders>
              <w:top w:val="single" w:sz="8" w:color="auto"/>
              <w:bottom w:val="single" w:sz="8" w:color="auto"/>
            </w:tcBorders>
          </w:tcPr>
          <w:p>
            <w:pPr>
              <w:spacing w:after="0"/>
              <w:rPr>
                <w:sz w:val="19"/>
                <w:szCs w:val="19"/>
                <w:color w:val="auto"/>
              </w:rPr>
            </w:pPr>
          </w:p>
        </w:tc>
        <w:tc>
          <w:tcPr>
            <w:tcW w:w="10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45,614</w:t>
            </w:r>
          </w:p>
        </w:tc>
        <w:tc>
          <w:tcPr>
            <w:tcW w:w="120" w:type="dxa"/>
            <w:vAlign w:val="bottom"/>
            <w:tcBorders>
              <w:bottom w:val="single" w:sz="8" w:color="CFF0FC"/>
            </w:tcBorders>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6000" w:type="dxa"/>
            <w:vAlign w:val="bottom"/>
            <w:shd w:val="clear" w:color="auto" w:fill="CFF0FC"/>
          </w:tcPr>
          <w:p>
            <w:pPr>
              <w:spacing w:after="0"/>
              <w:rPr>
                <w:sz w:val="20"/>
                <w:szCs w:val="20"/>
                <w:color w:val="auto"/>
              </w:rPr>
            </w:pPr>
            <w:r>
              <w:rPr>
                <w:rFonts w:ascii="Arial" w:cs="Arial" w:eastAsia="Arial" w:hAnsi="Arial"/>
                <w:sz w:val="18"/>
                <w:szCs w:val="18"/>
                <w:color w:val="auto"/>
              </w:rPr>
              <w:t>Net (decrease) increase in cash and cash equivalents</w:t>
            </w:r>
          </w:p>
        </w:tc>
        <w:tc>
          <w:tcPr>
            <w:tcW w:w="8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10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(76,001)</w:t>
            </w:r>
          </w:p>
        </w:tc>
        <w:tc>
          <w:tcPr>
            <w:tcW w:w="14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0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11,945</w:t>
            </w:r>
          </w:p>
        </w:tc>
        <w:tc>
          <w:tcPr>
            <w:tcW w:w="12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340" w:type="dxa"/>
            <w:vAlign w:val="bottom"/>
            <w:shd w:val="clear" w:color="auto" w:fill="CFF0FC"/>
          </w:tcPr>
          <w:p>
            <w:pPr>
              <w:spacing w:after="0"/>
              <w:rPr>
                <w:sz w:val="19"/>
                <w:szCs w:val="19"/>
                <w:color w:val="auto"/>
              </w:rPr>
            </w:pPr>
          </w:p>
        </w:tc>
        <w:tc>
          <w:tcPr>
            <w:tcW w:w="8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20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0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(64,056)</w:t>
            </w:r>
          </w:p>
        </w:tc>
        <w:tc>
          <w:tcPr>
            <w:tcW w:w="1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6000" w:type="dxa"/>
            <w:vAlign w:val="bottom"/>
          </w:tcPr>
          <w:p>
            <w:pPr>
              <w:spacing w:after="0"/>
              <w:rPr>
                <w:sz w:val="20"/>
                <w:szCs w:val="20"/>
                <w:color w:val="auto"/>
              </w:rPr>
            </w:pPr>
            <w:r>
              <w:rPr>
                <w:rFonts w:ascii="Arial" w:cs="Arial" w:eastAsia="Arial" w:hAnsi="Arial"/>
                <w:sz w:val="18"/>
                <w:szCs w:val="18"/>
                <w:color w:val="auto"/>
              </w:rPr>
              <w:t>Cash and cash equivalents - beginning of year</w:t>
            </w:r>
          </w:p>
        </w:tc>
        <w:tc>
          <w:tcPr>
            <w:tcW w:w="8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105,888</w:t>
            </w:r>
          </w:p>
        </w:tc>
        <w:tc>
          <w:tcPr>
            <w:tcW w:w="1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64,741</w:t>
            </w:r>
          </w:p>
        </w:tc>
        <w:tc>
          <w:tcPr>
            <w:tcW w:w="1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02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170,629</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6000" w:type="dxa"/>
            <w:vAlign w:val="bottom"/>
            <w:tcBorders>
              <w:top w:val="single" w:sz="8" w:color="CFF0FC"/>
              <w:bottom w:val="single" w:sz="8" w:color="CFF0FC"/>
            </w:tcBorders>
            <w:shd w:val="clear" w:color="auto" w:fill="CFF0FC"/>
          </w:tcPr>
          <w:p>
            <w:pPr>
              <w:spacing w:after="0"/>
              <w:rPr>
                <w:sz w:val="20"/>
                <w:szCs w:val="20"/>
                <w:color w:val="auto"/>
              </w:rPr>
            </w:pPr>
            <w:r>
              <w:rPr>
                <w:rFonts w:ascii="Arial" w:cs="Arial" w:eastAsia="Arial" w:hAnsi="Arial"/>
                <w:sz w:val="18"/>
                <w:szCs w:val="18"/>
                <w:color w:val="auto"/>
              </w:rPr>
              <w:t>Cash and cash equivalents - end of year</w:t>
            </w:r>
          </w:p>
        </w:tc>
        <w:tc>
          <w:tcPr>
            <w:tcW w:w="80" w:type="dxa"/>
            <w:vAlign w:val="bottom"/>
            <w:tcBorders>
              <w:top w:val="single" w:sz="8" w:color="CFF0FC"/>
              <w:bottom w:val="single" w:sz="8" w:color="CFF0FC"/>
            </w:tcBorders>
            <w:shd w:val="clear" w:color="auto" w:fill="CFF0FC"/>
          </w:tcPr>
          <w:p>
            <w:pPr>
              <w:spacing w:after="0"/>
              <w:rPr>
                <w:sz w:val="19"/>
                <w:szCs w:val="19"/>
                <w:color w:val="auto"/>
              </w:rPr>
            </w:pPr>
          </w:p>
        </w:tc>
        <w:tc>
          <w:tcPr>
            <w:tcW w:w="8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5"/>
                <w:szCs w:val="15"/>
                <w:color w:val="auto"/>
                <w:w w:val="71"/>
              </w:rPr>
              <w:t>$</w:t>
            </w:r>
          </w:p>
        </w:tc>
        <w:tc>
          <w:tcPr>
            <w:tcW w:w="104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29,887</w:t>
            </w:r>
          </w:p>
        </w:tc>
        <w:tc>
          <w:tcPr>
            <w:tcW w:w="140" w:type="dxa"/>
            <w:vAlign w:val="bottom"/>
            <w:tcBorders>
              <w:top w:val="single" w:sz="8" w:color="CFF0FC"/>
              <w:bottom w:val="single" w:sz="8" w:color="CFF0FC"/>
            </w:tcBorders>
            <w:shd w:val="clear" w:color="auto" w:fill="CFF0FC"/>
          </w:tcPr>
          <w:p>
            <w:pPr>
              <w:spacing w:after="0"/>
              <w:rPr>
                <w:sz w:val="19"/>
                <w:szCs w:val="19"/>
                <w:color w:val="auto"/>
              </w:rPr>
            </w:pPr>
          </w:p>
        </w:tc>
        <w:tc>
          <w:tcPr>
            <w:tcW w:w="80" w:type="dxa"/>
            <w:vAlign w:val="bottom"/>
            <w:tcBorders>
              <w:top w:val="single" w:sz="8" w:color="CFF0FC"/>
              <w:bottom w:val="single" w:sz="8" w:color="CFF0FC"/>
            </w:tcBorders>
            <w:shd w:val="clear" w:color="auto" w:fill="CFF0FC"/>
          </w:tcPr>
          <w:p>
            <w:pPr>
              <w:spacing w:after="0"/>
              <w:rPr>
                <w:sz w:val="19"/>
                <w:szCs w:val="19"/>
                <w:color w:val="auto"/>
              </w:rPr>
            </w:pPr>
          </w:p>
        </w:tc>
        <w:tc>
          <w:tcPr>
            <w:tcW w:w="10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106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76,686</w:t>
            </w:r>
          </w:p>
        </w:tc>
        <w:tc>
          <w:tcPr>
            <w:tcW w:w="120" w:type="dxa"/>
            <w:vAlign w:val="bottom"/>
            <w:tcBorders>
              <w:top w:val="single" w:sz="8" w:color="CFF0FC"/>
              <w:bottom w:val="single" w:sz="8" w:color="CFF0FC"/>
            </w:tcBorders>
            <w:shd w:val="clear" w:color="auto" w:fill="CFF0FC"/>
          </w:tcPr>
          <w:p>
            <w:pPr>
              <w:spacing w:after="0"/>
              <w:rPr>
                <w:sz w:val="19"/>
                <w:szCs w:val="19"/>
                <w:color w:val="auto"/>
              </w:rPr>
            </w:pPr>
          </w:p>
        </w:tc>
        <w:tc>
          <w:tcPr>
            <w:tcW w:w="80" w:type="dxa"/>
            <w:vAlign w:val="bottom"/>
            <w:tcBorders>
              <w:top w:val="single" w:sz="8" w:color="CFF0FC"/>
              <w:bottom w:val="single" w:sz="8" w:color="CFF0FC"/>
            </w:tcBorders>
            <w:shd w:val="clear" w:color="auto" w:fill="CFF0FC"/>
          </w:tcPr>
          <w:p>
            <w:pPr>
              <w:spacing w:after="0"/>
              <w:rPr>
                <w:sz w:val="19"/>
                <w:szCs w:val="19"/>
                <w:color w:val="auto"/>
              </w:rPr>
            </w:pPr>
          </w:p>
        </w:tc>
        <w:tc>
          <w:tcPr>
            <w:tcW w:w="340" w:type="dxa"/>
            <w:vAlign w:val="bottom"/>
            <w:tcBorders>
              <w:top w:val="single" w:sz="8" w:color="auto"/>
              <w:bottom w:val="single" w:sz="8" w:color="auto"/>
            </w:tcBorders>
            <w:shd w:val="clear" w:color="auto" w:fill="CFF0FC"/>
          </w:tcPr>
          <w:p>
            <w:pPr>
              <w:jc w:val="right"/>
              <w:ind w:right="150"/>
              <w:spacing w:after="0"/>
              <w:rPr>
                <w:sz w:val="20"/>
                <w:szCs w:val="20"/>
                <w:color w:val="auto"/>
              </w:rPr>
            </w:pPr>
            <w:r>
              <w:rPr>
                <w:rFonts w:ascii="Arial" w:cs="Arial" w:eastAsia="Arial" w:hAnsi="Arial"/>
                <w:sz w:val="18"/>
                <w:szCs w:val="18"/>
                <w:color w:val="auto"/>
                <w:w w:val="79"/>
              </w:rPr>
              <w:t>$</w:t>
            </w:r>
          </w:p>
        </w:tc>
        <w:tc>
          <w:tcPr>
            <w:tcW w:w="82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200" w:type="dxa"/>
            <w:vAlign w:val="bottom"/>
            <w:tcBorders>
              <w:top w:val="single" w:sz="8" w:color="CFF0FC"/>
              <w:bottom w:val="single" w:sz="8" w:color="CFF0FC"/>
            </w:tcBorders>
            <w:shd w:val="clear" w:color="auto" w:fill="CFF0FC"/>
          </w:tcPr>
          <w:p>
            <w:pPr>
              <w:spacing w:after="0"/>
              <w:rPr>
                <w:sz w:val="19"/>
                <w:szCs w:val="19"/>
                <w:color w:val="auto"/>
              </w:rPr>
            </w:pPr>
          </w:p>
        </w:tc>
        <w:tc>
          <w:tcPr>
            <w:tcW w:w="20" w:type="dxa"/>
            <w:vAlign w:val="bottom"/>
            <w:tcBorders>
              <w:top w:val="single" w:sz="8" w:color="CFF0FC"/>
              <w:bottom w:val="single" w:sz="8" w:color="CFF0FC"/>
            </w:tcBorders>
            <w:shd w:val="clear" w:color="auto" w:fill="CFF0FC"/>
          </w:tcPr>
          <w:p>
            <w:pPr>
              <w:spacing w:after="0"/>
              <w:rPr>
                <w:sz w:val="19"/>
                <w:szCs w:val="19"/>
                <w:color w:val="auto"/>
              </w:rPr>
            </w:pPr>
          </w:p>
        </w:tc>
        <w:tc>
          <w:tcPr>
            <w:tcW w:w="10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5"/>
                <w:szCs w:val="15"/>
                <w:color w:val="auto"/>
                <w:w w:val="71"/>
              </w:rPr>
              <w:t>$</w:t>
            </w:r>
          </w:p>
        </w:tc>
        <w:tc>
          <w:tcPr>
            <w:tcW w:w="104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106,573</w:t>
            </w:r>
          </w:p>
        </w:tc>
        <w:tc>
          <w:tcPr>
            <w:tcW w:w="120" w:type="dxa"/>
            <w:vAlign w:val="bottom"/>
            <w:tcBorders>
              <w:top w:val="single" w:sz="8" w:color="CFF0FC"/>
              <w:bottom w:val="single" w:sz="8" w:color="CFF0FC"/>
            </w:tcBorders>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6000" w:type="dxa"/>
            <w:vAlign w:val="bottom"/>
            <w:vMerge w:val="restart"/>
          </w:tcPr>
          <w:p>
            <w:pPr>
              <w:ind w:left="5520"/>
              <w:spacing w:after="0"/>
              <w:rPr>
                <w:sz w:val="20"/>
                <w:szCs w:val="20"/>
                <w:color w:val="auto"/>
              </w:rPr>
            </w:pPr>
            <w:r>
              <w:rPr>
                <w:rFonts w:ascii="Arial" w:cs="Arial" w:eastAsia="Arial" w:hAnsi="Arial"/>
                <w:sz w:val="18"/>
                <w:szCs w:val="18"/>
                <w:color w:val="auto"/>
              </w:rPr>
              <w:t>- 27 -</w:t>
            </w:r>
          </w:p>
        </w:tc>
        <w:tc>
          <w:tcPr>
            <w:tcW w:w="8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656"/>
        </w:trPr>
        <w:tc>
          <w:tcPr>
            <w:tcW w:w="6000" w:type="dxa"/>
            <w:vAlign w:val="bottom"/>
            <w:vMerge w:val="continue"/>
          </w:tcPr>
          <w:p>
            <w:pPr>
              <w:spacing w:after="0"/>
              <w:rPr>
                <w:sz w:val="24"/>
                <w:szCs w:val="24"/>
                <w:color w:val="auto"/>
              </w:rPr>
            </w:pPr>
          </w:p>
        </w:tc>
        <w:tc>
          <w:tcPr>
            <w:tcW w:w="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135" w:right="239" w:bottom="1440" w:gutter="0" w:footer="0" w:header="0"/>
        </w:sectPr>
      </w:pPr>
    </w:p>
    <w:bookmarkStart w:id="27" w:name="page28"/>
    <w:bookmarkEnd w:id="27"/>
    <w:p>
      <w:pPr>
        <w:spacing w:after="0"/>
        <w:rPr>
          <w:sz w:val="20"/>
          <w:szCs w:val="20"/>
          <w:color w:val="auto"/>
        </w:rPr>
      </w:pPr>
      <w:r>
        <w:rPr>
          <w:rFonts w:ascii="Arial" w:cs="Arial" w:eastAsia="Arial" w:hAnsi="Arial"/>
          <w:sz w:val="18"/>
          <w:szCs w:val="18"/>
          <w:b w:val="1"/>
          <w:bCs w:val="1"/>
          <w:color w:val="auto"/>
        </w:rPr>
        <w:t>Item 2. Management’s Discussion and Analysis of Financial Condition and Results of Operations</w:t>
      </w:r>
    </w:p>
    <w:p>
      <w:pPr>
        <w:spacing w:after="0" w:line="225" w:lineRule="exact"/>
        <w:rPr>
          <w:sz w:val="20"/>
          <w:szCs w:val="20"/>
          <w:color w:val="auto"/>
        </w:rPr>
      </w:pPr>
    </w:p>
    <w:p>
      <w:pPr>
        <w:jc w:val="center"/>
        <w:ind w:right="-59"/>
        <w:spacing w:after="0"/>
        <w:rPr>
          <w:sz w:val="20"/>
          <w:szCs w:val="20"/>
          <w:color w:val="auto"/>
        </w:rPr>
      </w:pPr>
      <w:r>
        <w:rPr>
          <w:rFonts w:ascii="Arial" w:cs="Arial" w:eastAsia="Arial" w:hAnsi="Arial"/>
          <w:sz w:val="18"/>
          <w:szCs w:val="18"/>
          <w:b w:val="1"/>
          <w:bCs w:val="1"/>
          <w:color w:val="auto"/>
        </w:rPr>
        <w:t>CAUTIONARY NOTE CONCERNING FORWARD-LOOKING STATEMENTS</w:t>
      </w:r>
    </w:p>
    <w:p>
      <w:pPr>
        <w:spacing w:after="0" w:line="229" w:lineRule="exact"/>
        <w:rPr>
          <w:sz w:val="20"/>
          <w:szCs w:val="20"/>
          <w:color w:val="auto"/>
        </w:rPr>
      </w:pPr>
    </w:p>
    <w:p>
      <w:pPr>
        <w:ind w:right="20" w:firstLine="518"/>
        <w:spacing w:after="0" w:line="264" w:lineRule="auto"/>
        <w:rPr>
          <w:sz w:val="20"/>
          <w:szCs w:val="20"/>
          <w:color w:val="auto"/>
        </w:rPr>
      </w:pPr>
      <w:r>
        <w:rPr>
          <w:rFonts w:ascii="Arial" w:cs="Arial" w:eastAsia="Arial" w:hAnsi="Arial"/>
          <w:sz w:val="18"/>
          <w:szCs w:val="18"/>
          <w:color w:val="auto"/>
        </w:rPr>
        <w:t>This Quarterly Report on Form 10-Q contains certain statements relating to future events of our intentions, beliefs, expectations, predictions for the future and other matters that are “forward-looking” statements within the meaning of Section 27A of the Securities Act of 1933, as amended and Section 21E of the Securities Exchange Act of 1934, as amended.</w:t>
      </w:r>
    </w:p>
    <w:p>
      <w:pPr>
        <w:spacing w:after="0" w:line="181" w:lineRule="exact"/>
        <w:rPr>
          <w:sz w:val="20"/>
          <w:szCs w:val="20"/>
          <w:color w:val="auto"/>
        </w:rPr>
      </w:pPr>
    </w:p>
    <w:p>
      <w:pPr>
        <w:ind w:left="520"/>
        <w:spacing w:after="0"/>
        <w:rPr>
          <w:sz w:val="20"/>
          <w:szCs w:val="20"/>
          <w:color w:val="auto"/>
        </w:rPr>
      </w:pPr>
      <w:r>
        <w:rPr>
          <w:rFonts w:ascii="Arial" w:cs="Arial" w:eastAsia="Arial" w:hAnsi="Arial"/>
          <w:sz w:val="18"/>
          <w:szCs w:val="18"/>
          <w:color w:val="auto"/>
        </w:rPr>
        <w:t>These statements:</w:t>
      </w:r>
    </w:p>
    <w:p>
      <w:pPr>
        <w:spacing w:after="0" w:line="117" w:lineRule="exact"/>
        <w:rPr>
          <w:sz w:val="20"/>
          <w:szCs w:val="20"/>
          <w:color w:val="auto"/>
        </w:rPr>
      </w:pPr>
    </w:p>
    <w:p>
      <w:pPr>
        <w:ind w:left="980" w:hanging="364"/>
        <w:spacing w:after="0"/>
        <w:tabs>
          <w:tab w:leader="none" w:pos="980" w:val="left"/>
        </w:tabs>
        <w:numPr>
          <w:ilvl w:val="0"/>
          <w:numId w:val="21"/>
        </w:numPr>
        <w:rPr>
          <w:rFonts w:ascii="Arial" w:cs="Arial" w:eastAsia="Arial" w:hAnsi="Arial"/>
          <w:sz w:val="18"/>
          <w:szCs w:val="18"/>
          <w:color w:val="auto"/>
        </w:rPr>
      </w:pPr>
      <w:r>
        <w:rPr>
          <w:rFonts w:ascii="Arial" w:cs="Arial" w:eastAsia="Arial" w:hAnsi="Arial"/>
          <w:sz w:val="18"/>
          <w:szCs w:val="18"/>
          <w:color w:val="auto"/>
        </w:rPr>
        <w:t>use forward-looking terminology;</w:t>
      </w:r>
    </w:p>
    <w:p>
      <w:pPr>
        <w:spacing w:after="0" w:line="117" w:lineRule="exact"/>
        <w:rPr>
          <w:rFonts w:ascii="Arial" w:cs="Arial" w:eastAsia="Arial" w:hAnsi="Arial"/>
          <w:sz w:val="18"/>
          <w:szCs w:val="18"/>
          <w:color w:val="auto"/>
        </w:rPr>
      </w:pPr>
    </w:p>
    <w:p>
      <w:pPr>
        <w:ind w:left="980" w:hanging="364"/>
        <w:spacing w:after="0"/>
        <w:tabs>
          <w:tab w:leader="none" w:pos="980" w:val="left"/>
        </w:tabs>
        <w:numPr>
          <w:ilvl w:val="0"/>
          <w:numId w:val="21"/>
        </w:numPr>
        <w:rPr>
          <w:rFonts w:ascii="Arial" w:cs="Arial" w:eastAsia="Arial" w:hAnsi="Arial"/>
          <w:sz w:val="18"/>
          <w:szCs w:val="18"/>
          <w:color w:val="auto"/>
        </w:rPr>
      </w:pPr>
      <w:r>
        <w:rPr>
          <w:rFonts w:ascii="Arial" w:cs="Arial" w:eastAsia="Arial" w:hAnsi="Arial"/>
          <w:sz w:val="18"/>
          <w:szCs w:val="18"/>
          <w:color w:val="auto"/>
        </w:rPr>
        <w:t>are based on various assumptions made by TRI Pointe; and</w:t>
      </w:r>
    </w:p>
    <w:p>
      <w:pPr>
        <w:spacing w:after="0" w:line="117" w:lineRule="exact"/>
        <w:rPr>
          <w:rFonts w:ascii="Arial" w:cs="Arial" w:eastAsia="Arial" w:hAnsi="Arial"/>
          <w:sz w:val="18"/>
          <w:szCs w:val="18"/>
          <w:color w:val="auto"/>
        </w:rPr>
      </w:pPr>
    </w:p>
    <w:p>
      <w:pPr>
        <w:ind w:left="980" w:hanging="364"/>
        <w:spacing w:after="0"/>
        <w:tabs>
          <w:tab w:leader="none" w:pos="980" w:val="left"/>
        </w:tabs>
        <w:numPr>
          <w:ilvl w:val="0"/>
          <w:numId w:val="21"/>
        </w:numPr>
        <w:rPr>
          <w:rFonts w:ascii="Arial" w:cs="Arial" w:eastAsia="Arial" w:hAnsi="Arial"/>
          <w:sz w:val="18"/>
          <w:szCs w:val="18"/>
          <w:color w:val="auto"/>
        </w:rPr>
      </w:pPr>
      <w:r>
        <w:rPr>
          <w:rFonts w:ascii="Arial" w:cs="Arial" w:eastAsia="Arial" w:hAnsi="Arial"/>
          <w:sz w:val="18"/>
          <w:szCs w:val="18"/>
          <w:color w:val="auto"/>
        </w:rPr>
        <w:t>may not prove to be accurate because of risks and uncertainties surrounding the assumptions that are made.</w:t>
      </w:r>
    </w:p>
    <w:p>
      <w:pPr>
        <w:spacing w:after="0" w:line="225" w:lineRule="exact"/>
        <w:rPr>
          <w:sz w:val="20"/>
          <w:szCs w:val="20"/>
          <w:color w:val="auto"/>
        </w:rPr>
      </w:pPr>
    </w:p>
    <w:p>
      <w:pPr>
        <w:ind w:right="20" w:firstLine="518"/>
        <w:spacing w:after="0" w:line="259" w:lineRule="auto"/>
        <w:rPr>
          <w:sz w:val="20"/>
          <w:szCs w:val="20"/>
          <w:color w:val="auto"/>
        </w:rPr>
      </w:pPr>
      <w:r>
        <w:rPr>
          <w:rFonts w:ascii="Arial" w:cs="Arial" w:eastAsia="Arial" w:hAnsi="Arial"/>
          <w:sz w:val="18"/>
          <w:szCs w:val="18"/>
          <w:color w:val="auto"/>
        </w:rPr>
        <w:t>Factors listed in this section – as well as other factors not included – may cause actual results to differ significantly from the forward-looking statements included in this Quarterly Report on Form 10-Q. There is no guarantee that any of the events anticipated by the forward-looking statements in this Quarterly Report on Form 10-Q will occur, or if any of the events occurs, there is no guarantee of what effect it will have on our operations or financial condition.</w:t>
      </w:r>
    </w:p>
    <w:p>
      <w:pPr>
        <w:spacing w:after="0" w:line="187" w:lineRule="exact"/>
        <w:rPr>
          <w:sz w:val="20"/>
          <w:szCs w:val="20"/>
          <w:color w:val="auto"/>
        </w:rPr>
      </w:pPr>
    </w:p>
    <w:p>
      <w:pPr>
        <w:ind w:left="520"/>
        <w:spacing w:after="0"/>
        <w:rPr>
          <w:sz w:val="20"/>
          <w:szCs w:val="20"/>
          <w:color w:val="auto"/>
        </w:rPr>
      </w:pPr>
      <w:r>
        <w:rPr>
          <w:rFonts w:ascii="Arial" w:cs="Arial" w:eastAsia="Arial" w:hAnsi="Arial"/>
          <w:sz w:val="18"/>
          <w:szCs w:val="18"/>
          <w:color w:val="auto"/>
        </w:rPr>
        <w:t>We will not update the forward-looking statement contained in this Quarterly Report on Form 10-Q, unless otherwise required by law.</w:t>
      </w:r>
    </w:p>
    <w:p>
      <w:pPr>
        <w:spacing w:after="0" w:line="32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Forward-Looking Statements</w:t>
      </w:r>
    </w:p>
    <w:p>
      <w:pPr>
        <w:spacing w:after="0" w:line="121" w:lineRule="exact"/>
        <w:rPr>
          <w:sz w:val="20"/>
          <w:szCs w:val="20"/>
          <w:color w:val="auto"/>
        </w:rPr>
      </w:pPr>
    </w:p>
    <w:p>
      <w:pPr>
        <w:ind w:right="60" w:firstLine="518"/>
        <w:spacing w:after="0" w:line="257" w:lineRule="auto"/>
        <w:rPr>
          <w:sz w:val="20"/>
          <w:szCs w:val="20"/>
          <w:color w:val="auto"/>
        </w:rPr>
      </w:pPr>
      <w:r>
        <w:rPr>
          <w:rFonts w:ascii="Arial" w:cs="Arial" w:eastAsia="Arial" w:hAnsi="Arial"/>
          <w:sz w:val="18"/>
          <w:szCs w:val="18"/>
          <w:color w:val="auto"/>
        </w:rPr>
        <w:t>These forward-looking statements are generally accompanied by words such as “anticipate,” “believe,” “could,” “estimate,” “expect,” “goal,” “intend,” “may,” “might,” “plan,” “potential,” “predict,” “project,” “will,” “would,” or other words that convey the uncertainty of future events or outcomes, including, without limitation, our transaction with Weyerhaeuser Real Estate Company (WRECO). These forward-looking statements include, but are not limited to, statements regarding expected benefits of the WRECO transaction, integration plans and expected synergies therefrom, and our anticipated future financial and operating performance and results, including our estimates for growth.</w:t>
      </w:r>
    </w:p>
    <w:p>
      <w:pPr>
        <w:spacing w:after="0" w:line="188" w:lineRule="exact"/>
        <w:rPr>
          <w:sz w:val="20"/>
          <w:szCs w:val="20"/>
          <w:color w:val="auto"/>
        </w:rPr>
      </w:pPr>
    </w:p>
    <w:p>
      <w:pPr>
        <w:ind w:left="520"/>
        <w:spacing w:after="0"/>
        <w:rPr>
          <w:sz w:val="20"/>
          <w:szCs w:val="20"/>
          <w:color w:val="auto"/>
        </w:rPr>
      </w:pPr>
      <w:r>
        <w:rPr>
          <w:rFonts w:ascii="Arial" w:cs="Arial" w:eastAsia="Arial" w:hAnsi="Arial"/>
          <w:sz w:val="18"/>
          <w:szCs w:val="18"/>
          <w:color w:val="auto"/>
        </w:rPr>
        <w:t>Forward-looking statements are based on a number of factors, including the expected effect of:</w:t>
      </w:r>
    </w:p>
    <w:p>
      <w:pPr>
        <w:spacing w:after="0" w:line="117" w:lineRule="exact"/>
        <w:rPr>
          <w:sz w:val="20"/>
          <w:szCs w:val="20"/>
          <w:color w:val="auto"/>
        </w:rPr>
      </w:pPr>
    </w:p>
    <w:p>
      <w:pPr>
        <w:ind w:left="980" w:hanging="364"/>
        <w:spacing w:after="0"/>
        <w:tabs>
          <w:tab w:leader="none" w:pos="980" w:val="left"/>
        </w:tabs>
        <w:numPr>
          <w:ilvl w:val="0"/>
          <w:numId w:val="22"/>
        </w:numPr>
        <w:rPr>
          <w:rFonts w:ascii="Arial" w:cs="Arial" w:eastAsia="Arial" w:hAnsi="Arial"/>
          <w:sz w:val="18"/>
          <w:szCs w:val="18"/>
          <w:color w:val="auto"/>
        </w:rPr>
      </w:pPr>
      <w:r>
        <w:rPr>
          <w:rFonts w:ascii="Arial" w:cs="Arial" w:eastAsia="Arial" w:hAnsi="Arial"/>
          <w:sz w:val="18"/>
          <w:szCs w:val="18"/>
          <w:color w:val="auto"/>
        </w:rPr>
        <w:t>the economy;</w:t>
      </w:r>
    </w:p>
    <w:p>
      <w:pPr>
        <w:spacing w:after="0" w:line="117" w:lineRule="exact"/>
        <w:rPr>
          <w:rFonts w:ascii="Arial" w:cs="Arial" w:eastAsia="Arial" w:hAnsi="Arial"/>
          <w:sz w:val="18"/>
          <w:szCs w:val="18"/>
          <w:color w:val="auto"/>
        </w:rPr>
      </w:pPr>
    </w:p>
    <w:p>
      <w:pPr>
        <w:ind w:left="980" w:hanging="364"/>
        <w:spacing w:after="0"/>
        <w:tabs>
          <w:tab w:leader="none" w:pos="980" w:val="left"/>
        </w:tabs>
        <w:numPr>
          <w:ilvl w:val="0"/>
          <w:numId w:val="22"/>
        </w:numPr>
        <w:rPr>
          <w:rFonts w:ascii="Arial" w:cs="Arial" w:eastAsia="Arial" w:hAnsi="Arial"/>
          <w:sz w:val="18"/>
          <w:szCs w:val="18"/>
          <w:color w:val="auto"/>
        </w:rPr>
      </w:pPr>
      <w:r>
        <w:rPr>
          <w:rFonts w:ascii="Arial" w:cs="Arial" w:eastAsia="Arial" w:hAnsi="Arial"/>
          <w:sz w:val="18"/>
          <w:szCs w:val="18"/>
          <w:color w:val="auto"/>
        </w:rPr>
        <w:t>laws and regulations;</w:t>
      </w:r>
    </w:p>
    <w:p>
      <w:pPr>
        <w:spacing w:after="0" w:line="117" w:lineRule="exact"/>
        <w:rPr>
          <w:rFonts w:ascii="Arial" w:cs="Arial" w:eastAsia="Arial" w:hAnsi="Arial"/>
          <w:sz w:val="18"/>
          <w:szCs w:val="18"/>
          <w:color w:val="auto"/>
        </w:rPr>
      </w:pPr>
    </w:p>
    <w:p>
      <w:pPr>
        <w:ind w:left="980" w:hanging="364"/>
        <w:spacing w:after="0"/>
        <w:tabs>
          <w:tab w:leader="none" w:pos="980" w:val="left"/>
        </w:tabs>
        <w:numPr>
          <w:ilvl w:val="0"/>
          <w:numId w:val="22"/>
        </w:numPr>
        <w:rPr>
          <w:rFonts w:ascii="Arial" w:cs="Arial" w:eastAsia="Arial" w:hAnsi="Arial"/>
          <w:sz w:val="18"/>
          <w:szCs w:val="18"/>
          <w:color w:val="auto"/>
        </w:rPr>
      </w:pPr>
      <w:r>
        <w:rPr>
          <w:rFonts w:ascii="Arial" w:cs="Arial" w:eastAsia="Arial" w:hAnsi="Arial"/>
          <w:sz w:val="18"/>
          <w:szCs w:val="18"/>
          <w:color w:val="auto"/>
        </w:rPr>
        <w:t>adverse litigation outcome and the adequacy of reserves;</w:t>
      </w:r>
    </w:p>
    <w:p>
      <w:pPr>
        <w:spacing w:after="0" w:line="117" w:lineRule="exact"/>
        <w:rPr>
          <w:rFonts w:ascii="Arial" w:cs="Arial" w:eastAsia="Arial" w:hAnsi="Arial"/>
          <w:sz w:val="18"/>
          <w:szCs w:val="18"/>
          <w:color w:val="auto"/>
        </w:rPr>
      </w:pPr>
    </w:p>
    <w:p>
      <w:pPr>
        <w:ind w:left="980" w:hanging="364"/>
        <w:spacing w:after="0"/>
        <w:tabs>
          <w:tab w:leader="none" w:pos="980" w:val="left"/>
        </w:tabs>
        <w:numPr>
          <w:ilvl w:val="0"/>
          <w:numId w:val="22"/>
        </w:numPr>
        <w:rPr>
          <w:rFonts w:ascii="Arial" w:cs="Arial" w:eastAsia="Arial" w:hAnsi="Arial"/>
          <w:sz w:val="18"/>
          <w:szCs w:val="18"/>
          <w:color w:val="auto"/>
        </w:rPr>
      </w:pPr>
      <w:r>
        <w:rPr>
          <w:rFonts w:ascii="Arial" w:cs="Arial" w:eastAsia="Arial" w:hAnsi="Arial"/>
          <w:sz w:val="18"/>
          <w:szCs w:val="18"/>
          <w:color w:val="auto"/>
        </w:rPr>
        <w:t>changes in accounting principles;</w:t>
      </w:r>
    </w:p>
    <w:p>
      <w:pPr>
        <w:spacing w:after="0" w:line="117" w:lineRule="exact"/>
        <w:rPr>
          <w:rFonts w:ascii="Arial" w:cs="Arial" w:eastAsia="Arial" w:hAnsi="Arial"/>
          <w:sz w:val="18"/>
          <w:szCs w:val="18"/>
          <w:color w:val="auto"/>
        </w:rPr>
      </w:pPr>
    </w:p>
    <w:p>
      <w:pPr>
        <w:ind w:left="980" w:hanging="364"/>
        <w:spacing w:after="0"/>
        <w:tabs>
          <w:tab w:leader="none" w:pos="980" w:val="left"/>
        </w:tabs>
        <w:numPr>
          <w:ilvl w:val="0"/>
          <w:numId w:val="22"/>
        </w:numPr>
        <w:rPr>
          <w:rFonts w:ascii="Arial" w:cs="Arial" w:eastAsia="Arial" w:hAnsi="Arial"/>
          <w:sz w:val="18"/>
          <w:szCs w:val="18"/>
          <w:color w:val="auto"/>
        </w:rPr>
      </w:pPr>
      <w:r>
        <w:rPr>
          <w:rFonts w:ascii="Arial" w:cs="Arial" w:eastAsia="Arial" w:hAnsi="Arial"/>
          <w:sz w:val="18"/>
          <w:szCs w:val="18"/>
          <w:color w:val="auto"/>
        </w:rPr>
        <w:t>projected benefit payments; and</w:t>
      </w:r>
    </w:p>
    <w:p>
      <w:pPr>
        <w:spacing w:after="0" w:line="117" w:lineRule="exact"/>
        <w:rPr>
          <w:rFonts w:ascii="Arial" w:cs="Arial" w:eastAsia="Arial" w:hAnsi="Arial"/>
          <w:sz w:val="18"/>
          <w:szCs w:val="18"/>
          <w:color w:val="auto"/>
        </w:rPr>
      </w:pPr>
    </w:p>
    <w:p>
      <w:pPr>
        <w:ind w:left="980" w:hanging="364"/>
        <w:spacing w:after="0"/>
        <w:tabs>
          <w:tab w:leader="none" w:pos="980" w:val="left"/>
        </w:tabs>
        <w:numPr>
          <w:ilvl w:val="0"/>
          <w:numId w:val="22"/>
        </w:numPr>
        <w:rPr>
          <w:rFonts w:ascii="Arial" w:cs="Arial" w:eastAsia="Arial" w:hAnsi="Arial"/>
          <w:sz w:val="18"/>
          <w:szCs w:val="18"/>
          <w:color w:val="auto"/>
        </w:rPr>
      </w:pPr>
      <w:r>
        <w:rPr>
          <w:rFonts w:ascii="Arial" w:cs="Arial" w:eastAsia="Arial" w:hAnsi="Arial"/>
          <w:sz w:val="18"/>
          <w:szCs w:val="18"/>
          <w:color w:val="auto"/>
        </w:rPr>
        <w:t>projected tax rates and credits.</w:t>
      </w:r>
    </w:p>
    <w:p>
      <w:pPr>
        <w:spacing w:after="0" w:line="32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Risks, Uncertainties and Assumptions</w:t>
      </w:r>
    </w:p>
    <w:p>
      <w:pPr>
        <w:spacing w:after="0" w:line="121" w:lineRule="exact"/>
        <w:rPr>
          <w:sz w:val="20"/>
          <w:szCs w:val="20"/>
          <w:color w:val="auto"/>
        </w:rPr>
      </w:pPr>
    </w:p>
    <w:p>
      <w:pPr>
        <w:ind w:firstLine="518"/>
        <w:spacing w:after="0" w:line="277" w:lineRule="auto"/>
        <w:rPr>
          <w:sz w:val="20"/>
          <w:szCs w:val="20"/>
          <w:color w:val="auto"/>
        </w:rPr>
      </w:pPr>
      <w:r>
        <w:rPr>
          <w:rFonts w:ascii="Arial" w:cs="Arial" w:eastAsia="Arial" w:hAnsi="Arial"/>
          <w:sz w:val="18"/>
          <w:szCs w:val="18"/>
          <w:color w:val="auto"/>
        </w:rPr>
        <w:t>The major risks and uncertainties – and assumptions that are made – that affect our business and may cause actual results to differ from these forward-looking statements include, but are not limited to:</w:t>
      </w:r>
    </w:p>
    <w:p>
      <w:pPr>
        <w:spacing w:after="0" w:line="62" w:lineRule="exact"/>
        <w:rPr>
          <w:sz w:val="20"/>
          <w:szCs w:val="20"/>
          <w:color w:val="auto"/>
        </w:rPr>
      </w:pPr>
    </w:p>
    <w:p>
      <w:pPr>
        <w:ind w:left="980" w:right="300" w:hanging="364"/>
        <w:spacing w:after="0" w:line="277" w:lineRule="auto"/>
        <w:tabs>
          <w:tab w:leader="none" w:pos="980" w:val="left"/>
        </w:tabs>
        <w:numPr>
          <w:ilvl w:val="0"/>
          <w:numId w:val="23"/>
        </w:numPr>
        <w:rPr>
          <w:rFonts w:ascii="Arial" w:cs="Arial" w:eastAsia="Arial" w:hAnsi="Arial"/>
          <w:sz w:val="18"/>
          <w:szCs w:val="18"/>
          <w:color w:val="auto"/>
        </w:rPr>
      </w:pPr>
      <w:r>
        <w:rPr>
          <w:rFonts w:ascii="Arial" w:cs="Arial" w:eastAsia="Arial" w:hAnsi="Arial"/>
          <w:sz w:val="18"/>
          <w:szCs w:val="18"/>
          <w:color w:val="auto"/>
        </w:rPr>
        <w:t>the effect of general economic conditions, including employment rates, housing starts, interest rate levels, availability of financing for home mortgages and strength of the U.S. dollar;</w:t>
      </w:r>
    </w:p>
    <w:p>
      <w:pPr>
        <w:spacing w:after="0" w:line="62" w:lineRule="exact"/>
        <w:rPr>
          <w:rFonts w:ascii="Arial" w:cs="Arial" w:eastAsia="Arial" w:hAnsi="Arial"/>
          <w:sz w:val="18"/>
          <w:szCs w:val="18"/>
          <w:color w:val="auto"/>
        </w:rPr>
      </w:pPr>
    </w:p>
    <w:p>
      <w:pPr>
        <w:ind w:left="980" w:right="320" w:hanging="364"/>
        <w:spacing w:after="0" w:line="277" w:lineRule="auto"/>
        <w:tabs>
          <w:tab w:leader="none" w:pos="980" w:val="left"/>
        </w:tabs>
        <w:numPr>
          <w:ilvl w:val="0"/>
          <w:numId w:val="23"/>
        </w:numPr>
        <w:rPr>
          <w:rFonts w:ascii="Arial" w:cs="Arial" w:eastAsia="Arial" w:hAnsi="Arial"/>
          <w:sz w:val="18"/>
          <w:szCs w:val="18"/>
          <w:color w:val="auto"/>
        </w:rPr>
      </w:pPr>
      <w:r>
        <w:rPr>
          <w:rFonts w:ascii="Arial" w:cs="Arial" w:eastAsia="Arial" w:hAnsi="Arial"/>
          <w:sz w:val="18"/>
          <w:szCs w:val="18"/>
          <w:color w:val="auto"/>
        </w:rPr>
        <w:t>market demand for our products, which is related to the strength of the various U.S. business segments and U.S. and international economic conditions;</w:t>
      </w:r>
    </w:p>
    <w:p>
      <w:pPr>
        <w:spacing w:after="0" w:line="62" w:lineRule="exact"/>
        <w:rPr>
          <w:rFonts w:ascii="Arial" w:cs="Arial" w:eastAsia="Arial" w:hAnsi="Arial"/>
          <w:sz w:val="18"/>
          <w:szCs w:val="18"/>
          <w:color w:val="auto"/>
        </w:rPr>
      </w:pPr>
    </w:p>
    <w:p>
      <w:pPr>
        <w:ind w:left="980" w:hanging="364"/>
        <w:spacing w:after="0"/>
        <w:tabs>
          <w:tab w:leader="none" w:pos="980" w:val="left"/>
        </w:tabs>
        <w:numPr>
          <w:ilvl w:val="0"/>
          <w:numId w:val="23"/>
        </w:numPr>
        <w:rPr>
          <w:rFonts w:ascii="Arial" w:cs="Arial" w:eastAsia="Arial" w:hAnsi="Arial"/>
          <w:sz w:val="18"/>
          <w:szCs w:val="18"/>
          <w:color w:val="auto"/>
        </w:rPr>
      </w:pPr>
      <w:r>
        <w:rPr>
          <w:rFonts w:ascii="Arial" w:cs="Arial" w:eastAsia="Arial" w:hAnsi="Arial"/>
          <w:sz w:val="18"/>
          <w:szCs w:val="18"/>
          <w:color w:val="auto"/>
        </w:rPr>
        <w:t>levels of competition;</w:t>
      </w:r>
    </w:p>
    <w:p>
      <w:pPr>
        <w:spacing w:after="0" w:line="117" w:lineRule="exact"/>
        <w:rPr>
          <w:rFonts w:ascii="Arial" w:cs="Arial" w:eastAsia="Arial" w:hAnsi="Arial"/>
          <w:sz w:val="18"/>
          <w:szCs w:val="18"/>
          <w:color w:val="auto"/>
        </w:rPr>
      </w:pPr>
    </w:p>
    <w:p>
      <w:pPr>
        <w:ind w:left="980" w:hanging="364"/>
        <w:spacing w:after="0"/>
        <w:tabs>
          <w:tab w:leader="none" w:pos="980" w:val="left"/>
        </w:tabs>
        <w:numPr>
          <w:ilvl w:val="0"/>
          <w:numId w:val="23"/>
        </w:numPr>
        <w:rPr>
          <w:rFonts w:ascii="Arial" w:cs="Arial" w:eastAsia="Arial" w:hAnsi="Arial"/>
          <w:sz w:val="18"/>
          <w:szCs w:val="18"/>
          <w:color w:val="auto"/>
        </w:rPr>
      </w:pPr>
      <w:r>
        <w:rPr>
          <w:rFonts w:ascii="Arial" w:cs="Arial" w:eastAsia="Arial" w:hAnsi="Arial"/>
          <w:sz w:val="18"/>
          <w:szCs w:val="18"/>
          <w:color w:val="auto"/>
        </w:rPr>
        <w:t>the successful execution of our internal performance plans, including restructuring and cost reduction initiatives;</w:t>
      </w:r>
    </w:p>
    <w:p>
      <w:pPr>
        <w:spacing w:after="0" w:line="117" w:lineRule="exact"/>
        <w:rPr>
          <w:rFonts w:ascii="Arial" w:cs="Arial" w:eastAsia="Arial" w:hAnsi="Arial"/>
          <w:sz w:val="18"/>
          <w:szCs w:val="18"/>
          <w:color w:val="auto"/>
        </w:rPr>
      </w:pPr>
    </w:p>
    <w:p>
      <w:pPr>
        <w:ind w:left="980" w:hanging="364"/>
        <w:spacing w:after="0"/>
        <w:tabs>
          <w:tab w:leader="none" w:pos="980" w:val="left"/>
        </w:tabs>
        <w:numPr>
          <w:ilvl w:val="0"/>
          <w:numId w:val="23"/>
        </w:numPr>
        <w:rPr>
          <w:rFonts w:ascii="Arial" w:cs="Arial" w:eastAsia="Arial" w:hAnsi="Arial"/>
          <w:sz w:val="18"/>
          <w:szCs w:val="18"/>
          <w:color w:val="auto"/>
        </w:rPr>
      </w:pPr>
      <w:r>
        <w:rPr>
          <w:rFonts w:ascii="Arial" w:cs="Arial" w:eastAsia="Arial" w:hAnsi="Arial"/>
          <w:sz w:val="18"/>
          <w:szCs w:val="18"/>
          <w:color w:val="auto"/>
        </w:rPr>
        <w:t>global economic conditions;</w:t>
      </w:r>
    </w:p>
    <w:p>
      <w:pPr>
        <w:spacing w:after="0" w:line="200" w:lineRule="exact"/>
        <w:rPr>
          <w:rFonts w:ascii="Arial" w:cs="Arial" w:eastAsia="Arial" w:hAnsi="Arial"/>
          <w:sz w:val="18"/>
          <w:szCs w:val="18"/>
          <w:color w:val="auto"/>
        </w:rPr>
      </w:pPr>
    </w:p>
    <w:p>
      <w:pPr>
        <w:spacing w:after="0" w:line="268" w:lineRule="exact"/>
        <w:rPr>
          <w:rFonts w:ascii="Arial" w:cs="Arial" w:eastAsia="Arial" w:hAnsi="Arial"/>
          <w:sz w:val="18"/>
          <w:szCs w:val="18"/>
          <w:color w:val="auto"/>
        </w:rPr>
      </w:pPr>
    </w:p>
    <w:p>
      <w:pPr>
        <w:ind w:left="5620" w:hanging="101"/>
        <w:spacing w:after="0"/>
        <w:tabs>
          <w:tab w:leader="none" w:pos="5620" w:val="left"/>
        </w:tabs>
        <w:numPr>
          <w:ilvl w:val="1"/>
          <w:numId w:val="23"/>
        </w:numPr>
        <w:rPr>
          <w:rFonts w:ascii="Arial" w:cs="Arial" w:eastAsia="Arial" w:hAnsi="Arial"/>
          <w:sz w:val="18"/>
          <w:szCs w:val="18"/>
          <w:color w:val="auto"/>
        </w:rPr>
      </w:pPr>
      <w:r>
        <w:rPr>
          <w:rFonts w:ascii="Arial" w:cs="Arial" w:eastAsia="Arial" w:hAnsi="Arial"/>
          <w:sz w:val="18"/>
          <w:szCs w:val="18"/>
          <w:color w:val="auto"/>
        </w:rPr>
        <w:t>28 -</w:t>
      </w:r>
    </w:p>
    <w:p>
      <w:pPr>
        <w:sectPr>
          <w:pgSz w:w="11900" w:h="16838" w:orient="portrait"/>
          <w:cols w:equalWidth="0" w:num="1">
            <w:col w:w="11360"/>
          </w:cols>
          <w:pgMar w:left="240" w:top="648" w:right="299" w:bottom="1440" w:gutter="0" w:footer="0" w:header="0"/>
        </w:sectPr>
      </w:pPr>
    </w:p>
    <w:bookmarkStart w:id="28" w:name="page29"/>
    <w:bookmarkEnd w:id="28"/>
    <w:p>
      <w:pPr>
        <w:ind w:left="980" w:hanging="364"/>
        <w:spacing w:after="0"/>
        <w:tabs>
          <w:tab w:leader="none" w:pos="980" w:val="left"/>
        </w:tabs>
        <w:numPr>
          <w:ilvl w:val="0"/>
          <w:numId w:val="24"/>
        </w:numPr>
        <w:rPr>
          <w:rFonts w:ascii="Arial" w:cs="Arial" w:eastAsia="Arial" w:hAnsi="Arial"/>
          <w:sz w:val="18"/>
          <w:szCs w:val="18"/>
          <w:color w:val="auto"/>
        </w:rPr>
      </w:pPr>
      <w:r>
        <w:rPr>
          <w:rFonts w:ascii="Arial" w:cs="Arial" w:eastAsia="Arial" w:hAnsi="Arial"/>
          <w:sz w:val="18"/>
          <w:szCs w:val="18"/>
          <w:color w:val="auto"/>
        </w:rPr>
        <w:t>raw material prices;</w:t>
      </w:r>
    </w:p>
    <w:p>
      <w:pPr>
        <w:spacing w:after="0" w:line="117" w:lineRule="exact"/>
        <w:rPr>
          <w:rFonts w:ascii="Arial" w:cs="Arial" w:eastAsia="Arial" w:hAnsi="Arial"/>
          <w:sz w:val="18"/>
          <w:szCs w:val="18"/>
          <w:color w:val="auto"/>
        </w:rPr>
      </w:pPr>
    </w:p>
    <w:p>
      <w:pPr>
        <w:ind w:left="980" w:hanging="364"/>
        <w:spacing w:after="0"/>
        <w:tabs>
          <w:tab w:leader="none" w:pos="980" w:val="left"/>
        </w:tabs>
        <w:numPr>
          <w:ilvl w:val="0"/>
          <w:numId w:val="24"/>
        </w:numPr>
        <w:rPr>
          <w:rFonts w:ascii="Arial" w:cs="Arial" w:eastAsia="Arial" w:hAnsi="Arial"/>
          <w:sz w:val="18"/>
          <w:szCs w:val="18"/>
          <w:color w:val="auto"/>
        </w:rPr>
      </w:pPr>
      <w:r>
        <w:rPr>
          <w:rFonts w:ascii="Arial" w:cs="Arial" w:eastAsia="Arial" w:hAnsi="Arial"/>
          <w:sz w:val="18"/>
          <w:szCs w:val="18"/>
          <w:color w:val="auto"/>
        </w:rPr>
        <w:t>energy prices;</w:t>
      </w:r>
    </w:p>
    <w:p>
      <w:pPr>
        <w:spacing w:after="0" w:line="117" w:lineRule="exact"/>
        <w:rPr>
          <w:rFonts w:ascii="Arial" w:cs="Arial" w:eastAsia="Arial" w:hAnsi="Arial"/>
          <w:sz w:val="18"/>
          <w:szCs w:val="18"/>
          <w:color w:val="auto"/>
        </w:rPr>
      </w:pPr>
    </w:p>
    <w:p>
      <w:pPr>
        <w:ind w:left="980" w:hanging="364"/>
        <w:spacing w:after="0"/>
        <w:tabs>
          <w:tab w:leader="none" w:pos="980" w:val="left"/>
        </w:tabs>
        <w:numPr>
          <w:ilvl w:val="0"/>
          <w:numId w:val="24"/>
        </w:numPr>
        <w:rPr>
          <w:rFonts w:ascii="Arial" w:cs="Arial" w:eastAsia="Arial" w:hAnsi="Arial"/>
          <w:sz w:val="18"/>
          <w:szCs w:val="18"/>
          <w:color w:val="auto"/>
        </w:rPr>
      </w:pPr>
      <w:r>
        <w:rPr>
          <w:rFonts w:ascii="Arial" w:cs="Arial" w:eastAsia="Arial" w:hAnsi="Arial"/>
          <w:sz w:val="18"/>
          <w:szCs w:val="18"/>
          <w:color w:val="auto"/>
        </w:rPr>
        <w:t>the effect of weather, including the continuing drought in California;</w:t>
      </w:r>
    </w:p>
    <w:p>
      <w:pPr>
        <w:spacing w:after="0" w:line="117" w:lineRule="exact"/>
        <w:rPr>
          <w:rFonts w:ascii="Arial" w:cs="Arial" w:eastAsia="Arial" w:hAnsi="Arial"/>
          <w:sz w:val="18"/>
          <w:szCs w:val="18"/>
          <w:color w:val="auto"/>
        </w:rPr>
      </w:pPr>
    </w:p>
    <w:p>
      <w:pPr>
        <w:ind w:left="980" w:hanging="364"/>
        <w:spacing w:after="0"/>
        <w:tabs>
          <w:tab w:leader="none" w:pos="980" w:val="left"/>
        </w:tabs>
        <w:numPr>
          <w:ilvl w:val="0"/>
          <w:numId w:val="24"/>
        </w:numPr>
        <w:rPr>
          <w:rFonts w:ascii="Arial" w:cs="Arial" w:eastAsia="Arial" w:hAnsi="Arial"/>
          <w:sz w:val="17"/>
          <w:szCs w:val="17"/>
          <w:color w:val="auto"/>
        </w:rPr>
      </w:pPr>
      <w:r>
        <w:rPr>
          <w:rFonts w:ascii="Arial" w:cs="Arial" w:eastAsia="Arial" w:hAnsi="Arial"/>
          <w:sz w:val="17"/>
          <w:szCs w:val="17"/>
          <w:color w:val="auto"/>
        </w:rPr>
        <w:t>the risk of loss from earthquakes, volcanoes, fires, floods, droughts, windstorms, hurricanes, pest infestations and other natural disasters;</w:t>
      </w:r>
    </w:p>
    <w:p>
      <w:pPr>
        <w:spacing w:after="0" w:line="128" w:lineRule="exact"/>
        <w:rPr>
          <w:rFonts w:ascii="Arial" w:cs="Arial" w:eastAsia="Arial" w:hAnsi="Arial"/>
          <w:sz w:val="17"/>
          <w:szCs w:val="17"/>
          <w:color w:val="auto"/>
        </w:rPr>
      </w:pPr>
    </w:p>
    <w:p>
      <w:pPr>
        <w:ind w:left="980" w:hanging="364"/>
        <w:spacing w:after="0"/>
        <w:tabs>
          <w:tab w:leader="none" w:pos="980" w:val="left"/>
        </w:tabs>
        <w:numPr>
          <w:ilvl w:val="0"/>
          <w:numId w:val="24"/>
        </w:numPr>
        <w:rPr>
          <w:rFonts w:ascii="Arial" w:cs="Arial" w:eastAsia="Arial" w:hAnsi="Arial"/>
          <w:sz w:val="18"/>
          <w:szCs w:val="18"/>
          <w:color w:val="auto"/>
        </w:rPr>
      </w:pPr>
      <w:r>
        <w:rPr>
          <w:rFonts w:ascii="Arial" w:cs="Arial" w:eastAsia="Arial" w:hAnsi="Arial"/>
          <w:sz w:val="18"/>
          <w:szCs w:val="18"/>
          <w:color w:val="auto"/>
        </w:rPr>
        <w:t>transportation costs;</w:t>
      </w:r>
    </w:p>
    <w:p>
      <w:pPr>
        <w:spacing w:after="0" w:line="117" w:lineRule="exact"/>
        <w:rPr>
          <w:rFonts w:ascii="Arial" w:cs="Arial" w:eastAsia="Arial" w:hAnsi="Arial"/>
          <w:sz w:val="18"/>
          <w:szCs w:val="18"/>
          <w:color w:val="auto"/>
        </w:rPr>
      </w:pPr>
    </w:p>
    <w:p>
      <w:pPr>
        <w:ind w:left="980" w:hanging="364"/>
        <w:spacing w:after="0"/>
        <w:tabs>
          <w:tab w:leader="none" w:pos="980" w:val="left"/>
        </w:tabs>
        <w:numPr>
          <w:ilvl w:val="0"/>
          <w:numId w:val="24"/>
        </w:numPr>
        <w:rPr>
          <w:rFonts w:ascii="Arial" w:cs="Arial" w:eastAsia="Arial" w:hAnsi="Arial"/>
          <w:sz w:val="18"/>
          <w:szCs w:val="18"/>
          <w:color w:val="auto"/>
        </w:rPr>
      </w:pPr>
      <w:r>
        <w:rPr>
          <w:rFonts w:ascii="Arial" w:cs="Arial" w:eastAsia="Arial" w:hAnsi="Arial"/>
          <w:sz w:val="18"/>
          <w:szCs w:val="18"/>
          <w:color w:val="auto"/>
        </w:rPr>
        <w:t>federal and state tax policies;</w:t>
      </w:r>
    </w:p>
    <w:p>
      <w:pPr>
        <w:spacing w:after="0" w:line="117" w:lineRule="exact"/>
        <w:rPr>
          <w:rFonts w:ascii="Arial" w:cs="Arial" w:eastAsia="Arial" w:hAnsi="Arial"/>
          <w:sz w:val="18"/>
          <w:szCs w:val="18"/>
          <w:color w:val="auto"/>
        </w:rPr>
      </w:pPr>
    </w:p>
    <w:p>
      <w:pPr>
        <w:ind w:left="980" w:hanging="364"/>
        <w:spacing w:after="0"/>
        <w:tabs>
          <w:tab w:leader="none" w:pos="980" w:val="left"/>
        </w:tabs>
        <w:numPr>
          <w:ilvl w:val="0"/>
          <w:numId w:val="24"/>
        </w:numPr>
        <w:rPr>
          <w:rFonts w:ascii="Arial" w:cs="Arial" w:eastAsia="Arial" w:hAnsi="Arial"/>
          <w:sz w:val="18"/>
          <w:szCs w:val="18"/>
          <w:color w:val="auto"/>
        </w:rPr>
      </w:pPr>
      <w:r>
        <w:rPr>
          <w:rFonts w:ascii="Arial" w:cs="Arial" w:eastAsia="Arial" w:hAnsi="Arial"/>
          <w:sz w:val="18"/>
          <w:szCs w:val="18"/>
          <w:color w:val="auto"/>
        </w:rPr>
        <w:t>the effect of land use, environment and other governmental regulations;</w:t>
      </w:r>
    </w:p>
    <w:p>
      <w:pPr>
        <w:spacing w:after="0" w:line="117" w:lineRule="exact"/>
        <w:rPr>
          <w:rFonts w:ascii="Arial" w:cs="Arial" w:eastAsia="Arial" w:hAnsi="Arial"/>
          <w:sz w:val="18"/>
          <w:szCs w:val="18"/>
          <w:color w:val="auto"/>
        </w:rPr>
      </w:pPr>
    </w:p>
    <w:p>
      <w:pPr>
        <w:ind w:left="980" w:hanging="364"/>
        <w:spacing w:after="0"/>
        <w:tabs>
          <w:tab w:leader="none" w:pos="980" w:val="left"/>
        </w:tabs>
        <w:numPr>
          <w:ilvl w:val="0"/>
          <w:numId w:val="24"/>
        </w:numPr>
        <w:rPr>
          <w:rFonts w:ascii="Arial" w:cs="Arial" w:eastAsia="Arial" w:hAnsi="Arial"/>
          <w:sz w:val="18"/>
          <w:szCs w:val="18"/>
          <w:color w:val="auto"/>
        </w:rPr>
      </w:pPr>
      <w:r>
        <w:rPr>
          <w:rFonts w:ascii="Arial" w:cs="Arial" w:eastAsia="Arial" w:hAnsi="Arial"/>
          <w:sz w:val="18"/>
          <w:szCs w:val="18"/>
          <w:color w:val="auto"/>
        </w:rPr>
        <w:t>legal proceedings;</w:t>
      </w:r>
    </w:p>
    <w:p>
      <w:pPr>
        <w:spacing w:after="0" w:line="117" w:lineRule="exact"/>
        <w:rPr>
          <w:rFonts w:ascii="Arial" w:cs="Arial" w:eastAsia="Arial" w:hAnsi="Arial"/>
          <w:sz w:val="18"/>
          <w:szCs w:val="18"/>
          <w:color w:val="auto"/>
        </w:rPr>
      </w:pPr>
    </w:p>
    <w:p>
      <w:pPr>
        <w:ind w:left="980" w:right="700" w:hanging="364"/>
        <w:spacing w:after="0" w:line="277" w:lineRule="auto"/>
        <w:tabs>
          <w:tab w:leader="none" w:pos="980" w:val="left"/>
        </w:tabs>
        <w:numPr>
          <w:ilvl w:val="0"/>
          <w:numId w:val="24"/>
        </w:numPr>
        <w:rPr>
          <w:rFonts w:ascii="Arial" w:cs="Arial" w:eastAsia="Arial" w:hAnsi="Arial"/>
          <w:sz w:val="18"/>
          <w:szCs w:val="18"/>
          <w:color w:val="auto"/>
        </w:rPr>
      </w:pPr>
      <w:r>
        <w:rPr>
          <w:rFonts w:ascii="Arial" w:cs="Arial" w:eastAsia="Arial" w:hAnsi="Arial"/>
          <w:sz w:val="18"/>
          <w:szCs w:val="18"/>
          <w:color w:val="auto"/>
        </w:rPr>
        <w:t>risks relating to any unforeseen changes to or effects on liabilities, future capital expenditures, revenues, expenses, earnings, synergies, indebtedness, financial condition, losses and future prospects;</w:t>
      </w:r>
    </w:p>
    <w:p>
      <w:pPr>
        <w:spacing w:after="0" w:line="62" w:lineRule="exact"/>
        <w:rPr>
          <w:rFonts w:ascii="Arial" w:cs="Arial" w:eastAsia="Arial" w:hAnsi="Arial"/>
          <w:sz w:val="18"/>
          <w:szCs w:val="18"/>
          <w:color w:val="auto"/>
        </w:rPr>
      </w:pPr>
    </w:p>
    <w:p>
      <w:pPr>
        <w:ind w:left="980" w:hanging="364"/>
        <w:spacing w:after="0"/>
        <w:tabs>
          <w:tab w:leader="none" w:pos="980" w:val="left"/>
        </w:tabs>
        <w:numPr>
          <w:ilvl w:val="0"/>
          <w:numId w:val="24"/>
        </w:numPr>
        <w:rPr>
          <w:rFonts w:ascii="Arial" w:cs="Arial" w:eastAsia="Arial" w:hAnsi="Arial"/>
          <w:sz w:val="18"/>
          <w:szCs w:val="18"/>
          <w:color w:val="auto"/>
        </w:rPr>
      </w:pPr>
      <w:r>
        <w:rPr>
          <w:rFonts w:ascii="Arial" w:cs="Arial" w:eastAsia="Arial" w:hAnsi="Arial"/>
          <w:sz w:val="18"/>
          <w:szCs w:val="18"/>
          <w:color w:val="auto"/>
        </w:rPr>
        <w:t>the risk that disruptions from the transaction with WRECO will harm our business;</w:t>
      </w:r>
    </w:p>
    <w:p>
      <w:pPr>
        <w:spacing w:after="0" w:line="117" w:lineRule="exact"/>
        <w:rPr>
          <w:rFonts w:ascii="Arial" w:cs="Arial" w:eastAsia="Arial" w:hAnsi="Arial"/>
          <w:sz w:val="18"/>
          <w:szCs w:val="18"/>
          <w:color w:val="auto"/>
        </w:rPr>
      </w:pPr>
    </w:p>
    <w:p>
      <w:pPr>
        <w:ind w:left="980" w:hanging="364"/>
        <w:spacing w:after="0"/>
        <w:tabs>
          <w:tab w:leader="none" w:pos="980" w:val="left"/>
        </w:tabs>
        <w:numPr>
          <w:ilvl w:val="0"/>
          <w:numId w:val="24"/>
        </w:numPr>
        <w:rPr>
          <w:rFonts w:ascii="Arial" w:cs="Arial" w:eastAsia="Arial" w:hAnsi="Arial"/>
          <w:sz w:val="18"/>
          <w:szCs w:val="18"/>
          <w:color w:val="auto"/>
        </w:rPr>
      </w:pPr>
      <w:r>
        <w:rPr>
          <w:rFonts w:ascii="Arial" w:cs="Arial" w:eastAsia="Arial" w:hAnsi="Arial"/>
          <w:sz w:val="18"/>
          <w:szCs w:val="18"/>
          <w:color w:val="auto"/>
        </w:rPr>
        <w:t>our ability to achieve the benefits of the transaction with WRECO in the estimated amount and the anticipated timeframe, if at all;</w:t>
      </w:r>
    </w:p>
    <w:p>
      <w:pPr>
        <w:spacing w:after="0" w:line="117" w:lineRule="exact"/>
        <w:rPr>
          <w:rFonts w:ascii="Arial" w:cs="Arial" w:eastAsia="Arial" w:hAnsi="Arial"/>
          <w:sz w:val="18"/>
          <w:szCs w:val="18"/>
          <w:color w:val="auto"/>
        </w:rPr>
      </w:pPr>
    </w:p>
    <w:p>
      <w:pPr>
        <w:ind w:left="980" w:hanging="364"/>
        <w:spacing w:after="0"/>
        <w:tabs>
          <w:tab w:leader="none" w:pos="980" w:val="left"/>
        </w:tabs>
        <w:numPr>
          <w:ilvl w:val="0"/>
          <w:numId w:val="24"/>
        </w:numPr>
        <w:rPr>
          <w:rFonts w:ascii="Arial" w:cs="Arial" w:eastAsia="Arial" w:hAnsi="Arial"/>
          <w:sz w:val="18"/>
          <w:szCs w:val="18"/>
          <w:color w:val="auto"/>
        </w:rPr>
      </w:pPr>
      <w:r>
        <w:rPr>
          <w:rFonts w:ascii="Arial" w:cs="Arial" w:eastAsia="Arial" w:hAnsi="Arial"/>
          <w:sz w:val="18"/>
          <w:szCs w:val="18"/>
          <w:color w:val="auto"/>
        </w:rPr>
        <w:t>our ability to integrate WRECO successfully and to achieve the anticipated synergies therefrom;</w:t>
      </w:r>
    </w:p>
    <w:p>
      <w:pPr>
        <w:spacing w:after="0" w:line="117" w:lineRule="exact"/>
        <w:rPr>
          <w:rFonts w:ascii="Arial" w:cs="Arial" w:eastAsia="Arial" w:hAnsi="Arial"/>
          <w:sz w:val="18"/>
          <w:szCs w:val="18"/>
          <w:color w:val="auto"/>
        </w:rPr>
      </w:pPr>
    </w:p>
    <w:p>
      <w:pPr>
        <w:ind w:left="980" w:hanging="364"/>
        <w:spacing w:after="0"/>
        <w:tabs>
          <w:tab w:leader="none" w:pos="980" w:val="left"/>
        </w:tabs>
        <w:numPr>
          <w:ilvl w:val="0"/>
          <w:numId w:val="24"/>
        </w:numPr>
        <w:rPr>
          <w:rFonts w:ascii="Arial" w:cs="Arial" w:eastAsia="Arial" w:hAnsi="Arial"/>
          <w:sz w:val="18"/>
          <w:szCs w:val="18"/>
          <w:color w:val="auto"/>
        </w:rPr>
      </w:pPr>
      <w:r>
        <w:rPr>
          <w:rFonts w:ascii="Arial" w:cs="Arial" w:eastAsia="Arial" w:hAnsi="Arial"/>
          <w:sz w:val="18"/>
          <w:szCs w:val="18"/>
          <w:color w:val="auto"/>
        </w:rPr>
        <w:t>change in accounting principles;</w:t>
      </w:r>
    </w:p>
    <w:p>
      <w:pPr>
        <w:spacing w:after="0" w:line="117" w:lineRule="exact"/>
        <w:rPr>
          <w:rFonts w:ascii="Arial" w:cs="Arial" w:eastAsia="Arial" w:hAnsi="Arial"/>
          <w:sz w:val="18"/>
          <w:szCs w:val="18"/>
          <w:color w:val="auto"/>
        </w:rPr>
      </w:pPr>
    </w:p>
    <w:p>
      <w:pPr>
        <w:ind w:left="980" w:right="280" w:hanging="364"/>
        <w:spacing w:after="0" w:line="277" w:lineRule="auto"/>
        <w:tabs>
          <w:tab w:leader="none" w:pos="980" w:val="left"/>
        </w:tabs>
        <w:numPr>
          <w:ilvl w:val="0"/>
          <w:numId w:val="24"/>
        </w:numPr>
        <w:rPr>
          <w:rFonts w:ascii="Arial" w:cs="Arial" w:eastAsia="Arial" w:hAnsi="Arial"/>
          <w:sz w:val="18"/>
          <w:szCs w:val="18"/>
          <w:color w:val="auto"/>
        </w:rPr>
      </w:pPr>
      <w:r>
        <w:rPr>
          <w:rFonts w:ascii="Arial" w:cs="Arial" w:eastAsia="Arial" w:hAnsi="Arial"/>
          <w:sz w:val="18"/>
          <w:szCs w:val="18"/>
          <w:color w:val="auto"/>
        </w:rPr>
        <w:t>risks related to unauthorized access to our computer systems, theft of our customer’s confidential information or other forms of cyber-attack; and</w:t>
      </w:r>
    </w:p>
    <w:p>
      <w:pPr>
        <w:spacing w:after="0" w:line="62" w:lineRule="exact"/>
        <w:rPr>
          <w:rFonts w:ascii="Arial" w:cs="Arial" w:eastAsia="Arial" w:hAnsi="Arial"/>
          <w:sz w:val="18"/>
          <w:szCs w:val="18"/>
          <w:color w:val="auto"/>
        </w:rPr>
      </w:pPr>
    </w:p>
    <w:p>
      <w:pPr>
        <w:ind w:left="980" w:hanging="364"/>
        <w:spacing w:after="0"/>
        <w:tabs>
          <w:tab w:leader="none" w:pos="980" w:val="left"/>
        </w:tabs>
        <w:numPr>
          <w:ilvl w:val="0"/>
          <w:numId w:val="24"/>
        </w:numPr>
        <w:rPr>
          <w:rFonts w:ascii="Arial" w:cs="Arial" w:eastAsia="Arial" w:hAnsi="Arial"/>
          <w:sz w:val="18"/>
          <w:szCs w:val="18"/>
          <w:color w:val="auto"/>
        </w:rPr>
      </w:pPr>
      <w:r>
        <w:rPr>
          <w:rFonts w:ascii="Arial" w:cs="Arial" w:eastAsia="Arial" w:hAnsi="Arial"/>
          <w:sz w:val="18"/>
          <w:szCs w:val="18"/>
          <w:color w:val="auto"/>
        </w:rPr>
        <w:t>other factors described in “Risk Factors.”</w:t>
      </w:r>
    </w:p>
    <w:p>
      <w:pPr>
        <w:spacing w:after="0" w:line="225" w:lineRule="exact"/>
        <w:rPr>
          <w:sz w:val="20"/>
          <w:szCs w:val="20"/>
          <w:color w:val="auto"/>
        </w:rPr>
      </w:pPr>
    </w:p>
    <w:p>
      <w:pPr>
        <w:ind w:firstLine="518"/>
        <w:spacing w:after="0" w:line="270" w:lineRule="auto"/>
        <w:rPr>
          <w:sz w:val="20"/>
          <w:szCs w:val="20"/>
          <w:color w:val="auto"/>
        </w:rPr>
      </w:pPr>
      <w:r>
        <w:rPr>
          <w:rFonts w:ascii="Arial" w:cs="Arial" w:eastAsia="Arial" w:hAnsi="Arial"/>
          <w:sz w:val="17"/>
          <w:szCs w:val="17"/>
          <w:color w:val="auto"/>
        </w:rPr>
        <w:t>Unless the context otherwise requires, the terms “we,” “us,” “our,” “TRI Pointe” and “the Company” refer to TRI Pointe Homes, Inc. and its consolidated subsidiaries. The following discussion and analysis should be read in conjunction with our unaudited consolidated financial statements and related notes thereto contained elsewhere in this report. The information contained in this Quarterly Report on Form 10-Q is not a complete description of our business or the risks associated with an investment in our securities. We urge you to carefully review and consider the various disclosures made by us in this report and in our other reports filed with the Securities and Exchange Commission (“SEC”), including our Annual Report on Form 10-K for the year ended December 31, 2014 and subsequent reports on Form 8-K, which discuss our business in greater detail. The section entitled “Risk Factors” set forth in Item 1A of our Annual Report on Form 10-K, and similar disclosures in our other SEC filings, discuss some of the important risk factors that may affect our business, results of operations and financial condition. You should carefully consider those risks, in addition to the information in this report and in our other filings with the SEC, before deciding to invest in, or maintain your investment in, our common stock.</w:t>
      </w:r>
    </w:p>
    <w:p>
      <w:pPr>
        <w:spacing w:after="0" w:line="290" w:lineRule="exact"/>
        <w:rPr>
          <w:sz w:val="20"/>
          <w:szCs w:val="20"/>
          <w:color w:val="auto"/>
        </w:rPr>
      </w:pPr>
    </w:p>
    <w:p>
      <w:pPr>
        <w:ind w:left="520"/>
        <w:spacing w:after="0"/>
        <w:rPr>
          <w:sz w:val="20"/>
          <w:szCs w:val="20"/>
          <w:color w:val="auto"/>
        </w:rPr>
      </w:pPr>
      <w:r>
        <w:rPr>
          <w:rFonts w:ascii="Arial" w:cs="Arial" w:eastAsia="Arial" w:hAnsi="Arial"/>
          <w:sz w:val="18"/>
          <w:szCs w:val="18"/>
          <w:b w:val="1"/>
          <w:bCs w:val="1"/>
          <w:i w:val="1"/>
          <w:iCs w:val="1"/>
          <w:color w:val="auto"/>
        </w:rPr>
        <w:t>Reverse Acquisition</w:t>
      </w:r>
    </w:p>
    <w:p>
      <w:pPr>
        <w:spacing w:after="0" w:line="117" w:lineRule="exact"/>
        <w:rPr>
          <w:sz w:val="20"/>
          <w:szCs w:val="20"/>
          <w:color w:val="auto"/>
        </w:rPr>
      </w:pPr>
    </w:p>
    <w:p>
      <w:pPr>
        <w:ind w:right="60" w:firstLine="518"/>
        <w:spacing w:after="0" w:line="290" w:lineRule="auto"/>
        <w:rPr>
          <w:sz w:val="20"/>
          <w:szCs w:val="20"/>
          <w:color w:val="auto"/>
        </w:rPr>
      </w:pPr>
      <w:r>
        <w:rPr>
          <w:rFonts w:ascii="Arial" w:cs="Arial" w:eastAsia="Arial" w:hAnsi="Arial"/>
          <w:sz w:val="16"/>
          <w:szCs w:val="16"/>
          <w:color w:val="auto"/>
        </w:rPr>
        <w:t xml:space="preserve">On July 7, 2014 (the “Closing Date”), TRI Pointe Homes, Inc. consummated the previously announced merger (the “Merger”) of our wholly owned subsidiary, Topaz Acquisition, Inc. (“Merger Sub”), with and into Weyerhaeuser Real Estate Company (“WRECO”), with WRECO surviving the Merger and becoming our wholly owned subsidiary, as contemplated by the Transaction Agreement, dated as of November 3, 2013 (the “Transaction Agreement”), by and among us, Weyerhaeuser Company (“Weyerhaeuser”), the Company, WRECO and Merger Sub. The Merger is accounted for in accordance with ASC Topic 805, </w:t>
      </w:r>
      <w:r>
        <w:rPr>
          <w:rFonts w:ascii="Arial" w:cs="Arial" w:eastAsia="Arial" w:hAnsi="Arial"/>
          <w:sz w:val="16"/>
          <w:szCs w:val="16"/>
          <w:i w:val="1"/>
          <w:iCs w:val="1"/>
          <w:color w:val="auto"/>
        </w:rPr>
        <w:t>Business Combinations</w:t>
      </w:r>
      <w:r>
        <w:rPr>
          <w:rFonts w:ascii="Arial" w:cs="Arial" w:eastAsia="Arial" w:hAnsi="Arial"/>
          <w:sz w:val="16"/>
          <w:szCs w:val="16"/>
          <w:color w:val="auto"/>
        </w:rPr>
        <w:t xml:space="preserve"> (“ASC 805”). For accounting purposes, the Merger is treated as a “reverse acquisition” and WRECO is considered the accounting acquirer. Accordingly, WRECO is reflected as the predecessor and acquirer and therefore the accompanying consolidated financial statements reflect the historical consolidated financial statements of WRECO for all periods presented and do not include the historical financial statements of TRI Pointe prior to the Closing Date. Subsequent to the Closing Date, the consolidated financial statements reflect the results of the combined company.</w:t>
      </w:r>
    </w:p>
    <w:p>
      <w:pPr>
        <w:spacing w:after="0" w:line="166" w:lineRule="exact"/>
        <w:rPr>
          <w:sz w:val="20"/>
          <w:szCs w:val="20"/>
          <w:color w:val="auto"/>
        </w:rPr>
      </w:pPr>
    </w:p>
    <w:p>
      <w:pPr>
        <w:ind w:right="220" w:firstLine="518"/>
        <w:spacing w:after="0" w:line="219" w:lineRule="exact"/>
        <w:rPr>
          <w:sz w:val="20"/>
          <w:szCs w:val="20"/>
          <w:color w:val="auto"/>
        </w:rPr>
      </w:pPr>
      <w:r>
        <w:rPr>
          <w:rFonts w:ascii="Arial" w:cs="Arial" w:eastAsia="Arial" w:hAnsi="Arial"/>
          <w:sz w:val="18"/>
          <w:szCs w:val="18"/>
          <w:color w:val="auto"/>
        </w:rPr>
        <w:t xml:space="preserve">For further information on the Merger, see Note 2, </w:t>
      </w:r>
      <w:r>
        <w:rPr>
          <w:rFonts w:ascii="Arial" w:cs="Arial" w:eastAsia="Arial" w:hAnsi="Arial"/>
          <w:sz w:val="18"/>
          <w:szCs w:val="18"/>
          <w:i w:val="1"/>
          <w:iCs w:val="1"/>
          <w:color w:val="auto"/>
        </w:rPr>
        <w:t>Merger with Weyerhaeuser Real Estate Company</w:t>
      </w:r>
      <w:r>
        <w:rPr>
          <w:rFonts w:ascii="Arial" w:cs="Arial" w:eastAsia="Arial" w:hAnsi="Arial"/>
          <w:sz w:val="18"/>
          <w:szCs w:val="18"/>
          <w:color w:val="auto"/>
        </w:rPr>
        <w:t>, of the condensed notes to the unaudited consolidated financial statements included in Part I, Item 1 of this Quarterly Report on Form 10</w:t>
      </w:r>
      <w:r>
        <w:rPr>
          <w:rFonts w:ascii="MS PGothic" w:cs="MS PGothic" w:eastAsia="MS PGothic" w:hAnsi="MS PGothic"/>
          <w:sz w:val="18"/>
          <w:szCs w:val="18"/>
          <w:color w:val="auto"/>
        </w:rPr>
        <w:t>‑</w:t>
      </w:r>
      <w:r>
        <w:rPr>
          <w:rFonts w:ascii="Arial" w:cs="Arial" w:eastAsia="Arial" w:hAnsi="Arial"/>
          <w:sz w:val="18"/>
          <w:szCs w:val="18"/>
          <w:color w:val="auto"/>
        </w:rPr>
        <w:t>Q. In the Merger, each issued and outstanding WRECO common share was converted into 1.297 shares of TRI Pointe common stock. The historical issued and outstanding WRECO common shares (100,000,000 common shares for all periods presented prior to the Merger) have been recast (as 129,700,000 common shares of the Company for all periods prior to the Merger) in all periods presented to reflect this conversion.</w:t>
      </w:r>
    </w:p>
    <w:p>
      <w:pPr>
        <w:spacing w:after="0" w:line="200" w:lineRule="exact"/>
        <w:rPr>
          <w:sz w:val="20"/>
          <w:szCs w:val="20"/>
          <w:color w:val="auto"/>
        </w:rPr>
      </w:pPr>
    </w:p>
    <w:p>
      <w:pPr>
        <w:spacing w:after="0" w:line="249"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- 29 -</w:t>
      </w:r>
    </w:p>
    <w:p>
      <w:pPr>
        <w:sectPr>
          <w:pgSz w:w="11900" w:h="16838" w:orient="portrait"/>
          <w:cols w:equalWidth="0" w:num="1">
            <w:col w:w="11400"/>
          </w:cols>
          <w:pgMar w:left="240" w:top="247" w:right="259" w:bottom="1440" w:gutter="0" w:footer="0" w:header="0"/>
        </w:sectPr>
      </w:pPr>
    </w:p>
    <w:bookmarkStart w:id="29" w:name="page30"/>
    <w:bookmarkEnd w:id="29"/>
    <w:p>
      <w:pPr>
        <w:spacing w:after="0"/>
        <w:rPr>
          <w:sz w:val="20"/>
          <w:szCs w:val="20"/>
          <w:color w:val="auto"/>
        </w:rPr>
      </w:pPr>
      <w:r>
        <w:rPr>
          <w:rFonts w:ascii="Arial" w:cs="Arial" w:eastAsia="Arial" w:hAnsi="Arial"/>
          <w:sz w:val="18"/>
          <w:szCs w:val="18"/>
          <w:b w:val="1"/>
          <w:bCs w:val="1"/>
          <w:color w:val="auto"/>
        </w:rPr>
        <w:t>Consolidated Financial Data (in thousands, except per share amounts):</w:t>
      </w:r>
    </w:p>
    <w:p>
      <w:pPr>
        <w:spacing w:after="0" w:line="302" w:lineRule="exact"/>
        <w:rPr>
          <w:sz w:val="20"/>
          <w:szCs w:val="20"/>
          <w:color w:val="auto"/>
        </w:rPr>
      </w:pPr>
    </w:p>
    <w:tbl>
      <w:tblPr>
        <w:tblLayout w:type="fixed"/>
        <w:tblInd w:w="0" w:type="dxa"/>
        <w:tblCellMar>
          <w:top w:w="0" w:type="dxa"/>
          <w:left w:w="0" w:type="dxa"/>
          <w:bottom w:w="0" w:type="dxa"/>
          <w:right w:w="0" w:type="dxa"/>
        </w:tblCellMar>
      </w:tblPr>
      <w:tr>
        <w:trPr>
          <w:trHeight w:val="162"/>
        </w:trPr>
        <w:tc>
          <w:tcPr>
            <w:tcW w:w="580" w:type="dxa"/>
            <w:vAlign w:val="bottom"/>
          </w:tcPr>
          <w:p>
            <w:pPr>
              <w:spacing w:after="0"/>
              <w:rPr>
                <w:sz w:val="14"/>
                <w:szCs w:val="14"/>
                <w:color w:val="auto"/>
              </w:rPr>
            </w:pPr>
          </w:p>
        </w:tc>
        <w:tc>
          <w:tcPr>
            <w:tcW w:w="15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2160" w:type="dxa"/>
            <w:vAlign w:val="bottom"/>
            <w:gridSpan w:val="7"/>
          </w:tcPr>
          <w:p>
            <w:pPr>
              <w:jc w:val="right"/>
              <w:ind w:right="440"/>
              <w:spacing w:after="0"/>
              <w:rPr>
                <w:sz w:val="20"/>
                <w:szCs w:val="20"/>
                <w:color w:val="auto"/>
              </w:rPr>
            </w:pPr>
            <w:r>
              <w:rPr>
                <w:rFonts w:ascii="Arial" w:cs="Arial" w:eastAsia="Arial" w:hAnsi="Arial"/>
                <w:sz w:val="14"/>
                <w:szCs w:val="14"/>
                <w:b w:val="1"/>
                <w:bCs w:val="1"/>
                <w:color w:val="auto"/>
              </w:rPr>
              <w:t>Three Months Ended</w:t>
            </w:r>
          </w:p>
        </w:tc>
        <w:tc>
          <w:tcPr>
            <w:tcW w:w="10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71"/>
        </w:trPr>
        <w:tc>
          <w:tcPr>
            <w:tcW w:w="580" w:type="dxa"/>
            <w:vAlign w:val="bottom"/>
          </w:tcPr>
          <w:p>
            <w:pPr>
              <w:spacing w:after="0"/>
              <w:rPr>
                <w:sz w:val="14"/>
                <w:szCs w:val="14"/>
                <w:color w:val="auto"/>
              </w:rPr>
            </w:pPr>
          </w:p>
        </w:tc>
        <w:tc>
          <w:tcPr>
            <w:tcW w:w="15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220" w:type="dxa"/>
            <w:vAlign w:val="bottom"/>
            <w:tcBorders>
              <w:bottom w:val="single" w:sz="8" w:color="auto"/>
            </w:tcBorders>
          </w:tcPr>
          <w:p>
            <w:pPr>
              <w:spacing w:after="0"/>
              <w:rPr>
                <w:sz w:val="14"/>
                <w:szCs w:val="14"/>
                <w:color w:val="auto"/>
              </w:rPr>
            </w:pPr>
          </w:p>
        </w:tc>
        <w:tc>
          <w:tcPr>
            <w:tcW w:w="220" w:type="dxa"/>
            <w:vAlign w:val="bottom"/>
            <w:tcBorders>
              <w:bottom w:val="single" w:sz="8" w:color="auto"/>
            </w:tcBorders>
          </w:tcPr>
          <w:p>
            <w:pPr>
              <w:spacing w:after="0"/>
              <w:rPr>
                <w:sz w:val="14"/>
                <w:szCs w:val="14"/>
                <w:color w:val="auto"/>
              </w:rPr>
            </w:pPr>
          </w:p>
        </w:tc>
        <w:tc>
          <w:tcPr>
            <w:tcW w:w="1500" w:type="dxa"/>
            <w:vAlign w:val="bottom"/>
            <w:tcBorders>
              <w:bottom w:val="single" w:sz="8" w:color="auto"/>
            </w:tcBorders>
            <w:gridSpan w:val="5"/>
          </w:tcPr>
          <w:p>
            <w:pPr>
              <w:jc w:val="right"/>
              <w:ind w:right="42"/>
              <w:spacing w:after="0"/>
              <w:rPr>
                <w:sz w:val="20"/>
                <w:szCs w:val="20"/>
                <w:color w:val="auto"/>
              </w:rPr>
            </w:pPr>
            <w:r>
              <w:rPr>
                <w:rFonts w:ascii="Arial" w:cs="Arial" w:eastAsia="Arial" w:hAnsi="Arial"/>
                <w:sz w:val="14"/>
                <w:szCs w:val="14"/>
                <w:b w:val="1"/>
                <w:bCs w:val="1"/>
                <w:color w:val="auto"/>
              </w:rPr>
              <w:t>March 31,</w:t>
            </w:r>
          </w:p>
        </w:tc>
        <w:tc>
          <w:tcPr>
            <w:tcW w:w="420" w:type="dxa"/>
            <w:vAlign w:val="bottom"/>
            <w:tcBorders>
              <w:bottom w:val="single" w:sz="8" w:color="auto"/>
            </w:tcBorders>
          </w:tcPr>
          <w:p>
            <w:pPr>
              <w:spacing w:after="0"/>
              <w:rPr>
                <w:sz w:val="14"/>
                <w:szCs w:val="14"/>
                <w:color w:val="auto"/>
              </w:rPr>
            </w:pPr>
          </w:p>
        </w:tc>
        <w:tc>
          <w:tcPr>
            <w:tcW w:w="24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340" w:type="dxa"/>
            <w:vAlign w:val="bottom"/>
            <w:tcBorders>
              <w:bottom w:val="single" w:sz="8" w:color="auto"/>
            </w:tcBorders>
          </w:tcPr>
          <w:p>
            <w:pPr>
              <w:spacing w:after="0"/>
              <w:rPr>
                <w:sz w:val="14"/>
                <w:szCs w:val="14"/>
                <w:color w:val="auto"/>
              </w:rPr>
            </w:pPr>
          </w:p>
        </w:tc>
        <w:tc>
          <w:tcPr>
            <w:tcW w:w="12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56"/>
        </w:trPr>
        <w:tc>
          <w:tcPr>
            <w:tcW w:w="580" w:type="dxa"/>
            <w:vAlign w:val="bottom"/>
          </w:tcPr>
          <w:p>
            <w:pPr>
              <w:spacing w:after="0"/>
              <w:rPr>
                <w:sz w:val="13"/>
                <w:szCs w:val="13"/>
                <w:color w:val="auto"/>
              </w:rPr>
            </w:pPr>
          </w:p>
        </w:tc>
        <w:tc>
          <w:tcPr>
            <w:tcW w:w="1540" w:type="dxa"/>
            <w:vAlign w:val="bottom"/>
            <w:tcBorders>
              <w:bottom w:val="single" w:sz="8" w:color="CFF0FC"/>
            </w:tcBorders>
          </w:tcPr>
          <w:p>
            <w:pPr>
              <w:spacing w:after="0"/>
              <w:rPr>
                <w:sz w:val="13"/>
                <w:szCs w:val="13"/>
                <w:color w:val="auto"/>
              </w:rPr>
            </w:pPr>
          </w:p>
        </w:tc>
        <w:tc>
          <w:tcPr>
            <w:tcW w:w="80" w:type="dxa"/>
            <w:vAlign w:val="bottom"/>
            <w:tcBorders>
              <w:bottom w:val="single" w:sz="8" w:color="CFF0FC"/>
            </w:tcBorders>
          </w:tcPr>
          <w:p>
            <w:pPr>
              <w:spacing w:after="0"/>
              <w:rPr>
                <w:sz w:val="13"/>
                <w:szCs w:val="13"/>
                <w:color w:val="auto"/>
              </w:rPr>
            </w:pPr>
          </w:p>
        </w:tc>
        <w:tc>
          <w:tcPr>
            <w:tcW w:w="680" w:type="dxa"/>
            <w:vAlign w:val="bottom"/>
            <w:tcBorders>
              <w:bottom w:val="single" w:sz="8" w:color="CFF0FC"/>
            </w:tcBorders>
          </w:tcPr>
          <w:p>
            <w:pPr>
              <w:spacing w:after="0"/>
              <w:rPr>
                <w:sz w:val="13"/>
                <w:szCs w:val="13"/>
                <w:color w:val="auto"/>
              </w:rPr>
            </w:pPr>
          </w:p>
        </w:tc>
        <w:tc>
          <w:tcPr>
            <w:tcW w:w="200" w:type="dxa"/>
            <w:vAlign w:val="bottom"/>
            <w:tcBorders>
              <w:bottom w:val="single" w:sz="8" w:color="CFF0FC"/>
            </w:tcBorders>
          </w:tcPr>
          <w:p>
            <w:pPr>
              <w:spacing w:after="0"/>
              <w:rPr>
                <w:sz w:val="13"/>
                <w:szCs w:val="13"/>
                <w:color w:val="auto"/>
              </w:rPr>
            </w:pPr>
          </w:p>
        </w:tc>
        <w:tc>
          <w:tcPr>
            <w:tcW w:w="840" w:type="dxa"/>
            <w:vAlign w:val="bottom"/>
            <w:tcBorders>
              <w:bottom w:val="single" w:sz="8" w:color="CFF0FC"/>
            </w:tcBorders>
          </w:tcPr>
          <w:p>
            <w:pPr>
              <w:spacing w:after="0"/>
              <w:rPr>
                <w:sz w:val="13"/>
                <w:szCs w:val="13"/>
                <w:color w:val="auto"/>
              </w:rPr>
            </w:pPr>
          </w:p>
        </w:tc>
        <w:tc>
          <w:tcPr>
            <w:tcW w:w="240" w:type="dxa"/>
            <w:vAlign w:val="bottom"/>
            <w:tcBorders>
              <w:bottom w:val="single" w:sz="8" w:color="CFF0FC"/>
            </w:tcBorders>
          </w:tcPr>
          <w:p>
            <w:pPr>
              <w:spacing w:after="0"/>
              <w:rPr>
                <w:sz w:val="13"/>
                <w:szCs w:val="13"/>
                <w:color w:val="auto"/>
              </w:rPr>
            </w:pPr>
          </w:p>
        </w:tc>
        <w:tc>
          <w:tcPr>
            <w:tcW w:w="760" w:type="dxa"/>
            <w:vAlign w:val="bottom"/>
            <w:tcBorders>
              <w:bottom w:val="single" w:sz="8" w:color="CFF0FC"/>
            </w:tcBorders>
          </w:tcPr>
          <w:p>
            <w:pPr>
              <w:spacing w:after="0"/>
              <w:rPr>
                <w:sz w:val="13"/>
                <w:szCs w:val="13"/>
                <w:color w:val="auto"/>
              </w:rPr>
            </w:pPr>
          </w:p>
        </w:tc>
        <w:tc>
          <w:tcPr>
            <w:tcW w:w="200" w:type="dxa"/>
            <w:vAlign w:val="bottom"/>
            <w:tcBorders>
              <w:bottom w:val="single" w:sz="8" w:color="CFF0FC"/>
            </w:tcBorders>
          </w:tcPr>
          <w:p>
            <w:pPr>
              <w:spacing w:after="0"/>
              <w:rPr>
                <w:sz w:val="13"/>
                <w:szCs w:val="13"/>
                <w:color w:val="auto"/>
              </w:rPr>
            </w:pPr>
          </w:p>
        </w:tc>
        <w:tc>
          <w:tcPr>
            <w:tcW w:w="760" w:type="dxa"/>
            <w:vAlign w:val="bottom"/>
            <w:tcBorders>
              <w:bottom w:val="single" w:sz="8" w:color="CFF0FC"/>
            </w:tcBorders>
          </w:tcPr>
          <w:p>
            <w:pPr>
              <w:spacing w:after="0"/>
              <w:rPr>
                <w:sz w:val="13"/>
                <w:szCs w:val="13"/>
                <w:color w:val="auto"/>
              </w:rPr>
            </w:pPr>
          </w:p>
        </w:tc>
        <w:tc>
          <w:tcPr>
            <w:tcW w:w="220" w:type="dxa"/>
            <w:vAlign w:val="bottom"/>
            <w:tcBorders>
              <w:bottom w:val="single" w:sz="8" w:color="CFF0FC"/>
            </w:tcBorders>
          </w:tcPr>
          <w:p>
            <w:pPr>
              <w:spacing w:after="0"/>
              <w:rPr>
                <w:sz w:val="13"/>
                <w:szCs w:val="13"/>
                <w:color w:val="auto"/>
              </w:rPr>
            </w:pPr>
          </w:p>
        </w:tc>
        <w:tc>
          <w:tcPr>
            <w:tcW w:w="820" w:type="dxa"/>
            <w:vAlign w:val="bottom"/>
            <w:tcBorders>
              <w:bottom w:val="single" w:sz="8" w:color="CFF0FC"/>
            </w:tcBorders>
          </w:tcPr>
          <w:p>
            <w:pPr>
              <w:spacing w:after="0"/>
              <w:rPr>
                <w:sz w:val="13"/>
                <w:szCs w:val="13"/>
                <w:color w:val="auto"/>
              </w:rPr>
            </w:pPr>
          </w:p>
        </w:tc>
        <w:tc>
          <w:tcPr>
            <w:tcW w:w="220" w:type="dxa"/>
            <w:vAlign w:val="bottom"/>
            <w:tcBorders>
              <w:bottom w:val="single" w:sz="8" w:color="CFF0FC"/>
            </w:tcBorders>
          </w:tcPr>
          <w:p>
            <w:pPr>
              <w:spacing w:after="0"/>
              <w:rPr>
                <w:sz w:val="13"/>
                <w:szCs w:val="13"/>
                <w:color w:val="auto"/>
              </w:rPr>
            </w:pPr>
          </w:p>
        </w:tc>
        <w:tc>
          <w:tcPr>
            <w:tcW w:w="560" w:type="dxa"/>
            <w:vAlign w:val="bottom"/>
            <w:tcBorders>
              <w:bottom w:val="single" w:sz="8" w:color="CFF0FC"/>
            </w:tcBorders>
          </w:tcPr>
          <w:p>
            <w:pPr>
              <w:spacing w:after="0"/>
              <w:rPr>
                <w:sz w:val="13"/>
                <w:szCs w:val="13"/>
                <w:color w:val="auto"/>
              </w:rPr>
            </w:pPr>
          </w:p>
        </w:tc>
        <w:tc>
          <w:tcPr>
            <w:tcW w:w="220" w:type="dxa"/>
            <w:vAlign w:val="bottom"/>
            <w:tcBorders>
              <w:bottom w:val="single" w:sz="8" w:color="auto"/>
            </w:tcBorders>
          </w:tcPr>
          <w:p>
            <w:pPr>
              <w:spacing w:after="0"/>
              <w:rPr>
                <w:sz w:val="13"/>
                <w:szCs w:val="13"/>
                <w:color w:val="auto"/>
              </w:rPr>
            </w:pPr>
          </w:p>
        </w:tc>
        <w:tc>
          <w:tcPr>
            <w:tcW w:w="220" w:type="dxa"/>
            <w:vAlign w:val="bottom"/>
            <w:tcBorders>
              <w:bottom w:val="single" w:sz="8" w:color="auto"/>
            </w:tcBorders>
          </w:tcPr>
          <w:p>
            <w:pPr>
              <w:spacing w:after="0"/>
              <w:rPr>
                <w:sz w:val="13"/>
                <w:szCs w:val="13"/>
                <w:color w:val="auto"/>
              </w:rPr>
            </w:pPr>
          </w:p>
        </w:tc>
        <w:tc>
          <w:tcPr>
            <w:tcW w:w="760" w:type="dxa"/>
            <w:vAlign w:val="bottom"/>
            <w:tcBorders>
              <w:bottom w:val="single" w:sz="8" w:color="auto"/>
            </w:tcBorders>
          </w:tcPr>
          <w:p>
            <w:pPr>
              <w:jc w:val="right"/>
              <w:ind w:right="233"/>
              <w:spacing w:after="0" w:line="155" w:lineRule="exact"/>
              <w:rPr>
                <w:sz w:val="20"/>
                <w:szCs w:val="20"/>
                <w:color w:val="auto"/>
              </w:rPr>
            </w:pPr>
            <w:r>
              <w:rPr>
                <w:rFonts w:ascii="Arial" w:cs="Arial" w:eastAsia="Arial" w:hAnsi="Arial"/>
                <w:sz w:val="14"/>
                <w:szCs w:val="14"/>
                <w:b w:val="1"/>
                <w:bCs w:val="1"/>
                <w:color w:val="auto"/>
              </w:rPr>
              <w:t>2015</w:t>
            </w:r>
          </w:p>
        </w:tc>
        <w:tc>
          <w:tcPr>
            <w:tcW w:w="180" w:type="dxa"/>
            <w:vAlign w:val="bottom"/>
            <w:tcBorders>
              <w:bottom w:val="single" w:sz="8" w:color="auto"/>
            </w:tcBorders>
          </w:tcPr>
          <w:p>
            <w:pPr>
              <w:spacing w:after="0"/>
              <w:rPr>
                <w:sz w:val="13"/>
                <w:szCs w:val="13"/>
                <w:color w:val="auto"/>
              </w:rPr>
            </w:pPr>
          </w:p>
        </w:tc>
        <w:tc>
          <w:tcPr>
            <w:tcW w:w="160" w:type="dxa"/>
            <w:vAlign w:val="bottom"/>
            <w:tcBorders>
              <w:bottom w:val="single" w:sz="8" w:color="CFF0FC"/>
            </w:tcBorders>
          </w:tcPr>
          <w:p>
            <w:pPr>
              <w:spacing w:after="0"/>
              <w:rPr>
                <w:sz w:val="13"/>
                <w:szCs w:val="13"/>
                <w:color w:val="auto"/>
              </w:rPr>
            </w:pPr>
          </w:p>
        </w:tc>
        <w:tc>
          <w:tcPr>
            <w:tcW w:w="120" w:type="dxa"/>
            <w:vAlign w:val="bottom"/>
            <w:tcBorders>
              <w:bottom w:val="single" w:sz="8" w:color="CFF0FC"/>
            </w:tcBorders>
          </w:tcPr>
          <w:p>
            <w:pPr>
              <w:spacing w:after="0"/>
              <w:rPr>
                <w:sz w:val="13"/>
                <w:szCs w:val="13"/>
                <w:color w:val="auto"/>
              </w:rPr>
            </w:pPr>
          </w:p>
        </w:tc>
        <w:tc>
          <w:tcPr>
            <w:tcW w:w="280" w:type="dxa"/>
            <w:vAlign w:val="bottom"/>
            <w:tcBorders>
              <w:bottom w:val="single" w:sz="8" w:color="auto"/>
            </w:tcBorders>
          </w:tcPr>
          <w:p>
            <w:pPr>
              <w:spacing w:after="0"/>
              <w:rPr>
                <w:sz w:val="13"/>
                <w:szCs w:val="13"/>
                <w:color w:val="auto"/>
              </w:rPr>
            </w:pPr>
          </w:p>
        </w:tc>
        <w:tc>
          <w:tcPr>
            <w:tcW w:w="660" w:type="dxa"/>
            <w:vAlign w:val="bottom"/>
            <w:tcBorders>
              <w:bottom w:val="single" w:sz="8" w:color="auto"/>
            </w:tcBorders>
            <w:gridSpan w:val="2"/>
          </w:tcPr>
          <w:p>
            <w:pPr>
              <w:jc w:val="right"/>
              <w:ind w:right="60"/>
              <w:spacing w:after="0" w:line="155" w:lineRule="exact"/>
              <w:rPr>
                <w:sz w:val="20"/>
                <w:szCs w:val="20"/>
                <w:color w:val="auto"/>
              </w:rPr>
            </w:pPr>
            <w:r>
              <w:rPr>
                <w:rFonts w:ascii="Arial" w:cs="Arial" w:eastAsia="Arial" w:hAnsi="Arial"/>
                <w:sz w:val="14"/>
                <w:szCs w:val="14"/>
                <w:b w:val="1"/>
                <w:bCs w:val="1"/>
                <w:color w:val="auto"/>
              </w:rPr>
              <w:t>2014</w:t>
            </w:r>
          </w:p>
        </w:tc>
        <w:tc>
          <w:tcPr>
            <w:tcW w:w="100" w:type="dxa"/>
            <w:vAlign w:val="bottom"/>
            <w:tcBorders>
              <w:bottom w:val="single" w:sz="8" w:color="auto"/>
            </w:tcBorders>
          </w:tcPr>
          <w:p>
            <w:pPr>
              <w:spacing w:after="0"/>
              <w:rPr>
                <w:sz w:val="13"/>
                <w:szCs w:val="13"/>
                <w:color w:val="auto"/>
              </w:rPr>
            </w:pPr>
          </w:p>
        </w:tc>
        <w:tc>
          <w:tcPr>
            <w:tcW w:w="340" w:type="dxa"/>
            <w:vAlign w:val="bottom"/>
            <w:tcBorders>
              <w:bottom w:val="single" w:sz="8" w:color="auto"/>
            </w:tcBorders>
          </w:tcPr>
          <w:p>
            <w:pPr>
              <w:spacing w:after="0"/>
              <w:rPr>
                <w:sz w:val="13"/>
                <w:szCs w:val="13"/>
                <w:color w:val="auto"/>
              </w:rPr>
            </w:pPr>
          </w:p>
        </w:tc>
        <w:tc>
          <w:tcPr>
            <w:tcW w:w="120" w:type="dxa"/>
            <w:vAlign w:val="bottom"/>
            <w:tcBorders>
              <w:bottom w:val="single" w:sz="8" w:color="CFF0FC"/>
            </w:tcBorders>
          </w:tcPr>
          <w:p>
            <w:pPr>
              <w:spacing w:after="0"/>
              <w:rPr>
                <w:sz w:val="13"/>
                <w:szCs w:val="13"/>
                <w:color w:val="auto"/>
              </w:rPr>
            </w:pPr>
          </w:p>
        </w:tc>
        <w:tc>
          <w:tcPr>
            <w:tcW w:w="34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23"/>
        </w:trPr>
        <w:tc>
          <w:tcPr>
            <w:tcW w:w="580" w:type="dxa"/>
            <w:vAlign w:val="bottom"/>
          </w:tcPr>
          <w:p>
            <w:pPr>
              <w:spacing w:after="0"/>
              <w:rPr>
                <w:sz w:val="19"/>
                <w:szCs w:val="19"/>
                <w:color w:val="auto"/>
              </w:rPr>
            </w:pPr>
          </w:p>
        </w:tc>
        <w:tc>
          <w:tcPr>
            <w:tcW w:w="1620" w:type="dxa"/>
            <w:vAlign w:val="bottom"/>
            <w:gridSpan w:val="2"/>
            <w:shd w:val="clear" w:color="auto" w:fill="CFF0FC"/>
          </w:tcPr>
          <w:p>
            <w:pPr>
              <w:spacing w:after="0"/>
              <w:rPr>
                <w:sz w:val="20"/>
                <w:szCs w:val="20"/>
                <w:color w:val="auto"/>
              </w:rPr>
            </w:pPr>
            <w:r>
              <w:rPr>
                <w:rFonts w:ascii="Arial" w:cs="Arial" w:eastAsia="Arial" w:hAnsi="Arial"/>
                <w:sz w:val="18"/>
                <w:szCs w:val="18"/>
                <w:b w:val="1"/>
                <w:bCs w:val="1"/>
                <w:color w:val="auto"/>
              </w:rPr>
              <w:t>Revenues:</w:t>
            </w:r>
          </w:p>
        </w:tc>
        <w:tc>
          <w:tcPr>
            <w:tcW w:w="68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840" w:type="dxa"/>
            <w:vAlign w:val="bottom"/>
            <w:shd w:val="clear" w:color="auto" w:fill="CFF0FC"/>
          </w:tcPr>
          <w:p>
            <w:pPr>
              <w:spacing w:after="0"/>
              <w:rPr>
                <w:sz w:val="19"/>
                <w:szCs w:val="19"/>
                <w:color w:val="auto"/>
              </w:rPr>
            </w:pPr>
          </w:p>
        </w:tc>
        <w:tc>
          <w:tcPr>
            <w:tcW w:w="240" w:type="dxa"/>
            <w:vAlign w:val="bottom"/>
            <w:tcBorders>
              <w:right w:val="single" w:sz="8" w:color="CFF0FC"/>
            </w:tcBorders>
            <w:shd w:val="clear" w:color="auto" w:fill="CFF0FC"/>
          </w:tcPr>
          <w:p>
            <w:pPr>
              <w:spacing w:after="0"/>
              <w:rPr>
                <w:sz w:val="19"/>
                <w:szCs w:val="19"/>
                <w:color w:val="auto"/>
              </w:rPr>
            </w:pPr>
          </w:p>
        </w:tc>
        <w:tc>
          <w:tcPr>
            <w:tcW w:w="76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760" w:type="dxa"/>
            <w:vAlign w:val="bottom"/>
            <w:shd w:val="clear" w:color="auto" w:fill="CFF0FC"/>
          </w:tcPr>
          <w:p>
            <w:pPr>
              <w:spacing w:after="0"/>
              <w:rPr>
                <w:sz w:val="19"/>
                <w:szCs w:val="19"/>
                <w:color w:val="auto"/>
              </w:rPr>
            </w:pPr>
          </w:p>
        </w:tc>
        <w:tc>
          <w:tcPr>
            <w:tcW w:w="220" w:type="dxa"/>
            <w:vAlign w:val="bottom"/>
            <w:shd w:val="clear" w:color="auto" w:fill="CFF0FC"/>
          </w:tcPr>
          <w:p>
            <w:pPr>
              <w:spacing w:after="0"/>
              <w:rPr>
                <w:sz w:val="19"/>
                <w:szCs w:val="19"/>
                <w:color w:val="auto"/>
              </w:rPr>
            </w:pPr>
          </w:p>
        </w:tc>
        <w:tc>
          <w:tcPr>
            <w:tcW w:w="820" w:type="dxa"/>
            <w:vAlign w:val="bottom"/>
            <w:shd w:val="clear" w:color="auto" w:fill="CFF0FC"/>
          </w:tcPr>
          <w:p>
            <w:pPr>
              <w:spacing w:after="0"/>
              <w:rPr>
                <w:sz w:val="19"/>
                <w:szCs w:val="19"/>
                <w:color w:val="auto"/>
              </w:rPr>
            </w:pPr>
          </w:p>
        </w:tc>
        <w:tc>
          <w:tcPr>
            <w:tcW w:w="220" w:type="dxa"/>
            <w:vAlign w:val="bottom"/>
            <w:shd w:val="clear" w:color="auto" w:fill="CFF0FC"/>
          </w:tcPr>
          <w:p>
            <w:pPr>
              <w:spacing w:after="0"/>
              <w:rPr>
                <w:sz w:val="19"/>
                <w:szCs w:val="19"/>
                <w:color w:val="auto"/>
              </w:rPr>
            </w:pPr>
          </w:p>
        </w:tc>
        <w:tc>
          <w:tcPr>
            <w:tcW w:w="560" w:type="dxa"/>
            <w:vAlign w:val="bottom"/>
            <w:shd w:val="clear" w:color="auto" w:fill="CFF0FC"/>
          </w:tcPr>
          <w:p>
            <w:pPr>
              <w:spacing w:after="0"/>
              <w:rPr>
                <w:sz w:val="19"/>
                <w:szCs w:val="19"/>
                <w:color w:val="auto"/>
              </w:rPr>
            </w:pPr>
          </w:p>
        </w:tc>
        <w:tc>
          <w:tcPr>
            <w:tcW w:w="220" w:type="dxa"/>
            <w:vAlign w:val="bottom"/>
            <w:shd w:val="clear" w:color="auto" w:fill="CFF0FC"/>
          </w:tcPr>
          <w:p>
            <w:pPr>
              <w:spacing w:after="0"/>
              <w:rPr>
                <w:sz w:val="19"/>
                <w:szCs w:val="19"/>
                <w:color w:val="auto"/>
              </w:rPr>
            </w:pPr>
          </w:p>
        </w:tc>
        <w:tc>
          <w:tcPr>
            <w:tcW w:w="220" w:type="dxa"/>
            <w:vAlign w:val="bottom"/>
            <w:shd w:val="clear" w:color="auto" w:fill="CFF0FC"/>
          </w:tcPr>
          <w:p>
            <w:pPr>
              <w:spacing w:after="0"/>
              <w:rPr>
                <w:sz w:val="19"/>
                <w:szCs w:val="19"/>
                <w:color w:val="auto"/>
              </w:rPr>
            </w:pPr>
          </w:p>
        </w:tc>
        <w:tc>
          <w:tcPr>
            <w:tcW w:w="76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160" w:type="dxa"/>
            <w:vAlign w:val="bottom"/>
            <w:tcBorders>
              <w:right w:val="single" w:sz="8" w:color="CFF0FC"/>
            </w:tcBorders>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280" w:type="dxa"/>
            <w:vAlign w:val="bottom"/>
            <w:shd w:val="clear" w:color="auto" w:fill="CFF0FC"/>
          </w:tcPr>
          <w:p>
            <w:pPr>
              <w:spacing w:after="0"/>
              <w:rPr>
                <w:sz w:val="19"/>
                <w:szCs w:val="19"/>
                <w:color w:val="auto"/>
              </w:rPr>
            </w:pPr>
          </w:p>
        </w:tc>
        <w:tc>
          <w:tcPr>
            <w:tcW w:w="42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34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34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580" w:type="dxa"/>
            <w:vAlign w:val="bottom"/>
          </w:tcPr>
          <w:p>
            <w:pPr>
              <w:spacing w:after="0"/>
              <w:rPr>
                <w:sz w:val="19"/>
                <w:szCs w:val="19"/>
                <w:color w:val="auto"/>
              </w:rPr>
            </w:pPr>
          </w:p>
        </w:tc>
        <w:tc>
          <w:tcPr>
            <w:tcW w:w="1620" w:type="dxa"/>
            <w:vAlign w:val="bottom"/>
            <w:gridSpan w:val="2"/>
          </w:tcPr>
          <w:p>
            <w:pPr>
              <w:ind w:left="240"/>
              <w:spacing w:after="0"/>
              <w:rPr>
                <w:sz w:val="20"/>
                <w:szCs w:val="20"/>
                <w:color w:val="auto"/>
              </w:rPr>
            </w:pPr>
            <w:r>
              <w:rPr>
                <w:rFonts w:ascii="Arial" w:cs="Arial" w:eastAsia="Arial" w:hAnsi="Arial"/>
                <w:sz w:val="18"/>
                <w:szCs w:val="18"/>
                <w:color w:val="auto"/>
              </w:rPr>
              <w:t>Home sales</w:t>
            </w:r>
          </w:p>
        </w:tc>
        <w:tc>
          <w:tcPr>
            <w:tcW w:w="68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8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82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780" w:type="dxa"/>
            <w:vAlign w:val="bottom"/>
            <w:gridSpan w:val="2"/>
          </w:tcPr>
          <w:p>
            <w:pPr>
              <w:jc w:val="right"/>
              <w:ind w:right="57"/>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9"/>
                <w:szCs w:val="19"/>
                <w:color w:val="auto"/>
              </w:rPr>
            </w:pPr>
          </w:p>
        </w:tc>
        <w:tc>
          <w:tcPr>
            <w:tcW w:w="940" w:type="dxa"/>
            <w:vAlign w:val="bottom"/>
            <w:gridSpan w:val="2"/>
          </w:tcPr>
          <w:p>
            <w:pPr>
              <w:jc w:val="right"/>
              <w:spacing w:after="0"/>
              <w:rPr>
                <w:sz w:val="20"/>
                <w:szCs w:val="20"/>
                <w:color w:val="auto"/>
              </w:rPr>
            </w:pPr>
            <w:r>
              <w:rPr>
                <w:rFonts w:ascii="Arial" w:cs="Arial" w:eastAsia="Arial" w:hAnsi="Arial"/>
                <w:sz w:val="18"/>
                <w:szCs w:val="18"/>
                <w:color w:val="auto"/>
              </w:rPr>
              <w:t>374,265</w:t>
            </w:r>
          </w:p>
        </w:tc>
        <w:tc>
          <w:tcPr>
            <w:tcW w:w="160" w:type="dxa"/>
            <w:vAlign w:val="bottom"/>
          </w:tcPr>
          <w:p>
            <w:pPr>
              <w:spacing w:after="0"/>
              <w:rPr>
                <w:sz w:val="19"/>
                <w:szCs w:val="19"/>
                <w:color w:val="auto"/>
              </w:rPr>
            </w:pPr>
          </w:p>
        </w:tc>
        <w:tc>
          <w:tcPr>
            <w:tcW w:w="400" w:type="dxa"/>
            <w:vAlign w:val="bottom"/>
            <w:gridSpan w:val="2"/>
          </w:tcPr>
          <w:p>
            <w:pPr>
              <w:jc w:val="right"/>
              <w:ind w:right="102"/>
              <w:spacing w:after="0"/>
              <w:rPr>
                <w:sz w:val="20"/>
                <w:szCs w:val="20"/>
                <w:color w:val="auto"/>
              </w:rPr>
            </w:pPr>
            <w:r>
              <w:rPr>
                <w:rFonts w:ascii="Arial" w:cs="Arial" w:eastAsia="Arial" w:hAnsi="Arial"/>
                <w:sz w:val="18"/>
                <w:szCs w:val="18"/>
                <w:color w:val="auto"/>
              </w:rPr>
              <w:t>$</w:t>
            </w:r>
          </w:p>
        </w:tc>
        <w:tc>
          <w:tcPr>
            <w:tcW w:w="1100" w:type="dxa"/>
            <w:vAlign w:val="bottom"/>
            <w:gridSpan w:val="4"/>
          </w:tcPr>
          <w:p>
            <w:pPr>
              <w:jc w:val="right"/>
              <w:spacing w:after="0"/>
              <w:rPr>
                <w:sz w:val="20"/>
                <w:szCs w:val="20"/>
                <w:color w:val="auto"/>
              </w:rPr>
            </w:pPr>
            <w:r>
              <w:rPr>
                <w:rFonts w:ascii="Arial" w:cs="Arial" w:eastAsia="Arial" w:hAnsi="Arial"/>
                <w:sz w:val="18"/>
                <w:szCs w:val="18"/>
                <w:color w:val="auto"/>
              </w:rPr>
              <w:t>241,902</w:t>
            </w:r>
          </w:p>
        </w:tc>
        <w:tc>
          <w:tcPr>
            <w:tcW w:w="12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580" w:type="dxa"/>
            <w:vAlign w:val="bottom"/>
          </w:tcPr>
          <w:p>
            <w:pPr>
              <w:spacing w:after="0"/>
              <w:rPr>
                <w:sz w:val="19"/>
                <w:szCs w:val="19"/>
                <w:color w:val="auto"/>
              </w:rPr>
            </w:pPr>
          </w:p>
        </w:tc>
        <w:tc>
          <w:tcPr>
            <w:tcW w:w="1620" w:type="dxa"/>
            <w:vAlign w:val="bottom"/>
            <w:gridSpan w:val="2"/>
            <w:shd w:val="clear" w:color="auto" w:fill="CFF0FC"/>
          </w:tcPr>
          <w:p>
            <w:pPr>
              <w:ind w:left="240"/>
              <w:spacing w:after="0"/>
              <w:rPr>
                <w:sz w:val="20"/>
                <w:szCs w:val="20"/>
                <w:color w:val="auto"/>
              </w:rPr>
            </w:pPr>
            <w:r>
              <w:rPr>
                <w:rFonts w:ascii="Arial" w:cs="Arial" w:eastAsia="Arial" w:hAnsi="Arial"/>
                <w:sz w:val="18"/>
                <w:szCs w:val="18"/>
                <w:color w:val="auto"/>
                <w:w w:val="93"/>
              </w:rPr>
              <w:t>Land and lot sales</w:t>
            </w:r>
          </w:p>
        </w:tc>
        <w:tc>
          <w:tcPr>
            <w:tcW w:w="68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840" w:type="dxa"/>
            <w:vAlign w:val="bottom"/>
            <w:shd w:val="clear" w:color="auto" w:fill="CFF0FC"/>
          </w:tcPr>
          <w:p>
            <w:pPr>
              <w:spacing w:after="0"/>
              <w:rPr>
                <w:sz w:val="19"/>
                <w:szCs w:val="19"/>
                <w:color w:val="auto"/>
              </w:rPr>
            </w:pPr>
          </w:p>
        </w:tc>
        <w:tc>
          <w:tcPr>
            <w:tcW w:w="240" w:type="dxa"/>
            <w:vAlign w:val="bottom"/>
            <w:tcBorders>
              <w:right w:val="single" w:sz="8" w:color="CFF0FC"/>
            </w:tcBorders>
            <w:shd w:val="clear" w:color="auto" w:fill="CFF0FC"/>
          </w:tcPr>
          <w:p>
            <w:pPr>
              <w:spacing w:after="0"/>
              <w:rPr>
                <w:sz w:val="19"/>
                <w:szCs w:val="19"/>
                <w:color w:val="auto"/>
              </w:rPr>
            </w:pPr>
          </w:p>
        </w:tc>
        <w:tc>
          <w:tcPr>
            <w:tcW w:w="76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760" w:type="dxa"/>
            <w:vAlign w:val="bottom"/>
            <w:shd w:val="clear" w:color="auto" w:fill="CFF0FC"/>
          </w:tcPr>
          <w:p>
            <w:pPr>
              <w:spacing w:after="0"/>
              <w:rPr>
                <w:sz w:val="19"/>
                <w:szCs w:val="19"/>
                <w:color w:val="auto"/>
              </w:rPr>
            </w:pPr>
          </w:p>
        </w:tc>
        <w:tc>
          <w:tcPr>
            <w:tcW w:w="220" w:type="dxa"/>
            <w:vAlign w:val="bottom"/>
            <w:shd w:val="clear" w:color="auto" w:fill="CFF0FC"/>
          </w:tcPr>
          <w:p>
            <w:pPr>
              <w:spacing w:after="0"/>
              <w:rPr>
                <w:sz w:val="19"/>
                <w:szCs w:val="19"/>
                <w:color w:val="auto"/>
              </w:rPr>
            </w:pPr>
          </w:p>
        </w:tc>
        <w:tc>
          <w:tcPr>
            <w:tcW w:w="820" w:type="dxa"/>
            <w:vAlign w:val="bottom"/>
            <w:shd w:val="clear" w:color="auto" w:fill="CFF0FC"/>
          </w:tcPr>
          <w:p>
            <w:pPr>
              <w:spacing w:after="0"/>
              <w:rPr>
                <w:sz w:val="19"/>
                <w:szCs w:val="19"/>
                <w:color w:val="auto"/>
              </w:rPr>
            </w:pPr>
          </w:p>
        </w:tc>
        <w:tc>
          <w:tcPr>
            <w:tcW w:w="220" w:type="dxa"/>
            <w:vAlign w:val="bottom"/>
            <w:shd w:val="clear" w:color="auto" w:fill="CFF0FC"/>
          </w:tcPr>
          <w:p>
            <w:pPr>
              <w:spacing w:after="0"/>
              <w:rPr>
                <w:sz w:val="19"/>
                <w:szCs w:val="19"/>
                <w:color w:val="auto"/>
              </w:rPr>
            </w:pPr>
          </w:p>
        </w:tc>
        <w:tc>
          <w:tcPr>
            <w:tcW w:w="560" w:type="dxa"/>
            <w:vAlign w:val="bottom"/>
            <w:shd w:val="clear" w:color="auto" w:fill="CFF0FC"/>
          </w:tcPr>
          <w:p>
            <w:pPr>
              <w:spacing w:after="0"/>
              <w:rPr>
                <w:sz w:val="19"/>
                <w:szCs w:val="19"/>
                <w:color w:val="auto"/>
              </w:rPr>
            </w:pPr>
          </w:p>
        </w:tc>
        <w:tc>
          <w:tcPr>
            <w:tcW w:w="220" w:type="dxa"/>
            <w:vAlign w:val="bottom"/>
            <w:shd w:val="clear" w:color="auto" w:fill="CFF0FC"/>
          </w:tcPr>
          <w:p>
            <w:pPr>
              <w:spacing w:after="0"/>
              <w:rPr>
                <w:sz w:val="19"/>
                <w:szCs w:val="19"/>
                <w:color w:val="auto"/>
              </w:rPr>
            </w:pPr>
          </w:p>
        </w:tc>
        <w:tc>
          <w:tcPr>
            <w:tcW w:w="220" w:type="dxa"/>
            <w:vAlign w:val="bottom"/>
            <w:shd w:val="clear" w:color="auto" w:fill="CFF0FC"/>
          </w:tcPr>
          <w:p>
            <w:pPr>
              <w:spacing w:after="0"/>
              <w:rPr>
                <w:sz w:val="19"/>
                <w:szCs w:val="19"/>
                <w:color w:val="auto"/>
              </w:rPr>
            </w:pPr>
          </w:p>
        </w:tc>
        <w:tc>
          <w:tcPr>
            <w:tcW w:w="940" w:type="dxa"/>
            <w:vAlign w:val="bottom"/>
            <w:gridSpan w:val="2"/>
            <w:shd w:val="clear" w:color="auto" w:fill="CFF0FC"/>
          </w:tcPr>
          <w:p>
            <w:pPr>
              <w:jc w:val="right"/>
              <w:spacing w:after="0"/>
              <w:rPr>
                <w:sz w:val="20"/>
                <w:szCs w:val="20"/>
                <w:color w:val="auto"/>
              </w:rPr>
            </w:pPr>
            <w:r>
              <w:rPr>
                <w:rFonts w:ascii="Arial" w:cs="Arial" w:eastAsia="Arial" w:hAnsi="Arial"/>
                <w:sz w:val="18"/>
                <w:szCs w:val="18"/>
                <w:color w:val="auto"/>
              </w:rPr>
              <w:t>2,000</w:t>
            </w:r>
          </w:p>
        </w:tc>
        <w:tc>
          <w:tcPr>
            <w:tcW w:w="160" w:type="dxa"/>
            <w:vAlign w:val="bottom"/>
            <w:tcBorders>
              <w:right w:val="single" w:sz="8" w:color="CFF0FC"/>
            </w:tcBorders>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280" w:type="dxa"/>
            <w:vAlign w:val="bottom"/>
            <w:shd w:val="clear" w:color="auto" w:fill="CFF0FC"/>
          </w:tcPr>
          <w:p>
            <w:pPr>
              <w:spacing w:after="0"/>
              <w:rPr>
                <w:sz w:val="19"/>
                <w:szCs w:val="19"/>
                <w:color w:val="auto"/>
              </w:rPr>
            </w:pPr>
          </w:p>
        </w:tc>
        <w:tc>
          <w:tcPr>
            <w:tcW w:w="42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440" w:type="dxa"/>
            <w:vAlign w:val="bottom"/>
            <w:gridSpan w:val="2"/>
            <w:shd w:val="clear" w:color="auto" w:fill="CFF0FC"/>
          </w:tcPr>
          <w:p>
            <w:pPr>
              <w:jc w:val="right"/>
              <w:spacing w:after="0"/>
              <w:rPr>
                <w:sz w:val="20"/>
                <w:szCs w:val="20"/>
                <w:color w:val="auto"/>
              </w:rPr>
            </w:pPr>
            <w:r>
              <w:rPr>
                <w:rFonts w:ascii="Arial" w:cs="Arial" w:eastAsia="Arial" w:hAnsi="Arial"/>
                <w:sz w:val="18"/>
                <w:szCs w:val="18"/>
                <w:color w:val="auto"/>
                <w:w w:val="88"/>
              </w:rPr>
              <w:t>3,387</w:t>
            </w:r>
          </w:p>
        </w:tc>
        <w:tc>
          <w:tcPr>
            <w:tcW w:w="120" w:type="dxa"/>
            <w:vAlign w:val="bottom"/>
            <w:shd w:val="clear" w:color="auto" w:fill="CFF0FC"/>
          </w:tcPr>
          <w:p>
            <w:pPr>
              <w:spacing w:after="0"/>
              <w:rPr>
                <w:sz w:val="19"/>
                <w:szCs w:val="19"/>
                <w:color w:val="auto"/>
              </w:rPr>
            </w:pPr>
          </w:p>
        </w:tc>
        <w:tc>
          <w:tcPr>
            <w:tcW w:w="34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580" w:type="dxa"/>
            <w:vAlign w:val="bottom"/>
          </w:tcPr>
          <w:p>
            <w:pPr>
              <w:spacing w:after="0"/>
              <w:rPr>
                <w:sz w:val="19"/>
                <w:szCs w:val="19"/>
                <w:color w:val="auto"/>
              </w:rPr>
            </w:pPr>
          </w:p>
        </w:tc>
        <w:tc>
          <w:tcPr>
            <w:tcW w:w="1620" w:type="dxa"/>
            <w:vAlign w:val="bottom"/>
            <w:tcBorders>
              <w:bottom w:val="single" w:sz="8" w:color="CFF0FC"/>
            </w:tcBorders>
            <w:gridSpan w:val="2"/>
          </w:tcPr>
          <w:p>
            <w:pPr>
              <w:ind w:left="240"/>
              <w:spacing w:after="0"/>
              <w:rPr>
                <w:sz w:val="20"/>
                <w:szCs w:val="20"/>
                <w:color w:val="auto"/>
              </w:rPr>
            </w:pPr>
            <w:r>
              <w:rPr>
                <w:rFonts w:ascii="Arial" w:cs="Arial" w:eastAsia="Arial" w:hAnsi="Arial"/>
                <w:sz w:val="18"/>
                <w:szCs w:val="18"/>
                <w:color w:val="auto"/>
              </w:rPr>
              <w:t>Other operations</w:t>
            </w:r>
          </w:p>
        </w:tc>
        <w:tc>
          <w:tcPr>
            <w:tcW w:w="680" w:type="dxa"/>
            <w:vAlign w:val="bottom"/>
            <w:tcBorders>
              <w:bottom w:val="single" w:sz="8" w:color="CFF0FC"/>
            </w:tcBorders>
          </w:tcPr>
          <w:p>
            <w:pPr>
              <w:spacing w:after="0"/>
              <w:rPr>
                <w:sz w:val="19"/>
                <w:szCs w:val="19"/>
                <w:color w:val="auto"/>
              </w:rPr>
            </w:pPr>
          </w:p>
        </w:tc>
        <w:tc>
          <w:tcPr>
            <w:tcW w:w="200" w:type="dxa"/>
            <w:vAlign w:val="bottom"/>
            <w:tcBorders>
              <w:bottom w:val="single" w:sz="8" w:color="CFF0FC"/>
            </w:tcBorders>
          </w:tcPr>
          <w:p>
            <w:pPr>
              <w:spacing w:after="0"/>
              <w:rPr>
                <w:sz w:val="19"/>
                <w:szCs w:val="19"/>
                <w:color w:val="auto"/>
              </w:rPr>
            </w:pPr>
          </w:p>
        </w:tc>
        <w:tc>
          <w:tcPr>
            <w:tcW w:w="840" w:type="dxa"/>
            <w:vAlign w:val="bottom"/>
            <w:tcBorders>
              <w:bottom w:val="single" w:sz="8" w:color="CFF0FC"/>
            </w:tcBorders>
          </w:tcPr>
          <w:p>
            <w:pPr>
              <w:spacing w:after="0"/>
              <w:rPr>
                <w:sz w:val="19"/>
                <w:szCs w:val="19"/>
                <w:color w:val="auto"/>
              </w:rPr>
            </w:pPr>
          </w:p>
        </w:tc>
        <w:tc>
          <w:tcPr>
            <w:tcW w:w="240" w:type="dxa"/>
            <w:vAlign w:val="bottom"/>
            <w:tcBorders>
              <w:bottom w:val="single" w:sz="8" w:color="CFF0FC"/>
            </w:tcBorders>
          </w:tcPr>
          <w:p>
            <w:pPr>
              <w:spacing w:after="0"/>
              <w:rPr>
                <w:sz w:val="19"/>
                <w:szCs w:val="19"/>
                <w:color w:val="auto"/>
              </w:rPr>
            </w:pPr>
          </w:p>
        </w:tc>
        <w:tc>
          <w:tcPr>
            <w:tcW w:w="760" w:type="dxa"/>
            <w:vAlign w:val="bottom"/>
            <w:tcBorders>
              <w:bottom w:val="single" w:sz="8" w:color="CFF0FC"/>
            </w:tcBorders>
          </w:tcPr>
          <w:p>
            <w:pPr>
              <w:spacing w:after="0"/>
              <w:rPr>
                <w:sz w:val="19"/>
                <w:szCs w:val="19"/>
                <w:color w:val="auto"/>
              </w:rPr>
            </w:pPr>
          </w:p>
        </w:tc>
        <w:tc>
          <w:tcPr>
            <w:tcW w:w="200" w:type="dxa"/>
            <w:vAlign w:val="bottom"/>
            <w:tcBorders>
              <w:bottom w:val="single" w:sz="8" w:color="CFF0FC"/>
            </w:tcBorders>
          </w:tcPr>
          <w:p>
            <w:pPr>
              <w:spacing w:after="0"/>
              <w:rPr>
                <w:sz w:val="19"/>
                <w:szCs w:val="19"/>
                <w:color w:val="auto"/>
              </w:rPr>
            </w:pPr>
          </w:p>
        </w:tc>
        <w:tc>
          <w:tcPr>
            <w:tcW w:w="760" w:type="dxa"/>
            <w:vAlign w:val="bottom"/>
            <w:tcBorders>
              <w:bottom w:val="single" w:sz="8" w:color="CFF0FC"/>
            </w:tcBorders>
          </w:tcPr>
          <w:p>
            <w:pPr>
              <w:spacing w:after="0"/>
              <w:rPr>
                <w:sz w:val="19"/>
                <w:szCs w:val="19"/>
                <w:color w:val="auto"/>
              </w:rPr>
            </w:pPr>
          </w:p>
        </w:tc>
        <w:tc>
          <w:tcPr>
            <w:tcW w:w="220" w:type="dxa"/>
            <w:vAlign w:val="bottom"/>
            <w:tcBorders>
              <w:bottom w:val="single" w:sz="8" w:color="CFF0FC"/>
            </w:tcBorders>
          </w:tcPr>
          <w:p>
            <w:pPr>
              <w:spacing w:after="0"/>
              <w:rPr>
                <w:sz w:val="19"/>
                <w:szCs w:val="19"/>
                <w:color w:val="auto"/>
              </w:rPr>
            </w:pPr>
          </w:p>
        </w:tc>
        <w:tc>
          <w:tcPr>
            <w:tcW w:w="820" w:type="dxa"/>
            <w:vAlign w:val="bottom"/>
            <w:tcBorders>
              <w:bottom w:val="single" w:sz="8" w:color="CFF0FC"/>
            </w:tcBorders>
          </w:tcPr>
          <w:p>
            <w:pPr>
              <w:spacing w:after="0"/>
              <w:rPr>
                <w:sz w:val="19"/>
                <w:szCs w:val="19"/>
                <w:color w:val="auto"/>
              </w:rPr>
            </w:pPr>
          </w:p>
        </w:tc>
        <w:tc>
          <w:tcPr>
            <w:tcW w:w="220" w:type="dxa"/>
            <w:vAlign w:val="bottom"/>
            <w:tcBorders>
              <w:bottom w:val="single" w:sz="8" w:color="CFF0FC"/>
            </w:tcBorders>
          </w:tcPr>
          <w:p>
            <w:pPr>
              <w:spacing w:after="0"/>
              <w:rPr>
                <w:sz w:val="19"/>
                <w:szCs w:val="19"/>
                <w:color w:val="auto"/>
              </w:rPr>
            </w:pPr>
          </w:p>
        </w:tc>
        <w:tc>
          <w:tcPr>
            <w:tcW w:w="560" w:type="dxa"/>
            <w:vAlign w:val="bottom"/>
            <w:tcBorders>
              <w:bottom w:val="single" w:sz="8" w:color="CFF0FC"/>
            </w:tcBorders>
          </w:tcPr>
          <w:p>
            <w:pPr>
              <w:spacing w:after="0"/>
              <w:rPr>
                <w:sz w:val="19"/>
                <w:szCs w:val="19"/>
                <w:color w:val="auto"/>
              </w:rPr>
            </w:pPr>
          </w:p>
        </w:tc>
        <w:tc>
          <w:tcPr>
            <w:tcW w:w="220" w:type="dxa"/>
            <w:vAlign w:val="bottom"/>
            <w:tcBorders>
              <w:bottom w:val="single" w:sz="8" w:color="auto"/>
            </w:tcBorders>
          </w:tcPr>
          <w:p>
            <w:pPr>
              <w:spacing w:after="0"/>
              <w:rPr>
                <w:sz w:val="19"/>
                <w:szCs w:val="19"/>
                <w:color w:val="auto"/>
              </w:rPr>
            </w:pPr>
          </w:p>
        </w:tc>
        <w:tc>
          <w:tcPr>
            <w:tcW w:w="220" w:type="dxa"/>
            <w:vAlign w:val="bottom"/>
            <w:tcBorders>
              <w:bottom w:val="single" w:sz="8" w:color="auto"/>
            </w:tcBorders>
          </w:tcPr>
          <w:p>
            <w:pPr>
              <w:spacing w:after="0"/>
              <w:rPr>
                <w:sz w:val="19"/>
                <w:szCs w:val="19"/>
                <w:color w:val="auto"/>
              </w:rPr>
            </w:pPr>
          </w:p>
        </w:tc>
        <w:tc>
          <w:tcPr>
            <w:tcW w:w="940" w:type="dxa"/>
            <w:vAlign w:val="bottom"/>
            <w:tcBorders>
              <w:bottom w:val="single" w:sz="8" w:color="auto"/>
            </w:tcBorders>
            <w:gridSpan w:val="2"/>
          </w:tcPr>
          <w:p>
            <w:pPr>
              <w:jc w:val="right"/>
              <w:spacing w:after="0"/>
              <w:rPr>
                <w:sz w:val="20"/>
                <w:szCs w:val="20"/>
                <w:color w:val="auto"/>
              </w:rPr>
            </w:pPr>
            <w:r>
              <w:rPr>
                <w:rFonts w:ascii="Arial" w:cs="Arial" w:eastAsia="Arial" w:hAnsi="Arial"/>
                <w:sz w:val="18"/>
                <w:szCs w:val="18"/>
                <w:color w:val="auto"/>
              </w:rPr>
              <w:t>993</w:t>
            </w:r>
          </w:p>
        </w:tc>
        <w:tc>
          <w:tcPr>
            <w:tcW w:w="160" w:type="dxa"/>
            <w:vAlign w:val="bottom"/>
            <w:tcBorders>
              <w:bottom w:val="single" w:sz="8" w:color="CFF0FC"/>
            </w:tcBorders>
          </w:tcPr>
          <w:p>
            <w:pPr>
              <w:spacing w:after="0"/>
              <w:rPr>
                <w:sz w:val="19"/>
                <w:szCs w:val="19"/>
                <w:color w:val="auto"/>
              </w:rPr>
            </w:pPr>
          </w:p>
        </w:tc>
        <w:tc>
          <w:tcPr>
            <w:tcW w:w="120" w:type="dxa"/>
            <w:vAlign w:val="bottom"/>
            <w:tcBorders>
              <w:bottom w:val="single" w:sz="8" w:color="CFF0FC"/>
            </w:tcBorders>
          </w:tcPr>
          <w:p>
            <w:pPr>
              <w:spacing w:after="0"/>
              <w:rPr>
                <w:sz w:val="19"/>
                <w:szCs w:val="19"/>
                <w:color w:val="auto"/>
              </w:rPr>
            </w:pPr>
          </w:p>
        </w:tc>
        <w:tc>
          <w:tcPr>
            <w:tcW w:w="280" w:type="dxa"/>
            <w:vAlign w:val="bottom"/>
            <w:tcBorders>
              <w:bottom w:val="single" w:sz="8" w:color="auto"/>
            </w:tcBorders>
          </w:tcPr>
          <w:p>
            <w:pPr>
              <w:spacing w:after="0"/>
              <w:rPr>
                <w:sz w:val="19"/>
                <w:szCs w:val="19"/>
                <w:color w:val="auto"/>
              </w:rPr>
            </w:pPr>
          </w:p>
        </w:tc>
        <w:tc>
          <w:tcPr>
            <w:tcW w:w="420" w:type="dxa"/>
            <w:vAlign w:val="bottom"/>
            <w:tcBorders>
              <w:bottom w:val="single" w:sz="8" w:color="auto"/>
            </w:tcBorders>
          </w:tcPr>
          <w:p>
            <w:pPr>
              <w:spacing w:after="0"/>
              <w:rPr>
                <w:sz w:val="19"/>
                <w:szCs w:val="19"/>
                <w:color w:val="auto"/>
              </w:rPr>
            </w:pPr>
          </w:p>
        </w:tc>
        <w:tc>
          <w:tcPr>
            <w:tcW w:w="240" w:type="dxa"/>
            <w:vAlign w:val="bottom"/>
            <w:tcBorders>
              <w:bottom w:val="single" w:sz="8" w:color="auto"/>
            </w:tcBorders>
          </w:tcPr>
          <w:p>
            <w:pPr>
              <w:spacing w:after="0"/>
              <w:rPr>
                <w:sz w:val="19"/>
                <w:szCs w:val="19"/>
                <w:color w:val="auto"/>
              </w:rPr>
            </w:pPr>
          </w:p>
        </w:tc>
        <w:tc>
          <w:tcPr>
            <w:tcW w:w="440" w:type="dxa"/>
            <w:vAlign w:val="bottom"/>
            <w:tcBorders>
              <w:bottom w:val="single" w:sz="8" w:color="auto"/>
            </w:tcBorders>
            <w:gridSpan w:val="2"/>
          </w:tcPr>
          <w:p>
            <w:pPr>
              <w:jc w:val="right"/>
              <w:spacing w:after="0"/>
              <w:rPr>
                <w:sz w:val="20"/>
                <w:szCs w:val="20"/>
                <w:color w:val="auto"/>
              </w:rPr>
            </w:pPr>
            <w:r>
              <w:rPr>
                <w:rFonts w:ascii="Arial" w:cs="Arial" w:eastAsia="Arial" w:hAnsi="Arial"/>
                <w:sz w:val="18"/>
                <w:szCs w:val="18"/>
                <w:color w:val="auto"/>
                <w:w w:val="88"/>
              </w:rPr>
              <w:t>2,843</w:t>
            </w:r>
          </w:p>
        </w:tc>
        <w:tc>
          <w:tcPr>
            <w:tcW w:w="120" w:type="dxa"/>
            <w:vAlign w:val="bottom"/>
            <w:tcBorders>
              <w:bottom w:val="single" w:sz="8" w:color="CFF0FC"/>
            </w:tcBorders>
          </w:tcPr>
          <w:p>
            <w:pPr>
              <w:spacing w:after="0"/>
              <w:rPr>
                <w:sz w:val="19"/>
                <w:szCs w:val="19"/>
                <w:color w:val="auto"/>
              </w:rPr>
            </w:pPr>
          </w:p>
        </w:tc>
        <w:tc>
          <w:tcPr>
            <w:tcW w:w="34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580" w:type="dxa"/>
            <w:vAlign w:val="bottom"/>
          </w:tcPr>
          <w:p>
            <w:pPr>
              <w:spacing w:after="0"/>
              <w:rPr>
                <w:sz w:val="19"/>
                <w:szCs w:val="19"/>
                <w:color w:val="auto"/>
              </w:rPr>
            </w:pPr>
          </w:p>
        </w:tc>
        <w:tc>
          <w:tcPr>
            <w:tcW w:w="1620" w:type="dxa"/>
            <w:vAlign w:val="bottom"/>
            <w:gridSpan w:val="2"/>
            <w:shd w:val="clear" w:color="auto" w:fill="CFF0FC"/>
          </w:tcPr>
          <w:p>
            <w:pPr>
              <w:ind w:left="500"/>
              <w:spacing w:after="0"/>
              <w:rPr>
                <w:sz w:val="20"/>
                <w:szCs w:val="20"/>
                <w:color w:val="auto"/>
              </w:rPr>
            </w:pPr>
            <w:r>
              <w:rPr>
                <w:rFonts w:ascii="Arial" w:cs="Arial" w:eastAsia="Arial" w:hAnsi="Arial"/>
                <w:sz w:val="18"/>
                <w:szCs w:val="18"/>
                <w:color w:val="auto"/>
                <w:w w:val="92"/>
              </w:rPr>
              <w:t>Total revenues</w:t>
            </w:r>
          </w:p>
        </w:tc>
        <w:tc>
          <w:tcPr>
            <w:tcW w:w="68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840" w:type="dxa"/>
            <w:vAlign w:val="bottom"/>
            <w:shd w:val="clear" w:color="auto" w:fill="CFF0FC"/>
          </w:tcPr>
          <w:p>
            <w:pPr>
              <w:spacing w:after="0"/>
              <w:rPr>
                <w:sz w:val="19"/>
                <w:szCs w:val="19"/>
                <w:color w:val="auto"/>
              </w:rPr>
            </w:pPr>
          </w:p>
        </w:tc>
        <w:tc>
          <w:tcPr>
            <w:tcW w:w="240" w:type="dxa"/>
            <w:vAlign w:val="bottom"/>
            <w:tcBorders>
              <w:right w:val="single" w:sz="8" w:color="CFF0FC"/>
            </w:tcBorders>
            <w:shd w:val="clear" w:color="auto" w:fill="CFF0FC"/>
          </w:tcPr>
          <w:p>
            <w:pPr>
              <w:spacing w:after="0"/>
              <w:rPr>
                <w:sz w:val="19"/>
                <w:szCs w:val="19"/>
                <w:color w:val="auto"/>
              </w:rPr>
            </w:pPr>
          </w:p>
        </w:tc>
        <w:tc>
          <w:tcPr>
            <w:tcW w:w="76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760" w:type="dxa"/>
            <w:vAlign w:val="bottom"/>
            <w:shd w:val="clear" w:color="auto" w:fill="CFF0FC"/>
          </w:tcPr>
          <w:p>
            <w:pPr>
              <w:spacing w:after="0"/>
              <w:rPr>
                <w:sz w:val="19"/>
                <w:szCs w:val="19"/>
                <w:color w:val="auto"/>
              </w:rPr>
            </w:pPr>
          </w:p>
        </w:tc>
        <w:tc>
          <w:tcPr>
            <w:tcW w:w="220" w:type="dxa"/>
            <w:vAlign w:val="bottom"/>
            <w:shd w:val="clear" w:color="auto" w:fill="CFF0FC"/>
          </w:tcPr>
          <w:p>
            <w:pPr>
              <w:spacing w:after="0"/>
              <w:rPr>
                <w:sz w:val="19"/>
                <w:szCs w:val="19"/>
                <w:color w:val="auto"/>
              </w:rPr>
            </w:pPr>
          </w:p>
        </w:tc>
        <w:tc>
          <w:tcPr>
            <w:tcW w:w="820" w:type="dxa"/>
            <w:vAlign w:val="bottom"/>
            <w:shd w:val="clear" w:color="auto" w:fill="CFF0FC"/>
          </w:tcPr>
          <w:p>
            <w:pPr>
              <w:spacing w:after="0"/>
              <w:rPr>
                <w:sz w:val="19"/>
                <w:szCs w:val="19"/>
                <w:color w:val="auto"/>
              </w:rPr>
            </w:pPr>
          </w:p>
        </w:tc>
        <w:tc>
          <w:tcPr>
            <w:tcW w:w="220" w:type="dxa"/>
            <w:vAlign w:val="bottom"/>
            <w:shd w:val="clear" w:color="auto" w:fill="CFF0FC"/>
          </w:tcPr>
          <w:p>
            <w:pPr>
              <w:spacing w:after="0"/>
              <w:rPr>
                <w:sz w:val="19"/>
                <w:szCs w:val="19"/>
                <w:color w:val="auto"/>
              </w:rPr>
            </w:pPr>
          </w:p>
        </w:tc>
        <w:tc>
          <w:tcPr>
            <w:tcW w:w="560" w:type="dxa"/>
            <w:vAlign w:val="bottom"/>
            <w:shd w:val="clear" w:color="auto" w:fill="CFF0FC"/>
          </w:tcPr>
          <w:p>
            <w:pPr>
              <w:spacing w:after="0"/>
              <w:rPr>
                <w:sz w:val="19"/>
                <w:szCs w:val="19"/>
                <w:color w:val="auto"/>
              </w:rPr>
            </w:pPr>
          </w:p>
        </w:tc>
        <w:tc>
          <w:tcPr>
            <w:tcW w:w="220" w:type="dxa"/>
            <w:vAlign w:val="bottom"/>
            <w:tcBorders>
              <w:bottom w:val="single" w:sz="8" w:color="auto"/>
            </w:tcBorders>
            <w:shd w:val="clear" w:color="auto" w:fill="CFF0FC"/>
          </w:tcPr>
          <w:p>
            <w:pPr>
              <w:spacing w:after="0"/>
              <w:rPr>
                <w:sz w:val="19"/>
                <w:szCs w:val="19"/>
                <w:color w:val="auto"/>
              </w:rPr>
            </w:pPr>
          </w:p>
        </w:tc>
        <w:tc>
          <w:tcPr>
            <w:tcW w:w="220" w:type="dxa"/>
            <w:vAlign w:val="bottom"/>
            <w:tcBorders>
              <w:bottom w:val="single" w:sz="8" w:color="auto"/>
            </w:tcBorders>
            <w:shd w:val="clear" w:color="auto" w:fill="CFF0FC"/>
          </w:tcPr>
          <w:p>
            <w:pPr>
              <w:spacing w:after="0"/>
              <w:rPr>
                <w:sz w:val="19"/>
                <w:szCs w:val="19"/>
                <w:color w:val="auto"/>
              </w:rPr>
            </w:pPr>
          </w:p>
        </w:tc>
        <w:tc>
          <w:tcPr>
            <w:tcW w:w="940" w:type="dxa"/>
            <w:vAlign w:val="bottom"/>
            <w:tcBorders>
              <w:bottom w:val="single" w:sz="8" w:color="auto"/>
            </w:tcBorders>
            <w:gridSpan w:val="2"/>
            <w:shd w:val="clear" w:color="auto" w:fill="CFF0FC"/>
          </w:tcPr>
          <w:p>
            <w:pPr>
              <w:jc w:val="right"/>
              <w:spacing w:after="0"/>
              <w:rPr>
                <w:sz w:val="20"/>
                <w:szCs w:val="20"/>
                <w:color w:val="auto"/>
              </w:rPr>
            </w:pPr>
            <w:r>
              <w:rPr>
                <w:rFonts w:ascii="Arial" w:cs="Arial" w:eastAsia="Arial" w:hAnsi="Arial"/>
                <w:sz w:val="18"/>
                <w:szCs w:val="18"/>
                <w:color w:val="auto"/>
              </w:rPr>
              <w:t>377,258</w:t>
            </w:r>
          </w:p>
        </w:tc>
        <w:tc>
          <w:tcPr>
            <w:tcW w:w="160" w:type="dxa"/>
            <w:vAlign w:val="bottom"/>
            <w:tcBorders>
              <w:right w:val="single" w:sz="8" w:color="CFF0FC"/>
            </w:tcBorders>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280" w:type="dxa"/>
            <w:vAlign w:val="bottom"/>
            <w:tcBorders>
              <w:bottom w:val="single" w:sz="8" w:color="auto"/>
            </w:tcBorders>
            <w:shd w:val="clear" w:color="auto" w:fill="CFF0FC"/>
          </w:tcPr>
          <w:p>
            <w:pPr>
              <w:spacing w:after="0"/>
              <w:rPr>
                <w:sz w:val="19"/>
                <w:szCs w:val="19"/>
                <w:color w:val="auto"/>
              </w:rPr>
            </w:pPr>
          </w:p>
        </w:tc>
        <w:tc>
          <w:tcPr>
            <w:tcW w:w="1100" w:type="dxa"/>
            <w:vAlign w:val="bottom"/>
            <w:tcBorders>
              <w:bottom w:val="single" w:sz="8" w:color="auto"/>
            </w:tcBorders>
            <w:gridSpan w:val="4"/>
            <w:shd w:val="clear" w:color="auto" w:fill="CFF0FC"/>
          </w:tcPr>
          <w:p>
            <w:pPr>
              <w:jc w:val="right"/>
              <w:spacing w:after="0"/>
              <w:rPr>
                <w:sz w:val="20"/>
                <w:szCs w:val="20"/>
                <w:color w:val="auto"/>
              </w:rPr>
            </w:pPr>
            <w:r>
              <w:rPr>
                <w:rFonts w:ascii="Arial" w:cs="Arial" w:eastAsia="Arial" w:hAnsi="Arial"/>
                <w:sz w:val="18"/>
                <w:szCs w:val="18"/>
                <w:color w:val="auto"/>
              </w:rPr>
              <w:t>248,132</w:t>
            </w:r>
          </w:p>
        </w:tc>
        <w:tc>
          <w:tcPr>
            <w:tcW w:w="120" w:type="dxa"/>
            <w:vAlign w:val="bottom"/>
            <w:shd w:val="clear" w:color="auto" w:fill="CFF0FC"/>
          </w:tcPr>
          <w:p>
            <w:pPr>
              <w:spacing w:after="0"/>
              <w:rPr>
                <w:sz w:val="19"/>
                <w:szCs w:val="19"/>
                <w:color w:val="auto"/>
              </w:rPr>
            </w:pPr>
          </w:p>
        </w:tc>
        <w:tc>
          <w:tcPr>
            <w:tcW w:w="34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2200" w:type="dxa"/>
            <w:vAlign w:val="bottom"/>
            <w:gridSpan w:val="3"/>
          </w:tcPr>
          <w:p>
            <w:pPr>
              <w:ind w:left="580"/>
              <w:spacing w:after="0"/>
              <w:rPr>
                <w:sz w:val="20"/>
                <w:szCs w:val="20"/>
                <w:color w:val="auto"/>
              </w:rPr>
            </w:pPr>
            <w:r>
              <w:rPr>
                <w:rFonts w:ascii="Arial" w:cs="Arial" w:eastAsia="Arial" w:hAnsi="Arial"/>
                <w:sz w:val="18"/>
                <w:szCs w:val="18"/>
                <w:b w:val="1"/>
                <w:bCs w:val="1"/>
                <w:color w:val="auto"/>
              </w:rPr>
              <w:t>Expenses:</w:t>
            </w:r>
          </w:p>
        </w:tc>
        <w:tc>
          <w:tcPr>
            <w:tcW w:w="68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8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82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580" w:type="dxa"/>
            <w:vAlign w:val="bottom"/>
          </w:tcPr>
          <w:p>
            <w:pPr>
              <w:spacing w:after="0"/>
              <w:rPr>
                <w:sz w:val="19"/>
                <w:szCs w:val="19"/>
                <w:color w:val="auto"/>
              </w:rPr>
            </w:pPr>
          </w:p>
        </w:tc>
        <w:tc>
          <w:tcPr>
            <w:tcW w:w="1620" w:type="dxa"/>
            <w:vAlign w:val="bottom"/>
            <w:gridSpan w:val="2"/>
            <w:shd w:val="clear" w:color="auto" w:fill="CFF0FC"/>
          </w:tcPr>
          <w:p>
            <w:pPr>
              <w:ind w:left="240"/>
              <w:spacing w:after="0"/>
              <w:rPr>
                <w:sz w:val="20"/>
                <w:szCs w:val="20"/>
                <w:color w:val="auto"/>
              </w:rPr>
            </w:pPr>
            <w:r>
              <w:rPr>
                <w:rFonts w:ascii="Arial" w:cs="Arial" w:eastAsia="Arial" w:hAnsi="Arial"/>
                <w:sz w:val="18"/>
                <w:szCs w:val="18"/>
                <w:color w:val="auto"/>
                <w:w w:val="88"/>
              </w:rPr>
              <w:t>Cost of home sales</w:t>
            </w:r>
          </w:p>
        </w:tc>
        <w:tc>
          <w:tcPr>
            <w:tcW w:w="68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840" w:type="dxa"/>
            <w:vAlign w:val="bottom"/>
            <w:shd w:val="clear" w:color="auto" w:fill="CFF0FC"/>
          </w:tcPr>
          <w:p>
            <w:pPr>
              <w:spacing w:after="0"/>
              <w:rPr>
                <w:sz w:val="19"/>
                <w:szCs w:val="19"/>
                <w:color w:val="auto"/>
              </w:rPr>
            </w:pPr>
          </w:p>
        </w:tc>
        <w:tc>
          <w:tcPr>
            <w:tcW w:w="240" w:type="dxa"/>
            <w:vAlign w:val="bottom"/>
            <w:tcBorders>
              <w:right w:val="single" w:sz="8" w:color="CFF0FC"/>
            </w:tcBorders>
            <w:shd w:val="clear" w:color="auto" w:fill="CFF0FC"/>
          </w:tcPr>
          <w:p>
            <w:pPr>
              <w:spacing w:after="0"/>
              <w:rPr>
                <w:sz w:val="19"/>
                <w:szCs w:val="19"/>
                <w:color w:val="auto"/>
              </w:rPr>
            </w:pPr>
          </w:p>
        </w:tc>
        <w:tc>
          <w:tcPr>
            <w:tcW w:w="76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760" w:type="dxa"/>
            <w:vAlign w:val="bottom"/>
            <w:shd w:val="clear" w:color="auto" w:fill="CFF0FC"/>
          </w:tcPr>
          <w:p>
            <w:pPr>
              <w:spacing w:after="0"/>
              <w:rPr>
                <w:sz w:val="19"/>
                <w:szCs w:val="19"/>
                <w:color w:val="auto"/>
              </w:rPr>
            </w:pPr>
          </w:p>
        </w:tc>
        <w:tc>
          <w:tcPr>
            <w:tcW w:w="220" w:type="dxa"/>
            <w:vAlign w:val="bottom"/>
            <w:shd w:val="clear" w:color="auto" w:fill="CFF0FC"/>
          </w:tcPr>
          <w:p>
            <w:pPr>
              <w:spacing w:after="0"/>
              <w:rPr>
                <w:sz w:val="19"/>
                <w:szCs w:val="19"/>
                <w:color w:val="auto"/>
              </w:rPr>
            </w:pPr>
          </w:p>
        </w:tc>
        <w:tc>
          <w:tcPr>
            <w:tcW w:w="820" w:type="dxa"/>
            <w:vAlign w:val="bottom"/>
            <w:shd w:val="clear" w:color="auto" w:fill="CFF0FC"/>
          </w:tcPr>
          <w:p>
            <w:pPr>
              <w:spacing w:after="0"/>
              <w:rPr>
                <w:sz w:val="19"/>
                <w:szCs w:val="19"/>
                <w:color w:val="auto"/>
              </w:rPr>
            </w:pPr>
          </w:p>
        </w:tc>
        <w:tc>
          <w:tcPr>
            <w:tcW w:w="220" w:type="dxa"/>
            <w:vAlign w:val="bottom"/>
            <w:shd w:val="clear" w:color="auto" w:fill="CFF0FC"/>
          </w:tcPr>
          <w:p>
            <w:pPr>
              <w:spacing w:after="0"/>
              <w:rPr>
                <w:sz w:val="19"/>
                <w:szCs w:val="19"/>
                <w:color w:val="auto"/>
              </w:rPr>
            </w:pPr>
          </w:p>
        </w:tc>
        <w:tc>
          <w:tcPr>
            <w:tcW w:w="560" w:type="dxa"/>
            <w:vAlign w:val="bottom"/>
            <w:shd w:val="clear" w:color="auto" w:fill="CFF0FC"/>
          </w:tcPr>
          <w:p>
            <w:pPr>
              <w:spacing w:after="0"/>
              <w:rPr>
                <w:sz w:val="19"/>
                <w:szCs w:val="19"/>
                <w:color w:val="auto"/>
              </w:rPr>
            </w:pPr>
          </w:p>
        </w:tc>
        <w:tc>
          <w:tcPr>
            <w:tcW w:w="220" w:type="dxa"/>
            <w:vAlign w:val="bottom"/>
            <w:shd w:val="clear" w:color="auto" w:fill="CFF0FC"/>
          </w:tcPr>
          <w:p>
            <w:pPr>
              <w:spacing w:after="0"/>
              <w:rPr>
                <w:sz w:val="19"/>
                <w:szCs w:val="19"/>
                <w:color w:val="auto"/>
              </w:rPr>
            </w:pPr>
          </w:p>
        </w:tc>
        <w:tc>
          <w:tcPr>
            <w:tcW w:w="220" w:type="dxa"/>
            <w:vAlign w:val="bottom"/>
            <w:shd w:val="clear" w:color="auto" w:fill="CFF0FC"/>
          </w:tcPr>
          <w:p>
            <w:pPr>
              <w:spacing w:after="0"/>
              <w:rPr>
                <w:sz w:val="19"/>
                <w:szCs w:val="19"/>
                <w:color w:val="auto"/>
              </w:rPr>
            </w:pPr>
          </w:p>
        </w:tc>
        <w:tc>
          <w:tcPr>
            <w:tcW w:w="940" w:type="dxa"/>
            <w:vAlign w:val="bottom"/>
            <w:gridSpan w:val="2"/>
            <w:shd w:val="clear" w:color="auto" w:fill="CFF0FC"/>
          </w:tcPr>
          <w:p>
            <w:pPr>
              <w:jc w:val="right"/>
              <w:spacing w:after="0"/>
              <w:rPr>
                <w:sz w:val="20"/>
                <w:szCs w:val="20"/>
                <w:color w:val="auto"/>
              </w:rPr>
            </w:pPr>
            <w:r>
              <w:rPr>
                <w:rFonts w:ascii="Arial" w:cs="Arial" w:eastAsia="Arial" w:hAnsi="Arial"/>
                <w:sz w:val="18"/>
                <w:szCs w:val="18"/>
                <w:color w:val="auto"/>
              </w:rPr>
              <w:t>299,562</w:t>
            </w:r>
          </w:p>
        </w:tc>
        <w:tc>
          <w:tcPr>
            <w:tcW w:w="160" w:type="dxa"/>
            <w:vAlign w:val="bottom"/>
            <w:tcBorders>
              <w:right w:val="single" w:sz="8" w:color="CFF0FC"/>
            </w:tcBorders>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280" w:type="dxa"/>
            <w:vAlign w:val="bottom"/>
            <w:shd w:val="clear" w:color="auto" w:fill="CFF0FC"/>
          </w:tcPr>
          <w:p>
            <w:pPr>
              <w:spacing w:after="0"/>
              <w:rPr>
                <w:sz w:val="19"/>
                <w:szCs w:val="19"/>
                <w:color w:val="auto"/>
              </w:rPr>
            </w:pPr>
          </w:p>
        </w:tc>
        <w:tc>
          <w:tcPr>
            <w:tcW w:w="1100" w:type="dxa"/>
            <w:vAlign w:val="bottom"/>
            <w:gridSpan w:val="4"/>
            <w:shd w:val="clear" w:color="auto" w:fill="CFF0FC"/>
          </w:tcPr>
          <w:p>
            <w:pPr>
              <w:jc w:val="right"/>
              <w:spacing w:after="0"/>
              <w:rPr>
                <w:sz w:val="20"/>
                <w:szCs w:val="20"/>
                <w:color w:val="auto"/>
              </w:rPr>
            </w:pPr>
            <w:r>
              <w:rPr>
                <w:rFonts w:ascii="Arial" w:cs="Arial" w:eastAsia="Arial" w:hAnsi="Arial"/>
                <w:sz w:val="18"/>
                <w:szCs w:val="18"/>
                <w:color w:val="auto"/>
              </w:rPr>
              <w:t>190,840</w:t>
            </w:r>
          </w:p>
        </w:tc>
        <w:tc>
          <w:tcPr>
            <w:tcW w:w="120" w:type="dxa"/>
            <w:vAlign w:val="bottom"/>
            <w:shd w:val="clear" w:color="auto" w:fill="CFF0FC"/>
          </w:tcPr>
          <w:p>
            <w:pPr>
              <w:spacing w:after="0"/>
              <w:rPr>
                <w:sz w:val="19"/>
                <w:szCs w:val="19"/>
                <w:color w:val="auto"/>
              </w:rPr>
            </w:pPr>
          </w:p>
        </w:tc>
        <w:tc>
          <w:tcPr>
            <w:tcW w:w="34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580" w:type="dxa"/>
            <w:vAlign w:val="bottom"/>
          </w:tcPr>
          <w:p>
            <w:pPr>
              <w:spacing w:after="0"/>
              <w:rPr>
                <w:sz w:val="19"/>
                <w:szCs w:val="19"/>
                <w:color w:val="auto"/>
              </w:rPr>
            </w:pPr>
          </w:p>
        </w:tc>
        <w:tc>
          <w:tcPr>
            <w:tcW w:w="2300" w:type="dxa"/>
            <w:vAlign w:val="bottom"/>
            <w:gridSpan w:val="3"/>
          </w:tcPr>
          <w:p>
            <w:pPr>
              <w:ind w:left="240"/>
              <w:spacing w:after="0"/>
              <w:rPr>
                <w:sz w:val="20"/>
                <w:szCs w:val="20"/>
                <w:color w:val="auto"/>
              </w:rPr>
            </w:pPr>
            <w:r>
              <w:rPr>
                <w:rFonts w:ascii="Arial" w:cs="Arial" w:eastAsia="Arial" w:hAnsi="Arial"/>
                <w:sz w:val="18"/>
                <w:szCs w:val="18"/>
                <w:color w:val="auto"/>
              </w:rPr>
              <w:t>Cost of land and lot sales</w:t>
            </w:r>
          </w:p>
        </w:tc>
        <w:tc>
          <w:tcPr>
            <w:tcW w:w="200" w:type="dxa"/>
            <w:vAlign w:val="bottom"/>
          </w:tcPr>
          <w:p>
            <w:pPr>
              <w:spacing w:after="0"/>
              <w:rPr>
                <w:sz w:val="19"/>
                <w:szCs w:val="19"/>
                <w:color w:val="auto"/>
              </w:rPr>
            </w:pPr>
          </w:p>
        </w:tc>
        <w:tc>
          <w:tcPr>
            <w:tcW w:w="8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82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940" w:type="dxa"/>
            <w:vAlign w:val="bottom"/>
            <w:gridSpan w:val="2"/>
          </w:tcPr>
          <w:p>
            <w:pPr>
              <w:jc w:val="right"/>
              <w:spacing w:after="0"/>
              <w:rPr>
                <w:sz w:val="20"/>
                <w:szCs w:val="20"/>
                <w:color w:val="auto"/>
              </w:rPr>
            </w:pPr>
            <w:r>
              <w:rPr>
                <w:rFonts w:ascii="Arial" w:cs="Arial" w:eastAsia="Arial" w:hAnsi="Arial"/>
                <w:sz w:val="18"/>
                <w:szCs w:val="18"/>
                <w:color w:val="auto"/>
              </w:rPr>
              <w:t>2,298</w:t>
            </w:r>
          </w:p>
        </w:tc>
        <w:tc>
          <w:tcPr>
            <w:tcW w:w="1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440" w:type="dxa"/>
            <w:vAlign w:val="bottom"/>
            <w:gridSpan w:val="2"/>
          </w:tcPr>
          <w:p>
            <w:pPr>
              <w:jc w:val="right"/>
              <w:spacing w:after="0"/>
              <w:rPr>
                <w:sz w:val="20"/>
                <w:szCs w:val="20"/>
                <w:color w:val="auto"/>
              </w:rPr>
            </w:pPr>
            <w:r>
              <w:rPr>
                <w:rFonts w:ascii="Arial" w:cs="Arial" w:eastAsia="Arial" w:hAnsi="Arial"/>
                <w:sz w:val="18"/>
                <w:szCs w:val="18"/>
                <w:color w:val="auto"/>
                <w:w w:val="88"/>
              </w:rPr>
              <w:t>3,138</w:t>
            </w:r>
          </w:p>
        </w:tc>
        <w:tc>
          <w:tcPr>
            <w:tcW w:w="12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580" w:type="dxa"/>
            <w:vAlign w:val="bottom"/>
          </w:tcPr>
          <w:p>
            <w:pPr>
              <w:spacing w:after="0"/>
              <w:rPr>
                <w:sz w:val="19"/>
                <w:szCs w:val="19"/>
                <w:color w:val="auto"/>
              </w:rPr>
            </w:pPr>
          </w:p>
        </w:tc>
        <w:tc>
          <w:tcPr>
            <w:tcW w:w="1620" w:type="dxa"/>
            <w:vAlign w:val="bottom"/>
            <w:gridSpan w:val="2"/>
            <w:shd w:val="clear" w:color="auto" w:fill="CFF0FC"/>
          </w:tcPr>
          <w:p>
            <w:pPr>
              <w:ind w:left="240"/>
              <w:spacing w:after="0"/>
              <w:rPr>
                <w:sz w:val="20"/>
                <w:szCs w:val="20"/>
                <w:color w:val="auto"/>
              </w:rPr>
            </w:pPr>
            <w:r>
              <w:rPr>
                <w:rFonts w:ascii="Arial" w:cs="Arial" w:eastAsia="Arial" w:hAnsi="Arial"/>
                <w:sz w:val="18"/>
                <w:szCs w:val="18"/>
                <w:color w:val="auto"/>
              </w:rPr>
              <w:t>Other operations</w:t>
            </w:r>
          </w:p>
        </w:tc>
        <w:tc>
          <w:tcPr>
            <w:tcW w:w="68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840" w:type="dxa"/>
            <w:vAlign w:val="bottom"/>
            <w:shd w:val="clear" w:color="auto" w:fill="CFF0FC"/>
          </w:tcPr>
          <w:p>
            <w:pPr>
              <w:spacing w:after="0"/>
              <w:rPr>
                <w:sz w:val="19"/>
                <w:szCs w:val="19"/>
                <w:color w:val="auto"/>
              </w:rPr>
            </w:pPr>
          </w:p>
        </w:tc>
        <w:tc>
          <w:tcPr>
            <w:tcW w:w="240" w:type="dxa"/>
            <w:vAlign w:val="bottom"/>
            <w:tcBorders>
              <w:right w:val="single" w:sz="8" w:color="CFF0FC"/>
            </w:tcBorders>
            <w:shd w:val="clear" w:color="auto" w:fill="CFF0FC"/>
          </w:tcPr>
          <w:p>
            <w:pPr>
              <w:spacing w:after="0"/>
              <w:rPr>
                <w:sz w:val="19"/>
                <w:szCs w:val="19"/>
                <w:color w:val="auto"/>
              </w:rPr>
            </w:pPr>
          </w:p>
        </w:tc>
        <w:tc>
          <w:tcPr>
            <w:tcW w:w="76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760" w:type="dxa"/>
            <w:vAlign w:val="bottom"/>
            <w:shd w:val="clear" w:color="auto" w:fill="CFF0FC"/>
          </w:tcPr>
          <w:p>
            <w:pPr>
              <w:spacing w:after="0"/>
              <w:rPr>
                <w:sz w:val="19"/>
                <w:szCs w:val="19"/>
                <w:color w:val="auto"/>
              </w:rPr>
            </w:pPr>
          </w:p>
        </w:tc>
        <w:tc>
          <w:tcPr>
            <w:tcW w:w="220" w:type="dxa"/>
            <w:vAlign w:val="bottom"/>
            <w:shd w:val="clear" w:color="auto" w:fill="CFF0FC"/>
          </w:tcPr>
          <w:p>
            <w:pPr>
              <w:spacing w:after="0"/>
              <w:rPr>
                <w:sz w:val="19"/>
                <w:szCs w:val="19"/>
                <w:color w:val="auto"/>
              </w:rPr>
            </w:pPr>
          </w:p>
        </w:tc>
        <w:tc>
          <w:tcPr>
            <w:tcW w:w="820" w:type="dxa"/>
            <w:vAlign w:val="bottom"/>
            <w:shd w:val="clear" w:color="auto" w:fill="CFF0FC"/>
          </w:tcPr>
          <w:p>
            <w:pPr>
              <w:spacing w:after="0"/>
              <w:rPr>
                <w:sz w:val="19"/>
                <w:szCs w:val="19"/>
                <w:color w:val="auto"/>
              </w:rPr>
            </w:pPr>
          </w:p>
        </w:tc>
        <w:tc>
          <w:tcPr>
            <w:tcW w:w="220" w:type="dxa"/>
            <w:vAlign w:val="bottom"/>
            <w:shd w:val="clear" w:color="auto" w:fill="CFF0FC"/>
          </w:tcPr>
          <w:p>
            <w:pPr>
              <w:spacing w:after="0"/>
              <w:rPr>
                <w:sz w:val="19"/>
                <w:szCs w:val="19"/>
                <w:color w:val="auto"/>
              </w:rPr>
            </w:pPr>
          </w:p>
        </w:tc>
        <w:tc>
          <w:tcPr>
            <w:tcW w:w="560" w:type="dxa"/>
            <w:vAlign w:val="bottom"/>
            <w:shd w:val="clear" w:color="auto" w:fill="CFF0FC"/>
          </w:tcPr>
          <w:p>
            <w:pPr>
              <w:spacing w:after="0"/>
              <w:rPr>
                <w:sz w:val="19"/>
                <w:szCs w:val="19"/>
                <w:color w:val="auto"/>
              </w:rPr>
            </w:pPr>
          </w:p>
        </w:tc>
        <w:tc>
          <w:tcPr>
            <w:tcW w:w="220" w:type="dxa"/>
            <w:vAlign w:val="bottom"/>
            <w:shd w:val="clear" w:color="auto" w:fill="CFF0FC"/>
          </w:tcPr>
          <w:p>
            <w:pPr>
              <w:spacing w:after="0"/>
              <w:rPr>
                <w:sz w:val="19"/>
                <w:szCs w:val="19"/>
                <w:color w:val="auto"/>
              </w:rPr>
            </w:pPr>
          </w:p>
        </w:tc>
        <w:tc>
          <w:tcPr>
            <w:tcW w:w="220" w:type="dxa"/>
            <w:vAlign w:val="bottom"/>
            <w:shd w:val="clear" w:color="auto" w:fill="CFF0FC"/>
          </w:tcPr>
          <w:p>
            <w:pPr>
              <w:spacing w:after="0"/>
              <w:rPr>
                <w:sz w:val="19"/>
                <w:szCs w:val="19"/>
                <w:color w:val="auto"/>
              </w:rPr>
            </w:pPr>
          </w:p>
        </w:tc>
        <w:tc>
          <w:tcPr>
            <w:tcW w:w="940" w:type="dxa"/>
            <w:vAlign w:val="bottom"/>
            <w:gridSpan w:val="2"/>
            <w:shd w:val="clear" w:color="auto" w:fill="CFF0FC"/>
          </w:tcPr>
          <w:p>
            <w:pPr>
              <w:jc w:val="right"/>
              <w:spacing w:after="0"/>
              <w:rPr>
                <w:sz w:val="20"/>
                <w:szCs w:val="20"/>
                <w:color w:val="auto"/>
              </w:rPr>
            </w:pPr>
            <w:r>
              <w:rPr>
                <w:rFonts w:ascii="Arial" w:cs="Arial" w:eastAsia="Arial" w:hAnsi="Arial"/>
                <w:sz w:val="18"/>
                <w:szCs w:val="18"/>
                <w:color w:val="auto"/>
              </w:rPr>
              <w:t>557</w:t>
            </w:r>
          </w:p>
        </w:tc>
        <w:tc>
          <w:tcPr>
            <w:tcW w:w="160" w:type="dxa"/>
            <w:vAlign w:val="bottom"/>
            <w:tcBorders>
              <w:right w:val="single" w:sz="8" w:color="CFF0FC"/>
            </w:tcBorders>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280" w:type="dxa"/>
            <w:vAlign w:val="bottom"/>
            <w:shd w:val="clear" w:color="auto" w:fill="CFF0FC"/>
          </w:tcPr>
          <w:p>
            <w:pPr>
              <w:spacing w:after="0"/>
              <w:rPr>
                <w:sz w:val="19"/>
                <w:szCs w:val="19"/>
                <w:color w:val="auto"/>
              </w:rPr>
            </w:pPr>
          </w:p>
        </w:tc>
        <w:tc>
          <w:tcPr>
            <w:tcW w:w="42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440" w:type="dxa"/>
            <w:vAlign w:val="bottom"/>
            <w:gridSpan w:val="2"/>
            <w:shd w:val="clear" w:color="auto" w:fill="CFF0FC"/>
          </w:tcPr>
          <w:p>
            <w:pPr>
              <w:jc w:val="right"/>
              <w:spacing w:after="0"/>
              <w:rPr>
                <w:sz w:val="20"/>
                <w:szCs w:val="20"/>
                <w:color w:val="auto"/>
              </w:rPr>
            </w:pPr>
            <w:r>
              <w:rPr>
                <w:rFonts w:ascii="Arial" w:cs="Arial" w:eastAsia="Arial" w:hAnsi="Arial"/>
                <w:sz w:val="18"/>
                <w:szCs w:val="18"/>
                <w:color w:val="auto"/>
                <w:w w:val="88"/>
              </w:rPr>
              <w:t>1,617</w:t>
            </w:r>
          </w:p>
        </w:tc>
        <w:tc>
          <w:tcPr>
            <w:tcW w:w="120" w:type="dxa"/>
            <w:vAlign w:val="bottom"/>
            <w:shd w:val="clear" w:color="auto" w:fill="CFF0FC"/>
          </w:tcPr>
          <w:p>
            <w:pPr>
              <w:spacing w:after="0"/>
              <w:rPr>
                <w:sz w:val="19"/>
                <w:szCs w:val="19"/>
                <w:color w:val="auto"/>
              </w:rPr>
            </w:pPr>
          </w:p>
        </w:tc>
        <w:tc>
          <w:tcPr>
            <w:tcW w:w="34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580" w:type="dxa"/>
            <w:vAlign w:val="bottom"/>
          </w:tcPr>
          <w:p>
            <w:pPr>
              <w:spacing w:after="0"/>
              <w:rPr>
                <w:sz w:val="19"/>
                <w:szCs w:val="19"/>
                <w:color w:val="auto"/>
              </w:rPr>
            </w:pPr>
          </w:p>
        </w:tc>
        <w:tc>
          <w:tcPr>
            <w:tcW w:w="3580" w:type="dxa"/>
            <w:vAlign w:val="bottom"/>
            <w:gridSpan w:val="6"/>
          </w:tcPr>
          <w:p>
            <w:pPr>
              <w:ind w:left="240"/>
              <w:spacing w:after="0"/>
              <w:rPr>
                <w:sz w:val="20"/>
                <w:szCs w:val="20"/>
                <w:color w:val="auto"/>
              </w:rPr>
            </w:pPr>
            <w:r>
              <w:rPr>
                <w:rFonts w:ascii="Arial" w:cs="Arial" w:eastAsia="Arial" w:hAnsi="Arial"/>
                <w:sz w:val="18"/>
                <w:szCs w:val="18"/>
                <w:color w:val="auto"/>
                <w:w w:val="98"/>
              </w:rPr>
              <w:t>Impairments and lot option abandonments</w:t>
            </w:r>
          </w:p>
        </w:tc>
        <w:tc>
          <w:tcPr>
            <w:tcW w:w="76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82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940" w:type="dxa"/>
            <w:vAlign w:val="bottom"/>
            <w:gridSpan w:val="2"/>
          </w:tcPr>
          <w:p>
            <w:pPr>
              <w:jc w:val="right"/>
              <w:spacing w:after="0"/>
              <w:rPr>
                <w:sz w:val="20"/>
                <w:szCs w:val="20"/>
                <w:color w:val="auto"/>
              </w:rPr>
            </w:pPr>
            <w:r>
              <w:rPr>
                <w:rFonts w:ascii="Arial" w:cs="Arial" w:eastAsia="Arial" w:hAnsi="Arial"/>
                <w:sz w:val="18"/>
                <w:szCs w:val="18"/>
                <w:color w:val="auto"/>
              </w:rPr>
              <w:t>360</w:t>
            </w:r>
          </w:p>
        </w:tc>
        <w:tc>
          <w:tcPr>
            <w:tcW w:w="1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440" w:type="dxa"/>
            <w:vAlign w:val="bottom"/>
            <w:gridSpan w:val="2"/>
          </w:tcPr>
          <w:p>
            <w:pPr>
              <w:jc w:val="right"/>
              <w:spacing w:after="0"/>
              <w:rPr>
                <w:sz w:val="20"/>
                <w:szCs w:val="20"/>
                <w:color w:val="auto"/>
              </w:rPr>
            </w:pPr>
            <w:r>
              <w:rPr>
                <w:rFonts w:ascii="Arial" w:cs="Arial" w:eastAsia="Arial" w:hAnsi="Arial"/>
                <w:sz w:val="18"/>
                <w:szCs w:val="18"/>
                <w:color w:val="auto"/>
              </w:rPr>
              <w:t>468</w:t>
            </w:r>
          </w:p>
        </w:tc>
        <w:tc>
          <w:tcPr>
            <w:tcW w:w="12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580" w:type="dxa"/>
            <w:vAlign w:val="bottom"/>
          </w:tcPr>
          <w:p>
            <w:pPr>
              <w:spacing w:after="0"/>
              <w:rPr>
                <w:sz w:val="19"/>
                <w:szCs w:val="19"/>
                <w:color w:val="auto"/>
              </w:rPr>
            </w:pPr>
          </w:p>
        </w:tc>
        <w:tc>
          <w:tcPr>
            <w:tcW w:w="2300" w:type="dxa"/>
            <w:vAlign w:val="bottom"/>
            <w:gridSpan w:val="3"/>
            <w:shd w:val="clear" w:color="auto" w:fill="CFF0FC"/>
          </w:tcPr>
          <w:p>
            <w:pPr>
              <w:ind w:left="240"/>
              <w:spacing w:after="0"/>
              <w:rPr>
                <w:sz w:val="20"/>
                <w:szCs w:val="20"/>
                <w:color w:val="auto"/>
              </w:rPr>
            </w:pPr>
            <w:r>
              <w:rPr>
                <w:rFonts w:ascii="Arial" w:cs="Arial" w:eastAsia="Arial" w:hAnsi="Arial"/>
                <w:sz w:val="18"/>
                <w:szCs w:val="18"/>
                <w:color w:val="auto"/>
              </w:rPr>
              <w:t>Sales and marketing</w:t>
            </w:r>
          </w:p>
        </w:tc>
        <w:tc>
          <w:tcPr>
            <w:tcW w:w="200" w:type="dxa"/>
            <w:vAlign w:val="bottom"/>
            <w:shd w:val="clear" w:color="auto" w:fill="CFF0FC"/>
          </w:tcPr>
          <w:p>
            <w:pPr>
              <w:spacing w:after="0"/>
              <w:rPr>
                <w:sz w:val="19"/>
                <w:szCs w:val="19"/>
                <w:color w:val="auto"/>
              </w:rPr>
            </w:pPr>
          </w:p>
        </w:tc>
        <w:tc>
          <w:tcPr>
            <w:tcW w:w="840" w:type="dxa"/>
            <w:vAlign w:val="bottom"/>
            <w:shd w:val="clear" w:color="auto" w:fill="CFF0FC"/>
          </w:tcPr>
          <w:p>
            <w:pPr>
              <w:spacing w:after="0"/>
              <w:rPr>
                <w:sz w:val="19"/>
                <w:szCs w:val="19"/>
                <w:color w:val="auto"/>
              </w:rPr>
            </w:pPr>
          </w:p>
        </w:tc>
        <w:tc>
          <w:tcPr>
            <w:tcW w:w="240" w:type="dxa"/>
            <w:vAlign w:val="bottom"/>
            <w:tcBorders>
              <w:right w:val="single" w:sz="8" w:color="CFF0FC"/>
            </w:tcBorders>
            <w:shd w:val="clear" w:color="auto" w:fill="CFF0FC"/>
          </w:tcPr>
          <w:p>
            <w:pPr>
              <w:spacing w:after="0"/>
              <w:rPr>
                <w:sz w:val="19"/>
                <w:szCs w:val="19"/>
                <w:color w:val="auto"/>
              </w:rPr>
            </w:pPr>
          </w:p>
        </w:tc>
        <w:tc>
          <w:tcPr>
            <w:tcW w:w="76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760" w:type="dxa"/>
            <w:vAlign w:val="bottom"/>
            <w:shd w:val="clear" w:color="auto" w:fill="CFF0FC"/>
          </w:tcPr>
          <w:p>
            <w:pPr>
              <w:spacing w:after="0"/>
              <w:rPr>
                <w:sz w:val="19"/>
                <w:szCs w:val="19"/>
                <w:color w:val="auto"/>
              </w:rPr>
            </w:pPr>
          </w:p>
        </w:tc>
        <w:tc>
          <w:tcPr>
            <w:tcW w:w="220" w:type="dxa"/>
            <w:vAlign w:val="bottom"/>
            <w:shd w:val="clear" w:color="auto" w:fill="CFF0FC"/>
          </w:tcPr>
          <w:p>
            <w:pPr>
              <w:spacing w:after="0"/>
              <w:rPr>
                <w:sz w:val="19"/>
                <w:szCs w:val="19"/>
                <w:color w:val="auto"/>
              </w:rPr>
            </w:pPr>
          </w:p>
        </w:tc>
        <w:tc>
          <w:tcPr>
            <w:tcW w:w="820" w:type="dxa"/>
            <w:vAlign w:val="bottom"/>
            <w:shd w:val="clear" w:color="auto" w:fill="CFF0FC"/>
          </w:tcPr>
          <w:p>
            <w:pPr>
              <w:spacing w:after="0"/>
              <w:rPr>
                <w:sz w:val="19"/>
                <w:szCs w:val="19"/>
                <w:color w:val="auto"/>
              </w:rPr>
            </w:pPr>
          </w:p>
        </w:tc>
        <w:tc>
          <w:tcPr>
            <w:tcW w:w="220" w:type="dxa"/>
            <w:vAlign w:val="bottom"/>
            <w:shd w:val="clear" w:color="auto" w:fill="CFF0FC"/>
          </w:tcPr>
          <w:p>
            <w:pPr>
              <w:spacing w:after="0"/>
              <w:rPr>
                <w:sz w:val="19"/>
                <w:szCs w:val="19"/>
                <w:color w:val="auto"/>
              </w:rPr>
            </w:pPr>
          </w:p>
        </w:tc>
        <w:tc>
          <w:tcPr>
            <w:tcW w:w="560" w:type="dxa"/>
            <w:vAlign w:val="bottom"/>
            <w:shd w:val="clear" w:color="auto" w:fill="CFF0FC"/>
          </w:tcPr>
          <w:p>
            <w:pPr>
              <w:spacing w:after="0"/>
              <w:rPr>
                <w:sz w:val="19"/>
                <w:szCs w:val="19"/>
                <w:color w:val="auto"/>
              </w:rPr>
            </w:pPr>
          </w:p>
        </w:tc>
        <w:tc>
          <w:tcPr>
            <w:tcW w:w="220" w:type="dxa"/>
            <w:vAlign w:val="bottom"/>
            <w:shd w:val="clear" w:color="auto" w:fill="CFF0FC"/>
          </w:tcPr>
          <w:p>
            <w:pPr>
              <w:spacing w:after="0"/>
              <w:rPr>
                <w:sz w:val="19"/>
                <w:szCs w:val="19"/>
                <w:color w:val="auto"/>
              </w:rPr>
            </w:pPr>
          </w:p>
        </w:tc>
        <w:tc>
          <w:tcPr>
            <w:tcW w:w="220" w:type="dxa"/>
            <w:vAlign w:val="bottom"/>
            <w:shd w:val="clear" w:color="auto" w:fill="CFF0FC"/>
          </w:tcPr>
          <w:p>
            <w:pPr>
              <w:spacing w:after="0"/>
              <w:rPr>
                <w:sz w:val="19"/>
                <w:szCs w:val="19"/>
                <w:color w:val="auto"/>
              </w:rPr>
            </w:pPr>
          </w:p>
        </w:tc>
        <w:tc>
          <w:tcPr>
            <w:tcW w:w="940" w:type="dxa"/>
            <w:vAlign w:val="bottom"/>
            <w:gridSpan w:val="2"/>
            <w:shd w:val="clear" w:color="auto" w:fill="CFF0FC"/>
          </w:tcPr>
          <w:p>
            <w:pPr>
              <w:jc w:val="right"/>
              <w:spacing w:after="0"/>
              <w:rPr>
                <w:sz w:val="20"/>
                <w:szCs w:val="20"/>
                <w:color w:val="auto"/>
              </w:rPr>
            </w:pPr>
            <w:r>
              <w:rPr>
                <w:rFonts w:ascii="Arial" w:cs="Arial" w:eastAsia="Arial" w:hAnsi="Arial"/>
                <w:sz w:val="18"/>
                <w:szCs w:val="18"/>
                <w:color w:val="auto"/>
              </w:rPr>
              <w:t>23,286</w:t>
            </w:r>
          </w:p>
        </w:tc>
        <w:tc>
          <w:tcPr>
            <w:tcW w:w="160" w:type="dxa"/>
            <w:vAlign w:val="bottom"/>
            <w:tcBorders>
              <w:right w:val="single" w:sz="8" w:color="CFF0FC"/>
            </w:tcBorders>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280" w:type="dxa"/>
            <w:vAlign w:val="bottom"/>
            <w:shd w:val="clear" w:color="auto" w:fill="CFF0FC"/>
          </w:tcPr>
          <w:p>
            <w:pPr>
              <w:spacing w:after="0"/>
              <w:rPr>
                <w:sz w:val="19"/>
                <w:szCs w:val="19"/>
                <w:color w:val="auto"/>
              </w:rPr>
            </w:pPr>
          </w:p>
        </w:tc>
        <w:tc>
          <w:tcPr>
            <w:tcW w:w="1100" w:type="dxa"/>
            <w:vAlign w:val="bottom"/>
            <w:gridSpan w:val="4"/>
            <w:shd w:val="clear" w:color="auto" w:fill="CFF0FC"/>
          </w:tcPr>
          <w:p>
            <w:pPr>
              <w:jc w:val="right"/>
              <w:spacing w:after="0"/>
              <w:rPr>
                <w:sz w:val="20"/>
                <w:szCs w:val="20"/>
                <w:color w:val="auto"/>
              </w:rPr>
            </w:pPr>
            <w:r>
              <w:rPr>
                <w:rFonts w:ascii="Arial" w:cs="Arial" w:eastAsia="Arial" w:hAnsi="Arial"/>
                <w:sz w:val="18"/>
                <w:szCs w:val="18"/>
                <w:color w:val="auto"/>
              </w:rPr>
              <w:t>20,905</w:t>
            </w:r>
          </w:p>
        </w:tc>
        <w:tc>
          <w:tcPr>
            <w:tcW w:w="120" w:type="dxa"/>
            <w:vAlign w:val="bottom"/>
            <w:shd w:val="clear" w:color="auto" w:fill="CFF0FC"/>
          </w:tcPr>
          <w:p>
            <w:pPr>
              <w:spacing w:after="0"/>
              <w:rPr>
                <w:sz w:val="19"/>
                <w:szCs w:val="19"/>
                <w:color w:val="auto"/>
              </w:rPr>
            </w:pPr>
          </w:p>
        </w:tc>
        <w:tc>
          <w:tcPr>
            <w:tcW w:w="34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580" w:type="dxa"/>
            <w:vAlign w:val="bottom"/>
          </w:tcPr>
          <w:p>
            <w:pPr>
              <w:spacing w:after="0"/>
              <w:rPr>
                <w:sz w:val="19"/>
                <w:szCs w:val="19"/>
                <w:color w:val="auto"/>
              </w:rPr>
            </w:pPr>
          </w:p>
        </w:tc>
        <w:tc>
          <w:tcPr>
            <w:tcW w:w="2300" w:type="dxa"/>
            <w:vAlign w:val="bottom"/>
            <w:gridSpan w:val="3"/>
          </w:tcPr>
          <w:p>
            <w:pPr>
              <w:ind w:left="240"/>
              <w:spacing w:after="0"/>
              <w:rPr>
                <w:sz w:val="20"/>
                <w:szCs w:val="20"/>
                <w:color w:val="auto"/>
              </w:rPr>
            </w:pPr>
            <w:r>
              <w:rPr>
                <w:rFonts w:ascii="Arial" w:cs="Arial" w:eastAsia="Arial" w:hAnsi="Arial"/>
                <w:sz w:val="18"/>
                <w:szCs w:val="18"/>
                <w:color w:val="auto"/>
                <w:w w:val="94"/>
              </w:rPr>
              <w:t>General and administrative</w:t>
            </w:r>
          </w:p>
        </w:tc>
        <w:tc>
          <w:tcPr>
            <w:tcW w:w="200" w:type="dxa"/>
            <w:vAlign w:val="bottom"/>
          </w:tcPr>
          <w:p>
            <w:pPr>
              <w:spacing w:after="0"/>
              <w:rPr>
                <w:sz w:val="19"/>
                <w:szCs w:val="19"/>
                <w:color w:val="auto"/>
              </w:rPr>
            </w:pPr>
          </w:p>
        </w:tc>
        <w:tc>
          <w:tcPr>
            <w:tcW w:w="8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82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940" w:type="dxa"/>
            <w:vAlign w:val="bottom"/>
            <w:gridSpan w:val="2"/>
          </w:tcPr>
          <w:p>
            <w:pPr>
              <w:jc w:val="right"/>
              <w:spacing w:after="0"/>
              <w:rPr>
                <w:sz w:val="20"/>
                <w:szCs w:val="20"/>
                <w:color w:val="auto"/>
              </w:rPr>
            </w:pPr>
            <w:r>
              <w:rPr>
                <w:rFonts w:ascii="Arial" w:cs="Arial" w:eastAsia="Arial" w:hAnsi="Arial"/>
                <w:sz w:val="18"/>
                <w:szCs w:val="18"/>
                <w:color w:val="auto"/>
              </w:rPr>
              <w:t>28,179</w:t>
            </w:r>
          </w:p>
        </w:tc>
        <w:tc>
          <w:tcPr>
            <w:tcW w:w="1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100" w:type="dxa"/>
            <w:vAlign w:val="bottom"/>
            <w:gridSpan w:val="4"/>
          </w:tcPr>
          <w:p>
            <w:pPr>
              <w:jc w:val="right"/>
              <w:spacing w:after="0"/>
              <w:rPr>
                <w:sz w:val="20"/>
                <w:szCs w:val="20"/>
                <w:color w:val="auto"/>
              </w:rPr>
            </w:pPr>
            <w:r>
              <w:rPr>
                <w:rFonts w:ascii="Arial" w:cs="Arial" w:eastAsia="Arial" w:hAnsi="Arial"/>
                <w:sz w:val="18"/>
                <w:szCs w:val="18"/>
                <w:color w:val="auto"/>
              </w:rPr>
              <w:t>18,005</w:t>
            </w:r>
          </w:p>
        </w:tc>
        <w:tc>
          <w:tcPr>
            <w:tcW w:w="12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580" w:type="dxa"/>
            <w:vAlign w:val="bottom"/>
          </w:tcPr>
          <w:p>
            <w:pPr>
              <w:spacing w:after="0"/>
              <w:rPr>
                <w:sz w:val="19"/>
                <w:szCs w:val="19"/>
                <w:color w:val="auto"/>
              </w:rPr>
            </w:pPr>
          </w:p>
        </w:tc>
        <w:tc>
          <w:tcPr>
            <w:tcW w:w="2300" w:type="dxa"/>
            <w:vAlign w:val="bottom"/>
            <w:gridSpan w:val="3"/>
            <w:shd w:val="clear" w:color="auto" w:fill="CFF0FC"/>
          </w:tcPr>
          <w:p>
            <w:pPr>
              <w:ind w:left="240"/>
              <w:spacing w:after="0"/>
              <w:rPr>
                <w:sz w:val="20"/>
                <w:szCs w:val="20"/>
                <w:color w:val="auto"/>
              </w:rPr>
            </w:pPr>
            <w:r>
              <w:rPr>
                <w:rFonts w:ascii="Arial" w:cs="Arial" w:eastAsia="Arial" w:hAnsi="Arial"/>
                <w:sz w:val="18"/>
                <w:szCs w:val="18"/>
                <w:color w:val="auto"/>
              </w:rPr>
              <w:t>Restructuring charges</w:t>
            </w:r>
          </w:p>
        </w:tc>
        <w:tc>
          <w:tcPr>
            <w:tcW w:w="200" w:type="dxa"/>
            <w:vAlign w:val="bottom"/>
            <w:shd w:val="clear" w:color="auto" w:fill="CFF0FC"/>
          </w:tcPr>
          <w:p>
            <w:pPr>
              <w:spacing w:after="0"/>
              <w:rPr>
                <w:sz w:val="19"/>
                <w:szCs w:val="19"/>
                <w:color w:val="auto"/>
              </w:rPr>
            </w:pPr>
          </w:p>
        </w:tc>
        <w:tc>
          <w:tcPr>
            <w:tcW w:w="840" w:type="dxa"/>
            <w:vAlign w:val="bottom"/>
            <w:shd w:val="clear" w:color="auto" w:fill="CFF0FC"/>
          </w:tcPr>
          <w:p>
            <w:pPr>
              <w:spacing w:after="0"/>
              <w:rPr>
                <w:sz w:val="19"/>
                <w:szCs w:val="19"/>
                <w:color w:val="auto"/>
              </w:rPr>
            </w:pPr>
          </w:p>
        </w:tc>
        <w:tc>
          <w:tcPr>
            <w:tcW w:w="240" w:type="dxa"/>
            <w:vAlign w:val="bottom"/>
            <w:tcBorders>
              <w:right w:val="single" w:sz="8" w:color="CFF0FC"/>
            </w:tcBorders>
            <w:shd w:val="clear" w:color="auto" w:fill="CFF0FC"/>
          </w:tcPr>
          <w:p>
            <w:pPr>
              <w:spacing w:after="0"/>
              <w:rPr>
                <w:sz w:val="19"/>
                <w:szCs w:val="19"/>
                <w:color w:val="auto"/>
              </w:rPr>
            </w:pPr>
          </w:p>
        </w:tc>
        <w:tc>
          <w:tcPr>
            <w:tcW w:w="76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760" w:type="dxa"/>
            <w:vAlign w:val="bottom"/>
            <w:shd w:val="clear" w:color="auto" w:fill="CFF0FC"/>
          </w:tcPr>
          <w:p>
            <w:pPr>
              <w:spacing w:after="0"/>
              <w:rPr>
                <w:sz w:val="19"/>
                <w:szCs w:val="19"/>
                <w:color w:val="auto"/>
              </w:rPr>
            </w:pPr>
          </w:p>
        </w:tc>
        <w:tc>
          <w:tcPr>
            <w:tcW w:w="220" w:type="dxa"/>
            <w:vAlign w:val="bottom"/>
            <w:shd w:val="clear" w:color="auto" w:fill="CFF0FC"/>
          </w:tcPr>
          <w:p>
            <w:pPr>
              <w:spacing w:after="0"/>
              <w:rPr>
                <w:sz w:val="19"/>
                <w:szCs w:val="19"/>
                <w:color w:val="auto"/>
              </w:rPr>
            </w:pPr>
          </w:p>
        </w:tc>
        <w:tc>
          <w:tcPr>
            <w:tcW w:w="820" w:type="dxa"/>
            <w:vAlign w:val="bottom"/>
            <w:shd w:val="clear" w:color="auto" w:fill="CFF0FC"/>
          </w:tcPr>
          <w:p>
            <w:pPr>
              <w:spacing w:after="0"/>
              <w:rPr>
                <w:sz w:val="19"/>
                <w:szCs w:val="19"/>
                <w:color w:val="auto"/>
              </w:rPr>
            </w:pPr>
          </w:p>
        </w:tc>
        <w:tc>
          <w:tcPr>
            <w:tcW w:w="220" w:type="dxa"/>
            <w:vAlign w:val="bottom"/>
            <w:shd w:val="clear" w:color="auto" w:fill="CFF0FC"/>
          </w:tcPr>
          <w:p>
            <w:pPr>
              <w:spacing w:after="0"/>
              <w:rPr>
                <w:sz w:val="19"/>
                <w:szCs w:val="19"/>
                <w:color w:val="auto"/>
              </w:rPr>
            </w:pPr>
          </w:p>
        </w:tc>
        <w:tc>
          <w:tcPr>
            <w:tcW w:w="560" w:type="dxa"/>
            <w:vAlign w:val="bottom"/>
            <w:shd w:val="clear" w:color="auto" w:fill="CFF0FC"/>
          </w:tcPr>
          <w:p>
            <w:pPr>
              <w:spacing w:after="0"/>
              <w:rPr>
                <w:sz w:val="19"/>
                <w:szCs w:val="19"/>
                <w:color w:val="auto"/>
              </w:rPr>
            </w:pPr>
          </w:p>
        </w:tc>
        <w:tc>
          <w:tcPr>
            <w:tcW w:w="220" w:type="dxa"/>
            <w:vAlign w:val="bottom"/>
            <w:tcBorders>
              <w:bottom w:val="single" w:sz="8" w:color="auto"/>
            </w:tcBorders>
            <w:shd w:val="clear" w:color="auto" w:fill="CFF0FC"/>
          </w:tcPr>
          <w:p>
            <w:pPr>
              <w:spacing w:after="0"/>
              <w:rPr>
                <w:sz w:val="19"/>
                <w:szCs w:val="19"/>
                <w:color w:val="auto"/>
              </w:rPr>
            </w:pPr>
          </w:p>
        </w:tc>
        <w:tc>
          <w:tcPr>
            <w:tcW w:w="220" w:type="dxa"/>
            <w:vAlign w:val="bottom"/>
            <w:tcBorders>
              <w:bottom w:val="single" w:sz="8" w:color="auto"/>
            </w:tcBorders>
            <w:shd w:val="clear" w:color="auto" w:fill="CFF0FC"/>
          </w:tcPr>
          <w:p>
            <w:pPr>
              <w:spacing w:after="0"/>
              <w:rPr>
                <w:sz w:val="19"/>
                <w:szCs w:val="19"/>
                <w:color w:val="auto"/>
              </w:rPr>
            </w:pPr>
          </w:p>
        </w:tc>
        <w:tc>
          <w:tcPr>
            <w:tcW w:w="940" w:type="dxa"/>
            <w:vAlign w:val="bottom"/>
            <w:tcBorders>
              <w:bottom w:val="single" w:sz="8" w:color="auto"/>
            </w:tcBorders>
            <w:gridSpan w:val="2"/>
            <w:shd w:val="clear" w:color="auto" w:fill="CFF0FC"/>
          </w:tcPr>
          <w:p>
            <w:pPr>
              <w:jc w:val="right"/>
              <w:spacing w:after="0"/>
              <w:rPr>
                <w:sz w:val="20"/>
                <w:szCs w:val="20"/>
                <w:color w:val="auto"/>
              </w:rPr>
            </w:pPr>
            <w:r>
              <w:rPr>
                <w:rFonts w:ascii="Arial" w:cs="Arial" w:eastAsia="Arial" w:hAnsi="Arial"/>
                <w:sz w:val="18"/>
                <w:szCs w:val="18"/>
                <w:color w:val="auto"/>
              </w:rPr>
              <w:t>222</w:t>
            </w:r>
          </w:p>
        </w:tc>
        <w:tc>
          <w:tcPr>
            <w:tcW w:w="160" w:type="dxa"/>
            <w:vAlign w:val="bottom"/>
            <w:tcBorders>
              <w:right w:val="single" w:sz="8" w:color="CFF0FC"/>
            </w:tcBorders>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280" w:type="dxa"/>
            <w:vAlign w:val="bottom"/>
            <w:tcBorders>
              <w:bottom w:val="single" w:sz="8" w:color="auto"/>
            </w:tcBorders>
            <w:shd w:val="clear" w:color="auto" w:fill="CFF0FC"/>
          </w:tcPr>
          <w:p>
            <w:pPr>
              <w:spacing w:after="0"/>
              <w:rPr>
                <w:sz w:val="19"/>
                <w:szCs w:val="19"/>
                <w:color w:val="auto"/>
              </w:rPr>
            </w:pPr>
          </w:p>
        </w:tc>
        <w:tc>
          <w:tcPr>
            <w:tcW w:w="420" w:type="dxa"/>
            <w:vAlign w:val="bottom"/>
            <w:tcBorders>
              <w:bottom w:val="single" w:sz="8" w:color="auto"/>
            </w:tcBorders>
            <w:shd w:val="clear" w:color="auto" w:fill="CFF0FC"/>
          </w:tcPr>
          <w:p>
            <w:pPr>
              <w:spacing w:after="0"/>
              <w:rPr>
                <w:sz w:val="19"/>
                <w:szCs w:val="19"/>
                <w:color w:val="auto"/>
              </w:rPr>
            </w:pPr>
          </w:p>
        </w:tc>
        <w:tc>
          <w:tcPr>
            <w:tcW w:w="240" w:type="dxa"/>
            <w:vAlign w:val="bottom"/>
            <w:tcBorders>
              <w:bottom w:val="single" w:sz="8" w:color="auto"/>
            </w:tcBorders>
            <w:shd w:val="clear" w:color="auto" w:fill="CFF0FC"/>
          </w:tcPr>
          <w:p>
            <w:pPr>
              <w:spacing w:after="0"/>
              <w:rPr>
                <w:sz w:val="19"/>
                <w:szCs w:val="19"/>
                <w:color w:val="auto"/>
              </w:rPr>
            </w:pPr>
          </w:p>
        </w:tc>
        <w:tc>
          <w:tcPr>
            <w:tcW w:w="440" w:type="dxa"/>
            <w:vAlign w:val="bottom"/>
            <w:tcBorders>
              <w:bottom w:val="single" w:sz="8" w:color="auto"/>
            </w:tcBorders>
            <w:gridSpan w:val="2"/>
            <w:shd w:val="clear" w:color="auto" w:fill="CFF0FC"/>
          </w:tcPr>
          <w:p>
            <w:pPr>
              <w:jc w:val="right"/>
              <w:spacing w:after="0"/>
              <w:rPr>
                <w:sz w:val="20"/>
                <w:szCs w:val="20"/>
                <w:color w:val="auto"/>
              </w:rPr>
            </w:pPr>
            <w:r>
              <w:rPr>
                <w:rFonts w:ascii="Arial" w:cs="Arial" w:eastAsia="Arial" w:hAnsi="Arial"/>
                <w:sz w:val="18"/>
                <w:szCs w:val="18"/>
                <w:color w:val="auto"/>
                <w:w w:val="88"/>
              </w:rPr>
              <w:t>1,716</w:t>
            </w:r>
          </w:p>
        </w:tc>
        <w:tc>
          <w:tcPr>
            <w:tcW w:w="120" w:type="dxa"/>
            <w:vAlign w:val="bottom"/>
            <w:shd w:val="clear" w:color="auto" w:fill="CFF0FC"/>
          </w:tcPr>
          <w:p>
            <w:pPr>
              <w:spacing w:after="0"/>
              <w:rPr>
                <w:sz w:val="19"/>
                <w:szCs w:val="19"/>
                <w:color w:val="auto"/>
              </w:rPr>
            </w:pPr>
          </w:p>
        </w:tc>
        <w:tc>
          <w:tcPr>
            <w:tcW w:w="34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580" w:type="dxa"/>
            <w:vAlign w:val="bottom"/>
          </w:tcPr>
          <w:p>
            <w:pPr>
              <w:spacing w:after="0"/>
              <w:rPr>
                <w:sz w:val="19"/>
                <w:szCs w:val="19"/>
                <w:color w:val="auto"/>
              </w:rPr>
            </w:pPr>
          </w:p>
        </w:tc>
        <w:tc>
          <w:tcPr>
            <w:tcW w:w="1620" w:type="dxa"/>
            <w:vAlign w:val="bottom"/>
            <w:tcBorders>
              <w:bottom w:val="single" w:sz="8" w:color="CFF0FC"/>
            </w:tcBorders>
            <w:gridSpan w:val="2"/>
          </w:tcPr>
          <w:p>
            <w:pPr>
              <w:ind w:left="500"/>
              <w:spacing w:after="0"/>
              <w:rPr>
                <w:sz w:val="20"/>
                <w:szCs w:val="20"/>
                <w:color w:val="auto"/>
              </w:rPr>
            </w:pPr>
            <w:r>
              <w:rPr>
                <w:rFonts w:ascii="Arial" w:cs="Arial" w:eastAsia="Arial" w:hAnsi="Arial"/>
                <w:sz w:val="18"/>
                <w:szCs w:val="18"/>
                <w:color w:val="auto"/>
                <w:w w:val="90"/>
              </w:rPr>
              <w:t>Total expenses</w:t>
            </w:r>
          </w:p>
        </w:tc>
        <w:tc>
          <w:tcPr>
            <w:tcW w:w="680" w:type="dxa"/>
            <w:vAlign w:val="bottom"/>
            <w:tcBorders>
              <w:bottom w:val="single" w:sz="8" w:color="CFF0FC"/>
            </w:tcBorders>
          </w:tcPr>
          <w:p>
            <w:pPr>
              <w:spacing w:after="0"/>
              <w:rPr>
                <w:sz w:val="19"/>
                <w:szCs w:val="19"/>
                <w:color w:val="auto"/>
              </w:rPr>
            </w:pPr>
          </w:p>
        </w:tc>
        <w:tc>
          <w:tcPr>
            <w:tcW w:w="200" w:type="dxa"/>
            <w:vAlign w:val="bottom"/>
            <w:tcBorders>
              <w:bottom w:val="single" w:sz="8" w:color="CFF0FC"/>
            </w:tcBorders>
          </w:tcPr>
          <w:p>
            <w:pPr>
              <w:spacing w:after="0"/>
              <w:rPr>
                <w:sz w:val="19"/>
                <w:szCs w:val="19"/>
                <w:color w:val="auto"/>
              </w:rPr>
            </w:pPr>
          </w:p>
        </w:tc>
        <w:tc>
          <w:tcPr>
            <w:tcW w:w="840" w:type="dxa"/>
            <w:vAlign w:val="bottom"/>
            <w:tcBorders>
              <w:bottom w:val="single" w:sz="8" w:color="CFF0FC"/>
            </w:tcBorders>
          </w:tcPr>
          <w:p>
            <w:pPr>
              <w:spacing w:after="0"/>
              <w:rPr>
                <w:sz w:val="19"/>
                <w:szCs w:val="19"/>
                <w:color w:val="auto"/>
              </w:rPr>
            </w:pPr>
          </w:p>
        </w:tc>
        <w:tc>
          <w:tcPr>
            <w:tcW w:w="240" w:type="dxa"/>
            <w:vAlign w:val="bottom"/>
            <w:tcBorders>
              <w:bottom w:val="single" w:sz="8" w:color="CFF0FC"/>
            </w:tcBorders>
          </w:tcPr>
          <w:p>
            <w:pPr>
              <w:spacing w:after="0"/>
              <w:rPr>
                <w:sz w:val="19"/>
                <w:szCs w:val="19"/>
                <w:color w:val="auto"/>
              </w:rPr>
            </w:pPr>
          </w:p>
        </w:tc>
        <w:tc>
          <w:tcPr>
            <w:tcW w:w="760" w:type="dxa"/>
            <w:vAlign w:val="bottom"/>
            <w:tcBorders>
              <w:bottom w:val="single" w:sz="8" w:color="CFF0FC"/>
            </w:tcBorders>
          </w:tcPr>
          <w:p>
            <w:pPr>
              <w:spacing w:after="0"/>
              <w:rPr>
                <w:sz w:val="19"/>
                <w:szCs w:val="19"/>
                <w:color w:val="auto"/>
              </w:rPr>
            </w:pPr>
          </w:p>
        </w:tc>
        <w:tc>
          <w:tcPr>
            <w:tcW w:w="200" w:type="dxa"/>
            <w:vAlign w:val="bottom"/>
            <w:tcBorders>
              <w:bottom w:val="single" w:sz="8" w:color="CFF0FC"/>
            </w:tcBorders>
          </w:tcPr>
          <w:p>
            <w:pPr>
              <w:spacing w:after="0"/>
              <w:rPr>
                <w:sz w:val="19"/>
                <w:szCs w:val="19"/>
                <w:color w:val="auto"/>
              </w:rPr>
            </w:pPr>
          </w:p>
        </w:tc>
        <w:tc>
          <w:tcPr>
            <w:tcW w:w="760" w:type="dxa"/>
            <w:vAlign w:val="bottom"/>
            <w:tcBorders>
              <w:bottom w:val="single" w:sz="8" w:color="CFF0FC"/>
            </w:tcBorders>
          </w:tcPr>
          <w:p>
            <w:pPr>
              <w:spacing w:after="0"/>
              <w:rPr>
                <w:sz w:val="19"/>
                <w:szCs w:val="19"/>
                <w:color w:val="auto"/>
              </w:rPr>
            </w:pPr>
          </w:p>
        </w:tc>
        <w:tc>
          <w:tcPr>
            <w:tcW w:w="220" w:type="dxa"/>
            <w:vAlign w:val="bottom"/>
            <w:tcBorders>
              <w:bottom w:val="single" w:sz="8" w:color="CFF0FC"/>
            </w:tcBorders>
          </w:tcPr>
          <w:p>
            <w:pPr>
              <w:spacing w:after="0"/>
              <w:rPr>
                <w:sz w:val="19"/>
                <w:szCs w:val="19"/>
                <w:color w:val="auto"/>
              </w:rPr>
            </w:pPr>
          </w:p>
        </w:tc>
        <w:tc>
          <w:tcPr>
            <w:tcW w:w="820" w:type="dxa"/>
            <w:vAlign w:val="bottom"/>
            <w:tcBorders>
              <w:bottom w:val="single" w:sz="8" w:color="CFF0FC"/>
            </w:tcBorders>
          </w:tcPr>
          <w:p>
            <w:pPr>
              <w:spacing w:after="0"/>
              <w:rPr>
                <w:sz w:val="19"/>
                <w:szCs w:val="19"/>
                <w:color w:val="auto"/>
              </w:rPr>
            </w:pPr>
          </w:p>
        </w:tc>
        <w:tc>
          <w:tcPr>
            <w:tcW w:w="220" w:type="dxa"/>
            <w:vAlign w:val="bottom"/>
            <w:tcBorders>
              <w:bottom w:val="single" w:sz="8" w:color="CFF0FC"/>
            </w:tcBorders>
          </w:tcPr>
          <w:p>
            <w:pPr>
              <w:spacing w:after="0"/>
              <w:rPr>
                <w:sz w:val="19"/>
                <w:szCs w:val="19"/>
                <w:color w:val="auto"/>
              </w:rPr>
            </w:pPr>
          </w:p>
        </w:tc>
        <w:tc>
          <w:tcPr>
            <w:tcW w:w="560" w:type="dxa"/>
            <w:vAlign w:val="bottom"/>
            <w:tcBorders>
              <w:bottom w:val="single" w:sz="8" w:color="CFF0FC"/>
            </w:tcBorders>
          </w:tcPr>
          <w:p>
            <w:pPr>
              <w:spacing w:after="0"/>
              <w:rPr>
                <w:sz w:val="19"/>
                <w:szCs w:val="19"/>
                <w:color w:val="auto"/>
              </w:rPr>
            </w:pPr>
          </w:p>
        </w:tc>
        <w:tc>
          <w:tcPr>
            <w:tcW w:w="220" w:type="dxa"/>
            <w:vAlign w:val="bottom"/>
            <w:tcBorders>
              <w:bottom w:val="single" w:sz="8" w:color="auto"/>
            </w:tcBorders>
          </w:tcPr>
          <w:p>
            <w:pPr>
              <w:spacing w:after="0"/>
              <w:rPr>
                <w:sz w:val="19"/>
                <w:szCs w:val="19"/>
                <w:color w:val="auto"/>
              </w:rPr>
            </w:pPr>
          </w:p>
        </w:tc>
        <w:tc>
          <w:tcPr>
            <w:tcW w:w="220" w:type="dxa"/>
            <w:vAlign w:val="bottom"/>
            <w:tcBorders>
              <w:bottom w:val="single" w:sz="8" w:color="auto"/>
            </w:tcBorders>
          </w:tcPr>
          <w:p>
            <w:pPr>
              <w:spacing w:after="0"/>
              <w:rPr>
                <w:sz w:val="19"/>
                <w:szCs w:val="19"/>
                <w:color w:val="auto"/>
              </w:rPr>
            </w:pPr>
          </w:p>
        </w:tc>
        <w:tc>
          <w:tcPr>
            <w:tcW w:w="940" w:type="dxa"/>
            <w:vAlign w:val="bottom"/>
            <w:tcBorders>
              <w:bottom w:val="single" w:sz="8" w:color="auto"/>
            </w:tcBorders>
            <w:gridSpan w:val="2"/>
          </w:tcPr>
          <w:p>
            <w:pPr>
              <w:jc w:val="right"/>
              <w:spacing w:after="0"/>
              <w:rPr>
                <w:sz w:val="20"/>
                <w:szCs w:val="20"/>
                <w:color w:val="auto"/>
              </w:rPr>
            </w:pPr>
            <w:r>
              <w:rPr>
                <w:rFonts w:ascii="Arial" w:cs="Arial" w:eastAsia="Arial" w:hAnsi="Arial"/>
                <w:sz w:val="18"/>
                <w:szCs w:val="18"/>
                <w:color w:val="auto"/>
              </w:rPr>
              <w:t>354,464</w:t>
            </w:r>
          </w:p>
        </w:tc>
        <w:tc>
          <w:tcPr>
            <w:tcW w:w="160" w:type="dxa"/>
            <w:vAlign w:val="bottom"/>
            <w:tcBorders>
              <w:bottom w:val="single" w:sz="8" w:color="CFF0FC"/>
            </w:tcBorders>
          </w:tcPr>
          <w:p>
            <w:pPr>
              <w:spacing w:after="0"/>
              <w:rPr>
                <w:sz w:val="19"/>
                <w:szCs w:val="19"/>
                <w:color w:val="auto"/>
              </w:rPr>
            </w:pPr>
          </w:p>
        </w:tc>
        <w:tc>
          <w:tcPr>
            <w:tcW w:w="120" w:type="dxa"/>
            <w:vAlign w:val="bottom"/>
            <w:tcBorders>
              <w:bottom w:val="single" w:sz="8" w:color="CFF0FC"/>
            </w:tcBorders>
          </w:tcPr>
          <w:p>
            <w:pPr>
              <w:spacing w:after="0"/>
              <w:rPr>
                <w:sz w:val="19"/>
                <w:szCs w:val="19"/>
                <w:color w:val="auto"/>
              </w:rPr>
            </w:pPr>
          </w:p>
        </w:tc>
        <w:tc>
          <w:tcPr>
            <w:tcW w:w="280" w:type="dxa"/>
            <w:vAlign w:val="bottom"/>
            <w:tcBorders>
              <w:bottom w:val="single" w:sz="8" w:color="auto"/>
            </w:tcBorders>
          </w:tcPr>
          <w:p>
            <w:pPr>
              <w:spacing w:after="0"/>
              <w:rPr>
                <w:sz w:val="19"/>
                <w:szCs w:val="19"/>
                <w:color w:val="auto"/>
              </w:rPr>
            </w:pPr>
          </w:p>
        </w:tc>
        <w:tc>
          <w:tcPr>
            <w:tcW w:w="1100" w:type="dxa"/>
            <w:vAlign w:val="bottom"/>
            <w:tcBorders>
              <w:bottom w:val="single" w:sz="8" w:color="auto"/>
            </w:tcBorders>
            <w:gridSpan w:val="4"/>
          </w:tcPr>
          <w:p>
            <w:pPr>
              <w:jc w:val="right"/>
              <w:spacing w:after="0"/>
              <w:rPr>
                <w:sz w:val="20"/>
                <w:szCs w:val="20"/>
                <w:color w:val="auto"/>
              </w:rPr>
            </w:pPr>
            <w:r>
              <w:rPr>
                <w:rFonts w:ascii="Arial" w:cs="Arial" w:eastAsia="Arial" w:hAnsi="Arial"/>
                <w:sz w:val="18"/>
                <w:szCs w:val="18"/>
                <w:color w:val="auto"/>
              </w:rPr>
              <w:t>236,689</w:t>
            </w:r>
          </w:p>
        </w:tc>
        <w:tc>
          <w:tcPr>
            <w:tcW w:w="120" w:type="dxa"/>
            <w:vAlign w:val="bottom"/>
            <w:tcBorders>
              <w:bottom w:val="single" w:sz="8" w:color="CFF0FC"/>
            </w:tcBorders>
          </w:tcPr>
          <w:p>
            <w:pPr>
              <w:spacing w:after="0"/>
              <w:rPr>
                <w:sz w:val="19"/>
                <w:szCs w:val="19"/>
                <w:color w:val="auto"/>
              </w:rPr>
            </w:pPr>
          </w:p>
        </w:tc>
        <w:tc>
          <w:tcPr>
            <w:tcW w:w="34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580" w:type="dxa"/>
            <w:vAlign w:val="bottom"/>
          </w:tcPr>
          <w:p>
            <w:pPr>
              <w:spacing w:after="0"/>
              <w:rPr>
                <w:sz w:val="19"/>
                <w:szCs w:val="19"/>
                <w:color w:val="auto"/>
              </w:rPr>
            </w:pPr>
          </w:p>
        </w:tc>
        <w:tc>
          <w:tcPr>
            <w:tcW w:w="2300" w:type="dxa"/>
            <w:vAlign w:val="bottom"/>
            <w:gridSpan w:val="3"/>
            <w:shd w:val="clear" w:color="auto" w:fill="CFF0FC"/>
          </w:tcPr>
          <w:p>
            <w:pPr>
              <w:spacing w:after="0"/>
              <w:rPr>
                <w:sz w:val="20"/>
                <w:szCs w:val="20"/>
                <w:color w:val="auto"/>
              </w:rPr>
            </w:pPr>
            <w:r>
              <w:rPr>
                <w:rFonts w:ascii="Arial" w:cs="Arial" w:eastAsia="Arial" w:hAnsi="Arial"/>
                <w:sz w:val="18"/>
                <w:szCs w:val="18"/>
                <w:color w:val="auto"/>
              </w:rPr>
              <w:t>Income from operations</w:t>
            </w:r>
          </w:p>
        </w:tc>
        <w:tc>
          <w:tcPr>
            <w:tcW w:w="200" w:type="dxa"/>
            <w:vAlign w:val="bottom"/>
            <w:shd w:val="clear" w:color="auto" w:fill="CFF0FC"/>
          </w:tcPr>
          <w:p>
            <w:pPr>
              <w:spacing w:after="0"/>
              <w:rPr>
                <w:sz w:val="19"/>
                <w:szCs w:val="19"/>
                <w:color w:val="auto"/>
              </w:rPr>
            </w:pPr>
          </w:p>
        </w:tc>
        <w:tc>
          <w:tcPr>
            <w:tcW w:w="840" w:type="dxa"/>
            <w:vAlign w:val="bottom"/>
            <w:shd w:val="clear" w:color="auto" w:fill="CFF0FC"/>
          </w:tcPr>
          <w:p>
            <w:pPr>
              <w:spacing w:after="0"/>
              <w:rPr>
                <w:sz w:val="19"/>
                <w:szCs w:val="19"/>
                <w:color w:val="auto"/>
              </w:rPr>
            </w:pPr>
          </w:p>
        </w:tc>
        <w:tc>
          <w:tcPr>
            <w:tcW w:w="240" w:type="dxa"/>
            <w:vAlign w:val="bottom"/>
            <w:tcBorders>
              <w:right w:val="single" w:sz="8" w:color="CFF0FC"/>
            </w:tcBorders>
            <w:shd w:val="clear" w:color="auto" w:fill="CFF0FC"/>
          </w:tcPr>
          <w:p>
            <w:pPr>
              <w:spacing w:after="0"/>
              <w:rPr>
                <w:sz w:val="19"/>
                <w:szCs w:val="19"/>
                <w:color w:val="auto"/>
              </w:rPr>
            </w:pPr>
          </w:p>
        </w:tc>
        <w:tc>
          <w:tcPr>
            <w:tcW w:w="76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760" w:type="dxa"/>
            <w:vAlign w:val="bottom"/>
            <w:shd w:val="clear" w:color="auto" w:fill="CFF0FC"/>
          </w:tcPr>
          <w:p>
            <w:pPr>
              <w:spacing w:after="0"/>
              <w:rPr>
                <w:sz w:val="19"/>
                <w:szCs w:val="19"/>
                <w:color w:val="auto"/>
              </w:rPr>
            </w:pPr>
          </w:p>
        </w:tc>
        <w:tc>
          <w:tcPr>
            <w:tcW w:w="220" w:type="dxa"/>
            <w:vAlign w:val="bottom"/>
            <w:shd w:val="clear" w:color="auto" w:fill="CFF0FC"/>
          </w:tcPr>
          <w:p>
            <w:pPr>
              <w:spacing w:after="0"/>
              <w:rPr>
                <w:sz w:val="19"/>
                <w:szCs w:val="19"/>
                <w:color w:val="auto"/>
              </w:rPr>
            </w:pPr>
          </w:p>
        </w:tc>
        <w:tc>
          <w:tcPr>
            <w:tcW w:w="820" w:type="dxa"/>
            <w:vAlign w:val="bottom"/>
            <w:shd w:val="clear" w:color="auto" w:fill="CFF0FC"/>
          </w:tcPr>
          <w:p>
            <w:pPr>
              <w:spacing w:after="0"/>
              <w:rPr>
                <w:sz w:val="19"/>
                <w:szCs w:val="19"/>
                <w:color w:val="auto"/>
              </w:rPr>
            </w:pPr>
          </w:p>
        </w:tc>
        <w:tc>
          <w:tcPr>
            <w:tcW w:w="220" w:type="dxa"/>
            <w:vAlign w:val="bottom"/>
            <w:shd w:val="clear" w:color="auto" w:fill="CFF0FC"/>
          </w:tcPr>
          <w:p>
            <w:pPr>
              <w:spacing w:after="0"/>
              <w:rPr>
                <w:sz w:val="19"/>
                <w:szCs w:val="19"/>
                <w:color w:val="auto"/>
              </w:rPr>
            </w:pPr>
          </w:p>
        </w:tc>
        <w:tc>
          <w:tcPr>
            <w:tcW w:w="560" w:type="dxa"/>
            <w:vAlign w:val="bottom"/>
            <w:shd w:val="clear" w:color="auto" w:fill="CFF0FC"/>
          </w:tcPr>
          <w:p>
            <w:pPr>
              <w:spacing w:after="0"/>
              <w:rPr>
                <w:sz w:val="19"/>
                <w:szCs w:val="19"/>
                <w:color w:val="auto"/>
              </w:rPr>
            </w:pPr>
          </w:p>
        </w:tc>
        <w:tc>
          <w:tcPr>
            <w:tcW w:w="220" w:type="dxa"/>
            <w:vAlign w:val="bottom"/>
            <w:shd w:val="clear" w:color="auto" w:fill="CFF0FC"/>
          </w:tcPr>
          <w:p>
            <w:pPr>
              <w:spacing w:after="0"/>
              <w:rPr>
                <w:sz w:val="19"/>
                <w:szCs w:val="19"/>
                <w:color w:val="auto"/>
              </w:rPr>
            </w:pPr>
          </w:p>
        </w:tc>
        <w:tc>
          <w:tcPr>
            <w:tcW w:w="220" w:type="dxa"/>
            <w:vAlign w:val="bottom"/>
            <w:shd w:val="clear" w:color="auto" w:fill="CFF0FC"/>
          </w:tcPr>
          <w:p>
            <w:pPr>
              <w:spacing w:after="0"/>
              <w:rPr>
                <w:sz w:val="19"/>
                <w:szCs w:val="19"/>
                <w:color w:val="auto"/>
              </w:rPr>
            </w:pPr>
          </w:p>
        </w:tc>
        <w:tc>
          <w:tcPr>
            <w:tcW w:w="940" w:type="dxa"/>
            <w:vAlign w:val="bottom"/>
            <w:gridSpan w:val="2"/>
            <w:shd w:val="clear" w:color="auto" w:fill="CFF0FC"/>
          </w:tcPr>
          <w:p>
            <w:pPr>
              <w:jc w:val="right"/>
              <w:spacing w:after="0"/>
              <w:rPr>
                <w:sz w:val="20"/>
                <w:szCs w:val="20"/>
                <w:color w:val="auto"/>
              </w:rPr>
            </w:pPr>
            <w:r>
              <w:rPr>
                <w:rFonts w:ascii="Arial" w:cs="Arial" w:eastAsia="Arial" w:hAnsi="Arial"/>
                <w:sz w:val="18"/>
                <w:szCs w:val="18"/>
                <w:color w:val="auto"/>
              </w:rPr>
              <w:t>22,794</w:t>
            </w:r>
          </w:p>
        </w:tc>
        <w:tc>
          <w:tcPr>
            <w:tcW w:w="160" w:type="dxa"/>
            <w:vAlign w:val="bottom"/>
            <w:tcBorders>
              <w:right w:val="single" w:sz="8" w:color="CFF0FC"/>
            </w:tcBorders>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280" w:type="dxa"/>
            <w:vAlign w:val="bottom"/>
            <w:shd w:val="clear" w:color="auto" w:fill="CFF0FC"/>
          </w:tcPr>
          <w:p>
            <w:pPr>
              <w:spacing w:after="0"/>
              <w:rPr>
                <w:sz w:val="19"/>
                <w:szCs w:val="19"/>
                <w:color w:val="auto"/>
              </w:rPr>
            </w:pPr>
          </w:p>
        </w:tc>
        <w:tc>
          <w:tcPr>
            <w:tcW w:w="1100" w:type="dxa"/>
            <w:vAlign w:val="bottom"/>
            <w:gridSpan w:val="4"/>
            <w:shd w:val="clear" w:color="auto" w:fill="CFF0FC"/>
          </w:tcPr>
          <w:p>
            <w:pPr>
              <w:jc w:val="right"/>
              <w:spacing w:after="0"/>
              <w:rPr>
                <w:sz w:val="20"/>
                <w:szCs w:val="20"/>
                <w:color w:val="auto"/>
              </w:rPr>
            </w:pPr>
            <w:r>
              <w:rPr>
                <w:rFonts w:ascii="Arial" w:cs="Arial" w:eastAsia="Arial" w:hAnsi="Arial"/>
                <w:sz w:val="18"/>
                <w:szCs w:val="18"/>
                <w:color w:val="auto"/>
              </w:rPr>
              <w:t>11,443</w:t>
            </w:r>
          </w:p>
        </w:tc>
        <w:tc>
          <w:tcPr>
            <w:tcW w:w="120" w:type="dxa"/>
            <w:vAlign w:val="bottom"/>
            <w:shd w:val="clear" w:color="auto" w:fill="CFF0FC"/>
          </w:tcPr>
          <w:p>
            <w:pPr>
              <w:spacing w:after="0"/>
              <w:rPr>
                <w:sz w:val="19"/>
                <w:szCs w:val="19"/>
                <w:color w:val="auto"/>
              </w:rPr>
            </w:pPr>
          </w:p>
        </w:tc>
        <w:tc>
          <w:tcPr>
            <w:tcW w:w="34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580" w:type="dxa"/>
            <w:vAlign w:val="bottom"/>
          </w:tcPr>
          <w:p>
            <w:pPr>
              <w:spacing w:after="0"/>
              <w:rPr>
                <w:sz w:val="19"/>
                <w:szCs w:val="19"/>
                <w:color w:val="auto"/>
              </w:rPr>
            </w:pPr>
          </w:p>
        </w:tc>
        <w:tc>
          <w:tcPr>
            <w:tcW w:w="3580" w:type="dxa"/>
            <w:vAlign w:val="bottom"/>
            <w:gridSpan w:val="6"/>
          </w:tcPr>
          <w:p>
            <w:pPr>
              <w:spacing w:after="0"/>
              <w:rPr>
                <w:sz w:val="20"/>
                <w:szCs w:val="20"/>
                <w:color w:val="auto"/>
              </w:rPr>
            </w:pPr>
            <w:r>
              <w:rPr>
                <w:rFonts w:ascii="Arial" w:cs="Arial" w:eastAsia="Arial" w:hAnsi="Arial"/>
                <w:sz w:val="18"/>
                <w:szCs w:val="18"/>
                <w:color w:val="auto"/>
                <w:w w:val="90"/>
              </w:rPr>
              <w:t>Equity in income (loss) of unconsolidated entities</w:t>
            </w:r>
          </w:p>
        </w:tc>
        <w:tc>
          <w:tcPr>
            <w:tcW w:w="76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82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940" w:type="dxa"/>
            <w:vAlign w:val="bottom"/>
            <w:gridSpan w:val="2"/>
          </w:tcPr>
          <w:p>
            <w:pPr>
              <w:jc w:val="right"/>
              <w:spacing w:after="0"/>
              <w:rPr>
                <w:sz w:val="20"/>
                <w:szCs w:val="20"/>
                <w:color w:val="auto"/>
              </w:rPr>
            </w:pPr>
            <w:r>
              <w:rPr>
                <w:rFonts w:ascii="Arial" w:cs="Arial" w:eastAsia="Arial" w:hAnsi="Arial"/>
                <w:sz w:val="18"/>
                <w:szCs w:val="18"/>
                <w:color w:val="auto"/>
              </w:rPr>
              <w:t>74</w:t>
            </w:r>
          </w:p>
        </w:tc>
        <w:tc>
          <w:tcPr>
            <w:tcW w:w="1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560" w:type="dxa"/>
            <w:vAlign w:val="bottom"/>
            <w:gridSpan w:val="3"/>
          </w:tcPr>
          <w:p>
            <w:pPr>
              <w:jc w:val="right"/>
              <w:ind w:right="60"/>
              <w:spacing w:after="0"/>
              <w:rPr>
                <w:sz w:val="20"/>
                <w:szCs w:val="20"/>
                <w:color w:val="auto"/>
              </w:rPr>
            </w:pPr>
            <w:r>
              <w:rPr>
                <w:rFonts w:ascii="Arial" w:cs="Arial" w:eastAsia="Arial" w:hAnsi="Arial"/>
                <w:sz w:val="18"/>
                <w:szCs w:val="18"/>
                <w:color w:val="auto"/>
              </w:rPr>
              <w:t>(68)</w:t>
            </w:r>
          </w:p>
        </w:tc>
        <w:tc>
          <w:tcPr>
            <w:tcW w:w="34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580" w:type="dxa"/>
            <w:vAlign w:val="bottom"/>
          </w:tcPr>
          <w:p>
            <w:pPr>
              <w:spacing w:after="0"/>
              <w:rPr>
                <w:sz w:val="19"/>
                <w:szCs w:val="19"/>
                <w:color w:val="auto"/>
              </w:rPr>
            </w:pPr>
          </w:p>
        </w:tc>
        <w:tc>
          <w:tcPr>
            <w:tcW w:w="1620" w:type="dxa"/>
            <w:vAlign w:val="bottom"/>
            <w:gridSpan w:val="2"/>
            <w:shd w:val="clear" w:color="auto" w:fill="CFF0FC"/>
          </w:tcPr>
          <w:p>
            <w:pPr>
              <w:spacing w:after="0"/>
              <w:rPr>
                <w:sz w:val="20"/>
                <w:szCs w:val="20"/>
                <w:color w:val="auto"/>
              </w:rPr>
            </w:pPr>
            <w:r>
              <w:rPr>
                <w:rFonts w:ascii="Arial" w:cs="Arial" w:eastAsia="Arial" w:hAnsi="Arial"/>
                <w:sz w:val="18"/>
                <w:szCs w:val="18"/>
                <w:color w:val="auto"/>
              </w:rPr>
              <w:t>Other income, net</w:t>
            </w:r>
          </w:p>
        </w:tc>
        <w:tc>
          <w:tcPr>
            <w:tcW w:w="68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840" w:type="dxa"/>
            <w:vAlign w:val="bottom"/>
            <w:shd w:val="clear" w:color="auto" w:fill="CFF0FC"/>
          </w:tcPr>
          <w:p>
            <w:pPr>
              <w:spacing w:after="0"/>
              <w:rPr>
                <w:sz w:val="19"/>
                <w:szCs w:val="19"/>
                <w:color w:val="auto"/>
              </w:rPr>
            </w:pPr>
          </w:p>
        </w:tc>
        <w:tc>
          <w:tcPr>
            <w:tcW w:w="240" w:type="dxa"/>
            <w:vAlign w:val="bottom"/>
            <w:tcBorders>
              <w:right w:val="single" w:sz="8" w:color="CFF0FC"/>
            </w:tcBorders>
            <w:shd w:val="clear" w:color="auto" w:fill="CFF0FC"/>
          </w:tcPr>
          <w:p>
            <w:pPr>
              <w:spacing w:after="0"/>
              <w:rPr>
                <w:sz w:val="19"/>
                <w:szCs w:val="19"/>
                <w:color w:val="auto"/>
              </w:rPr>
            </w:pPr>
          </w:p>
        </w:tc>
        <w:tc>
          <w:tcPr>
            <w:tcW w:w="76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760" w:type="dxa"/>
            <w:vAlign w:val="bottom"/>
            <w:shd w:val="clear" w:color="auto" w:fill="CFF0FC"/>
          </w:tcPr>
          <w:p>
            <w:pPr>
              <w:spacing w:after="0"/>
              <w:rPr>
                <w:sz w:val="19"/>
                <w:szCs w:val="19"/>
                <w:color w:val="auto"/>
              </w:rPr>
            </w:pPr>
          </w:p>
        </w:tc>
        <w:tc>
          <w:tcPr>
            <w:tcW w:w="220" w:type="dxa"/>
            <w:vAlign w:val="bottom"/>
            <w:shd w:val="clear" w:color="auto" w:fill="CFF0FC"/>
          </w:tcPr>
          <w:p>
            <w:pPr>
              <w:spacing w:after="0"/>
              <w:rPr>
                <w:sz w:val="19"/>
                <w:szCs w:val="19"/>
                <w:color w:val="auto"/>
              </w:rPr>
            </w:pPr>
          </w:p>
        </w:tc>
        <w:tc>
          <w:tcPr>
            <w:tcW w:w="820" w:type="dxa"/>
            <w:vAlign w:val="bottom"/>
            <w:shd w:val="clear" w:color="auto" w:fill="CFF0FC"/>
          </w:tcPr>
          <w:p>
            <w:pPr>
              <w:spacing w:after="0"/>
              <w:rPr>
                <w:sz w:val="19"/>
                <w:szCs w:val="19"/>
                <w:color w:val="auto"/>
              </w:rPr>
            </w:pPr>
          </w:p>
        </w:tc>
        <w:tc>
          <w:tcPr>
            <w:tcW w:w="220" w:type="dxa"/>
            <w:vAlign w:val="bottom"/>
            <w:shd w:val="clear" w:color="auto" w:fill="CFF0FC"/>
          </w:tcPr>
          <w:p>
            <w:pPr>
              <w:spacing w:after="0"/>
              <w:rPr>
                <w:sz w:val="19"/>
                <w:szCs w:val="19"/>
                <w:color w:val="auto"/>
              </w:rPr>
            </w:pPr>
          </w:p>
        </w:tc>
        <w:tc>
          <w:tcPr>
            <w:tcW w:w="560" w:type="dxa"/>
            <w:vAlign w:val="bottom"/>
            <w:shd w:val="clear" w:color="auto" w:fill="CFF0FC"/>
          </w:tcPr>
          <w:p>
            <w:pPr>
              <w:spacing w:after="0"/>
              <w:rPr>
                <w:sz w:val="19"/>
                <w:szCs w:val="19"/>
                <w:color w:val="auto"/>
              </w:rPr>
            </w:pPr>
          </w:p>
        </w:tc>
        <w:tc>
          <w:tcPr>
            <w:tcW w:w="220" w:type="dxa"/>
            <w:vAlign w:val="bottom"/>
            <w:tcBorders>
              <w:bottom w:val="single" w:sz="8" w:color="auto"/>
            </w:tcBorders>
            <w:shd w:val="clear" w:color="auto" w:fill="CFF0FC"/>
          </w:tcPr>
          <w:p>
            <w:pPr>
              <w:spacing w:after="0"/>
              <w:rPr>
                <w:sz w:val="19"/>
                <w:szCs w:val="19"/>
                <w:color w:val="auto"/>
              </w:rPr>
            </w:pPr>
          </w:p>
        </w:tc>
        <w:tc>
          <w:tcPr>
            <w:tcW w:w="220" w:type="dxa"/>
            <w:vAlign w:val="bottom"/>
            <w:tcBorders>
              <w:bottom w:val="single" w:sz="8" w:color="auto"/>
            </w:tcBorders>
            <w:shd w:val="clear" w:color="auto" w:fill="CFF0FC"/>
          </w:tcPr>
          <w:p>
            <w:pPr>
              <w:spacing w:after="0"/>
              <w:rPr>
                <w:sz w:val="19"/>
                <w:szCs w:val="19"/>
                <w:color w:val="auto"/>
              </w:rPr>
            </w:pPr>
          </w:p>
        </w:tc>
        <w:tc>
          <w:tcPr>
            <w:tcW w:w="940" w:type="dxa"/>
            <w:vAlign w:val="bottom"/>
            <w:tcBorders>
              <w:bottom w:val="single" w:sz="8" w:color="auto"/>
            </w:tcBorders>
            <w:gridSpan w:val="2"/>
            <w:shd w:val="clear" w:color="auto" w:fill="CFF0FC"/>
          </w:tcPr>
          <w:p>
            <w:pPr>
              <w:jc w:val="right"/>
              <w:spacing w:after="0"/>
              <w:rPr>
                <w:sz w:val="20"/>
                <w:szCs w:val="20"/>
                <w:color w:val="auto"/>
              </w:rPr>
            </w:pPr>
            <w:r>
              <w:rPr>
                <w:rFonts w:ascii="Arial" w:cs="Arial" w:eastAsia="Arial" w:hAnsi="Arial"/>
                <w:sz w:val="18"/>
                <w:szCs w:val="18"/>
                <w:color w:val="auto"/>
              </w:rPr>
              <w:t>256</w:t>
            </w:r>
          </w:p>
        </w:tc>
        <w:tc>
          <w:tcPr>
            <w:tcW w:w="160" w:type="dxa"/>
            <w:vAlign w:val="bottom"/>
            <w:tcBorders>
              <w:right w:val="single" w:sz="8" w:color="CFF0FC"/>
            </w:tcBorders>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280" w:type="dxa"/>
            <w:vAlign w:val="bottom"/>
            <w:tcBorders>
              <w:bottom w:val="single" w:sz="8" w:color="auto"/>
            </w:tcBorders>
            <w:shd w:val="clear" w:color="auto" w:fill="CFF0FC"/>
          </w:tcPr>
          <w:p>
            <w:pPr>
              <w:spacing w:after="0"/>
              <w:rPr>
                <w:sz w:val="19"/>
                <w:szCs w:val="19"/>
                <w:color w:val="auto"/>
              </w:rPr>
            </w:pPr>
          </w:p>
        </w:tc>
        <w:tc>
          <w:tcPr>
            <w:tcW w:w="420" w:type="dxa"/>
            <w:vAlign w:val="bottom"/>
            <w:tcBorders>
              <w:bottom w:val="single" w:sz="8" w:color="auto"/>
            </w:tcBorders>
            <w:shd w:val="clear" w:color="auto" w:fill="CFF0FC"/>
          </w:tcPr>
          <w:p>
            <w:pPr>
              <w:spacing w:after="0"/>
              <w:rPr>
                <w:sz w:val="19"/>
                <w:szCs w:val="19"/>
                <w:color w:val="auto"/>
              </w:rPr>
            </w:pPr>
          </w:p>
        </w:tc>
        <w:tc>
          <w:tcPr>
            <w:tcW w:w="240" w:type="dxa"/>
            <w:vAlign w:val="bottom"/>
            <w:tcBorders>
              <w:bottom w:val="single" w:sz="8" w:color="auto"/>
            </w:tcBorders>
            <w:shd w:val="clear" w:color="auto" w:fill="CFF0FC"/>
          </w:tcPr>
          <w:p>
            <w:pPr>
              <w:spacing w:after="0"/>
              <w:rPr>
                <w:sz w:val="19"/>
                <w:szCs w:val="19"/>
                <w:color w:val="auto"/>
              </w:rPr>
            </w:pPr>
          </w:p>
        </w:tc>
        <w:tc>
          <w:tcPr>
            <w:tcW w:w="440" w:type="dxa"/>
            <w:vAlign w:val="bottom"/>
            <w:tcBorders>
              <w:bottom w:val="single" w:sz="8" w:color="auto"/>
            </w:tcBorders>
            <w:gridSpan w:val="2"/>
            <w:shd w:val="clear" w:color="auto" w:fill="CFF0FC"/>
          </w:tcPr>
          <w:p>
            <w:pPr>
              <w:jc w:val="right"/>
              <w:spacing w:after="0"/>
              <w:rPr>
                <w:sz w:val="20"/>
                <w:szCs w:val="20"/>
                <w:color w:val="auto"/>
              </w:rPr>
            </w:pPr>
            <w:r>
              <w:rPr>
                <w:rFonts w:ascii="Arial" w:cs="Arial" w:eastAsia="Arial" w:hAnsi="Arial"/>
                <w:sz w:val="18"/>
                <w:szCs w:val="18"/>
                <w:color w:val="auto"/>
              </w:rPr>
              <w:t>735</w:t>
            </w:r>
          </w:p>
        </w:tc>
        <w:tc>
          <w:tcPr>
            <w:tcW w:w="120" w:type="dxa"/>
            <w:vAlign w:val="bottom"/>
            <w:shd w:val="clear" w:color="auto" w:fill="CFF0FC"/>
          </w:tcPr>
          <w:p>
            <w:pPr>
              <w:spacing w:after="0"/>
              <w:rPr>
                <w:sz w:val="19"/>
                <w:szCs w:val="19"/>
                <w:color w:val="auto"/>
              </w:rPr>
            </w:pPr>
          </w:p>
        </w:tc>
        <w:tc>
          <w:tcPr>
            <w:tcW w:w="34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2200" w:type="dxa"/>
            <w:vAlign w:val="bottom"/>
            <w:gridSpan w:val="3"/>
          </w:tcPr>
          <w:p>
            <w:pPr>
              <w:ind w:left="580"/>
              <w:spacing w:after="0"/>
              <w:rPr>
                <w:sz w:val="20"/>
                <w:szCs w:val="20"/>
                <w:color w:val="auto"/>
              </w:rPr>
            </w:pPr>
            <w:r>
              <w:rPr>
                <w:rFonts w:ascii="Arial" w:cs="Arial" w:eastAsia="Arial" w:hAnsi="Arial"/>
                <w:sz w:val="18"/>
                <w:szCs w:val="18"/>
                <w:color w:val="auto"/>
                <w:w w:val="98"/>
              </w:rPr>
              <w:t>Income before taxes</w:t>
            </w:r>
          </w:p>
        </w:tc>
        <w:tc>
          <w:tcPr>
            <w:tcW w:w="68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8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82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940" w:type="dxa"/>
            <w:vAlign w:val="bottom"/>
            <w:gridSpan w:val="2"/>
          </w:tcPr>
          <w:p>
            <w:pPr>
              <w:jc w:val="right"/>
              <w:spacing w:after="0"/>
              <w:rPr>
                <w:sz w:val="20"/>
                <w:szCs w:val="20"/>
                <w:color w:val="auto"/>
              </w:rPr>
            </w:pPr>
            <w:r>
              <w:rPr>
                <w:rFonts w:ascii="Arial" w:cs="Arial" w:eastAsia="Arial" w:hAnsi="Arial"/>
                <w:sz w:val="18"/>
                <w:szCs w:val="18"/>
                <w:color w:val="auto"/>
              </w:rPr>
              <w:t>23,124</w:t>
            </w:r>
          </w:p>
        </w:tc>
        <w:tc>
          <w:tcPr>
            <w:tcW w:w="1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100" w:type="dxa"/>
            <w:vAlign w:val="bottom"/>
            <w:gridSpan w:val="4"/>
          </w:tcPr>
          <w:p>
            <w:pPr>
              <w:jc w:val="right"/>
              <w:spacing w:after="0"/>
              <w:rPr>
                <w:sz w:val="20"/>
                <w:szCs w:val="20"/>
                <w:color w:val="auto"/>
              </w:rPr>
            </w:pPr>
            <w:r>
              <w:rPr>
                <w:rFonts w:ascii="Arial" w:cs="Arial" w:eastAsia="Arial" w:hAnsi="Arial"/>
                <w:sz w:val="18"/>
                <w:szCs w:val="18"/>
                <w:color w:val="auto"/>
              </w:rPr>
              <w:t>12,110</w:t>
            </w:r>
          </w:p>
        </w:tc>
        <w:tc>
          <w:tcPr>
            <w:tcW w:w="12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580" w:type="dxa"/>
            <w:vAlign w:val="bottom"/>
          </w:tcPr>
          <w:p>
            <w:pPr>
              <w:spacing w:after="0"/>
              <w:rPr>
                <w:sz w:val="19"/>
                <w:szCs w:val="19"/>
                <w:color w:val="auto"/>
              </w:rPr>
            </w:pPr>
          </w:p>
        </w:tc>
        <w:tc>
          <w:tcPr>
            <w:tcW w:w="2300" w:type="dxa"/>
            <w:vAlign w:val="bottom"/>
            <w:gridSpan w:val="3"/>
            <w:shd w:val="clear" w:color="auto" w:fill="CFF0FC"/>
          </w:tcPr>
          <w:p>
            <w:pPr>
              <w:spacing w:after="0"/>
              <w:rPr>
                <w:sz w:val="20"/>
                <w:szCs w:val="20"/>
                <w:color w:val="auto"/>
              </w:rPr>
            </w:pPr>
            <w:r>
              <w:rPr>
                <w:rFonts w:ascii="Arial" w:cs="Arial" w:eastAsia="Arial" w:hAnsi="Arial"/>
                <w:sz w:val="18"/>
                <w:szCs w:val="18"/>
                <w:color w:val="auto"/>
              </w:rPr>
              <w:t>Provision for income taxes</w:t>
            </w:r>
          </w:p>
        </w:tc>
        <w:tc>
          <w:tcPr>
            <w:tcW w:w="200" w:type="dxa"/>
            <w:vAlign w:val="bottom"/>
            <w:shd w:val="clear" w:color="auto" w:fill="CFF0FC"/>
          </w:tcPr>
          <w:p>
            <w:pPr>
              <w:spacing w:after="0"/>
              <w:rPr>
                <w:sz w:val="19"/>
                <w:szCs w:val="19"/>
                <w:color w:val="auto"/>
              </w:rPr>
            </w:pPr>
          </w:p>
        </w:tc>
        <w:tc>
          <w:tcPr>
            <w:tcW w:w="840" w:type="dxa"/>
            <w:vAlign w:val="bottom"/>
            <w:shd w:val="clear" w:color="auto" w:fill="CFF0FC"/>
          </w:tcPr>
          <w:p>
            <w:pPr>
              <w:spacing w:after="0"/>
              <w:rPr>
                <w:sz w:val="19"/>
                <w:szCs w:val="19"/>
                <w:color w:val="auto"/>
              </w:rPr>
            </w:pPr>
          </w:p>
        </w:tc>
        <w:tc>
          <w:tcPr>
            <w:tcW w:w="240" w:type="dxa"/>
            <w:vAlign w:val="bottom"/>
            <w:tcBorders>
              <w:right w:val="single" w:sz="8" w:color="CFF0FC"/>
            </w:tcBorders>
            <w:shd w:val="clear" w:color="auto" w:fill="CFF0FC"/>
          </w:tcPr>
          <w:p>
            <w:pPr>
              <w:spacing w:after="0"/>
              <w:rPr>
                <w:sz w:val="19"/>
                <w:szCs w:val="19"/>
                <w:color w:val="auto"/>
              </w:rPr>
            </w:pPr>
          </w:p>
        </w:tc>
        <w:tc>
          <w:tcPr>
            <w:tcW w:w="76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760" w:type="dxa"/>
            <w:vAlign w:val="bottom"/>
            <w:shd w:val="clear" w:color="auto" w:fill="CFF0FC"/>
          </w:tcPr>
          <w:p>
            <w:pPr>
              <w:spacing w:after="0"/>
              <w:rPr>
                <w:sz w:val="19"/>
                <w:szCs w:val="19"/>
                <w:color w:val="auto"/>
              </w:rPr>
            </w:pPr>
          </w:p>
        </w:tc>
        <w:tc>
          <w:tcPr>
            <w:tcW w:w="220" w:type="dxa"/>
            <w:vAlign w:val="bottom"/>
            <w:shd w:val="clear" w:color="auto" w:fill="CFF0FC"/>
          </w:tcPr>
          <w:p>
            <w:pPr>
              <w:spacing w:after="0"/>
              <w:rPr>
                <w:sz w:val="19"/>
                <w:szCs w:val="19"/>
                <w:color w:val="auto"/>
              </w:rPr>
            </w:pPr>
          </w:p>
        </w:tc>
        <w:tc>
          <w:tcPr>
            <w:tcW w:w="820" w:type="dxa"/>
            <w:vAlign w:val="bottom"/>
            <w:shd w:val="clear" w:color="auto" w:fill="CFF0FC"/>
          </w:tcPr>
          <w:p>
            <w:pPr>
              <w:spacing w:after="0"/>
              <w:rPr>
                <w:sz w:val="19"/>
                <w:szCs w:val="19"/>
                <w:color w:val="auto"/>
              </w:rPr>
            </w:pPr>
          </w:p>
        </w:tc>
        <w:tc>
          <w:tcPr>
            <w:tcW w:w="220" w:type="dxa"/>
            <w:vAlign w:val="bottom"/>
            <w:shd w:val="clear" w:color="auto" w:fill="CFF0FC"/>
          </w:tcPr>
          <w:p>
            <w:pPr>
              <w:spacing w:after="0"/>
              <w:rPr>
                <w:sz w:val="19"/>
                <w:szCs w:val="19"/>
                <w:color w:val="auto"/>
              </w:rPr>
            </w:pPr>
          </w:p>
        </w:tc>
        <w:tc>
          <w:tcPr>
            <w:tcW w:w="560" w:type="dxa"/>
            <w:vAlign w:val="bottom"/>
            <w:shd w:val="clear" w:color="auto" w:fill="CFF0FC"/>
          </w:tcPr>
          <w:p>
            <w:pPr>
              <w:spacing w:after="0"/>
              <w:rPr>
                <w:sz w:val="19"/>
                <w:szCs w:val="19"/>
                <w:color w:val="auto"/>
              </w:rPr>
            </w:pPr>
          </w:p>
        </w:tc>
        <w:tc>
          <w:tcPr>
            <w:tcW w:w="220" w:type="dxa"/>
            <w:vAlign w:val="bottom"/>
            <w:shd w:val="clear" w:color="auto" w:fill="CFF0FC"/>
          </w:tcPr>
          <w:p>
            <w:pPr>
              <w:spacing w:after="0"/>
              <w:rPr>
                <w:sz w:val="19"/>
                <w:szCs w:val="19"/>
                <w:color w:val="auto"/>
              </w:rPr>
            </w:pPr>
          </w:p>
        </w:tc>
        <w:tc>
          <w:tcPr>
            <w:tcW w:w="220" w:type="dxa"/>
            <w:vAlign w:val="bottom"/>
            <w:shd w:val="clear" w:color="auto" w:fill="CFF0FC"/>
          </w:tcPr>
          <w:p>
            <w:pPr>
              <w:spacing w:after="0"/>
              <w:rPr>
                <w:sz w:val="19"/>
                <w:szCs w:val="19"/>
                <w:color w:val="auto"/>
              </w:rPr>
            </w:pPr>
          </w:p>
        </w:tc>
        <w:tc>
          <w:tcPr>
            <w:tcW w:w="1100" w:type="dxa"/>
            <w:vAlign w:val="bottom"/>
            <w:tcBorders>
              <w:right w:val="single" w:sz="8" w:color="CFF0FC"/>
            </w:tcBorders>
            <w:gridSpan w:val="3"/>
            <w:shd w:val="clear" w:color="auto" w:fill="CFF0FC"/>
          </w:tcPr>
          <w:p>
            <w:pPr>
              <w:jc w:val="right"/>
              <w:ind w:right="120"/>
              <w:spacing w:after="0"/>
              <w:rPr>
                <w:sz w:val="20"/>
                <w:szCs w:val="20"/>
                <w:color w:val="auto"/>
              </w:rPr>
            </w:pPr>
            <w:r>
              <w:rPr>
                <w:rFonts w:ascii="Arial" w:cs="Arial" w:eastAsia="Arial" w:hAnsi="Arial"/>
                <w:sz w:val="18"/>
                <w:szCs w:val="18"/>
                <w:color w:val="auto"/>
              </w:rPr>
              <w:t>(7,827)</w:t>
            </w:r>
          </w:p>
        </w:tc>
        <w:tc>
          <w:tcPr>
            <w:tcW w:w="120" w:type="dxa"/>
            <w:vAlign w:val="bottom"/>
            <w:shd w:val="clear" w:color="auto" w:fill="CFF0FC"/>
          </w:tcPr>
          <w:p>
            <w:pPr>
              <w:spacing w:after="0"/>
              <w:rPr>
                <w:sz w:val="19"/>
                <w:szCs w:val="19"/>
                <w:color w:val="auto"/>
              </w:rPr>
            </w:pPr>
          </w:p>
        </w:tc>
        <w:tc>
          <w:tcPr>
            <w:tcW w:w="280" w:type="dxa"/>
            <w:vAlign w:val="bottom"/>
            <w:shd w:val="clear" w:color="auto" w:fill="CFF0FC"/>
          </w:tcPr>
          <w:p>
            <w:pPr>
              <w:spacing w:after="0"/>
              <w:rPr>
                <w:sz w:val="19"/>
                <w:szCs w:val="19"/>
                <w:color w:val="auto"/>
              </w:rPr>
            </w:pPr>
          </w:p>
        </w:tc>
        <w:tc>
          <w:tcPr>
            <w:tcW w:w="1220" w:type="dxa"/>
            <w:vAlign w:val="bottom"/>
            <w:gridSpan w:val="5"/>
            <w:shd w:val="clear" w:color="auto" w:fill="CFF0FC"/>
          </w:tcPr>
          <w:p>
            <w:pPr>
              <w:jc w:val="right"/>
              <w:ind w:right="60"/>
              <w:spacing w:after="0"/>
              <w:rPr>
                <w:sz w:val="20"/>
                <w:szCs w:val="20"/>
                <w:color w:val="auto"/>
              </w:rPr>
            </w:pPr>
            <w:r>
              <w:rPr>
                <w:rFonts w:ascii="Arial" w:cs="Arial" w:eastAsia="Arial" w:hAnsi="Arial"/>
                <w:sz w:val="18"/>
                <w:szCs w:val="18"/>
                <w:color w:val="auto"/>
              </w:rPr>
              <w:t>(4,529)</w:t>
            </w:r>
          </w:p>
        </w:tc>
        <w:tc>
          <w:tcPr>
            <w:tcW w:w="34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63"/>
        </w:trPr>
        <w:tc>
          <w:tcPr>
            <w:tcW w:w="2200" w:type="dxa"/>
            <w:vAlign w:val="bottom"/>
            <w:gridSpan w:val="3"/>
          </w:tcPr>
          <w:p>
            <w:pPr>
              <w:ind w:left="580"/>
              <w:spacing w:after="0"/>
              <w:rPr>
                <w:sz w:val="20"/>
                <w:szCs w:val="20"/>
                <w:color w:val="auto"/>
              </w:rPr>
            </w:pPr>
            <w:r>
              <w:rPr>
                <w:rFonts w:ascii="Arial" w:cs="Arial" w:eastAsia="Arial" w:hAnsi="Arial"/>
                <w:sz w:val="18"/>
                <w:szCs w:val="18"/>
                <w:color w:val="auto"/>
              </w:rPr>
              <w:t>Net income</w:t>
            </w:r>
          </w:p>
        </w:tc>
        <w:tc>
          <w:tcPr>
            <w:tcW w:w="68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84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76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76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82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560" w:type="dxa"/>
            <w:vAlign w:val="bottom"/>
          </w:tcPr>
          <w:p>
            <w:pPr>
              <w:spacing w:after="0"/>
              <w:rPr>
                <w:sz w:val="22"/>
                <w:szCs w:val="22"/>
                <w:color w:val="auto"/>
              </w:rPr>
            </w:pPr>
          </w:p>
        </w:tc>
        <w:tc>
          <w:tcPr>
            <w:tcW w:w="220" w:type="dxa"/>
            <w:vAlign w:val="bottom"/>
            <w:tcBorders>
              <w:top w:val="single" w:sz="8" w:color="auto"/>
              <w:bottom w:val="single" w:sz="8" w:color="auto"/>
            </w:tcBorders>
          </w:tcPr>
          <w:p>
            <w:pPr>
              <w:jc w:val="right"/>
              <w:ind w:right="57"/>
              <w:spacing w:after="0"/>
              <w:rPr>
                <w:sz w:val="20"/>
                <w:szCs w:val="20"/>
                <w:color w:val="auto"/>
              </w:rPr>
            </w:pPr>
            <w:r>
              <w:rPr>
                <w:rFonts w:ascii="Arial" w:cs="Arial" w:eastAsia="Arial" w:hAnsi="Arial"/>
                <w:sz w:val="15"/>
                <w:szCs w:val="15"/>
                <w:color w:val="auto"/>
                <w:w w:val="71"/>
              </w:rPr>
              <w:t>$</w:t>
            </w:r>
          </w:p>
        </w:tc>
        <w:tc>
          <w:tcPr>
            <w:tcW w:w="220" w:type="dxa"/>
            <w:vAlign w:val="bottom"/>
            <w:tcBorders>
              <w:top w:val="single" w:sz="8" w:color="auto"/>
              <w:bottom w:val="single" w:sz="8" w:color="auto"/>
            </w:tcBorders>
          </w:tcPr>
          <w:p>
            <w:pPr>
              <w:spacing w:after="0"/>
              <w:rPr>
                <w:sz w:val="22"/>
                <w:szCs w:val="22"/>
                <w:color w:val="auto"/>
              </w:rPr>
            </w:pPr>
          </w:p>
        </w:tc>
        <w:tc>
          <w:tcPr>
            <w:tcW w:w="940" w:type="dxa"/>
            <w:vAlign w:val="bottom"/>
            <w:tcBorders>
              <w:top w:val="single" w:sz="8" w:color="auto"/>
              <w:bottom w:val="single" w:sz="8" w:color="auto"/>
            </w:tcBorders>
            <w:gridSpan w:val="2"/>
          </w:tcPr>
          <w:p>
            <w:pPr>
              <w:jc w:val="right"/>
              <w:spacing w:after="0"/>
              <w:rPr>
                <w:sz w:val="20"/>
                <w:szCs w:val="20"/>
                <w:color w:val="auto"/>
              </w:rPr>
            </w:pPr>
            <w:r>
              <w:rPr>
                <w:rFonts w:ascii="Arial" w:cs="Arial" w:eastAsia="Arial" w:hAnsi="Arial"/>
                <w:sz w:val="18"/>
                <w:szCs w:val="18"/>
                <w:color w:val="auto"/>
              </w:rPr>
              <w:t>15,297</w:t>
            </w:r>
          </w:p>
        </w:tc>
        <w:tc>
          <w:tcPr>
            <w:tcW w:w="16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280" w:type="dxa"/>
            <w:vAlign w:val="bottom"/>
            <w:tcBorders>
              <w:top w:val="single" w:sz="8" w:color="auto"/>
              <w:bottom w:val="single" w:sz="8" w:color="auto"/>
            </w:tcBorders>
          </w:tcPr>
          <w:p>
            <w:pPr>
              <w:jc w:val="right"/>
              <w:ind w:right="102"/>
              <w:spacing w:after="0"/>
              <w:rPr>
                <w:sz w:val="20"/>
                <w:szCs w:val="20"/>
                <w:color w:val="auto"/>
              </w:rPr>
            </w:pPr>
            <w:r>
              <w:rPr>
                <w:rFonts w:ascii="Arial" w:cs="Arial" w:eastAsia="Arial" w:hAnsi="Arial"/>
                <w:sz w:val="18"/>
                <w:szCs w:val="18"/>
                <w:color w:val="auto"/>
                <w:w w:val="79"/>
              </w:rPr>
              <w:t>$</w:t>
            </w:r>
          </w:p>
        </w:tc>
        <w:tc>
          <w:tcPr>
            <w:tcW w:w="420" w:type="dxa"/>
            <w:vAlign w:val="bottom"/>
            <w:tcBorders>
              <w:top w:val="single" w:sz="8" w:color="auto"/>
              <w:bottom w:val="single" w:sz="8" w:color="auto"/>
            </w:tcBorders>
          </w:tcPr>
          <w:p>
            <w:pPr>
              <w:spacing w:after="0"/>
              <w:rPr>
                <w:sz w:val="22"/>
                <w:szCs w:val="22"/>
                <w:color w:val="auto"/>
              </w:rPr>
            </w:pPr>
          </w:p>
        </w:tc>
        <w:tc>
          <w:tcPr>
            <w:tcW w:w="240" w:type="dxa"/>
            <w:vAlign w:val="bottom"/>
            <w:tcBorders>
              <w:top w:val="single" w:sz="8" w:color="auto"/>
              <w:bottom w:val="single" w:sz="8" w:color="auto"/>
            </w:tcBorders>
          </w:tcPr>
          <w:p>
            <w:pPr>
              <w:spacing w:after="0"/>
              <w:rPr>
                <w:sz w:val="22"/>
                <w:szCs w:val="22"/>
                <w:color w:val="auto"/>
              </w:rPr>
            </w:pPr>
          </w:p>
        </w:tc>
        <w:tc>
          <w:tcPr>
            <w:tcW w:w="440" w:type="dxa"/>
            <w:vAlign w:val="bottom"/>
            <w:tcBorders>
              <w:top w:val="single" w:sz="8" w:color="auto"/>
              <w:bottom w:val="single" w:sz="8" w:color="auto"/>
            </w:tcBorders>
            <w:gridSpan w:val="2"/>
          </w:tcPr>
          <w:p>
            <w:pPr>
              <w:jc w:val="right"/>
              <w:spacing w:after="0"/>
              <w:rPr>
                <w:sz w:val="20"/>
                <w:szCs w:val="20"/>
                <w:color w:val="auto"/>
              </w:rPr>
            </w:pPr>
            <w:r>
              <w:rPr>
                <w:rFonts w:ascii="Arial" w:cs="Arial" w:eastAsia="Arial" w:hAnsi="Arial"/>
                <w:sz w:val="18"/>
                <w:szCs w:val="18"/>
                <w:color w:val="auto"/>
                <w:w w:val="88"/>
              </w:rPr>
              <w:t>7,581</w:t>
            </w:r>
          </w:p>
        </w:tc>
        <w:tc>
          <w:tcPr>
            <w:tcW w:w="12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10"/>
        </w:trPr>
        <w:tc>
          <w:tcPr>
            <w:tcW w:w="580" w:type="dxa"/>
            <w:vAlign w:val="bottom"/>
          </w:tcPr>
          <w:p>
            <w:pPr>
              <w:spacing w:after="0"/>
              <w:rPr>
                <w:sz w:val="18"/>
                <w:szCs w:val="18"/>
                <w:color w:val="auto"/>
              </w:rPr>
            </w:pPr>
          </w:p>
        </w:tc>
        <w:tc>
          <w:tcPr>
            <w:tcW w:w="1620" w:type="dxa"/>
            <w:vAlign w:val="bottom"/>
            <w:tcBorders>
              <w:top w:val="single" w:sz="8" w:color="CFF0FC"/>
            </w:tcBorders>
            <w:gridSpan w:val="2"/>
            <w:shd w:val="clear" w:color="auto" w:fill="CFF0FC"/>
          </w:tcPr>
          <w:p>
            <w:pPr>
              <w:spacing w:after="0"/>
              <w:rPr>
                <w:sz w:val="20"/>
                <w:szCs w:val="20"/>
                <w:color w:val="auto"/>
              </w:rPr>
            </w:pPr>
            <w:r>
              <w:rPr>
                <w:rFonts w:ascii="Arial" w:cs="Arial" w:eastAsia="Arial" w:hAnsi="Arial"/>
                <w:sz w:val="18"/>
                <w:szCs w:val="18"/>
                <w:color w:val="auto"/>
              </w:rPr>
              <w:t>Earnings per share</w:t>
            </w:r>
          </w:p>
        </w:tc>
        <w:tc>
          <w:tcPr>
            <w:tcW w:w="680" w:type="dxa"/>
            <w:vAlign w:val="bottom"/>
            <w:tcBorders>
              <w:top w:val="single" w:sz="8" w:color="CFF0FC"/>
            </w:tcBorders>
            <w:shd w:val="clear" w:color="auto" w:fill="CFF0FC"/>
          </w:tcPr>
          <w:p>
            <w:pPr>
              <w:spacing w:after="0"/>
              <w:rPr>
                <w:sz w:val="18"/>
                <w:szCs w:val="18"/>
                <w:color w:val="auto"/>
              </w:rPr>
            </w:pPr>
          </w:p>
        </w:tc>
        <w:tc>
          <w:tcPr>
            <w:tcW w:w="200" w:type="dxa"/>
            <w:vAlign w:val="bottom"/>
            <w:tcBorders>
              <w:top w:val="single" w:sz="8" w:color="CFF0FC"/>
            </w:tcBorders>
            <w:shd w:val="clear" w:color="auto" w:fill="CFF0FC"/>
          </w:tcPr>
          <w:p>
            <w:pPr>
              <w:spacing w:after="0"/>
              <w:rPr>
                <w:sz w:val="18"/>
                <w:szCs w:val="18"/>
                <w:color w:val="auto"/>
              </w:rPr>
            </w:pPr>
          </w:p>
        </w:tc>
        <w:tc>
          <w:tcPr>
            <w:tcW w:w="840" w:type="dxa"/>
            <w:vAlign w:val="bottom"/>
            <w:tcBorders>
              <w:top w:val="single" w:sz="8" w:color="CFF0FC"/>
            </w:tcBorders>
            <w:shd w:val="clear" w:color="auto" w:fill="CFF0FC"/>
          </w:tcPr>
          <w:p>
            <w:pPr>
              <w:spacing w:after="0"/>
              <w:rPr>
                <w:sz w:val="18"/>
                <w:szCs w:val="18"/>
                <w:color w:val="auto"/>
              </w:rPr>
            </w:pPr>
          </w:p>
        </w:tc>
        <w:tc>
          <w:tcPr>
            <w:tcW w:w="240" w:type="dxa"/>
            <w:vAlign w:val="bottom"/>
            <w:tcBorders>
              <w:top w:val="single" w:sz="8" w:color="CFF0FC"/>
              <w:right w:val="single" w:sz="8" w:color="CFF0FC"/>
            </w:tcBorders>
            <w:shd w:val="clear" w:color="auto" w:fill="CFF0FC"/>
          </w:tcPr>
          <w:p>
            <w:pPr>
              <w:spacing w:after="0"/>
              <w:rPr>
                <w:sz w:val="18"/>
                <w:szCs w:val="18"/>
                <w:color w:val="auto"/>
              </w:rPr>
            </w:pPr>
          </w:p>
        </w:tc>
        <w:tc>
          <w:tcPr>
            <w:tcW w:w="760" w:type="dxa"/>
            <w:vAlign w:val="bottom"/>
            <w:tcBorders>
              <w:top w:val="single" w:sz="8" w:color="CFF0FC"/>
            </w:tcBorders>
            <w:shd w:val="clear" w:color="auto" w:fill="CFF0FC"/>
          </w:tcPr>
          <w:p>
            <w:pPr>
              <w:spacing w:after="0"/>
              <w:rPr>
                <w:sz w:val="18"/>
                <w:szCs w:val="18"/>
                <w:color w:val="auto"/>
              </w:rPr>
            </w:pPr>
          </w:p>
        </w:tc>
        <w:tc>
          <w:tcPr>
            <w:tcW w:w="200" w:type="dxa"/>
            <w:vAlign w:val="bottom"/>
            <w:tcBorders>
              <w:top w:val="single" w:sz="8" w:color="CFF0FC"/>
            </w:tcBorders>
            <w:shd w:val="clear" w:color="auto" w:fill="CFF0FC"/>
          </w:tcPr>
          <w:p>
            <w:pPr>
              <w:spacing w:after="0"/>
              <w:rPr>
                <w:sz w:val="18"/>
                <w:szCs w:val="18"/>
                <w:color w:val="auto"/>
              </w:rPr>
            </w:pPr>
          </w:p>
        </w:tc>
        <w:tc>
          <w:tcPr>
            <w:tcW w:w="760" w:type="dxa"/>
            <w:vAlign w:val="bottom"/>
            <w:tcBorders>
              <w:top w:val="single" w:sz="8" w:color="CFF0FC"/>
            </w:tcBorders>
            <w:shd w:val="clear" w:color="auto" w:fill="CFF0FC"/>
          </w:tcPr>
          <w:p>
            <w:pPr>
              <w:spacing w:after="0"/>
              <w:rPr>
                <w:sz w:val="18"/>
                <w:szCs w:val="18"/>
                <w:color w:val="auto"/>
              </w:rPr>
            </w:pPr>
          </w:p>
        </w:tc>
        <w:tc>
          <w:tcPr>
            <w:tcW w:w="220" w:type="dxa"/>
            <w:vAlign w:val="bottom"/>
            <w:tcBorders>
              <w:top w:val="single" w:sz="8" w:color="CFF0FC"/>
            </w:tcBorders>
            <w:shd w:val="clear" w:color="auto" w:fill="CFF0FC"/>
          </w:tcPr>
          <w:p>
            <w:pPr>
              <w:spacing w:after="0"/>
              <w:rPr>
                <w:sz w:val="18"/>
                <w:szCs w:val="18"/>
                <w:color w:val="auto"/>
              </w:rPr>
            </w:pPr>
          </w:p>
        </w:tc>
        <w:tc>
          <w:tcPr>
            <w:tcW w:w="820" w:type="dxa"/>
            <w:vAlign w:val="bottom"/>
            <w:tcBorders>
              <w:top w:val="single" w:sz="8" w:color="CFF0FC"/>
            </w:tcBorders>
            <w:shd w:val="clear" w:color="auto" w:fill="CFF0FC"/>
          </w:tcPr>
          <w:p>
            <w:pPr>
              <w:spacing w:after="0"/>
              <w:rPr>
                <w:sz w:val="18"/>
                <w:szCs w:val="18"/>
                <w:color w:val="auto"/>
              </w:rPr>
            </w:pPr>
          </w:p>
        </w:tc>
        <w:tc>
          <w:tcPr>
            <w:tcW w:w="220" w:type="dxa"/>
            <w:vAlign w:val="bottom"/>
            <w:tcBorders>
              <w:top w:val="single" w:sz="8" w:color="CFF0FC"/>
            </w:tcBorders>
            <w:shd w:val="clear" w:color="auto" w:fill="CFF0FC"/>
          </w:tcPr>
          <w:p>
            <w:pPr>
              <w:spacing w:after="0"/>
              <w:rPr>
                <w:sz w:val="18"/>
                <w:szCs w:val="18"/>
                <w:color w:val="auto"/>
              </w:rPr>
            </w:pPr>
          </w:p>
        </w:tc>
        <w:tc>
          <w:tcPr>
            <w:tcW w:w="560" w:type="dxa"/>
            <w:vAlign w:val="bottom"/>
            <w:tcBorders>
              <w:top w:val="single" w:sz="8" w:color="CFF0FC"/>
            </w:tcBorders>
            <w:shd w:val="clear" w:color="auto" w:fill="CFF0FC"/>
          </w:tcPr>
          <w:p>
            <w:pPr>
              <w:spacing w:after="0"/>
              <w:rPr>
                <w:sz w:val="18"/>
                <w:szCs w:val="18"/>
                <w:color w:val="auto"/>
              </w:rPr>
            </w:pPr>
          </w:p>
        </w:tc>
        <w:tc>
          <w:tcPr>
            <w:tcW w:w="220" w:type="dxa"/>
            <w:vAlign w:val="bottom"/>
            <w:tcBorders>
              <w:top w:val="single" w:sz="8" w:color="auto"/>
            </w:tcBorders>
            <w:shd w:val="clear" w:color="auto" w:fill="CFF0FC"/>
          </w:tcPr>
          <w:p>
            <w:pPr>
              <w:spacing w:after="0"/>
              <w:rPr>
                <w:sz w:val="18"/>
                <w:szCs w:val="18"/>
                <w:color w:val="auto"/>
              </w:rPr>
            </w:pPr>
          </w:p>
        </w:tc>
        <w:tc>
          <w:tcPr>
            <w:tcW w:w="220" w:type="dxa"/>
            <w:vAlign w:val="bottom"/>
            <w:tcBorders>
              <w:top w:val="single" w:sz="8" w:color="auto"/>
            </w:tcBorders>
            <w:shd w:val="clear" w:color="auto" w:fill="CFF0FC"/>
          </w:tcPr>
          <w:p>
            <w:pPr>
              <w:spacing w:after="0"/>
              <w:rPr>
                <w:sz w:val="18"/>
                <w:szCs w:val="18"/>
                <w:color w:val="auto"/>
              </w:rPr>
            </w:pPr>
          </w:p>
        </w:tc>
        <w:tc>
          <w:tcPr>
            <w:tcW w:w="760" w:type="dxa"/>
            <w:vAlign w:val="bottom"/>
            <w:tcBorders>
              <w:top w:val="single" w:sz="8" w:color="auto"/>
            </w:tcBorders>
            <w:shd w:val="clear" w:color="auto" w:fill="CFF0FC"/>
          </w:tcPr>
          <w:p>
            <w:pPr>
              <w:spacing w:after="0"/>
              <w:rPr>
                <w:sz w:val="18"/>
                <w:szCs w:val="18"/>
                <w:color w:val="auto"/>
              </w:rPr>
            </w:pPr>
          </w:p>
        </w:tc>
        <w:tc>
          <w:tcPr>
            <w:tcW w:w="180" w:type="dxa"/>
            <w:vAlign w:val="bottom"/>
            <w:tcBorders>
              <w:top w:val="single" w:sz="8" w:color="auto"/>
            </w:tcBorders>
            <w:shd w:val="clear" w:color="auto" w:fill="CFF0FC"/>
          </w:tcPr>
          <w:p>
            <w:pPr>
              <w:spacing w:after="0"/>
              <w:rPr>
                <w:sz w:val="18"/>
                <w:szCs w:val="18"/>
                <w:color w:val="auto"/>
              </w:rPr>
            </w:pPr>
          </w:p>
        </w:tc>
        <w:tc>
          <w:tcPr>
            <w:tcW w:w="160" w:type="dxa"/>
            <w:vAlign w:val="bottom"/>
            <w:tcBorders>
              <w:top w:val="single" w:sz="8" w:color="CFF0FC"/>
              <w:right w:val="single" w:sz="8" w:color="CFF0FC"/>
            </w:tcBorders>
            <w:shd w:val="clear" w:color="auto" w:fill="CFF0FC"/>
          </w:tcPr>
          <w:p>
            <w:pPr>
              <w:spacing w:after="0"/>
              <w:rPr>
                <w:sz w:val="18"/>
                <w:szCs w:val="18"/>
                <w:color w:val="auto"/>
              </w:rPr>
            </w:pPr>
          </w:p>
        </w:tc>
        <w:tc>
          <w:tcPr>
            <w:tcW w:w="120" w:type="dxa"/>
            <w:vAlign w:val="bottom"/>
            <w:tcBorders>
              <w:top w:val="single" w:sz="8" w:color="CFF0FC"/>
            </w:tcBorders>
            <w:shd w:val="clear" w:color="auto" w:fill="CFF0FC"/>
          </w:tcPr>
          <w:p>
            <w:pPr>
              <w:spacing w:after="0"/>
              <w:rPr>
                <w:sz w:val="18"/>
                <w:szCs w:val="18"/>
                <w:color w:val="auto"/>
              </w:rPr>
            </w:pPr>
          </w:p>
        </w:tc>
        <w:tc>
          <w:tcPr>
            <w:tcW w:w="280" w:type="dxa"/>
            <w:vAlign w:val="bottom"/>
            <w:tcBorders>
              <w:top w:val="single" w:sz="8" w:color="auto"/>
            </w:tcBorders>
            <w:shd w:val="clear" w:color="auto" w:fill="CFF0FC"/>
          </w:tcPr>
          <w:p>
            <w:pPr>
              <w:spacing w:after="0"/>
              <w:rPr>
                <w:sz w:val="18"/>
                <w:szCs w:val="18"/>
                <w:color w:val="auto"/>
              </w:rPr>
            </w:pPr>
          </w:p>
        </w:tc>
        <w:tc>
          <w:tcPr>
            <w:tcW w:w="420" w:type="dxa"/>
            <w:vAlign w:val="bottom"/>
            <w:tcBorders>
              <w:top w:val="single" w:sz="8" w:color="auto"/>
            </w:tcBorders>
            <w:shd w:val="clear" w:color="auto" w:fill="CFF0FC"/>
          </w:tcPr>
          <w:p>
            <w:pPr>
              <w:spacing w:after="0"/>
              <w:rPr>
                <w:sz w:val="18"/>
                <w:szCs w:val="18"/>
                <w:color w:val="auto"/>
              </w:rPr>
            </w:pPr>
          </w:p>
        </w:tc>
        <w:tc>
          <w:tcPr>
            <w:tcW w:w="240" w:type="dxa"/>
            <w:vAlign w:val="bottom"/>
            <w:tcBorders>
              <w:top w:val="single" w:sz="8" w:color="auto"/>
            </w:tcBorders>
            <w:shd w:val="clear" w:color="auto" w:fill="CFF0FC"/>
          </w:tcPr>
          <w:p>
            <w:pPr>
              <w:spacing w:after="0"/>
              <w:rPr>
                <w:sz w:val="18"/>
                <w:szCs w:val="18"/>
                <w:color w:val="auto"/>
              </w:rPr>
            </w:pPr>
          </w:p>
        </w:tc>
        <w:tc>
          <w:tcPr>
            <w:tcW w:w="100" w:type="dxa"/>
            <w:vAlign w:val="bottom"/>
            <w:tcBorders>
              <w:top w:val="single" w:sz="8" w:color="auto"/>
            </w:tcBorders>
            <w:shd w:val="clear" w:color="auto" w:fill="CFF0FC"/>
          </w:tcPr>
          <w:p>
            <w:pPr>
              <w:spacing w:after="0"/>
              <w:rPr>
                <w:sz w:val="18"/>
                <w:szCs w:val="18"/>
                <w:color w:val="auto"/>
              </w:rPr>
            </w:pPr>
          </w:p>
        </w:tc>
        <w:tc>
          <w:tcPr>
            <w:tcW w:w="340" w:type="dxa"/>
            <w:vAlign w:val="bottom"/>
            <w:tcBorders>
              <w:top w:val="single" w:sz="8" w:color="auto"/>
            </w:tcBorders>
            <w:shd w:val="clear" w:color="auto" w:fill="CFF0FC"/>
          </w:tcPr>
          <w:p>
            <w:pPr>
              <w:spacing w:after="0"/>
              <w:rPr>
                <w:sz w:val="18"/>
                <w:szCs w:val="18"/>
                <w:color w:val="auto"/>
              </w:rPr>
            </w:pPr>
          </w:p>
        </w:tc>
        <w:tc>
          <w:tcPr>
            <w:tcW w:w="120" w:type="dxa"/>
            <w:vAlign w:val="bottom"/>
            <w:tcBorders>
              <w:top w:val="single" w:sz="8" w:color="CFF0FC"/>
            </w:tcBorders>
            <w:shd w:val="clear" w:color="auto" w:fill="CFF0FC"/>
          </w:tcPr>
          <w:p>
            <w:pPr>
              <w:spacing w:after="0"/>
              <w:rPr>
                <w:sz w:val="18"/>
                <w:szCs w:val="18"/>
                <w:color w:val="auto"/>
              </w:rPr>
            </w:pPr>
          </w:p>
        </w:tc>
        <w:tc>
          <w:tcPr>
            <w:tcW w:w="3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580" w:type="dxa"/>
            <w:vAlign w:val="bottom"/>
          </w:tcPr>
          <w:p>
            <w:pPr>
              <w:spacing w:after="0"/>
              <w:rPr>
                <w:sz w:val="19"/>
                <w:szCs w:val="19"/>
                <w:color w:val="auto"/>
              </w:rPr>
            </w:pPr>
          </w:p>
        </w:tc>
        <w:tc>
          <w:tcPr>
            <w:tcW w:w="1620" w:type="dxa"/>
            <w:vAlign w:val="bottom"/>
            <w:gridSpan w:val="2"/>
          </w:tcPr>
          <w:p>
            <w:pPr>
              <w:ind w:left="240"/>
              <w:spacing w:after="0"/>
              <w:rPr>
                <w:sz w:val="20"/>
                <w:szCs w:val="20"/>
                <w:color w:val="auto"/>
              </w:rPr>
            </w:pPr>
            <w:r>
              <w:rPr>
                <w:rFonts w:ascii="Arial" w:cs="Arial" w:eastAsia="Arial" w:hAnsi="Arial"/>
                <w:sz w:val="18"/>
                <w:szCs w:val="18"/>
                <w:color w:val="auto"/>
              </w:rPr>
              <w:t>Basic</w:t>
            </w:r>
          </w:p>
        </w:tc>
        <w:tc>
          <w:tcPr>
            <w:tcW w:w="68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8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82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780" w:type="dxa"/>
            <w:vAlign w:val="bottom"/>
            <w:gridSpan w:val="2"/>
          </w:tcPr>
          <w:p>
            <w:pPr>
              <w:jc w:val="right"/>
              <w:ind w:right="57"/>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9"/>
                <w:szCs w:val="19"/>
                <w:color w:val="auto"/>
              </w:rPr>
            </w:pPr>
          </w:p>
        </w:tc>
        <w:tc>
          <w:tcPr>
            <w:tcW w:w="940" w:type="dxa"/>
            <w:vAlign w:val="bottom"/>
            <w:gridSpan w:val="2"/>
          </w:tcPr>
          <w:p>
            <w:pPr>
              <w:jc w:val="right"/>
              <w:spacing w:after="0"/>
              <w:rPr>
                <w:sz w:val="20"/>
                <w:szCs w:val="20"/>
                <w:color w:val="auto"/>
              </w:rPr>
            </w:pPr>
            <w:r>
              <w:rPr>
                <w:rFonts w:ascii="Arial" w:cs="Arial" w:eastAsia="Arial" w:hAnsi="Arial"/>
                <w:sz w:val="18"/>
                <w:szCs w:val="18"/>
                <w:color w:val="auto"/>
              </w:rPr>
              <w:t>0.09</w:t>
            </w:r>
          </w:p>
        </w:tc>
        <w:tc>
          <w:tcPr>
            <w:tcW w:w="160" w:type="dxa"/>
            <w:vAlign w:val="bottom"/>
          </w:tcPr>
          <w:p>
            <w:pPr>
              <w:spacing w:after="0"/>
              <w:rPr>
                <w:sz w:val="19"/>
                <w:szCs w:val="19"/>
                <w:color w:val="auto"/>
              </w:rPr>
            </w:pPr>
          </w:p>
        </w:tc>
        <w:tc>
          <w:tcPr>
            <w:tcW w:w="400" w:type="dxa"/>
            <w:vAlign w:val="bottom"/>
            <w:gridSpan w:val="2"/>
          </w:tcPr>
          <w:p>
            <w:pPr>
              <w:jc w:val="right"/>
              <w:ind w:right="102"/>
              <w:spacing w:after="0"/>
              <w:rPr>
                <w:sz w:val="20"/>
                <w:szCs w:val="20"/>
                <w:color w:val="auto"/>
              </w:rPr>
            </w:pPr>
            <w:r>
              <w:rPr>
                <w:rFonts w:ascii="Arial" w:cs="Arial" w:eastAsia="Arial" w:hAnsi="Arial"/>
                <w:sz w:val="18"/>
                <w:szCs w:val="18"/>
                <w:color w:val="auto"/>
              </w:rPr>
              <w:t>$</w:t>
            </w:r>
          </w:p>
        </w:tc>
        <w:tc>
          <w:tcPr>
            <w:tcW w:w="42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440" w:type="dxa"/>
            <w:vAlign w:val="bottom"/>
            <w:gridSpan w:val="2"/>
          </w:tcPr>
          <w:p>
            <w:pPr>
              <w:jc w:val="right"/>
              <w:spacing w:after="0"/>
              <w:rPr>
                <w:sz w:val="20"/>
                <w:szCs w:val="20"/>
                <w:color w:val="auto"/>
              </w:rPr>
            </w:pPr>
            <w:r>
              <w:rPr>
                <w:rFonts w:ascii="Arial" w:cs="Arial" w:eastAsia="Arial" w:hAnsi="Arial"/>
                <w:sz w:val="18"/>
                <w:szCs w:val="18"/>
                <w:color w:val="auto"/>
              </w:rPr>
              <w:t>0.06</w:t>
            </w:r>
          </w:p>
        </w:tc>
        <w:tc>
          <w:tcPr>
            <w:tcW w:w="12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580" w:type="dxa"/>
            <w:vAlign w:val="bottom"/>
          </w:tcPr>
          <w:p>
            <w:pPr>
              <w:spacing w:after="0"/>
              <w:rPr>
                <w:sz w:val="19"/>
                <w:szCs w:val="19"/>
                <w:color w:val="auto"/>
              </w:rPr>
            </w:pPr>
          </w:p>
        </w:tc>
        <w:tc>
          <w:tcPr>
            <w:tcW w:w="1620" w:type="dxa"/>
            <w:vAlign w:val="bottom"/>
            <w:gridSpan w:val="2"/>
            <w:shd w:val="clear" w:color="auto" w:fill="CFF0FC"/>
          </w:tcPr>
          <w:p>
            <w:pPr>
              <w:ind w:left="240"/>
              <w:spacing w:after="0"/>
              <w:rPr>
                <w:sz w:val="20"/>
                <w:szCs w:val="20"/>
                <w:color w:val="auto"/>
              </w:rPr>
            </w:pPr>
            <w:r>
              <w:rPr>
                <w:rFonts w:ascii="Arial" w:cs="Arial" w:eastAsia="Arial" w:hAnsi="Arial"/>
                <w:sz w:val="18"/>
                <w:szCs w:val="18"/>
                <w:color w:val="auto"/>
              </w:rPr>
              <w:t>Diluted</w:t>
            </w:r>
          </w:p>
        </w:tc>
        <w:tc>
          <w:tcPr>
            <w:tcW w:w="68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840" w:type="dxa"/>
            <w:vAlign w:val="bottom"/>
            <w:shd w:val="clear" w:color="auto" w:fill="CFF0FC"/>
          </w:tcPr>
          <w:p>
            <w:pPr>
              <w:spacing w:after="0"/>
              <w:rPr>
                <w:sz w:val="19"/>
                <w:szCs w:val="19"/>
                <w:color w:val="auto"/>
              </w:rPr>
            </w:pPr>
          </w:p>
        </w:tc>
        <w:tc>
          <w:tcPr>
            <w:tcW w:w="240" w:type="dxa"/>
            <w:vAlign w:val="bottom"/>
            <w:tcBorders>
              <w:right w:val="single" w:sz="8" w:color="CFF0FC"/>
            </w:tcBorders>
            <w:shd w:val="clear" w:color="auto" w:fill="CFF0FC"/>
          </w:tcPr>
          <w:p>
            <w:pPr>
              <w:spacing w:after="0"/>
              <w:rPr>
                <w:sz w:val="19"/>
                <w:szCs w:val="19"/>
                <w:color w:val="auto"/>
              </w:rPr>
            </w:pPr>
          </w:p>
        </w:tc>
        <w:tc>
          <w:tcPr>
            <w:tcW w:w="76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760" w:type="dxa"/>
            <w:vAlign w:val="bottom"/>
            <w:shd w:val="clear" w:color="auto" w:fill="CFF0FC"/>
          </w:tcPr>
          <w:p>
            <w:pPr>
              <w:spacing w:after="0"/>
              <w:rPr>
                <w:sz w:val="19"/>
                <w:szCs w:val="19"/>
                <w:color w:val="auto"/>
              </w:rPr>
            </w:pPr>
          </w:p>
        </w:tc>
        <w:tc>
          <w:tcPr>
            <w:tcW w:w="220" w:type="dxa"/>
            <w:vAlign w:val="bottom"/>
            <w:shd w:val="clear" w:color="auto" w:fill="CFF0FC"/>
          </w:tcPr>
          <w:p>
            <w:pPr>
              <w:spacing w:after="0"/>
              <w:rPr>
                <w:sz w:val="19"/>
                <w:szCs w:val="19"/>
                <w:color w:val="auto"/>
              </w:rPr>
            </w:pPr>
          </w:p>
        </w:tc>
        <w:tc>
          <w:tcPr>
            <w:tcW w:w="820" w:type="dxa"/>
            <w:vAlign w:val="bottom"/>
            <w:shd w:val="clear" w:color="auto" w:fill="CFF0FC"/>
          </w:tcPr>
          <w:p>
            <w:pPr>
              <w:spacing w:after="0"/>
              <w:rPr>
                <w:sz w:val="19"/>
                <w:szCs w:val="19"/>
                <w:color w:val="auto"/>
              </w:rPr>
            </w:pPr>
          </w:p>
        </w:tc>
        <w:tc>
          <w:tcPr>
            <w:tcW w:w="220" w:type="dxa"/>
            <w:vAlign w:val="bottom"/>
            <w:shd w:val="clear" w:color="auto" w:fill="CFF0FC"/>
          </w:tcPr>
          <w:p>
            <w:pPr>
              <w:spacing w:after="0"/>
              <w:rPr>
                <w:sz w:val="19"/>
                <w:szCs w:val="19"/>
                <w:color w:val="auto"/>
              </w:rPr>
            </w:pPr>
          </w:p>
        </w:tc>
        <w:tc>
          <w:tcPr>
            <w:tcW w:w="780" w:type="dxa"/>
            <w:vAlign w:val="bottom"/>
            <w:gridSpan w:val="2"/>
            <w:shd w:val="clear" w:color="auto" w:fill="CFF0FC"/>
          </w:tcPr>
          <w:p>
            <w:pPr>
              <w:jc w:val="right"/>
              <w:ind w:right="57"/>
              <w:spacing w:after="0"/>
              <w:rPr>
                <w:sz w:val="20"/>
                <w:szCs w:val="20"/>
                <w:color w:val="auto"/>
              </w:rPr>
            </w:pPr>
            <w:r>
              <w:rPr>
                <w:rFonts w:ascii="Arial" w:cs="Arial" w:eastAsia="Arial" w:hAnsi="Arial"/>
                <w:sz w:val="18"/>
                <w:szCs w:val="18"/>
                <w:color w:val="auto"/>
              </w:rPr>
              <w:t>$</w:t>
            </w:r>
          </w:p>
        </w:tc>
        <w:tc>
          <w:tcPr>
            <w:tcW w:w="220" w:type="dxa"/>
            <w:vAlign w:val="bottom"/>
            <w:shd w:val="clear" w:color="auto" w:fill="CFF0FC"/>
          </w:tcPr>
          <w:p>
            <w:pPr>
              <w:spacing w:after="0"/>
              <w:rPr>
                <w:sz w:val="19"/>
                <w:szCs w:val="19"/>
                <w:color w:val="auto"/>
              </w:rPr>
            </w:pPr>
          </w:p>
        </w:tc>
        <w:tc>
          <w:tcPr>
            <w:tcW w:w="940" w:type="dxa"/>
            <w:vAlign w:val="bottom"/>
            <w:gridSpan w:val="2"/>
            <w:shd w:val="clear" w:color="auto" w:fill="CFF0FC"/>
          </w:tcPr>
          <w:p>
            <w:pPr>
              <w:jc w:val="right"/>
              <w:spacing w:after="0"/>
              <w:rPr>
                <w:sz w:val="20"/>
                <w:szCs w:val="20"/>
                <w:color w:val="auto"/>
              </w:rPr>
            </w:pPr>
            <w:r>
              <w:rPr>
                <w:rFonts w:ascii="Arial" w:cs="Arial" w:eastAsia="Arial" w:hAnsi="Arial"/>
                <w:sz w:val="18"/>
                <w:szCs w:val="18"/>
                <w:color w:val="auto"/>
              </w:rPr>
              <w:t>0.09</w:t>
            </w:r>
          </w:p>
        </w:tc>
        <w:tc>
          <w:tcPr>
            <w:tcW w:w="160" w:type="dxa"/>
            <w:vAlign w:val="bottom"/>
            <w:tcBorders>
              <w:right w:val="single" w:sz="8" w:color="CFF0FC"/>
            </w:tcBorders>
            <w:shd w:val="clear" w:color="auto" w:fill="CFF0FC"/>
          </w:tcPr>
          <w:p>
            <w:pPr>
              <w:spacing w:after="0"/>
              <w:rPr>
                <w:sz w:val="19"/>
                <w:szCs w:val="19"/>
                <w:color w:val="auto"/>
              </w:rPr>
            </w:pPr>
          </w:p>
        </w:tc>
        <w:tc>
          <w:tcPr>
            <w:tcW w:w="400" w:type="dxa"/>
            <w:vAlign w:val="bottom"/>
            <w:gridSpan w:val="2"/>
            <w:shd w:val="clear" w:color="auto" w:fill="CFF0FC"/>
          </w:tcPr>
          <w:p>
            <w:pPr>
              <w:jc w:val="right"/>
              <w:ind w:right="102"/>
              <w:spacing w:after="0"/>
              <w:rPr>
                <w:sz w:val="20"/>
                <w:szCs w:val="20"/>
                <w:color w:val="auto"/>
              </w:rPr>
            </w:pPr>
            <w:r>
              <w:rPr>
                <w:rFonts w:ascii="Arial" w:cs="Arial" w:eastAsia="Arial" w:hAnsi="Arial"/>
                <w:sz w:val="18"/>
                <w:szCs w:val="18"/>
                <w:color w:val="auto"/>
              </w:rPr>
              <w:t>$</w:t>
            </w:r>
          </w:p>
        </w:tc>
        <w:tc>
          <w:tcPr>
            <w:tcW w:w="42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440" w:type="dxa"/>
            <w:vAlign w:val="bottom"/>
            <w:gridSpan w:val="2"/>
            <w:shd w:val="clear" w:color="auto" w:fill="CFF0FC"/>
          </w:tcPr>
          <w:p>
            <w:pPr>
              <w:jc w:val="right"/>
              <w:spacing w:after="0"/>
              <w:rPr>
                <w:sz w:val="20"/>
                <w:szCs w:val="20"/>
                <w:color w:val="auto"/>
              </w:rPr>
            </w:pPr>
            <w:r>
              <w:rPr>
                <w:rFonts w:ascii="Arial" w:cs="Arial" w:eastAsia="Arial" w:hAnsi="Arial"/>
                <w:sz w:val="18"/>
                <w:szCs w:val="18"/>
                <w:color w:val="auto"/>
              </w:rPr>
              <w:t>0.06</w:t>
            </w:r>
          </w:p>
        </w:tc>
        <w:tc>
          <w:tcPr>
            <w:tcW w:w="120" w:type="dxa"/>
            <w:vAlign w:val="bottom"/>
            <w:shd w:val="clear" w:color="auto" w:fill="CFF0FC"/>
          </w:tcPr>
          <w:p>
            <w:pPr>
              <w:spacing w:after="0"/>
              <w:rPr>
                <w:sz w:val="19"/>
                <w:szCs w:val="19"/>
                <w:color w:val="auto"/>
              </w:rPr>
            </w:pPr>
          </w:p>
        </w:tc>
        <w:tc>
          <w:tcPr>
            <w:tcW w:w="34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581"/>
        </w:trPr>
        <w:tc>
          <w:tcPr>
            <w:tcW w:w="7140" w:type="dxa"/>
            <w:vAlign w:val="bottom"/>
            <w:gridSpan w:val="13"/>
          </w:tcPr>
          <w:p>
            <w:pPr>
              <w:spacing w:after="0"/>
              <w:rPr>
                <w:sz w:val="20"/>
                <w:szCs w:val="20"/>
                <w:color w:val="auto"/>
              </w:rPr>
            </w:pPr>
            <w:r>
              <w:rPr>
                <w:rFonts w:ascii="Arial" w:cs="Arial" w:eastAsia="Arial" w:hAnsi="Arial"/>
                <w:sz w:val="18"/>
                <w:szCs w:val="18"/>
                <w:b w:val="1"/>
                <w:bCs w:val="1"/>
                <w:color w:val="auto"/>
                <w:w w:val="95"/>
              </w:rPr>
              <w:t>Three Months Ended March 31, 2015 Compared to Three Months Ended March 31, 2014</w:t>
            </w:r>
          </w:p>
        </w:tc>
        <w:tc>
          <w:tcPr>
            <w:tcW w:w="5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24"/>
        </w:trPr>
        <w:tc>
          <w:tcPr>
            <w:tcW w:w="8140" w:type="dxa"/>
            <w:vAlign w:val="bottom"/>
            <w:gridSpan w:val="16"/>
          </w:tcPr>
          <w:p>
            <w:pPr>
              <w:spacing w:after="0"/>
              <w:rPr>
                <w:sz w:val="20"/>
                <w:szCs w:val="20"/>
                <w:color w:val="auto"/>
              </w:rPr>
            </w:pPr>
            <w:r>
              <w:rPr>
                <w:rFonts w:ascii="Arial" w:cs="Arial" w:eastAsia="Arial" w:hAnsi="Arial"/>
                <w:sz w:val="18"/>
                <w:szCs w:val="18"/>
                <w:b w:val="1"/>
                <w:bCs w:val="1"/>
                <w:i w:val="1"/>
                <w:iCs w:val="1"/>
                <w:color w:val="auto"/>
                <w:w w:val="98"/>
              </w:rPr>
              <w:t>Net New Home Orders, Average Selling Communities and Monthly Absorption Rates by Segment</w:t>
            </w:r>
          </w:p>
        </w:tc>
        <w:tc>
          <w:tcPr>
            <w:tcW w:w="7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46"/>
        </w:trPr>
        <w:tc>
          <w:tcPr>
            <w:tcW w:w="580" w:type="dxa"/>
            <w:vAlign w:val="bottom"/>
          </w:tcPr>
          <w:p>
            <w:pPr>
              <w:spacing w:after="0"/>
              <w:rPr>
                <w:sz w:val="24"/>
                <w:szCs w:val="24"/>
                <w:color w:val="auto"/>
              </w:rPr>
            </w:pPr>
          </w:p>
        </w:tc>
        <w:tc>
          <w:tcPr>
            <w:tcW w:w="1540" w:type="dxa"/>
            <w:vAlign w:val="bottom"/>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2720" w:type="dxa"/>
            <w:vAlign w:val="bottom"/>
            <w:tcBorders>
              <w:bottom w:val="single" w:sz="8" w:color="auto"/>
            </w:tcBorders>
            <w:gridSpan w:val="5"/>
          </w:tcPr>
          <w:p>
            <w:pPr>
              <w:jc w:val="center"/>
              <w:ind w:right="15"/>
              <w:spacing w:after="0"/>
              <w:rPr>
                <w:sz w:val="20"/>
                <w:szCs w:val="20"/>
                <w:color w:val="auto"/>
              </w:rPr>
            </w:pPr>
            <w:r>
              <w:rPr>
                <w:rFonts w:ascii="Arial" w:cs="Arial" w:eastAsia="Arial" w:hAnsi="Arial"/>
                <w:sz w:val="14"/>
                <w:szCs w:val="14"/>
                <w:b w:val="1"/>
                <w:bCs w:val="1"/>
                <w:color w:val="auto"/>
                <w:w w:val="95"/>
              </w:rPr>
              <w:t>Three Months Ended March 31, 2015</w:t>
            </w:r>
          </w:p>
        </w:tc>
        <w:tc>
          <w:tcPr>
            <w:tcW w:w="200" w:type="dxa"/>
            <w:vAlign w:val="bottom"/>
          </w:tcPr>
          <w:p>
            <w:pPr>
              <w:spacing w:after="0"/>
              <w:rPr>
                <w:sz w:val="24"/>
                <w:szCs w:val="24"/>
                <w:color w:val="auto"/>
              </w:rPr>
            </w:pPr>
          </w:p>
        </w:tc>
        <w:tc>
          <w:tcPr>
            <w:tcW w:w="2800" w:type="dxa"/>
            <w:vAlign w:val="bottom"/>
            <w:tcBorders>
              <w:bottom w:val="single" w:sz="8" w:color="auto"/>
            </w:tcBorders>
            <w:gridSpan w:val="6"/>
          </w:tcPr>
          <w:p>
            <w:pPr>
              <w:jc w:val="center"/>
              <w:spacing w:after="0"/>
              <w:rPr>
                <w:sz w:val="20"/>
                <w:szCs w:val="20"/>
                <w:color w:val="auto"/>
              </w:rPr>
            </w:pPr>
            <w:r>
              <w:rPr>
                <w:rFonts w:ascii="Arial" w:cs="Arial" w:eastAsia="Arial" w:hAnsi="Arial"/>
                <w:sz w:val="14"/>
                <w:szCs w:val="14"/>
                <w:b w:val="1"/>
                <w:bCs w:val="1"/>
                <w:color w:val="auto"/>
                <w:w w:val="95"/>
              </w:rPr>
              <w:t>Three Months Ended March 31, 2014</w:t>
            </w:r>
          </w:p>
        </w:tc>
        <w:tc>
          <w:tcPr>
            <w:tcW w:w="220" w:type="dxa"/>
            <w:vAlign w:val="bottom"/>
          </w:tcPr>
          <w:p>
            <w:pPr>
              <w:spacing w:after="0"/>
              <w:rPr>
                <w:sz w:val="24"/>
                <w:szCs w:val="24"/>
                <w:color w:val="auto"/>
              </w:rPr>
            </w:pPr>
          </w:p>
        </w:tc>
        <w:tc>
          <w:tcPr>
            <w:tcW w:w="760" w:type="dxa"/>
            <w:vAlign w:val="bottom"/>
            <w:tcBorders>
              <w:bottom w:val="single" w:sz="8" w:color="auto"/>
            </w:tcBorders>
          </w:tcPr>
          <w:p>
            <w:pPr>
              <w:spacing w:after="0"/>
              <w:rPr>
                <w:sz w:val="24"/>
                <w:szCs w:val="24"/>
                <w:color w:val="auto"/>
              </w:rPr>
            </w:pPr>
          </w:p>
        </w:tc>
        <w:tc>
          <w:tcPr>
            <w:tcW w:w="1400" w:type="dxa"/>
            <w:vAlign w:val="bottom"/>
            <w:tcBorders>
              <w:bottom w:val="single" w:sz="8" w:color="auto"/>
            </w:tcBorders>
            <w:gridSpan w:val="6"/>
          </w:tcPr>
          <w:p>
            <w:pPr>
              <w:jc w:val="center"/>
              <w:ind w:left="28"/>
              <w:spacing w:after="0"/>
              <w:rPr>
                <w:sz w:val="20"/>
                <w:szCs w:val="20"/>
                <w:color w:val="auto"/>
              </w:rPr>
            </w:pPr>
            <w:r>
              <w:rPr>
                <w:rFonts w:ascii="Arial" w:cs="Arial" w:eastAsia="Arial" w:hAnsi="Arial"/>
                <w:sz w:val="14"/>
                <w:szCs w:val="14"/>
                <w:b w:val="1"/>
                <w:bCs w:val="1"/>
                <w:color w:val="auto"/>
                <w:w w:val="90"/>
              </w:rPr>
              <w:t>Percentage Change</w:t>
            </w:r>
          </w:p>
        </w:tc>
        <w:tc>
          <w:tcPr>
            <w:tcW w:w="100" w:type="dxa"/>
            <w:vAlign w:val="bottom"/>
            <w:tcBorders>
              <w:bottom w:val="single" w:sz="8" w:color="auto"/>
            </w:tcBorders>
          </w:tcPr>
          <w:p>
            <w:pPr>
              <w:spacing w:after="0"/>
              <w:rPr>
                <w:sz w:val="24"/>
                <w:szCs w:val="24"/>
                <w:color w:val="auto"/>
              </w:rPr>
            </w:pPr>
          </w:p>
        </w:tc>
        <w:tc>
          <w:tcPr>
            <w:tcW w:w="34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340" w:type="dxa"/>
            <w:vAlign w:val="bottom"/>
            <w:tcBorders>
              <w:bottom w:val="single" w:sz="8" w:color="auto"/>
            </w:tcBorders>
          </w:tcPr>
          <w:p>
            <w:pPr>
              <w:spacing w:after="0"/>
              <w:rPr>
                <w:sz w:val="24"/>
                <w:szCs w:val="24"/>
                <w:color w:val="auto"/>
              </w:rPr>
            </w:pPr>
          </w:p>
        </w:tc>
        <w:tc>
          <w:tcPr>
            <w:tcW w:w="2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7"/>
        </w:trPr>
        <w:tc>
          <w:tcPr>
            <w:tcW w:w="580" w:type="dxa"/>
            <w:vAlign w:val="bottom"/>
          </w:tcPr>
          <w:p>
            <w:pPr>
              <w:spacing w:after="0"/>
              <w:rPr>
                <w:sz w:val="19"/>
                <w:szCs w:val="19"/>
                <w:color w:val="auto"/>
              </w:rPr>
            </w:pPr>
          </w:p>
        </w:tc>
        <w:tc>
          <w:tcPr>
            <w:tcW w:w="15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680" w:type="dxa"/>
            <w:vAlign w:val="bottom"/>
          </w:tcPr>
          <w:p>
            <w:pPr>
              <w:jc w:val="center"/>
              <w:ind w:right="37"/>
              <w:spacing w:after="0"/>
              <w:rPr>
                <w:sz w:val="20"/>
                <w:szCs w:val="20"/>
                <w:color w:val="auto"/>
              </w:rPr>
            </w:pPr>
            <w:r>
              <w:rPr>
                <w:rFonts w:ascii="Arial" w:cs="Arial" w:eastAsia="Arial" w:hAnsi="Arial"/>
                <w:sz w:val="14"/>
                <w:szCs w:val="14"/>
                <w:b w:val="1"/>
                <w:bCs w:val="1"/>
                <w:color w:val="auto"/>
                <w:w w:val="94"/>
              </w:rPr>
              <w:t>Net New</w:t>
            </w:r>
          </w:p>
        </w:tc>
        <w:tc>
          <w:tcPr>
            <w:tcW w:w="200" w:type="dxa"/>
            <w:vAlign w:val="bottom"/>
          </w:tcPr>
          <w:p>
            <w:pPr>
              <w:spacing w:after="0"/>
              <w:rPr>
                <w:sz w:val="19"/>
                <w:szCs w:val="19"/>
                <w:color w:val="auto"/>
              </w:rPr>
            </w:pPr>
          </w:p>
        </w:tc>
        <w:tc>
          <w:tcPr>
            <w:tcW w:w="108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w w:val="90"/>
              </w:rPr>
              <w:t>Average</w:t>
            </w:r>
          </w:p>
        </w:tc>
        <w:tc>
          <w:tcPr>
            <w:tcW w:w="96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rPr>
              <w:t>Monthly</w:t>
            </w:r>
          </w:p>
        </w:tc>
        <w:tc>
          <w:tcPr>
            <w:tcW w:w="760" w:type="dxa"/>
            <w:vAlign w:val="bottom"/>
          </w:tcPr>
          <w:p>
            <w:pPr>
              <w:jc w:val="center"/>
              <w:spacing w:after="0"/>
              <w:rPr>
                <w:sz w:val="20"/>
                <w:szCs w:val="20"/>
                <w:color w:val="auto"/>
              </w:rPr>
            </w:pPr>
            <w:r>
              <w:rPr>
                <w:rFonts w:ascii="Arial" w:cs="Arial" w:eastAsia="Arial" w:hAnsi="Arial"/>
                <w:sz w:val="14"/>
                <w:szCs w:val="14"/>
                <w:b w:val="1"/>
                <w:bCs w:val="1"/>
                <w:color w:val="auto"/>
                <w:w w:val="94"/>
              </w:rPr>
              <w:t>Net New</w:t>
            </w:r>
          </w:p>
        </w:tc>
        <w:tc>
          <w:tcPr>
            <w:tcW w:w="220" w:type="dxa"/>
            <w:vAlign w:val="bottom"/>
          </w:tcPr>
          <w:p>
            <w:pPr>
              <w:spacing w:after="0"/>
              <w:rPr>
                <w:sz w:val="19"/>
                <w:szCs w:val="19"/>
                <w:color w:val="auto"/>
              </w:rPr>
            </w:pPr>
          </w:p>
        </w:tc>
        <w:tc>
          <w:tcPr>
            <w:tcW w:w="1040" w:type="dxa"/>
            <w:vAlign w:val="bottom"/>
            <w:gridSpan w:val="2"/>
          </w:tcPr>
          <w:p>
            <w:pPr>
              <w:jc w:val="center"/>
              <w:ind w:right="220"/>
              <w:spacing w:after="0"/>
              <w:rPr>
                <w:sz w:val="20"/>
                <w:szCs w:val="20"/>
                <w:color w:val="auto"/>
              </w:rPr>
            </w:pPr>
            <w:r>
              <w:rPr>
                <w:rFonts w:ascii="Arial" w:cs="Arial" w:eastAsia="Arial" w:hAnsi="Arial"/>
                <w:sz w:val="14"/>
                <w:szCs w:val="14"/>
                <w:b w:val="1"/>
                <w:bCs w:val="1"/>
                <w:color w:val="auto"/>
                <w:w w:val="90"/>
              </w:rPr>
              <w:t>Average</w:t>
            </w:r>
          </w:p>
        </w:tc>
        <w:tc>
          <w:tcPr>
            <w:tcW w:w="1000" w:type="dxa"/>
            <w:vAlign w:val="bottom"/>
            <w:gridSpan w:val="3"/>
          </w:tcPr>
          <w:p>
            <w:pPr>
              <w:jc w:val="right"/>
              <w:ind w:right="360"/>
              <w:spacing w:after="0"/>
              <w:rPr>
                <w:sz w:val="20"/>
                <w:szCs w:val="20"/>
                <w:color w:val="auto"/>
              </w:rPr>
            </w:pPr>
            <w:r>
              <w:rPr>
                <w:rFonts w:ascii="Arial" w:cs="Arial" w:eastAsia="Arial" w:hAnsi="Arial"/>
                <w:sz w:val="14"/>
                <w:szCs w:val="14"/>
                <w:b w:val="1"/>
                <w:bCs w:val="1"/>
                <w:color w:val="auto"/>
              </w:rPr>
              <w:t>Monthly</w:t>
            </w:r>
          </w:p>
        </w:tc>
        <w:tc>
          <w:tcPr>
            <w:tcW w:w="1100" w:type="dxa"/>
            <w:vAlign w:val="bottom"/>
            <w:gridSpan w:val="3"/>
          </w:tcPr>
          <w:p>
            <w:pPr>
              <w:jc w:val="center"/>
              <w:ind w:right="340"/>
              <w:spacing w:after="0"/>
              <w:rPr>
                <w:sz w:val="20"/>
                <w:szCs w:val="20"/>
                <w:color w:val="auto"/>
              </w:rPr>
            </w:pPr>
            <w:r>
              <w:rPr>
                <w:rFonts w:ascii="Arial" w:cs="Arial" w:eastAsia="Arial" w:hAnsi="Arial"/>
                <w:sz w:val="14"/>
                <w:szCs w:val="14"/>
                <w:b w:val="1"/>
                <w:bCs w:val="1"/>
                <w:color w:val="auto"/>
                <w:w w:val="94"/>
              </w:rPr>
              <w:t>Net New</w:t>
            </w:r>
          </w:p>
        </w:tc>
        <w:tc>
          <w:tcPr>
            <w:tcW w:w="120" w:type="dxa"/>
            <w:vAlign w:val="bottom"/>
          </w:tcPr>
          <w:p>
            <w:pPr>
              <w:spacing w:after="0"/>
              <w:rPr>
                <w:sz w:val="19"/>
                <w:szCs w:val="19"/>
                <w:color w:val="auto"/>
              </w:rPr>
            </w:pPr>
          </w:p>
        </w:tc>
        <w:tc>
          <w:tcPr>
            <w:tcW w:w="940" w:type="dxa"/>
            <w:vAlign w:val="bottom"/>
            <w:gridSpan w:val="3"/>
          </w:tcPr>
          <w:p>
            <w:pPr>
              <w:jc w:val="center"/>
              <w:ind w:right="360"/>
              <w:spacing w:after="0"/>
              <w:rPr>
                <w:sz w:val="20"/>
                <w:szCs w:val="20"/>
                <w:color w:val="auto"/>
              </w:rPr>
            </w:pPr>
            <w:r>
              <w:rPr>
                <w:rFonts w:ascii="Arial" w:cs="Arial" w:eastAsia="Arial" w:hAnsi="Arial"/>
                <w:sz w:val="14"/>
                <w:szCs w:val="14"/>
                <w:b w:val="1"/>
                <w:bCs w:val="1"/>
                <w:color w:val="auto"/>
                <w:w w:val="90"/>
              </w:rPr>
              <w:t>Average</w:t>
            </w:r>
          </w:p>
        </w:tc>
        <w:tc>
          <w:tcPr>
            <w:tcW w:w="100" w:type="dxa"/>
            <w:vAlign w:val="bottom"/>
          </w:tcPr>
          <w:p>
            <w:pPr>
              <w:spacing w:after="0"/>
              <w:rPr>
                <w:sz w:val="19"/>
                <w:szCs w:val="19"/>
                <w:color w:val="auto"/>
              </w:rPr>
            </w:pPr>
          </w:p>
        </w:tc>
        <w:tc>
          <w:tcPr>
            <w:tcW w:w="1020" w:type="dxa"/>
            <w:vAlign w:val="bottom"/>
            <w:gridSpan w:val="4"/>
          </w:tcPr>
          <w:p>
            <w:pPr>
              <w:jc w:val="center"/>
              <w:ind w:right="240"/>
              <w:spacing w:after="0"/>
              <w:rPr>
                <w:sz w:val="20"/>
                <w:szCs w:val="20"/>
                <w:color w:val="auto"/>
              </w:rPr>
            </w:pPr>
            <w:r>
              <w:rPr>
                <w:rFonts w:ascii="Arial" w:cs="Arial" w:eastAsia="Arial" w:hAnsi="Arial"/>
                <w:sz w:val="14"/>
                <w:szCs w:val="14"/>
                <w:b w:val="1"/>
                <w:bCs w:val="1"/>
                <w:color w:val="auto"/>
              </w:rPr>
              <w:t>Monthly</w:t>
            </w:r>
          </w:p>
        </w:tc>
        <w:tc>
          <w:tcPr>
            <w:tcW w:w="0" w:type="dxa"/>
            <w:vAlign w:val="bottom"/>
          </w:tcPr>
          <w:p>
            <w:pPr>
              <w:spacing w:after="0"/>
              <w:rPr>
                <w:sz w:val="1"/>
                <w:szCs w:val="1"/>
                <w:color w:val="auto"/>
              </w:rPr>
            </w:pPr>
          </w:p>
        </w:tc>
      </w:tr>
      <w:tr>
        <w:trPr>
          <w:trHeight w:val="162"/>
        </w:trPr>
        <w:tc>
          <w:tcPr>
            <w:tcW w:w="580" w:type="dxa"/>
            <w:vAlign w:val="bottom"/>
          </w:tcPr>
          <w:p>
            <w:pPr>
              <w:spacing w:after="0"/>
              <w:rPr>
                <w:sz w:val="14"/>
                <w:szCs w:val="14"/>
                <w:color w:val="auto"/>
              </w:rPr>
            </w:pPr>
          </w:p>
        </w:tc>
        <w:tc>
          <w:tcPr>
            <w:tcW w:w="15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80" w:type="dxa"/>
            <w:vAlign w:val="bottom"/>
          </w:tcPr>
          <w:p>
            <w:pPr>
              <w:jc w:val="center"/>
              <w:ind w:right="17"/>
              <w:spacing w:after="0"/>
              <w:rPr>
                <w:sz w:val="20"/>
                <w:szCs w:val="20"/>
                <w:color w:val="auto"/>
              </w:rPr>
            </w:pPr>
            <w:r>
              <w:rPr>
                <w:rFonts w:ascii="Arial" w:cs="Arial" w:eastAsia="Arial" w:hAnsi="Arial"/>
                <w:sz w:val="14"/>
                <w:szCs w:val="14"/>
                <w:b w:val="1"/>
                <w:bCs w:val="1"/>
                <w:color w:val="auto"/>
                <w:w w:val="97"/>
              </w:rPr>
              <w:t>Home</w:t>
            </w:r>
          </w:p>
        </w:tc>
        <w:tc>
          <w:tcPr>
            <w:tcW w:w="200" w:type="dxa"/>
            <w:vAlign w:val="bottom"/>
          </w:tcPr>
          <w:p>
            <w:pPr>
              <w:spacing w:after="0"/>
              <w:rPr>
                <w:sz w:val="14"/>
                <w:szCs w:val="14"/>
                <w:color w:val="auto"/>
              </w:rPr>
            </w:pPr>
          </w:p>
        </w:tc>
        <w:tc>
          <w:tcPr>
            <w:tcW w:w="108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w w:val="91"/>
              </w:rPr>
              <w:t>Selling</w:t>
            </w:r>
          </w:p>
        </w:tc>
        <w:tc>
          <w:tcPr>
            <w:tcW w:w="96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w w:val="93"/>
              </w:rPr>
              <w:t>Absorption</w:t>
            </w:r>
          </w:p>
        </w:tc>
        <w:tc>
          <w:tcPr>
            <w:tcW w:w="760" w:type="dxa"/>
            <w:vAlign w:val="bottom"/>
          </w:tcPr>
          <w:p>
            <w:pPr>
              <w:jc w:val="center"/>
              <w:spacing w:after="0"/>
              <w:rPr>
                <w:sz w:val="20"/>
                <w:szCs w:val="20"/>
                <w:color w:val="auto"/>
              </w:rPr>
            </w:pPr>
            <w:r>
              <w:rPr>
                <w:rFonts w:ascii="Arial" w:cs="Arial" w:eastAsia="Arial" w:hAnsi="Arial"/>
                <w:sz w:val="14"/>
                <w:szCs w:val="14"/>
                <w:b w:val="1"/>
                <w:bCs w:val="1"/>
                <w:color w:val="auto"/>
                <w:w w:val="92"/>
              </w:rPr>
              <w:t>Home</w:t>
            </w:r>
          </w:p>
        </w:tc>
        <w:tc>
          <w:tcPr>
            <w:tcW w:w="220" w:type="dxa"/>
            <w:vAlign w:val="bottom"/>
          </w:tcPr>
          <w:p>
            <w:pPr>
              <w:spacing w:after="0"/>
              <w:rPr>
                <w:sz w:val="14"/>
                <w:szCs w:val="14"/>
                <w:color w:val="auto"/>
              </w:rPr>
            </w:pPr>
          </w:p>
        </w:tc>
        <w:tc>
          <w:tcPr>
            <w:tcW w:w="1040" w:type="dxa"/>
            <w:vAlign w:val="bottom"/>
            <w:gridSpan w:val="2"/>
          </w:tcPr>
          <w:p>
            <w:pPr>
              <w:jc w:val="center"/>
              <w:ind w:right="220"/>
              <w:spacing w:after="0"/>
              <w:rPr>
                <w:sz w:val="20"/>
                <w:szCs w:val="20"/>
                <w:color w:val="auto"/>
              </w:rPr>
            </w:pPr>
            <w:r>
              <w:rPr>
                <w:rFonts w:ascii="Arial" w:cs="Arial" w:eastAsia="Arial" w:hAnsi="Arial"/>
                <w:sz w:val="14"/>
                <w:szCs w:val="14"/>
                <w:b w:val="1"/>
                <w:bCs w:val="1"/>
                <w:color w:val="auto"/>
                <w:w w:val="91"/>
              </w:rPr>
              <w:t>Selling</w:t>
            </w:r>
          </w:p>
        </w:tc>
        <w:tc>
          <w:tcPr>
            <w:tcW w:w="1000" w:type="dxa"/>
            <w:vAlign w:val="bottom"/>
            <w:gridSpan w:val="3"/>
          </w:tcPr>
          <w:p>
            <w:pPr>
              <w:jc w:val="center"/>
              <w:ind w:right="220"/>
              <w:spacing w:after="0"/>
              <w:rPr>
                <w:sz w:val="20"/>
                <w:szCs w:val="20"/>
                <w:color w:val="auto"/>
              </w:rPr>
            </w:pPr>
            <w:r>
              <w:rPr>
                <w:rFonts w:ascii="Arial" w:cs="Arial" w:eastAsia="Arial" w:hAnsi="Arial"/>
                <w:sz w:val="14"/>
                <w:szCs w:val="14"/>
                <w:b w:val="1"/>
                <w:bCs w:val="1"/>
                <w:color w:val="auto"/>
                <w:w w:val="93"/>
              </w:rPr>
              <w:t>Absorption</w:t>
            </w:r>
          </w:p>
        </w:tc>
        <w:tc>
          <w:tcPr>
            <w:tcW w:w="1100" w:type="dxa"/>
            <w:vAlign w:val="bottom"/>
            <w:gridSpan w:val="3"/>
          </w:tcPr>
          <w:p>
            <w:pPr>
              <w:jc w:val="center"/>
              <w:ind w:right="340"/>
              <w:spacing w:after="0"/>
              <w:rPr>
                <w:sz w:val="20"/>
                <w:szCs w:val="20"/>
                <w:color w:val="auto"/>
              </w:rPr>
            </w:pPr>
            <w:r>
              <w:rPr>
                <w:rFonts w:ascii="Arial" w:cs="Arial" w:eastAsia="Arial" w:hAnsi="Arial"/>
                <w:sz w:val="14"/>
                <w:szCs w:val="14"/>
                <w:b w:val="1"/>
                <w:bCs w:val="1"/>
                <w:color w:val="auto"/>
                <w:w w:val="92"/>
              </w:rPr>
              <w:t>Home</w:t>
            </w:r>
          </w:p>
        </w:tc>
        <w:tc>
          <w:tcPr>
            <w:tcW w:w="120" w:type="dxa"/>
            <w:vAlign w:val="bottom"/>
          </w:tcPr>
          <w:p>
            <w:pPr>
              <w:spacing w:after="0"/>
              <w:rPr>
                <w:sz w:val="14"/>
                <w:szCs w:val="14"/>
                <w:color w:val="auto"/>
              </w:rPr>
            </w:pPr>
          </w:p>
        </w:tc>
        <w:tc>
          <w:tcPr>
            <w:tcW w:w="940" w:type="dxa"/>
            <w:vAlign w:val="bottom"/>
            <w:gridSpan w:val="3"/>
          </w:tcPr>
          <w:p>
            <w:pPr>
              <w:jc w:val="center"/>
              <w:ind w:right="360"/>
              <w:spacing w:after="0"/>
              <w:rPr>
                <w:sz w:val="20"/>
                <w:szCs w:val="20"/>
                <w:color w:val="auto"/>
              </w:rPr>
            </w:pPr>
            <w:r>
              <w:rPr>
                <w:rFonts w:ascii="Arial" w:cs="Arial" w:eastAsia="Arial" w:hAnsi="Arial"/>
                <w:sz w:val="14"/>
                <w:szCs w:val="14"/>
                <w:b w:val="1"/>
                <w:bCs w:val="1"/>
                <w:color w:val="auto"/>
                <w:w w:val="91"/>
              </w:rPr>
              <w:t>Selling</w:t>
            </w:r>
          </w:p>
        </w:tc>
        <w:tc>
          <w:tcPr>
            <w:tcW w:w="100" w:type="dxa"/>
            <w:vAlign w:val="bottom"/>
          </w:tcPr>
          <w:p>
            <w:pPr>
              <w:spacing w:after="0"/>
              <w:rPr>
                <w:sz w:val="14"/>
                <w:szCs w:val="14"/>
                <w:color w:val="auto"/>
              </w:rPr>
            </w:pPr>
          </w:p>
        </w:tc>
        <w:tc>
          <w:tcPr>
            <w:tcW w:w="1020" w:type="dxa"/>
            <w:vAlign w:val="bottom"/>
            <w:gridSpan w:val="4"/>
          </w:tcPr>
          <w:p>
            <w:pPr>
              <w:jc w:val="center"/>
              <w:ind w:right="240"/>
              <w:spacing w:after="0"/>
              <w:rPr>
                <w:sz w:val="20"/>
                <w:szCs w:val="20"/>
                <w:color w:val="auto"/>
              </w:rPr>
            </w:pPr>
            <w:r>
              <w:rPr>
                <w:rFonts w:ascii="Arial" w:cs="Arial" w:eastAsia="Arial" w:hAnsi="Arial"/>
                <w:sz w:val="14"/>
                <w:szCs w:val="14"/>
                <w:b w:val="1"/>
                <w:bCs w:val="1"/>
                <w:color w:val="auto"/>
                <w:w w:val="93"/>
              </w:rPr>
              <w:t>Absorption</w:t>
            </w:r>
          </w:p>
        </w:tc>
        <w:tc>
          <w:tcPr>
            <w:tcW w:w="0" w:type="dxa"/>
            <w:vAlign w:val="bottom"/>
          </w:tcPr>
          <w:p>
            <w:pPr>
              <w:spacing w:after="0"/>
              <w:rPr>
                <w:sz w:val="1"/>
                <w:szCs w:val="1"/>
                <w:color w:val="auto"/>
              </w:rPr>
            </w:pPr>
          </w:p>
        </w:tc>
      </w:tr>
      <w:tr>
        <w:trPr>
          <w:trHeight w:val="171"/>
        </w:trPr>
        <w:tc>
          <w:tcPr>
            <w:tcW w:w="580" w:type="dxa"/>
            <w:vAlign w:val="bottom"/>
          </w:tcPr>
          <w:p>
            <w:pPr>
              <w:spacing w:after="0"/>
              <w:rPr>
                <w:sz w:val="14"/>
                <w:szCs w:val="14"/>
                <w:color w:val="auto"/>
              </w:rPr>
            </w:pPr>
          </w:p>
        </w:tc>
        <w:tc>
          <w:tcPr>
            <w:tcW w:w="15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80" w:type="dxa"/>
            <w:vAlign w:val="bottom"/>
          </w:tcPr>
          <w:p>
            <w:pPr>
              <w:jc w:val="center"/>
              <w:ind w:right="37"/>
              <w:spacing w:after="0"/>
              <w:rPr>
                <w:sz w:val="20"/>
                <w:szCs w:val="20"/>
                <w:color w:val="auto"/>
              </w:rPr>
            </w:pPr>
            <w:r>
              <w:rPr>
                <w:rFonts w:ascii="Arial" w:cs="Arial" w:eastAsia="Arial" w:hAnsi="Arial"/>
                <w:sz w:val="14"/>
                <w:szCs w:val="14"/>
                <w:b w:val="1"/>
                <w:bCs w:val="1"/>
                <w:color w:val="auto"/>
                <w:w w:val="95"/>
              </w:rPr>
              <w:t>Orders</w:t>
            </w:r>
          </w:p>
        </w:tc>
        <w:tc>
          <w:tcPr>
            <w:tcW w:w="200" w:type="dxa"/>
            <w:vAlign w:val="bottom"/>
          </w:tcPr>
          <w:p>
            <w:pPr>
              <w:spacing w:after="0"/>
              <w:rPr>
                <w:sz w:val="14"/>
                <w:szCs w:val="14"/>
                <w:color w:val="auto"/>
              </w:rPr>
            </w:pPr>
          </w:p>
        </w:tc>
        <w:tc>
          <w:tcPr>
            <w:tcW w:w="840" w:type="dxa"/>
            <w:vAlign w:val="bottom"/>
          </w:tcPr>
          <w:p>
            <w:pPr>
              <w:jc w:val="center"/>
              <w:spacing w:after="0"/>
              <w:rPr>
                <w:sz w:val="20"/>
                <w:szCs w:val="20"/>
                <w:color w:val="auto"/>
              </w:rPr>
            </w:pPr>
            <w:r>
              <w:rPr>
                <w:rFonts w:ascii="Arial" w:cs="Arial" w:eastAsia="Arial" w:hAnsi="Arial"/>
                <w:sz w:val="14"/>
                <w:szCs w:val="14"/>
                <w:b w:val="1"/>
                <w:bCs w:val="1"/>
                <w:color w:val="auto"/>
                <w:w w:val="94"/>
              </w:rPr>
              <w:t>Communities</w:t>
            </w:r>
          </w:p>
        </w:tc>
        <w:tc>
          <w:tcPr>
            <w:tcW w:w="240" w:type="dxa"/>
            <w:vAlign w:val="bottom"/>
          </w:tcPr>
          <w:p>
            <w:pPr>
              <w:spacing w:after="0"/>
              <w:rPr>
                <w:sz w:val="14"/>
                <w:szCs w:val="14"/>
                <w:color w:val="auto"/>
              </w:rPr>
            </w:pPr>
          </w:p>
        </w:tc>
        <w:tc>
          <w:tcPr>
            <w:tcW w:w="760" w:type="dxa"/>
            <w:vAlign w:val="bottom"/>
          </w:tcPr>
          <w:p>
            <w:pPr>
              <w:jc w:val="center"/>
              <w:spacing w:after="0"/>
              <w:rPr>
                <w:sz w:val="20"/>
                <w:szCs w:val="20"/>
                <w:color w:val="auto"/>
              </w:rPr>
            </w:pPr>
            <w:r>
              <w:rPr>
                <w:rFonts w:ascii="Arial" w:cs="Arial" w:eastAsia="Arial" w:hAnsi="Arial"/>
                <w:sz w:val="14"/>
                <w:szCs w:val="14"/>
                <w:b w:val="1"/>
                <w:bCs w:val="1"/>
                <w:color w:val="auto"/>
                <w:w w:val="89"/>
              </w:rPr>
              <w:t>Rates</w:t>
            </w:r>
          </w:p>
        </w:tc>
        <w:tc>
          <w:tcPr>
            <w:tcW w:w="200" w:type="dxa"/>
            <w:vAlign w:val="bottom"/>
          </w:tcPr>
          <w:p>
            <w:pPr>
              <w:spacing w:after="0"/>
              <w:rPr>
                <w:sz w:val="14"/>
                <w:szCs w:val="14"/>
                <w:color w:val="auto"/>
              </w:rPr>
            </w:pPr>
          </w:p>
        </w:tc>
        <w:tc>
          <w:tcPr>
            <w:tcW w:w="760" w:type="dxa"/>
            <w:vAlign w:val="bottom"/>
          </w:tcPr>
          <w:p>
            <w:pPr>
              <w:jc w:val="center"/>
              <w:spacing w:after="0"/>
              <w:rPr>
                <w:sz w:val="20"/>
                <w:szCs w:val="20"/>
                <w:color w:val="auto"/>
              </w:rPr>
            </w:pPr>
            <w:r>
              <w:rPr>
                <w:rFonts w:ascii="Arial" w:cs="Arial" w:eastAsia="Arial" w:hAnsi="Arial"/>
                <w:sz w:val="14"/>
                <w:szCs w:val="14"/>
                <w:b w:val="1"/>
                <w:bCs w:val="1"/>
                <w:color w:val="auto"/>
                <w:w w:val="95"/>
              </w:rPr>
              <w:t>Orders</w:t>
            </w:r>
          </w:p>
        </w:tc>
        <w:tc>
          <w:tcPr>
            <w:tcW w:w="1260" w:type="dxa"/>
            <w:vAlign w:val="bottom"/>
            <w:gridSpan w:val="3"/>
          </w:tcPr>
          <w:p>
            <w:pPr>
              <w:jc w:val="center"/>
              <w:spacing w:after="0"/>
              <w:rPr>
                <w:sz w:val="20"/>
                <w:szCs w:val="20"/>
                <w:color w:val="auto"/>
              </w:rPr>
            </w:pPr>
            <w:r>
              <w:rPr>
                <w:rFonts w:ascii="Arial" w:cs="Arial" w:eastAsia="Arial" w:hAnsi="Arial"/>
                <w:sz w:val="14"/>
                <w:szCs w:val="14"/>
                <w:b w:val="1"/>
                <w:bCs w:val="1"/>
                <w:color w:val="auto"/>
                <w:w w:val="92"/>
              </w:rPr>
              <w:t>Communities</w:t>
            </w:r>
          </w:p>
        </w:tc>
        <w:tc>
          <w:tcPr>
            <w:tcW w:w="1000" w:type="dxa"/>
            <w:vAlign w:val="bottom"/>
            <w:gridSpan w:val="3"/>
          </w:tcPr>
          <w:p>
            <w:pPr>
              <w:jc w:val="center"/>
              <w:ind w:right="220"/>
              <w:spacing w:after="0"/>
              <w:rPr>
                <w:sz w:val="20"/>
                <w:szCs w:val="20"/>
                <w:color w:val="auto"/>
              </w:rPr>
            </w:pPr>
            <w:r>
              <w:rPr>
                <w:rFonts w:ascii="Arial" w:cs="Arial" w:eastAsia="Arial" w:hAnsi="Arial"/>
                <w:sz w:val="14"/>
                <w:szCs w:val="14"/>
                <w:b w:val="1"/>
                <w:bCs w:val="1"/>
                <w:color w:val="auto"/>
                <w:w w:val="89"/>
              </w:rPr>
              <w:t>Rates</w:t>
            </w:r>
          </w:p>
        </w:tc>
        <w:tc>
          <w:tcPr>
            <w:tcW w:w="1100" w:type="dxa"/>
            <w:vAlign w:val="bottom"/>
            <w:gridSpan w:val="3"/>
          </w:tcPr>
          <w:p>
            <w:pPr>
              <w:jc w:val="center"/>
              <w:ind w:right="340"/>
              <w:spacing w:after="0"/>
              <w:rPr>
                <w:sz w:val="20"/>
                <w:szCs w:val="20"/>
                <w:color w:val="auto"/>
              </w:rPr>
            </w:pPr>
            <w:r>
              <w:rPr>
                <w:rFonts w:ascii="Arial" w:cs="Arial" w:eastAsia="Arial" w:hAnsi="Arial"/>
                <w:sz w:val="14"/>
                <w:szCs w:val="14"/>
                <w:b w:val="1"/>
                <w:bCs w:val="1"/>
                <w:color w:val="auto"/>
                <w:w w:val="95"/>
              </w:rPr>
              <w:t>Orders</w:t>
            </w:r>
          </w:p>
        </w:tc>
        <w:tc>
          <w:tcPr>
            <w:tcW w:w="1060" w:type="dxa"/>
            <w:vAlign w:val="bottom"/>
            <w:gridSpan w:val="4"/>
          </w:tcPr>
          <w:p>
            <w:pPr>
              <w:jc w:val="center"/>
              <w:ind w:right="240"/>
              <w:spacing w:after="0"/>
              <w:rPr>
                <w:sz w:val="20"/>
                <w:szCs w:val="20"/>
                <w:color w:val="auto"/>
              </w:rPr>
            </w:pPr>
            <w:r>
              <w:rPr>
                <w:rFonts w:ascii="Arial" w:cs="Arial" w:eastAsia="Arial" w:hAnsi="Arial"/>
                <w:sz w:val="14"/>
                <w:szCs w:val="14"/>
                <w:b w:val="1"/>
                <w:bCs w:val="1"/>
                <w:color w:val="auto"/>
                <w:w w:val="92"/>
              </w:rPr>
              <w:t>Communities</w:t>
            </w:r>
          </w:p>
        </w:tc>
        <w:tc>
          <w:tcPr>
            <w:tcW w:w="100" w:type="dxa"/>
            <w:vAlign w:val="bottom"/>
          </w:tcPr>
          <w:p>
            <w:pPr>
              <w:spacing w:after="0"/>
              <w:rPr>
                <w:sz w:val="14"/>
                <w:szCs w:val="14"/>
                <w:color w:val="auto"/>
              </w:rPr>
            </w:pPr>
          </w:p>
        </w:tc>
        <w:tc>
          <w:tcPr>
            <w:tcW w:w="1020" w:type="dxa"/>
            <w:vAlign w:val="bottom"/>
            <w:gridSpan w:val="4"/>
          </w:tcPr>
          <w:p>
            <w:pPr>
              <w:jc w:val="center"/>
              <w:ind w:right="240"/>
              <w:spacing w:after="0"/>
              <w:rPr>
                <w:sz w:val="20"/>
                <w:szCs w:val="20"/>
                <w:color w:val="auto"/>
              </w:rPr>
            </w:pPr>
            <w:r>
              <w:rPr>
                <w:rFonts w:ascii="Arial" w:cs="Arial" w:eastAsia="Arial" w:hAnsi="Arial"/>
                <w:sz w:val="14"/>
                <w:szCs w:val="14"/>
                <w:b w:val="1"/>
                <w:bCs w:val="1"/>
                <w:color w:val="auto"/>
                <w:w w:val="89"/>
              </w:rPr>
              <w:t>Rates</w:t>
            </w:r>
          </w:p>
        </w:tc>
        <w:tc>
          <w:tcPr>
            <w:tcW w:w="0" w:type="dxa"/>
            <w:vAlign w:val="bottom"/>
          </w:tcPr>
          <w:p>
            <w:pPr>
              <w:spacing w:after="0"/>
              <w:rPr>
                <w:sz w:val="1"/>
                <w:szCs w:val="1"/>
                <w:color w:val="auto"/>
              </w:rPr>
            </w:pPr>
          </w:p>
        </w:tc>
      </w:tr>
      <w:tr>
        <w:trPr>
          <w:trHeight w:val="20"/>
        </w:trPr>
        <w:tc>
          <w:tcPr>
            <w:tcW w:w="2120" w:type="dxa"/>
            <w:vAlign w:val="bottom"/>
            <w:gridSpan w:val="2"/>
            <w:vMerge w:val="restart"/>
            <w:shd w:val="clear" w:color="auto" w:fill="CFF0FC"/>
          </w:tcPr>
          <w:p>
            <w:pPr>
              <w:spacing w:after="0"/>
              <w:rPr>
                <w:sz w:val="20"/>
                <w:szCs w:val="20"/>
                <w:color w:val="auto"/>
              </w:rPr>
            </w:pPr>
            <w:r>
              <w:rPr>
                <w:rFonts w:ascii="Arial" w:cs="Arial" w:eastAsia="Arial" w:hAnsi="Arial"/>
                <w:sz w:val="18"/>
                <w:szCs w:val="18"/>
                <w:color w:val="auto"/>
              </w:rPr>
              <w:t>Maracay</w:t>
            </w:r>
          </w:p>
        </w:tc>
        <w:tc>
          <w:tcPr>
            <w:tcW w:w="80" w:type="dxa"/>
            <w:vAlign w:val="bottom"/>
            <w:shd w:val="clear" w:color="auto" w:fill="000000"/>
          </w:tcPr>
          <w:p>
            <w:pPr>
              <w:spacing w:after="0" w:line="20" w:lineRule="exact"/>
              <w:rPr>
                <w:sz w:val="1"/>
                <w:szCs w:val="1"/>
                <w:color w:val="auto"/>
              </w:rPr>
            </w:pPr>
          </w:p>
        </w:tc>
        <w:tc>
          <w:tcPr>
            <w:tcW w:w="680" w:type="dxa"/>
            <w:vAlign w:val="bottom"/>
            <w:shd w:val="clear" w:color="auto" w:fill="000000"/>
          </w:tcPr>
          <w:p>
            <w:pPr>
              <w:spacing w:after="0" w:line="20" w:lineRule="exact"/>
              <w:rPr>
                <w:sz w:val="1"/>
                <w:szCs w:val="1"/>
                <w:color w:val="auto"/>
              </w:rPr>
            </w:pPr>
          </w:p>
        </w:tc>
        <w:tc>
          <w:tcPr>
            <w:tcW w:w="200" w:type="dxa"/>
            <w:vAlign w:val="bottom"/>
            <w:vMerge w:val="restart"/>
            <w:shd w:val="clear" w:color="auto" w:fill="CFF0FC"/>
          </w:tcPr>
          <w:p>
            <w:pPr>
              <w:spacing w:after="0" w:line="20" w:lineRule="exact"/>
              <w:rPr>
                <w:sz w:val="1"/>
                <w:szCs w:val="1"/>
                <w:color w:val="auto"/>
              </w:rPr>
            </w:pPr>
          </w:p>
        </w:tc>
        <w:tc>
          <w:tcPr>
            <w:tcW w:w="840" w:type="dxa"/>
            <w:vAlign w:val="bottom"/>
            <w:shd w:val="clear" w:color="auto" w:fill="000000"/>
          </w:tcPr>
          <w:p>
            <w:pPr>
              <w:spacing w:after="0" w:line="20" w:lineRule="exact"/>
              <w:rPr>
                <w:sz w:val="1"/>
                <w:szCs w:val="1"/>
                <w:color w:val="auto"/>
              </w:rPr>
            </w:pPr>
          </w:p>
        </w:tc>
        <w:tc>
          <w:tcPr>
            <w:tcW w:w="240" w:type="dxa"/>
            <w:vAlign w:val="bottom"/>
            <w:tcBorders>
              <w:right w:val="single" w:sz="8" w:color="auto"/>
            </w:tcBorders>
            <w:shd w:val="clear" w:color="auto" w:fill="CFF0FC"/>
          </w:tcPr>
          <w:p>
            <w:pPr>
              <w:spacing w:after="0" w:line="20" w:lineRule="exact"/>
              <w:rPr>
                <w:sz w:val="1"/>
                <w:szCs w:val="1"/>
                <w:color w:val="auto"/>
              </w:rPr>
            </w:pPr>
          </w:p>
        </w:tc>
        <w:tc>
          <w:tcPr>
            <w:tcW w:w="760" w:type="dxa"/>
            <w:vAlign w:val="bottom"/>
            <w:shd w:val="clear" w:color="auto" w:fill="000000"/>
          </w:tcPr>
          <w:p>
            <w:pPr>
              <w:spacing w:after="0" w:line="20" w:lineRule="exact"/>
              <w:rPr>
                <w:sz w:val="1"/>
                <w:szCs w:val="1"/>
                <w:color w:val="auto"/>
              </w:rPr>
            </w:pPr>
          </w:p>
        </w:tc>
        <w:tc>
          <w:tcPr>
            <w:tcW w:w="200" w:type="dxa"/>
            <w:vAlign w:val="bottom"/>
            <w:shd w:val="clear" w:color="auto" w:fill="CFF0FC"/>
          </w:tcPr>
          <w:p>
            <w:pPr>
              <w:spacing w:after="0" w:line="20" w:lineRule="exact"/>
              <w:rPr>
                <w:sz w:val="1"/>
                <w:szCs w:val="1"/>
                <w:color w:val="auto"/>
              </w:rPr>
            </w:pPr>
          </w:p>
        </w:tc>
        <w:tc>
          <w:tcPr>
            <w:tcW w:w="760" w:type="dxa"/>
            <w:vAlign w:val="bottom"/>
            <w:shd w:val="clear" w:color="auto" w:fill="000000"/>
          </w:tcPr>
          <w:p>
            <w:pPr>
              <w:spacing w:after="0" w:line="20" w:lineRule="exact"/>
              <w:rPr>
                <w:sz w:val="1"/>
                <w:szCs w:val="1"/>
                <w:color w:val="auto"/>
              </w:rPr>
            </w:pPr>
          </w:p>
        </w:tc>
        <w:tc>
          <w:tcPr>
            <w:tcW w:w="220" w:type="dxa"/>
            <w:vAlign w:val="bottom"/>
            <w:vMerge w:val="restart"/>
            <w:shd w:val="clear" w:color="auto" w:fill="CFF0FC"/>
          </w:tcPr>
          <w:p>
            <w:pPr>
              <w:spacing w:after="0" w:line="20" w:lineRule="exact"/>
              <w:rPr>
                <w:sz w:val="1"/>
                <w:szCs w:val="1"/>
                <w:color w:val="auto"/>
              </w:rPr>
            </w:pPr>
          </w:p>
        </w:tc>
        <w:tc>
          <w:tcPr>
            <w:tcW w:w="820" w:type="dxa"/>
            <w:vAlign w:val="bottom"/>
            <w:shd w:val="clear" w:color="auto" w:fill="000000"/>
          </w:tcPr>
          <w:p>
            <w:pPr>
              <w:spacing w:after="0" w:line="20" w:lineRule="exact"/>
              <w:rPr>
                <w:sz w:val="1"/>
                <w:szCs w:val="1"/>
                <w:color w:val="auto"/>
              </w:rPr>
            </w:pPr>
          </w:p>
        </w:tc>
        <w:tc>
          <w:tcPr>
            <w:tcW w:w="220" w:type="dxa"/>
            <w:vAlign w:val="bottom"/>
            <w:shd w:val="clear" w:color="auto" w:fill="CFF0FC"/>
          </w:tcPr>
          <w:p>
            <w:pPr>
              <w:spacing w:after="0" w:line="20" w:lineRule="exact"/>
              <w:rPr>
                <w:sz w:val="1"/>
                <w:szCs w:val="1"/>
                <w:color w:val="auto"/>
              </w:rPr>
            </w:pPr>
          </w:p>
        </w:tc>
        <w:tc>
          <w:tcPr>
            <w:tcW w:w="780" w:type="dxa"/>
            <w:vAlign w:val="bottom"/>
            <w:gridSpan w:val="2"/>
            <w:shd w:val="clear" w:color="auto" w:fill="000000"/>
          </w:tcPr>
          <w:p>
            <w:pPr>
              <w:spacing w:after="0" w:line="20" w:lineRule="exact"/>
              <w:rPr>
                <w:sz w:val="1"/>
                <w:szCs w:val="1"/>
                <w:color w:val="auto"/>
              </w:rPr>
            </w:pPr>
          </w:p>
        </w:tc>
        <w:tc>
          <w:tcPr>
            <w:tcW w:w="220" w:type="dxa"/>
            <w:vAlign w:val="bottom"/>
            <w:shd w:val="clear" w:color="auto" w:fill="CFF0FC"/>
          </w:tcPr>
          <w:p>
            <w:pPr>
              <w:spacing w:after="0" w:line="20" w:lineRule="exact"/>
              <w:rPr>
                <w:sz w:val="1"/>
                <w:szCs w:val="1"/>
                <w:color w:val="auto"/>
              </w:rPr>
            </w:pPr>
          </w:p>
        </w:tc>
        <w:tc>
          <w:tcPr>
            <w:tcW w:w="760" w:type="dxa"/>
            <w:vAlign w:val="bottom"/>
            <w:shd w:val="clear" w:color="auto" w:fill="000000"/>
          </w:tcPr>
          <w:p>
            <w:pPr>
              <w:spacing w:after="0" w:line="20" w:lineRule="exact"/>
              <w:rPr>
                <w:sz w:val="1"/>
                <w:szCs w:val="1"/>
                <w:color w:val="auto"/>
              </w:rPr>
            </w:pPr>
          </w:p>
        </w:tc>
        <w:tc>
          <w:tcPr>
            <w:tcW w:w="180" w:type="dxa"/>
            <w:vAlign w:val="bottom"/>
            <w:shd w:val="clear" w:color="auto" w:fill="CFF0FC"/>
          </w:tcPr>
          <w:p>
            <w:pPr>
              <w:spacing w:after="0" w:line="20" w:lineRule="exact"/>
              <w:rPr>
                <w:sz w:val="1"/>
                <w:szCs w:val="1"/>
                <w:color w:val="auto"/>
              </w:rPr>
            </w:pPr>
          </w:p>
        </w:tc>
        <w:tc>
          <w:tcPr>
            <w:tcW w:w="160" w:type="dxa"/>
            <w:vAlign w:val="bottom"/>
            <w:tcBorders>
              <w:right w:val="single" w:sz="8" w:color="CFF0FC"/>
            </w:tcBorders>
            <w:shd w:val="clear" w:color="auto" w:fill="CFF0FC"/>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280" w:type="dxa"/>
            <w:vAlign w:val="bottom"/>
            <w:shd w:val="clear" w:color="auto" w:fill="000000"/>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240" w:type="dxa"/>
            <w:vAlign w:val="bottom"/>
            <w:shd w:val="clear" w:color="auto" w:fill="CFF0FC"/>
          </w:tcPr>
          <w:p>
            <w:pPr>
              <w:spacing w:after="0" w:line="20" w:lineRule="exact"/>
              <w:rPr>
                <w:sz w:val="1"/>
                <w:szCs w:val="1"/>
                <w:color w:val="auto"/>
              </w:rPr>
            </w:pPr>
          </w:p>
        </w:tc>
        <w:tc>
          <w:tcPr>
            <w:tcW w:w="100" w:type="dxa"/>
            <w:vAlign w:val="bottom"/>
            <w:vMerge w:val="restart"/>
            <w:shd w:val="clear" w:color="auto" w:fill="CFF0FC"/>
          </w:tcPr>
          <w:p>
            <w:pPr>
              <w:spacing w:after="0" w:line="20" w:lineRule="exact"/>
              <w:rPr>
                <w:sz w:val="1"/>
                <w:szCs w:val="1"/>
                <w:color w:val="auto"/>
              </w:rPr>
            </w:pPr>
          </w:p>
        </w:tc>
        <w:tc>
          <w:tcPr>
            <w:tcW w:w="800" w:type="dxa"/>
            <w:vAlign w:val="bottom"/>
            <w:gridSpan w:val="3"/>
            <w:shd w:val="clear" w:color="auto" w:fill="000000"/>
          </w:tcPr>
          <w:p>
            <w:pPr>
              <w:spacing w:after="0" w:line="20" w:lineRule="exact"/>
              <w:rPr>
                <w:sz w:val="1"/>
                <w:szCs w:val="1"/>
                <w:color w:val="auto"/>
              </w:rPr>
            </w:pPr>
          </w:p>
        </w:tc>
        <w:tc>
          <w:tcPr>
            <w:tcW w:w="220" w:type="dxa"/>
            <w:vAlign w:val="bottom"/>
            <w:shd w:val="clear" w:color="auto" w:fill="CFF0FC"/>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3"/>
        </w:trPr>
        <w:tc>
          <w:tcPr>
            <w:tcW w:w="2120" w:type="dxa"/>
            <w:vAlign w:val="bottom"/>
            <w:gridSpan w:val="2"/>
            <w:vMerge w:val="continue"/>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6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161</w:t>
            </w:r>
          </w:p>
        </w:tc>
        <w:tc>
          <w:tcPr>
            <w:tcW w:w="200" w:type="dxa"/>
            <w:vAlign w:val="bottom"/>
            <w:vMerge w:val="continue"/>
            <w:shd w:val="clear" w:color="auto" w:fill="CFF0FC"/>
          </w:tcPr>
          <w:p>
            <w:pPr>
              <w:spacing w:after="0"/>
              <w:rPr>
                <w:sz w:val="19"/>
                <w:szCs w:val="19"/>
                <w:color w:val="auto"/>
              </w:rPr>
            </w:pPr>
          </w:p>
        </w:tc>
        <w:tc>
          <w:tcPr>
            <w:tcW w:w="8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17.0</w:t>
            </w:r>
          </w:p>
        </w:tc>
        <w:tc>
          <w:tcPr>
            <w:tcW w:w="240" w:type="dxa"/>
            <w:vAlign w:val="bottom"/>
            <w:tcBorders>
              <w:right w:val="single" w:sz="8" w:color="CFF0FC"/>
            </w:tcBorders>
            <w:shd w:val="clear" w:color="auto" w:fill="CFF0FC"/>
          </w:tcPr>
          <w:p>
            <w:pPr>
              <w:spacing w:after="0"/>
              <w:rPr>
                <w:sz w:val="19"/>
                <w:szCs w:val="19"/>
                <w:color w:val="auto"/>
              </w:rPr>
            </w:pPr>
          </w:p>
        </w:tc>
        <w:tc>
          <w:tcPr>
            <w:tcW w:w="7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3.2</w:t>
            </w:r>
          </w:p>
        </w:tc>
        <w:tc>
          <w:tcPr>
            <w:tcW w:w="200" w:type="dxa"/>
            <w:vAlign w:val="bottom"/>
            <w:shd w:val="clear" w:color="auto" w:fill="CFF0FC"/>
          </w:tcPr>
          <w:p>
            <w:pPr>
              <w:spacing w:after="0"/>
              <w:rPr>
                <w:sz w:val="19"/>
                <w:szCs w:val="19"/>
                <w:color w:val="auto"/>
              </w:rPr>
            </w:pPr>
          </w:p>
        </w:tc>
        <w:tc>
          <w:tcPr>
            <w:tcW w:w="7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105</w:t>
            </w:r>
          </w:p>
        </w:tc>
        <w:tc>
          <w:tcPr>
            <w:tcW w:w="220" w:type="dxa"/>
            <w:vAlign w:val="bottom"/>
            <w:vMerge w:val="continue"/>
            <w:shd w:val="clear" w:color="auto" w:fill="CFF0FC"/>
          </w:tcPr>
          <w:p>
            <w:pPr>
              <w:spacing w:after="0"/>
              <w:rPr>
                <w:sz w:val="19"/>
                <w:szCs w:val="19"/>
                <w:color w:val="auto"/>
              </w:rPr>
            </w:pPr>
          </w:p>
        </w:tc>
        <w:tc>
          <w:tcPr>
            <w:tcW w:w="8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15.3</w:t>
            </w:r>
          </w:p>
        </w:tc>
        <w:tc>
          <w:tcPr>
            <w:tcW w:w="220" w:type="dxa"/>
            <w:vAlign w:val="bottom"/>
            <w:shd w:val="clear" w:color="auto" w:fill="CFF0FC"/>
          </w:tcPr>
          <w:p>
            <w:pPr>
              <w:spacing w:after="0"/>
              <w:rPr>
                <w:sz w:val="19"/>
                <w:szCs w:val="19"/>
                <w:color w:val="auto"/>
              </w:rPr>
            </w:pPr>
          </w:p>
        </w:tc>
        <w:tc>
          <w:tcPr>
            <w:tcW w:w="780" w:type="dxa"/>
            <w:vAlign w:val="bottom"/>
            <w:gridSpan w:val="2"/>
            <w:shd w:val="clear" w:color="auto" w:fill="CFF0FC"/>
          </w:tcPr>
          <w:p>
            <w:pPr>
              <w:jc w:val="right"/>
              <w:spacing w:after="0"/>
              <w:rPr>
                <w:sz w:val="20"/>
                <w:szCs w:val="20"/>
                <w:color w:val="auto"/>
              </w:rPr>
            </w:pPr>
            <w:r>
              <w:rPr>
                <w:rFonts w:ascii="Arial" w:cs="Arial" w:eastAsia="Arial" w:hAnsi="Arial"/>
                <w:sz w:val="18"/>
                <w:szCs w:val="18"/>
                <w:color w:val="auto"/>
              </w:rPr>
              <w:t>2.3</w:t>
            </w:r>
          </w:p>
        </w:tc>
        <w:tc>
          <w:tcPr>
            <w:tcW w:w="220" w:type="dxa"/>
            <w:vAlign w:val="bottom"/>
            <w:shd w:val="clear" w:color="auto" w:fill="CFF0FC"/>
          </w:tcPr>
          <w:p>
            <w:pPr>
              <w:spacing w:after="0"/>
              <w:rPr>
                <w:sz w:val="19"/>
                <w:szCs w:val="19"/>
                <w:color w:val="auto"/>
              </w:rPr>
            </w:pPr>
          </w:p>
        </w:tc>
        <w:tc>
          <w:tcPr>
            <w:tcW w:w="940" w:type="dxa"/>
            <w:vAlign w:val="bottom"/>
            <w:gridSpan w:val="2"/>
            <w:shd w:val="clear" w:color="auto" w:fill="CFF0FC"/>
          </w:tcPr>
          <w:p>
            <w:pPr>
              <w:jc w:val="right"/>
              <w:spacing w:after="0"/>
              <w:rPr>
                <w:sz w:val="20"/>
                <w:szCs w:val="20"/>
                <w:color w:val="auto"/>
              </w:rPr>
            </w:pPr>
            <w:r>
              <w:rPr>
                <w:rFonts w:ascii="Arial" w:cs="Arial" w:eastAsia="Arial" w:hAnsi="Arial"/>
                <w:sz w:val="18"/>
                <w:szCs w:val="18"/>
                <w:color w:val="auto"/>
              </w:rPr>
              <w:t>53%</w:t>
            </w:r>
          </w:p>
        </w:tc>
        <w:tc>
          <w:tcPr>
            <w:tcW w:w="160" w:type="dxa"/>
            <w:vAlign w:val="bottom"/>
            <w:tcBorders>
              <w:right w:val="single" w:sz="8" w:color="CFF0FC"/>
            </w:tcBorders>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280" w:type="dxa"/>
            <w:vAlign w:val="bottom"/>
            <w:shd w:val="clear" w:color="auto" w:fill="CFF0FC"/>
          </w:tcPr>
          <w:p>
            <w:pPr>
              <w:spacing w:after="0"/>
              <w:rPr>
                <w:sz w:val="19"/>
                <w:szCs w:val="19"/>
                <w:color w:val="auto"/>
              </w:rPr>
            </w:pPr>
          </w:p>
        </w:tc>
        <w:tc>
          <w:tcPr>
            <w:tcW w:w="660" w:type="dxa"/>
            <w:vAlign w:val="bottom"/>
            <w:gridSpan w:val="2"/>
            <w:shd w:val="clear" w:color="auto" w:fill="CFF0FC"/>
          </w:tcPr>
          <w:p>
            <w:pPr>
              <w:jc w:val="right"/>
              <w:ind w:right="80"/>
              <w:spacing w:after="0"/>
              <w:rPr>
                <w:sz w:val="20"/>
                <w:szCs w:val="20"/>
                <w:color w:val="auto"/>
              </w:rPr>
            </w:pPr>
            <w:r>
              <w:rPr>
                <w:rFonts w:ascii="Arial" w:cs="Arial" w:eastAsia="Arial" w:hAnsi="Arial"/>
                <w:sz w:val="18"/>
                <w:szCs w:val="18"/>
                <w:color w:val="auto"/>
              </w:rPr>
              <w:t>11%</w:t>
            </w:r>
          </w:p>
        </w:tc>
        <w:tc>
          <w:tcPr>
            <w:tcW w:w="100" w:type="dxa"/>
            <w:vAlign w:val="bottom"/>
            <w:vMerge w:val="continue"/>
            <w:shd w:val="clear" w:color="auto" w:fill="CFF0FC"/>
          </w:tcPr>
          <w:p>
            <w:pPr>
              <w:spacing w:after="0"/>
              <w:rPr>
                <w:sz w:val="19"/>
                <w:szCs w:val="19"/>
                <w:color w:val="auto"/>
              </w:rPr>
            </w:pPr>
          </w:p>
        </w:tc>
        <w:tc>
          <w:tcPr>
            <w:tcW w:w="1020" w:type="dxa"/>
            <w:vAlign w:val="bottom"/>
            <w:gridSpan w:val="4"/>
            <w:shd w:val="clear" w:color="auto" w:fill="CFF0FC"/>
          </w:tcPr>
          <w:p>
            <w:pPr>
              <w:jc w:val="right"/>
              <w:ind w:right="80"/>
              <w:spacing w:after="0"/>
              <w:rPr>
                <w:sz w:val="20"/>
                <w:szCs w:val="20"/>
                <w:color w:val="auto"/>
              </w:rPr>
            </w:pPr>
            <w:r>
              <w:rPr>
                <w:rFonts w:ascii="Arial" w:cs="Arial" w:eastAsia="Arial" w:hAnsi="Arial"/>
                <w:sz w:val="18"/>
                <w:szCs w:val="18"/>
                <w:color w:val="auto"/>
              </w:rPr>
              <w:t>38%</w:t>
            </w:r>
          </w:p>
        </w:tc>
        <w:tc>
          <w:tcPr>
            <w:tcW w:w="0" w:type="dxa"/>
            <w:vAlign w:val="bottom"/>
          </w:tcPr>
          <w:p>
            <w:pPr>
              <w:spacing w:after="0"/>
              <w:rPr>
                <w:sz w:val="1"/>
                <w:szCs w:val="1"/>
                <w:color w:val="auto"/>
              </w:rPr>
            </w:pPr>
          </w:p>
        </w:tc>
      </w:tr>
      <w:tr>
        <w:trPr>
          <w:trHeight w:val="230"/>
        </w:trPr>
        <w:tc>
          <w:tcPr>
            <w:tcW w:w="2200" w:type="dxa"/>
            <w:vAlign w:val="bottom"/>
            <w:gridSpan w:val="3"/>
          </w:tcPr>
          <w:p>
            <w:pPr>
              <w:spacing w:after="0"/>
              <w:rPr>
                <w:sz w:val="20"/>
                <w:szCs w:val="20"/>
                <w:color w:val="auto"/>
              </w:rPr>
            </w:pPr>
            <w:r>
              <w:rPr>
                <w:rFonts w:ascii="Arial" w:cs="Arial" w:eastAsia="Arial" w:hAnsi="Arial"/>
                <w:sz w:val="18"/>
                <w:szCs w:val="18"/>
                <w:color w:val="auto"/>
              </w:rPr>
              <w:t>Pardee</w:t>
            </w:r>
          </w:p>
        </w:tc>
        <w:tc>
          <w:tcPr>
            <w:tcW w:w="680" w:type="dxa"/>
            <w:vAlign w:val="bottom"/>
          </w:tcPr>
          <w:p>
            <w:pPr>
              <w:jc w:val="right"/>
              <w:spacing w:after="0"/>
              <w:rPr>
                <w:sz w:val="20"/>
                <w:szCs w:val="20"/>
                <w:color w:val="auto"/>
              </w:rPr>
            </w:pPr>
            <w:r>
              <w:rPr>
                <w:rFonts w:ascii="Arial" w:cs="Arial" w:eastAsia="Arial" w:hAnsi="Arial"/>
                <w:sz w:val="18"/>
                <w:szCs w:val="18"/>
                <w:color w:val="auto"/>
              </w:rPr>
              <w:t>308</w:t>
            </w:r>
          </w:p>
        </w:tc>
        <w:tc>
          <w:tcPr>
            <w:tcW w:w="1040" w:type="dxa"/>
            <w:vAlign w:val="bottom"/>
            <w:gridSpan w:val="2"/>
          </w:tcPr>
          <w:p>
            <w:pPr>
              <w:jc w:val="right"/>
              <w:spacing w:after="0"/>
              <w:rPr>
                <w:sz w:val="20"/>
                <w:szCs w:val="20"/>
                <w:color w:val="auto"/>
              </w:rPr>
            </w:pPr>
            <w:r>
              <w:rPr>
                <w:rFonts w:ascii="Arial" w:cs="Arial" w:eastAsia="Arial" w:hAnsi="Arial"/>
                <w:sz w:val="18"/>
                <w:szCs w:val="18"/>
                <w:color w:val="auto"/>
              </w:rPr>
              <w:t>20.3</w:t>
            </w:r>
          </w:p>
        </w:tc>
        <w:tc>
          <w:tcPr>
            <w:tcW w:w="240" w:type="dxa"/>
            <w:vAlign w:val="bottom"/>
          </w:tcPr>
          <w:p>
            <w:pPr>
              <w:spacing w:after="0"/>
              <w:rPr>
                <w:sz w:val="19"/>
                <w:szCs w:val="19"/>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5.1</w:t>
            </w:r>
          </w:p>
        </w:tc>
        <w:tc>
          <w:tcPr>
            <w:tcW w:w="200" w:type="dxa"/>
            <w:vAlign w:val="bottom"/>
          </w:tcPr>
          <w:p>
            <w:pPr>
              <w:spacing w:after="0"/>
              <w:rPr>
                <w:sz w:val="19"/>
                <w:szCs w:val="19"/>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245</w:t>
            </w:r>
          </w:p>
        </w:tc>
        <w:tc>
          <w:tcPr>
            <w:tcW w:w="1040" w:type="dxa"/>
            <w:vAlign w:val="bottom"/>
            <w:gridSpan w:val="2"/>
          </w:tcPr>
          <w:p>
            <w:pPr>
              <w:jc w:val="right"/>
              <w:spacing w:after="0"/>
              <w:rPr>
                <w:sz w:val="20"/>
                <w:szCs w:val="20"/>
                <w:color w:val="auto"/>
              </w:rPr>
            </w:pPr>
            <w:r>
              <w:rPr>
                <w:rFonts w:ascii="Arial" w:cs="Arial" w:eastAsia="Arial" w:hAnsi="Arial"/>
                <w:sz w:val="18"/>
                <w:szCs w:val="18"/>
                <w:color w:val="auto"/>
              </w:rPr>
              <w:t>19.7</w:t>
            </w:r>
          </w:p>
        </w:tc>
        <w:tc>
          <w:tcPr>
            <w:tcW w:w="220" w:type="dxa"/>
            <w:vAlign w:val="bottom"/>
          </w:tcPr>
          <w:p>
            <w:pPr>
              <w:spacing w:after="0"/>
              <w:rPr>
                <w:sz w:val="19"/>
                <w:szCs w:val="19"/>
                <w:color w:val="auto"/>
              </w:rPr>
            </w:pPr>
          </w:p>
        </w:tc>
        <w:tc>
          <w:tcPr>
            <w:tcW w:w="780" w:type="dxa"/>
            <w:vAlign w:val="bottom"/>
            <w:gridSpan w:val="2"/>
          </w:tcPr>
          <w:p>
            <w:pPr>
              <w:jc w:val="right"/>
              <w:spacing w:after="0"/>
              <w:rPr>
                <w:sz w:val="20"/>
                <w:szCs w:val="20"/>
                <w:color w:val="auto"/>
              </w:rPr>
            </w:pPr>
            <w:r>
              <w:rPr>
                <w:rFonts w:ascii="Arial" w:cs="Arial" w:eastAsia="Arial" w:hAnsi="Arial"/>
                <w:sz w:val="18"/>
                <w:szCs w:val="18"/>
                <w:color w:val="auto"/>
              </w:rPr>
              <w:t>4.1</w:t>
            </w:r>
          </w:p>
        </w:tc>
        <w:tc>
          <w:tcPr>
            <w:tcW w:w="220" w:type="dxa"/>
            <w:vAlign w:val="bottom"/>
          </w:tcPr>
          <w:p>
            <w:pPr>
              <w:spacing w:after="0"/>
              <w:rPr>
                <w:sz w:val="19"/>
                <w:szCs w:val="19"/>
                <w:color w:val="auto"/>
              </w:rPr>
            </w:pPr>
          </w:p>
        </w:tc>
        <w:tc>
          <w:tcPr>
            <w:tcW w:w="940" w:type="dxa"/>
            <w:vAlign w:val="bottom"/>
            <w:gridSpan w:val="2"/>
          </w:tcPr>
          <w:p>
            <w:pPr>
              <w:jc w:val="right"/>
              <w:spacing w:after="0"/>
              <w:rPr>
                <w:sz w:val="20"/>
                <w:szCs w:val="20"/>
                <w:color w:val="auto"/>
              </w:rPr>
            </w:pPr>
            <w:r>
              <w:rPr>
                <w:rFonts w:ascii="Arial" w:cs="Arial" w:eastAsia="Arial" w:hAnsi="Arial"/>
                <w:sz w:val="18"/>
                <w:szCs w:val="18"/>
                <w:color w:val="auto"/>
              </w:rPr>
              <w:t>26%</w:t>
            </w:r>
          </w:p>
        </w:tc>
        <w:tc>
          <w:tcPr>
            <w:tcW w:w="1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660" w:type="dxa"/>
            <w:vAlign w:val="bottom"/>
            <w:gridSpan w:val="2"/>
          </w:tcPr>
          <w:p>
            <w:pPr>
              <w:jc w:val="right"/>
              <w:ind w:right="80"/>
              <w:spacing w:after="0"/>
              <w:rPr>
                <w:sz w:val="20"/>
                <w:szCs w:val="20"/>
                <w:color w:val="auto"/>
              </w:rPr>
            </w:pPr>
            <w:r>
              <w:rPr>
                <w:rFonts w:ascii="Arial" w:cs="Arial" w:eastAsia="Arial" w:hAnsi="Arial"/>
                <w:sz w:val="18"/>
                <w:szCs w:val="18"/>
                <w:color w:val="auto"/>
              </w:rPr>
              <w:t>3%</w:t>
            </w:r>
          </w:p>
        </w:tc>
        <w:tc>
          <w:tcPr>
            <w:tcW w:w="1120" w:type="dxa"/>
            <w:vAlign w:val="bottom"/>
            <w:gridSpan w:val="5"/>
          </w:tcPr>
          <w:p>
            <w:pPr>
              <w:jc w:val="right"/>
              <w:ind w:right="80"/>
              <w:spacing w:after="0"/>
              <w:rPr>
                <w:sz w:val="20"/>
                <w:szCs w:val="20"/>
                <w:color w:val="auto"/>
              </w:rPr>
            </w:pPr>
            <w:r>
              <w:rPr>
                <w:rFonts w:ascii="Arial" w:cs="Arial" w:eastAsia="Arial" w:hAnsi="Arial"/>
                <w:sz w:val="18"/>
                <w:szCs w:val="18"/>
                <w:color w:val="auto"/>
              </w:rPr>
              <w:t>22%</w:t>
            </w:r>
          </w:p>
        </w:tc>
        <w:tc>
          <w:tcPr>
            <w:tcW w:w="0" w:type="dxa"/>
            <w:vAlign w:val="bottom"/>
          </w:tcPr>
          <w:p>
            <w:pPr>
              <w:spacing w:after="0"/>
              <w:rPr>
                <w:sz w:val="1"/>
                <w:szCs w:val="1"/>
                <w:color w:val="auto"/>
              </w:rPr>
            </w:pPr>
          </w:p>
        </w:tc>
      </w:tr>
      <w:tr>
        <w:trPr>
          <w:trHeight w:val="230"/>
        </w:trPr>
        <w:tc>
          <w:tcPr>
            <w:tcW w:w="2200" w:type="dxa"/>
            <w:vAlign w:val="bottom"/>
            <w:gridSpan w:val="3"/>
            <w:shd w:val="clear" w:color="auto" w:fill="CFF0FC"/>
          </w:tcPr>
          <w:p>
            <w:pPr>
              <w:spacing w:after="0"/>
              <w:rPr>
                <w:sz w:val="20"/>
                <w:szCs w:val="20"/>
                <w:color w:val="auto"/>
              </w:rPr>
            </w:pPr>
            <w:r>
              <w:rPr>
                <w:rFonts w:ascii="Arial" w:cs="Arial" w:eastAsia="Arial" w:hAnsi="Arial"/>
                <w:sz w:val="18"/>
                <w:szCs w:val="18"/>
                <w:color w:val="auto"/>
              </w:rPr>
              <w:t>Quadrant</w:t>
            </w:r>
          </w:p>
        </w:tc>
        <w:tc>
          <w:tcPr>
            <w:tcW w:w="6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150</w:t>
            </w:r>
          </w:p>
        </w:tc>
        <w:tc>
          <w:tcPr>
            <w:tcW w:w="1040" w:type="dxa"/>
            <w:vAlign w:val="bottom"/>
            <w:gridSpan w:val="2"/>
            <w:shd w:val="clear" w:color="auto" w:fill="CFF0FC"/>
          </w:tcPr>
          <w:p>
            <w:pPr>
              <w:jc w:val="right"/>
              <w:spacing w:after="0"/>
              <w:rPr>
                <w:sz w:val="20"/>
                <w:szCs w:val="20"/>
                <w:color w:val="auto"/>
              </w:rPr>
            </w:pPr>
            <w:r>
              <w:rPr>
                <w:rFonts w:ascii="Arial" w:cs="Arial" w:eastAsia="Arial" w:hAnsi="Arial"/>
                <w:sz w:val="18"/>
                <w:szCs w:val="18"/>
                <w:color w:val="auto"/>
              </w:rPr>
              <w:t>10.2</w:t>
            </w:r>
          </w:p>
        </w:tc>
        <w:tc>
          <w:tcPr>
            <w:tcW w:w="240" w:type="dxa"/>
            <w:vAlign w:val="bottom"/>
            <w:tcBorders>
              <w:right w:val="single" w:sz="8" w:color="CFF0FC"/>
            </w:tcBorders>
            <w:shd w:val="clear" w:color="auto" w:fill="CFF0FC"/>
          </w:tcPr>
          <w:p>
            <w:pPr>
              <w:spacing w:after="0"/>
              <w:rPr>
                <w:sz w:val="19"/>
                <w:szCs w:val="19"/>
                <w:color w:val="auto"/>
              </w:rPr>
            </w:pPr>
          </w:p>
        </w:tc>
        <w:tc>
          <w:tcPr>
            <w:tcW w:w="7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4.9</w:t>
            </w:r>
          </w:p>
        </w:tc>
        <w:tc>
          <w:tcPr>
            <w:tcW w:w="200" w:type="dxa"/>
            <w:vAlign w:val="bottom"/>
            <w:shd w:val="clear" w:color="auto" w:fill="CFF0FC"/>
          </w:tcPr>
          <w:p>
            <w:pPr>
              <w:spacing w:after="0"/>
              <w:rPr>
                <w:sz w:val="19"/>
                <w:szCs w:val="19"/>
                <w:color w:val="auto"/>
              </w:rPr>
            </w:pPr>
          </w:p>
        </w:tc>
        <w:tc>
          <w:tcPr>
            <w:tcW w:w="7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98</w:t>
            </w:r>
          </w:p>
        </w:tc>
        <w:tc>
          <w:tcPr>
            <w:tcW w:w="1040" w:type="dxa"/>
            <w:vAlign w:val="bottom"/>
            <w:gridSpan w:val="2"/>
            <w:shd w:val="clear" w:color="auto" w:fill="CFF0FC"/>
          </w:tcPr>
          <w:p>
            <w:pPr>
              <w:jc w:val="right"/>
              <w:spacing w:after="0"/>
              <w:rPr>
                <w:sz w:val="20"/>
                <w:szCs w:val="20"/>
                <w:color w:val="auto"/>
              </w:rPr>
            </w:pPr>
            <w:r>
              <w:rPr>
                <w:rFonts w:ascii="Arial" w:cs="Arial" w:eastAsia="Arial" w:hAnsi="Arial"/>
                <w:sz w:val="18"/>
                <w:szCs w:val="18"/>
                <w:color w:val="auto"/>
              </w:rPr>
              <w:t>12.7</w:t>
            </w:r>
          </w:p>
        </w:tc>
        <w:tc>
          <w:tcPr>
            <w:tcW w:w="220" w:type="dxa"/>
            <w:vAlign w:val="bottom"/>
            <w:shd w:val="clear" w:color="auto" w:fill="CFF0FC"/>
          </w:tcPr>
          <w:p>
            <w:pPr>
              <w:spacing w:after="0"/>
              <w:rPr>
                <w:sz w:val="19"/>
                <w:szCs w:val="19"/>
                <w:color w:val="auto"/>
              </w:rPr>
            </w:pPr>
          </w:p>
        </w:tc>
        <w:tc>
          <w:tcPr>
            <w:tcW w:w="780" w:type="dxa"/>
            <w:vAlign w:val="bottom"/>
            <w:gridSpan w:val="2"/>
            <w:shd w:val="clear" w:color="auto" w:fill="CFF0FC"/>
          </w:tcPr>
          <w:p>
            <w:pPr>
              <w:jc w:val="right"/>
              <w:spacing w:after="0"/>
              <w:rPr>
                <w:sz w:val="20"/>
                <w:szCs w:val="20"/>
                <w:color w:val="auto"/>
              </w:rPr>
            </w:pPr>
            <w:r>
              <w:rPr>
                <w:rFonts w:ascii="Arial" w:cs="Arial" w:eastAsia="Arial" w:hAnsi="Arial"/>
                <w:sz w:val="18"/>
                <w:szCs w:val="18"/>
                <w:color w:val="auto"/>
              </w:rPr>
              <w:t>2.6</w:t>
            </w:r>
          </w:p>
        </w:tc>
        <w:tc>
          <w:tcPr>
            <w:tcW w:w="220" w:type="dxa"/>
            <w:vAlign w:val="bottom"/>
            <w:shd w:val="clear" w:color="auto" w:fill="CFF0FC"/>
          </w:tcPr>
          <w:p>
            <w:pPr>
              <w:spacing w:after="0"/>
              <w:rPr>
                <w:sz w:val="19"/>
                <w:szCs w:val="19"/>
                <w:color w:val="auto"/>
              </w:rPr>
            </w:pPr>
          </w:p>
        </w:tc>
        <w:tc>
          <w:tcPr>
            <w:tcW w:w="940" w:type="dxa"/>
            <w:vAlign w:val="bottom"/>
            <w:gridSpan w:val="2"/>
            <w:shd w:val="clear" w:color="auto" w:fill="CFF0FC"/>
          </w:tcPr>
          <w:p>
            <w:pPr>
              <w:jc w:val="right"/>
              <w:spacing w:after="0"/>
              <w:rPr>
                <w:sz w:val="20"/>
                <w:szCs w:val="20"/>
                <w:color w:val="auto"/>
              </w:rPr>
            </w:pPr>
            <w:r>
              <w:rPr>
                <w:rFonts w:ascii="Arial" w:cs="Arial" w:eastAsia="Arial" w:hAnsi="Arial"/>
                <w:sz w:val="18"/>
                <w:szCs w:val="18"/>
                <w:color w:val="auto"/>
              </w:rPr>
              <w:t>53%</w:t>
            </w:r>
          </w:p>
        </w:tc>
        <w:tc>
          <w:tcPr>
            <w:tcW w:w="160" w:type="dxa"/>
            <w:vAlign w:val="bottom"/>
            <w:tcBorders>
              <w:right w:val="single" w:sz="8" w:color="CFF0FC"/>
            </w:tcBorders>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280" w:type="dxa"/>
            <w:vAlign w:val="bottom"/>
            <w:shd w:val="clear" w:color="auto" w:fill="CFF0FC"/>
          </w:tcPr>
          <w:p>
            <w:pPr>
              <w:spacing w:after="0"/>
              <w:rPr>
                <w:sz w:val="19"/>
                <w:szCs w:val="19"/>
                <w:color w:val="auto"/>
              </w:rPr>
            </w:pPr>
          </w:p>
        </w:tc>
        <w:tc>
          <w:tcPr>
            <w:tcW w:w="660" w:type="dxa"/>
            <w:vAlign w:val="bottom"/>
            <w:gridSpan w:val="2"/>
            <w:shd w:val="clear" w:color="auto" w:fill="CFF0FC"/>
          </w:tcPr>
          <w:p>
            <w:pPr>
              <w:jc w:val="right"/>
              <w:ind w:right="20"/>
              <w:spacing w:after="0"/>
              <w:rPr>
                <w:sz w:val="20"/>
                <w:szCs w:val="20"/>
                <w:color w:val="auto"/>
              </w:rPr>
            </w:pPr>
            <w:r>
              <w:rPr>
                <w:rFonts w:ascii="Arial" w:cs="Arial" w:eastAsia="Arial" w:hAnsi="Arial"/>
                <w:sz w:val="18"/>
                <w:szCs w:val="18"/>
                <w:color w:val="auto"/>
              </w:rPr>
              <w:t>(20)%</w:t>
            </w:r>
          </w:p>
        </w:tc>
        <w:tc>
          <w:tcPr>
            <w:tcW w:w="1120" w:type="dxa"/>
            <w:vAlign w:val="bottom"/>
            <w:gridSpan w:val="5"/>
            <w:shd w:val="clear" w:color="auto" w:fill="CFF0FC"/>
          </w:tcPr>
          <w:p>
            <w:pPr>
              <w:jc w:val="right"/>
              <w:ind w:right="80"/>
              <w:spacing w:after="0"/>
              <w:rPr>
                <w:sz w:val="20"/>
                <w:szCs w:val="20"/>
                <w:color w:val="auto"/>
              </w:rPr>
            </w:pPr>
            <w:r>
              <w:rPr>
                <w:rFonts w:ascii="Arial" w:cs="Arial" w:eastAsia="Arial" w:hAnsi="Arial"/>
                <w:sz w:val="18"/>
                <w:szCs w:val="18"/>
                <w:color w:val="auto"/>
              </w:rPr>
              <w:t>91%</w:t>
            </w:r>
          </w:p>
        </w:tc>
        <w:tc>
          <w:tcPr>
            <w:tcW w:w="0" w:type="dxa"/>
            <w:vAlign w:val="bottom"/>
          </w:tcPr>
          <w:p>
            <w:pPr>
              <w:spacing w:after="0"/>
              <w:rPr>
                <w:sz w:val="1"/>
                <w:szCs w:val="1"/>
                <w:color w:val="auto"/>
              </w:rPr>
            </w:pPr>
          </w:p>
        </w:tc>
      </w:tr>
      <w:tr>
        <w:trPr>
          <w:trHeight w:val="230"/>
        </w:trPr>
        <w:tc>
          <w:tcPr>
            <w:tcW w:w="2200" w:type="dxa"/>
            <w:vAlign w:val="bottom"/>
            <w:gridSpan w:val="3"/>
          </w:tcPr>
          <w:p>
            <w:pPr>
              <w:spacing w:after="0"/>
              <w:rPr>
                <w:sz w:val="20"/>
                <w:szCs w:val="20"/>
                <w:color w:val="auto"/>
              </w:rPr>
            </w:pPr>
            <w:r>
              <w:rPr>
                <w:rFonts w:ascii="Arial" w:cs="Arial" w:eastAsia="Arial" w:hAnsi="Arial"/>
                <w:sz w:val="18"/>
                <w:szCs w:val="18"/>
                <w:color w:val="auto"/>
              </w:rPr>
              <w:t>Trendmaker</w:t>
            </w:r>
          </w:p>
        </w:tc>
        <w:tc>
          <w:tcPr>
            <w:tcW w:w="680" w:type="dxa"/>
            <w:vAlign w:val="bottom"/>
          </w:tcPr>
          <w:p>
            <w:pPr>
              <w:jc w:val="right"/>
              <w:spacing w:after="0"/>
              <w:rPr>
                <w:sz w:val="20"/>
                <w:szCs w:val="20"/>
                <w:color w:val="auto"/>
              </w:rPr>
            </w:pPr>
            <w:r>
              <w:rPr>
                <w:rFonts w:ascii="Arial" w:cs="Arial" w:eastAsia="Arial" w:hAnsi="Arial"/>
                <w:sz w:val="18"/>
                <w:szCs w:val="18"/>
                <w:color w:val="auto"/>
              </w:rPr>
              <w:t>132</w:t>
            </w:r>
          </w:p>
        </w:tc>
        <w:tc>
          <w:tcPr>
            <w:tcW w:w="1040" w:type="dxa"/>
            <w:vAlign w:val="bottom"/>
            <w:gridSpan w:val="2"/>
          </w:tcPr>
          <w:p>
            <w:pPr>
              <w:jc w:val="right"/>
              <w:spacing w:after="0"/>
              <w:rPr>
                <w:sz w:val="20"/>
                <w:szCs w:val="20"/>
                <w:color w:val="auto"/>
              </w:rPr>
            </w:pPr>
            <w:r>
              <w:rPr>
                <w:rFonts w:ascii="Arial" w:cs="Arial" w:eastAsia="Arial" w:hAnsi="Arial"/>
                <w:sz w:val="18"/>
                <w:szCs w:val="18"/>
                <w:color w:val="auto"/>
              </w:rPr>
              <w:t>26.5</w:t>
            </w:r>
          </w:p>
        </w:tc>
        <w:tc>
          <w:tcPr>
            <w:tcW w:w="240" w:type="dxa"/>
            <w:vAlign w:val="bottom"/>
          </w:tcPr>
          <w:p>
            <w:pPr>
              <w:spacing w:after="0"/>
              <w:rPr>
                <w:sz w:val="19"/>
                <w:szCs w:val="19"/>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1.7</w:t>
            </w:r>
          </w:p>
        </w:tc>
        <w:tc>
          <w:tcPr>
            <w:tcW w:w="200" w:type="dxa"/>
            <w:vAlign w:val="bottom"/>
          </w:tcPr>
          <w:p>
            <w:pPr>
              <w:spacing w:after="0"/>
              <w:rPr>
                <w:sz w:val="19"/>
                <w:szCs w:val="19"/>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143</w:t>
            </w:r>
          </w:p>
        </w:tc>
        <w:tc>
          <w:tcPr>
            <w:tcW w:w="1040" w:type="dxa"/>
            <w:vAlign w:val="bottom"/>
            <w:gridSpan w:val="2"/>
          </w:tcPr>
          <w:p>
            <w:pPr>
              <w:jc w:val="right"/>
              <w:spacing w:after="0"/>
              <w:rPr>
                <w:sz w:val="20"/>
                <w:szCs w:val="20"/>
                <w:color w:val="auto"/>
              </w:rPr>
            </w:pPr>
            <w:r>
              <w:rPr>
                <w:rFonts w:ascii="Arial" w:cs="Arial" w:eastAsia="Arial" w:hAnsi="Arial"/>
                <w:sz w:val="18"/>
                <w:szCs w:val="18"/>
                <w:color w:val="auto"/>
              </w:rPr>
              <w:t>21.7</w:t>
            </w:r>
          </w:p>
        </w:tc>
        <w:tc>
          <w:tcPr>
            <w:tcW w:w="220" w:type="dxa"/>
            <w:vAlign w:val="bottom"/>
          </w:tcPr>
          <w:p>
            <w:pPr>
              <w:spacing w:after="0"/>
              <w:rPr>
                <w:sz w:val="19"/>
                <w:szCs w:val="19"/>
                <w:color w:val="auto"/>
              </w:rPr>
            </w:pPr>
          </w:p>
        </w:tc>
        <w:tc>
          <w:tcPr>
            <w:tcW w:w="780" w:type="dxa"/>
            <w:vAlign w:val="bottom"/>
            <w:gridSpan w:val="2"/>
          </w:tcPr>
          <w:p>
            <w:pPr>
              <w:jc w:val="right"/>
              <w:spacing w:after="0"/>
              <w:rPr>
                <w:sz w:val="20"/>
                <w:szCs w:val="20"/>
                <w:color w:val="auto"/>
              </w:rPr>
            </w:pPr>
            <w:r>
              <w:rPr>
                <w:rFonts w:ascii="Arial" w:cs="Arial" w:eastAsia="Arial" w:hAnsi="Arial"/>
                <w:sz w:val="18"/>
                <w:szCs w:val="18"/>
                <w:color w:val="auto"/>
              </w:rPr>
              <w:t>2.2</w:t>
            </w:r>
          </w:p>
        </w:tc>
        <w:tc>
          <w:tcPr>
            <w:tcW w:w="220" w:type="dxa"/>
            <w:vAlign w:val="bottom"/>
          </w:tcPr>
          <w:p>
            <w:pPr>
              <w:spacing w:after="0"/>
              <w:rPr>
                <w:sz w:val="19"/>
                <w:szCs w:val="19"/>
                <w:color w:val="auto"/>
              </w:rPr>
            </w:pPr>
          </w:p>
        </w:tc>
        <w:tc>
          <w:tcPr>
            <w:tcW w:w="1100" w:type="dxa"/>
            <w:vAlign w:val="bottom"/>
            <w:gridSpan w:val="3"/>
          </w:tcPr>
          <w:p>
            <w:pPr>
              <w:jc w:val="right"/>
              <w:ind w:right="120"/>
              <w:spacing w:after="0"/>
              <w:rPr>
                <w:sz w:val="20"/>
                <w:szCs w:val="20"/>
                <w:color w:val="auto"/>
              </w:rPr>
            </w:pPr>
            <w:r>
              <w:rPr>
                <w:rFonts w:ascii="Arial" w:cs="Arial" w:eastAsia="Arial" w:hAnsi="Arial"/>
                <w:sz w:val="18"/>
                <w:szCs w:val="18"/>
                <w:color w:val="auto"/>
              </w:rPr>
              <w:t>(8)%</w:t>
            </w:r>
          </w:p>
        </w:tc>
        <w:tc>
          <w:tcPr>
            <w:tcW w:w="12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660" w:type="dxa"/>
            <w:vAlign w:val="bottom"/>
            <w:gridSpan w:val="2"/>
          </w:tcPr>
          <w:p>
            <w:pPr>
              <w:jc w:val="right"/>
              <w:ind w:right="80"/>
              <w:spacing w:after="0"/>
              <w:rPr>
                <w:sz w:val="20"/>
                <w:szCs w:val="20"/>
                <w:color w:val="auto"/>
              </w:rPr>
            </w:pPr>
            <w:r>
              <w:rPr>
                <w:rFonts w:ascii="Arial" w:cs="Arial" w:eastAsia="Arial" w:hAnsi="Arial"/>
                <w:sz w:val="18"/>
                <w:szCs w:val="18"/>
                <w:color w:val="auto"/>
              </w:rPr>
              <w:t>22%</w:t>
            </w:r>
          </w:p>
        </w:tc>
        <w:tc>
          <w:tcPr>
            <w:tcW w:w="1120" w:type="dxa"/>
            <w:vAlign w:val="bottom"/>
            <w:gridSpan w:val="5"/>
          </w:tcPr>
          <w:p>
            <w:pPr>
              <w:jc w:val="right"/>
              <w:ind w:right="20"/>
              <w:spacing w:after="0"/>
              <w:rPr>
                <w:sz w:val="20"/>
                <w:szCs w:val="20"/>
                <w:color w:val="auto"/>
              </w:rPr>
            </w:pPr>
            <w:r>
              <w:rPr>
                <w:rFonts w:ascii="Arial" w:cs="Arial" w:eastAsia="Arial" w:hAnsi="Arial"/>
                <w:sz w:val="18"/>
                <w:szCs w:val="18"/>
                <w:color w:val="auto"/>
              </w:rPr>
              <w:t>(24)%</w:t>
            </w:r>
          </w:p>
        </w:tc>
        <w:tc>
          <w:tcPr>
            <w:tcW w:w="0" w:type="dxa"/>
            <w:vAlign w:val="bottom"/>
          </w:tcPr>
          <w:p>
            <w:pPr>
              <w:spacing w:after="0"/>
              <w:rPr>
                <w:sz w:val="1"/>
                <w:szCs w:val="1"/>
                <w:color w:val="auto"/>
              </w:rPr>
            </w:pPr>
          </w:p>
        </w:tc>
      </w:tr>
      <w:tr>
        <w:trPr>
          <w:trHeight w:val="230"/>
        </w:trPr>
        <w:tc>
          <w:tcPr>
            <w:tcW w:w="2200" w:type="dxa"/>
            <w:vAlign w:val="bottom"/>
            <w:gridSpan w:val="3"/>
            <w:shd w:val="clear" w:color="auto" w:fill="CFF0FC"/>
          </w:tcPr>
          <w:p>
            <w:pPr>
              <w:spacing w:after="0"/>
              <w:rPr>
                <w:sz w:val="20"/>
                <w:szCs w:val="20"/>
                <w:color w:val="auto"/>
              </w:rPr>
            </w:pPr>
            <w:r>
              <w:rPr>
                <w:rFonts w:ascii="Arial" w:cs="Arial" w:eastAsia="Arial" w:hAnsi="Arial"/>
                <w:sz w:val="18"/>
                <w:szCs w:val="18"/>
                <w:color w:val="auto"/>
              </w:rPr>
              <w:t>TRI Pointe</w:t>
            </w:r>
          </w:p>
        </w:tc>
        <w:tc>
          <w:tcPr>
            <w:tcW w:w="6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336</w:t>
            </w:r>
          </w:p>
        </w:tc>
        <w:tc>
          <w:tcPr>
            <w:tcW w:w="1040" w:type="dxa"/>
            <w:vAlign w:val="bottom"/>
            <w:gridSpan w:val="2"/>
            <w:shd w:val="clear" w:color="auto" w:fill="CFF0FC"/>
          </w:tcPr>
          <w:p>
            <w:pPr>
              <w:jc w:val="right"/>
              <w:spacing w:after="0"/>
              <w:rPr>
                <w:sz w:val="20"/>
                <w:szCs w:val="20"/>
                <w:color w:val="auto"/>
              </w:rPr>
            </w:pPr>
            <w:r>
              <w:rPr>
                <w:rFonts w:ascii="Arial" w:cs="Arial" w:eastAsia="Arial" w:hAnsi="Arial"/>
                <w:sz w:val="18"/>
                <w:szCs w:val="18"/>
                <w:color w:val="auto"/>
              </w:rPr>
              <w:t>26.3</w:t>
            </w:r>
          </w:p>
        </w:tc>
        <w:tc>
          <w:tcPr>
            <w:tcW w:w="240" w:type="dxa"/>
            <w:vAlign w:val="bottom"/>
            <w:tcBorders>
              <w:right w:val="single" w:sz="8" w:color="CFF0FC"/>
            </w:tcBorders>
            <w:shd w:val="clear" w:color="auto" w:fill="CFF0FC"/>
          </w:tcPr>
          <w:p>
            <w:pPr>
              <w:spacing w:after="0"/>
              <w:rPr>
                <w:sz w:val="19"/>
                <w:szCs w:val="19"/>
                <w:color w:val="auto"/>
              </w:rPr>
            </w:pPr>
          </w:p>
        </w:tc>
        <w:tc>
          <w:tcPr>
            <w:tcW w:w="7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4.3</w:t>
            </w:r>
          </w:p>
        </w:tc>
        <w:tc>
          <w:tcPr>
            <w:tcW w:w="200" w:type="dxa"/>
            <w:vAlign w:val="bottom"/>
            <w:shd w:val="clear" w:color="auto" w:fill="CFF0FC"/>
          </w:tcPr>
          <w:p>
            <w:pPr>
              <w:spacing w:after="0"/>
              <w:rPr>
                <w:sz w:val="19"/>
                <w:szCs w:val="19"/>
                <w:color w:val="auto"/>
              </w:rPr>
            </w:pPr>
          </w:p>
        </w:tc>
        <w:tc>
          <w:tcPr>
            <w:tcW w:w="7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220" w:type="dxa"/>
            <w:vAlign w:val="bottom"/>
            <w:shd w:val="clear" w:color="auto" w:fill="CFF0FC"/>
          </w:tcPr>
          <w:p>
            <w:pPr>
              <w:spacing w:after="0"/>
              <w:rPr>
                <w:sz w:val="19"/>
                <w:szCs w:val="19"/>
                <w:color w:val="auto"/>
              </w:rPr>
            </w:pPr>
          </w:p>
        </w:tc>
        <w:tc>
          <w:tcPr>
            <w:tcW w:w="1040" w:type="dxa"/>
            <w:vAlign w:val="bottom"/>
            <w:gridSpan w:val="2"/>
            <w:shd w:val="clear" w:color="auto" w:fill="CFF0FC"/>
          </w:tcPr>
          <w:p>
            <w:pPr>
              <w:jc w:val="right"/>
              <w:ind w:right="240"/>
              <w:spacing w:after="0"/>
              <w:rPr>
                <w:sz w:val="20"/>
                <w:szCs w:val="20"/>
                <w:color w:val="auto"/>
              </w:rPr>
            </w:pPr>
            <w:r>
              <w:rPr>
                <w:rFonts w:ascii="Arial" w:cs="Arial" w:eastAsia="Arial" w:hAnsi="Arial"/>
                <w:sz w:val="18"/>
                <w:szCs w:val="18"/>
                <w:color w:val="auto"/>
              </w:rPr>
              <w:t>—</w:t>
            </w:r>
          </w:p>
        </w:tc>
        <w:tc>
          <w:tcPr>
            <w:tcW w:w="560" w:type="dxa"/>
            <w:vAlign w:val="bottom"/>
            <w:shd w:val="clear" w:color="auto" w:fill="CFF0FC"/>
          </w:tcPr>
          <w:p>
            <w:pPr>
              <w:spacing w:after="0"/>
              <w:rPr>
                <w:sz w:val="19"/>
                <w:szCs w:val="19"/>
                <w:color w:val="auto"/>
              </w:rPr>
            </w:pPr>
          </w:p>
        </w:tc>
        <w:tc>
          <w:tcPr>
            <w:tcW w:w="440" w:type="dxa"/>
            <w:vAlign w:val="bottom"/>
            <w:gridSpan w:val="2"/>
            <w:shd w:val="clear" w:color="auto" w:fill="CFF0FC"/>
          </w:tcPr>
          <w:p>
            <w:pPr>
              <w:jc w:val="right"/>
              <w:ind w:right="240"/>
              <w:spacing w:after="0"/>
              <w:rPr>
                <w:sz w:val="20"/>
                <w:szCs w:val="20"/>
                <w:color w:val="auto"/>
              </w:rPr>
            </w:pPr>
            <w:r>
              <w:rPr>
                <w:rFonts w:ascii="Arial" w:cs="Arial" w:eastAsia="Arial" w:hAnsi="Arial"/>
                <w:sz w:val="18"/>
                <w:szCs w:val="18"/>
                <w:color w:val="auto"/>
                <w:w w:val="99"/>
              </w:rPr>
              <w:t>—</w:t>
            </w:r>
          </w:p>
        </w:tc>
        <w:tc>
          <w:tcPr>
            <w:tcW w:w="1100" w:type="dxa"/>
            <w:vAlign w:val="bottom"/>
            <w:tcBorders>
              <w:right w:val="single" w:sz="8" w:color="CFF0FC"/>
            </w:tcBorders>
            <w:gridSpan w:val="3"/>
            <w:shd w:val="clear" w:color="auto" w:fill="CFF0FC"/>
          </w:tcPr>
          <w:p>
            <w:pPr>
              <w:jc w:val="right"/>
              <w:ind w:right="340"/>
              <w:spacing w:after="0"/>
              <w:rPr>
                <w:sz w:val="20"/>
                <w:szCs w:val="20"/>
                <w:color w:val="auto"/>
              </w:rPr>
            </w:pPr>
            <w:r>
              <w:rPr>
                <w:rFonts w:ascii="Arial" w:cs="Arial" w:eastAsia="Arial" w:hAnsi="Arial"/>
                <w:sz w:val="18"/>
                <w:szCs w:val="18"/>
                <w:color w:val="auto"/>
              </w:rPr>
              <w:t>N/A</w:t>
            </w:r>
          </w:p>
        </w:tc>
        <w:tc>
          <w:tcPr>
            <w:tcW w:w="120" w:type="dxa"/>
            <w:vAlign w:val="bottom"/>
            <w:shd w:val="clear" w:color="auto" w:fill="CFF0FC"/>
          </w:tcPr>
          <w:p>
            <w:pPr>
              <w:spacing w:after="0"/>
              <w:rPr>
                <w:sz w:val="19"/>
                <w:szCs w:val="19"/>
                <w:color w:val="auto"/>
              </w:rPr>
            </w:pPr>
          </w:p>
        </w:tc>
        <w:tc>
          <w:tcPr>
            <w:tcW w:w="280" w:type="dxa"/>
            <w:vAlign w:val="bottom"/>
            <w:shd w:val="clear" w:color="auto" w:fill="CFF0FC"/>
          </w:tcPr>
          <w:p>
            <w:pPr>
              <w:spacing w:after="0"/>
              <w:rPr>
                <w:sz w:val="19"/>
                <w:szCs w:val="19"/>
                <w:color w:val="auto"/>
              </w:rPr>
            </w:pPr>
          </w:p>
        </w:tc>
        <w:tc>
          <w:tcPr>
            <w:tcW w:w="660" w:type="dxa"/>
            <w:vAlign w:val="bottom"/>
            <w:gridSpan w:val="2"/>
            <w:shd w:val="clear" w:color="auto" w:fill="CFF0FC"/>
          </w:tcPr>
          <w:p>
            <w:pPr>
              <w:jc w:val="right"/>
              <w:ind w:right="240"/>
              <w:spacing w:after="0"/>
              <w:rPr>
                <w:sz w:val="20"/>
                <w:szCs w:val="20"/>
                <w:color w:val="auto"/>
              </w:rPr>
            </w:pPr>
            <w:r>
              <w:rPr>
                <w:rFonts w:ascii="Arial" w:cs="Arial" w:eastAsia="Arial" w:hAnsi="Arial"/>
                <w:sz w:val="18"/>
                <w:szCs w:val="18"/>
                <w:color w:val="auto"/>
              </w:rPr>
              <w:t>N/A</w:t>
            </w:r>
          </w:p>
        </w:tc>
        <w:tc>
          <w:tcPr>
            <w:tcW w:w="100" w:type="dxa"/>
            <w:vAlign w:val="bottom"/>
            <w:shd w:val="clear" w:color="auto" w:fill="CFF0FC"/>
          </w:tcPr>
          <w:p>
            <w:pPr>
              <w:spacing w:after="0"/>
              <w:rPr>
                <w:sz w:val="19"/>
                <w:szCs w:val="19"/>
                <w:color w:val="auto"/>
              </w:rPr>
            </w:pPr>
          </w:p>
        </w:tc>
        <w:tc>
          <w:tcPr>
            <w:tcW w:w="34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560" w:type="dxa"/>
            <w:vAlign w:val="bottom"/>
            <w:gridSpan w:val="2"/>
            <w:shd w:val="clear" w:color="auto" w:fill="CFF0FC"/>
          </w:tcPr>
          <w:p>
            <w:pPr>
              <w:jc w:val="right"/>
              <w:ind w:right="240"/>
              <w:spacing w:after="0"/>
              <w:rPr>
                <w:sz w:val="20"/>
                <w:szCs w:val="20"/>
                <w:color w:val="auto"/>
              </w:rPr>
            </w:pPr>
            <w:r>
              <w:rPr>
                <w:rFonts w:ascii="Arial" w:cs="Arial" w:eastAsia="Arial" w:hAnsi="Arial"/>
                <w:sz w:val="18"/>
                <w:szCs w:val="18"/>
                <w:color w:val="auto"/>
                <w:w w:val="99"/>
              </w:rPr>
              <w:t>N/A</w:t>
            </w:r>
          </w:p>
        </w:tc>
        <w:tc>
          <w:tcPr>
            <w:tcW w:w="0" w:type="dxa"/>
            <w:vAlign w:val="bottom"/>
          </w:tcPr>
          <w:p>
            <w:pPr>
              <w:spacing w:after="0"/>
              <w:rPr>
                <w:sz w:val="1"/>
                <w:szCs w:val="1"/>
                <w:color w:val="auto"/>
              </w:rPr>
            </w:pPr>
          </w:p>
        </w:tc>
      </w:tr>
      <w:tr>
        <w:trPr>
          <w:trHeight w:val="230"/>
        </w:trPr>
        <w:tc>
          <w:tcPr>
            <w:tcW w:w="2120" w:type="dxa"/>
            <w:vAlign w:val="bottom"/>
            <w:gridSpan w:val="2"/>
          </w:tcPr>
          <w:p>
            <w:pPr>
              <w:spacing w:after="0"/>
              <w:rPr>
                <w:sz w:val="20"/>
                <w:szCs w:val="20"/>
                <w:color w:val="auto"/>
              </w:rPr>
            </w:pPr>
            <w:r>
              <w:rPr>
                <w:rFonts w:ascii="Arial" w:cs="Arial" w:eastAsia="Arial" w:hAnsi="Arial"/>
                <w:sz w:val="18"/>
                <w:szCs w:val="18"/>
                <w:color w:val="auto"/>
              </w:rPr>
              <w:t>Winchester</w:t>
            </w:r>
          </w:p>
        </w:tc>
        <w:tc>
          <w:tcPr>
            <w:tcW w:w="80" w:type="dxa"/>
            <w:vAlign w:val="bottom"/>
          </w:tcPr>
          <w:p>
            <w:pPr>
              <w:spacing w:after="0"/>
              <w:rPr>
                <w:sz w:val="19"/>
                <w:szCs w:val="19"/>
                <w:color w:val="auto"/>
              </w:rPr>
            </w:pPr>
          </w:p>
        </w:tc>
        <w:tc>
          <w:tcPr>
            <w:tcW w:w="680" w:type="dxa"/>
            <w:vAlign w:val="bottom"/>
          </w:tcPr>
          <w:p>
            <w:pPr>
              <w:jc w:val="right"/>
              <w:spacing w:after="0"/>
              <w:rPr>
                <w:sz w:val="20"/>
                <w:szCs w:val="20"/>
                <w:color w:val="auto"/>
              </w:rPr>
            </w:pPr>
            <w:r>
              <w:rPr>
                <w:rFonts w:ascii="Arial" w:cs="Arial" w:eastAsia="Arial" w:hAnsi="Arial"/>
                <w:sz w:val="18"/>
                <w:szCs w:val="18"/>
                <w:color w:val="auto"/>
              </w:rPr>
              <w:t>107</w:t>
            </w:r>
          </w:p>
        </w:tc>
        <w:tc>
          <w:tcPr>
            <w:tcW w:w="200" w:type="dxa"/>
            <w:vAlign w:val="bottom"/>
          </w:tcPr>
          <w:p>
            <w:pPr>
              <w:spacing w:after="0"/>
              <w:rPr>
                <w:sz w:val="19"/>
                <w:szCs w:val="19"/>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rPr>
              <w:t>12.7</w:t>
            </w:r>
          </w:p>
        </w:tc>
        <w:tc>
          <w:tcPr>
            <w:tcW w:w="240" w:type="dxa"/>
            <w:vAlign w:val="bottom"/>
          </w:tcPr>
          <w:p>
            <w:pPr>
              <w:spacing w:after="0"/>
              <w:rPr>
                <w:sz w:val="19"/>
                <w:szCs w:val="19"/>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2.8</w:t>
            </w:r>
          </w:p>
        </w:tc>
        <w:tc>
          <w:tcPr>
            <w:tcW w:w="200" w:type="dxa"/>
            <w:vAlign w:val="bottom"/>
          </w:tcPr>
          <w:p>
            <w:pPr>
              <w:spacing w:after="0"/>
              <w:rPr>
                <w:sz w:val="19"/>
                <w:szCs w:val="19"/>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76</w:t>
            </w:r>
          </w:p>
        </w:tc>
        <w:tc>
          <w:tcPr>
            <w:tcW w:w="220" w:type="dxa"/>
            <w:vAlign w:val="bottom"/>
          </w:tcPr>
          <w:p>
            <w:pPr>
              <w:spacing w:after="0"/>
              <w:rPr>
                <w:sz w:val="19"/>
                <w:szCs w:val="19"/>
                <w:color w:val="auto"/>
              </w:rPr>
            </w:pPr>
          </w:p>
        </w:tc>
        <w:tc>
          <w:tcPr>
            <w:tcW w:w="820" w:type="dxa"/>
            <w:vAlign w:val="bottom"/>
          </w:tcPr>
          <w:p>
            <w:pPr>
              <w:jc w:val="right"/>
              <w:spacing w:after="0"/>
              <w:rPr>
                <w:sz w:val="20"/>
                <w:szCs w:val="20"/>
                <w:color w:val="auto"/>
              </w:rPr>
            </w:pPr>
            <w:r>
              <w:rPr>
                <w:rFonts w:ascii="Arial" w:cs="Arial" w:eastAsia="Arial" w:hAnsi="Arial"/>
                <w:sz w:val="18"/>
                <w:szCs w:val="18"/>
                <w:color w:val="auto"/>
              </w:rPr>
              <w:t>21.3</w:t>
            </w:r>
          </w:p>
        </w:tc>
        <w:tc>
          <w:tcPr>
            <w:tcW w:w="220" w:type="dxa"/>
            <w:vAlign w:val="bottom"/>
          </w:tcPr>
          <w:p>
            <w:pPr>
              <w:spacing w:after="0"/>
              <w:rPr>
                <w:sz w:val="19"/>
                <w:szCs w:val="19"/>
                <w:color w:val="auto"/>
              </w:rPr>
            </w:pPr>
          </w:p>
        </w:tc>
        <w:tc>
          <w:tcPr>
            <w:tcW w:w="780" w:type="dxa"/>
            <w:vAlign w:val="bottom"/>
            <w:gridSpan w:val="2"/>
          </w:tcPr>
          <w:p>
            <w:pPr>
              <w:jc w:val="right"/>
              <w:spacing w:after="0"/>
              <w:rPr>
                <w:sz w:val="20"/>
                <w:szCs w:val="20"/>
                <w:color w:val="auto"/>
              </w:rPr>
            </w:pPr>
            <w:r>
              <w:rPr>
                <w:rFonts w:ascii="Arial" w:cs="Arial" w:eastAsia="Arial" w:hAnsi="Arial"/>
                <w:sz w:val="18"/>
                <w:szCs w:val="18"/>
                <w:color w:val="auto"/>
              </w:rPr>
              <w:t>1.2</w:t>
            </w:r>
          </w:p>
        </w:tc>
        <w:tc>
          <w:tcPr>
            <w:tcW w:w="220" w:type="dxa"/>
            <w:vAlign w:val="bottom"/>
          </w:tcPr>
          <w:p>
            <w:pPr>
              <w:spacing w:after="0"/>
              <w:rPr>
                <w:sz w:val="19"/>
                <w:szCs w:val="19"/>
                <w:color w:val="auto"/>
              </w:rPr>
            </w:pPr>
          </w:p>
        </w:tc>
        <w:tc>
          <w:tcPr>
            <w:tcW w:w="940" w:type="dxa"/>
            <w:vAlign w:val="bottom"/>
            <w:gridSpan w:val="2"/>
          </w:tcPr>
          <w:p>
            <w:pPr>
              <w:jc w:val="right"/>
              <w:spacing w:after="0"/>
              <w:rPr>
                <w:sz w:val="20"/>
                <w:szCs w:val="20"/>
                <w:color w:val="auto"/>
              </w:rPr>
            </w:pPr>
            <w:r>
              <w:rPr>
                <w:rFonts w:ascii="Arial" w:cs="Arial" w:eastAsia="Arial" w:hAnsi="Arial"/>
                <w:sz w:val="18"/>
                <w:szCs w:val="18"/>
                <w:color w:val="auto"/>
              </w:rPr>
              <w:t>41%</w:t>
            </w:r>
          </w:p>
        </w:tc>
        <w:tc>
          <w:tcPr>
            <w:tcW w:w="1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660" w:type="dxa"/>
            <w:vAlign w:val="bottom"/>
            <w:gridSpan w:val="2"/>
          </w:tcPr>
          <w:p>
            <w:pPr>
              <w:jc w:val="right"/>
              <w:ind w:right="20"/>
              <w:spacing w:after="0"/>
              <w:rPr>
                <w:sz w:val="20"/>
                <w:szCs w:val="20"/>
                <w:color w:val="auto"/>
              </w:rPr>
            </w:pPr>
            <w:r>
              <w:rPr>
                <w:rFonts w:ascii="Arial" w:cs="Arial" w:eastAsia="Arial" w:hAnsi="Arial"/>
                <w:sz w:val="18"/>
                <w:szCs w:val="18"/>
                <w:color w:val="auto"/>
              </w:rPr>
              <w:t>(40)%</w:t>
            </w:r>
          </w:p>
        </w:tc>
        <w:tc>
          <w:tcPr>
            <w:tcW w:w="1120" w:type="dxa"/>
            <w:vAlign w:val="bottom"/>
            <w:gridSpan w:val="5"/>
          </w:tcPr>
          <w:p>
            <w:pPr>
              <w:jc w:val="right"/>
              <w:ind w:right="80"/>
              <w:spacing w:after="0"/>
              <w:rPr>
                <w:sz w:val="20"/>
                <w:szCs w:val="20"/>
                <w:color w:val="auto"/>
              </w:rPr>
            </w:pPr>
            <w:r>
              <w:rPr>
                <w:rFonts w:ascii="Arial" w:cs="Arial" w:eastAsia="Arial" w:hAnsi="Arial"/>
                <w:sz w:val="18"/>
                <w:szCs w:val="18"/>
                <w:color w:val="auto"/>
              </w:rPr>
              <w:t>136%</w:t>
            </w:r>
          </w:p>
        </w:tc>
        <w:tc>
          <w:tcPr>
            <w:tcW w:w="0" w:type="dxa"/>
            <w:vAlign w:val="bottom"/>
          </w:tcPr>
          <w:p>
            <w:pPr>
              <w:spacing w:after="0"/>
              <w:rPr>
                <w:sz w:val="1"/>
                <w:szCs w:val="1"/>
                <w:color w:val="auto"/>
              </w:rPr>
            </w:pPr>
          </w:p>
        </w:tc>
      </w:tr>
      <w:tr>
        <w:trPr>
          <w:trHeight w:val="20"/>
        </w:trPr>
        <w:tc>
          <w:tcPr>
            <w:tcW w:w="2120" w:type="dxa"/>
            <w:vAlign w:val="bottom"/>
            <w:gridSpan w:val="2"/>
            <w:vMerge w:val="restart"/>
            <w:shd w:val="clear" w:color="auto" w:fill="CFF0FC"/>
          </w:tcPr>
          <w:p>
            <w:pPr>
              <w:ind w:left="260"/>
              <w:spacing w:after="0"/>
              <w:rPr>
                <w:sz w:val="20"/>
                <w:szCs w:val="20"/>
                <w:color w:val="auto"/>
              </w:rPr>
            </w:pPr>
            <w:r>
              <w:rPr>
                <w:rFonts w:ascii="Arial" w:cs="Arial" w:eastAsia="Arial" w:hAnsi="Arial"/>
                <w:sz w:val="18"/>
                <w:szCs w:val="18"/>
                <w:color w:val="auto"/>
              </w:rPr>
              <w:t>Total</w:t>
            </w:r>
          </w:p>
        </w:tc>
        <w:tc>
          <w:tcPr>
            <w:tcW w:w="80" w:type="dxa"/>
            <w:vAlign w:val="bottom"/>
            <w:shd w:val="clear" w:color="auto" w:fill="000000"/>
          </w:tcPr>
          <w:p>
            <w:pPr>
              <w:spacing w:after="0" w:line="20" w:lineRule="exact"/>
              <w:rPr>
                <w:sz w:val="1"/>
                <w:szCs w:val="1"/>
                <w:color w:val="auto"/>
              </w:rPr>
            </w:pPr>
          </w:p>
        </w:tc>
        <w:tc>
          <w:tcPr>
            <w:tcW w:w="680" w:type="dxa"/>
            <w:vAlign w:val="bottom"/>
            <w:shd w:val="clear" w:color="auto" w:fill="000000"/>
          </w:tcPr>
          <w:p>
            <w:pPr>
              <w:spacing w:after="0" w:line="20" w:lineRule="exact"/>
              <w:rPr>
                <w:sz w:val="1"/>
                <w:szCs w:val="1"/>
                <w:color w:val="auto"/>
              </w:rPr>
            </w:pPr>
          </w:p>
        </w:tc>
        <w:tc>
          <w:tcPr>
            <w:tcW w:w="200" w:type="dxa"/>
            <w:vAlign w:val="bottom"/>
            <w:vMerge w:val="restart"/>
            <w:shd w:val="clear" w:color="auto" w:fill="CFF0FC"/>
          </w:tcPr>
          <w:p>
            <w:pPr>
              <w:spacing w:after="0" w:line="20" w:lineRule="exact"/>
              <w:rPr>
                <w:sz w:val="1"/>
                <w:szCs w:val="1"/>
                <w:color w:val="auto"/>
              </w:rPr>
            </w:pPr>
          </w:p>
        </w:tc>
        <w:tc>
          <w:tcPr>
            <w:tcW w:w="840" w:type="dxa"/>
            <w:vAlign w:val="bottom"/>
            <w:shd w:val="clear" w:color="auto" w:fill="000000"/>
          </w:tcPr>
          <w:p>
            <w:pPr>
              <w:spacing w:after="0" w:line="20" w:lineRule="exact"/>
              <w:rPr>
                <w:sz w:val="1"/>
                <w:szCs w:val="1"/>
                <w:color w:val="auto"/>
              </w:rPr>
            </w:pPr>
          </w:p>
        </w:tc>
        <w:tc>
          <w:tcPr>
            <w:tcW w:w="240" w:type="dxa"/>
            <w:vAlign w:val="bottom"/>
            <w:tcBorders>
              <w:right w:val="single" w:sz="8" w:color="auto"/>
            </w:tcBorders>
            <w:shd w:val="clear" w:color="auto" w:fill="CFF0FC"/>
          </w:tcPr>
          <w:p>
            <w:pPr>
              <w:spacing w:after="0" w:line="20" w:lineRule="exact"/>
              <w:rPr>
                <w:sz w:val="1"/>
                <w:szCs w:val="1"/>
                <w:color w:val="auto"/>
              </w:rPr>
            </w:pPr>
          </w:p>
        </w:tc>
        <w:tc>
          <w:tcPr>
            <w:tcW w:w="760" w:type="dxa"/>
            <w:vAlign w:val="bottom"/>
            <w:shd w:val="clear" w:color="auto" w:fill="000000"/>
          </w:tcPr>
          <w:p>
            <w:pPr>
              <w:spacing w:after="0" w:line="20" w:lineRule="exact"/>
              <w:rPr>
                <w:sz w:val="1"/>
                <w:szCs w:val="1"/>
                <w:color w:val="auto"/>
              </w:rPr>
            </w:pPr>
          </w:p>
        </w:tc>
        <w:tc>
          <w:tcPr>
            <w:tcW w:w="200" w:type="dxa"/>
            <w:vAlign w:val="bottom"/>
            <w:shd w:val="clear" w:color="auto" w:fill="CFF0FC"/>
          </w:tcPr>
          <w:p>
            <w:pPr>
              <w:spacing w:after="0" w:line="20" w:lineRule="exact"/>
              <w:rPr>
                <w:sz w:val="1"/>
                <w:szCs w:val="1"/>
                <w:color w:val="auto"/>
              </w:rPr>
            </w:pPr>
          </w:p>
        </w:tc>
        <w:tc>
          <w:tcPr>
            <w:tcW w:w="760" w:type="dxa"/>
            <w:vAlign w:val="bottom"/>
            <w:shd w:val="clear" w:color="auto" w:fill="000000"/>
          </w:tcPr>
          <w:p>
            <w:pPr>
              <w:spacing w:after="0" w:line="20" w:lineRule="exact"/>
              <w:rPr>
                <w:sz w:val="1"/>
                <w:szCs w:val="1"/>
                <w:color w:val="auto"/>
              </w:rPr>
            </w:pPr>
          </w:p>
        </w:tc>
        <w:tc>
          <w:tcPr>
            <w:tcW w:w="220" w:type="dxa"/>
            <w:vAlign w:val="bottom"/>
            <w:vMerge w:val="restart"/>
            <w:shd w:val="clear" w:color="auto" w:fill="CFF0FC"/>
          </w:tcPr>
          <w:p>
            <w:pPr>
              <w:spacing w:after="0" w:line="20" w:lineRule="exact"/>
              <w:rPr>
                <w:sz w:val="1"/>
                <w:szCs w:val="1"/>
                <w:color w:val="auto"/>
              </w:rPr>
            </w:pPr>
          </w:p>
        </w:tc>
        <w:tc>
          <w:tcPr>
            <w:tcW w:w="820" w:type="dxa"/>
            <w:vAlign w:val="bottom"/>
            <w:shd w:val="clear" w:color="auto" w:fill="000000"/>
          </w:tcPr>
          <w:p>
            <w:pPr>
              <w:spacing w:after="0" w:line="20" w:lineRule="exact"/>
              <w:rPr>
                <w:sz w:val="1"/>
                <w:szCs w:val="1"/>
                <w:color w:val="auto"/>
              </w:rPr>
            </w:pPr>
          </w:p>
        </w:tc>
        <w:tc>
          <w:tcPr>
            <w:tcW w:w="220" w:type="dxa"/>
            <w:vAlign w:val="bottom"/>
            <w:shd w:val="clear" w:color="auto" w:fill="CFF0FC"/>
          </w:tcPr>
          <w:p>
            <w:pPr>
              <w:spacing w:after="0" w:line="20" w:lineRule="exact"/>
              <w:rPr>
                <w:sz w:val="1"/>
                <w:szCs w:val="1"/>
                <w:color w:val="auto"/>
              </w:rPr>
            </w:pPr>
          </w:p>
        </w:tc>
        <w:tc>
          <w:tcPr>
            <w:tcW w:w="780" w:type="dxa"/>
            <w:vAlign w:val="bottom"/>
            <w:gridSpan w:val="2"/>
            <w:shd w:val="clear" w:color="auto" w:fill="000000"/>
          </w:tcPr>
          <w:p>
            <w:pPr>
              <w:spacing w:after="0" w:line="20" w:lineRule="exact"/>
              <w:rPr>
                <w:sz w:val="1"/>
                <w:szCs w:val="1"/>
                <w:color w:val="auto"/>
              </w:rPr>
            </w:pPr>
          </w:p>
        </w:tc>
        <w:tc>
          <w:tcPr>
            <w:tcW w:w="220" w:type="dxa"/>
            <w:vAlign w:val="bottom"/>
            <w:shd w:val="clear" w:color="auto" w:fill="CFF0FC"/>
          </w:tcPr>
          <w:p>
            <w:pPr>
              <w:spacing w:after="0" w:line="20" w:lineRule="exact"/>
              <w:rPr>
                <w:sz w:val="1"/>
                <w:szCs w:val="1"/>
                <w:color w:val="auto"/>
              </w:rPr>
            </w:pPr>
          </w:p>
        </w:tc>
        <w:tc>
          <w:tcPr>
            <w:tcW w:w="760" w:type="dxa"/>
            <w:vAlign w:val="bottom"/>
            <w:shd w:val="clear" w:color="auto" w:fill="000000"/>
          </w:tcPr>
          <w:p>
            <w:pPr>
              <w:spacing w:after="0" w:line="20" w:lineRule="exact"/>
              <w:rPr>
                <w:sz w:val="1"/>
                <w:szCs w:val="1"/>
                <w:color w:val="auto"/>
              </w:rPr>
            </w:pPr>
          </w:p>
        </w:tc>
        <w:tc>
          <w:tcPr>
            <w:tcW w:w="180" w:type="dxa"/>
            <w:vAlign w:val="bottom"/>
            <w:shd w:val="clear" w:color="auto" w:fill="CFF0FC"/>
          </w:tcPr>
          <w:p>
            <w:pPr>
              <w:spacing w:after="0" w:line="20" w:lineRule="exact"/>
              <w:rPr>
                <w:sz w:val="1"/>
                <w:szCs w:val="1"/>
                <w:color w:val="auto"/>
              </w:rPr>
            </w:pPr>
          </w:p>
        </w:tc>
        <w:tc>
          <w:tcPr>
            <w:tcW w:w="160" w:type="dxa"/>
            <w:vAlign w:val="bottom"/>
            <w:tcBorders>
              <w:right w:val="single" w:sz="8" w:color="CFF0FC"/>
            </w:tcBorders>
            <w:shd w:val="clear" w:color="auto" w:fill="CFF0FC"/>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280" w:type="dxa"/>
            <w:vAlign w:val="bottom"/>
            <w:shd w:val="clear" w:color="auto" w:fill="000000"/>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240" w:type="dxa"/>
            <w:vAlign w:val="bottom"/>
            <w:shd w:val="clear" w:color="auto" w:fill="CFF0FC"/>
          </w:tcPr>
          <w:p>
            <w:pPr>
              <w:spacing w:after="0" w:line="20" w:lineRule="exact"/>
              <w:rPr>
                <w:sz w:val="1"/>
                <w:szCs w:val="1"/>
                <w:color w:val="auto"/>
              </w:rPr>
            </w:pPr>
          </w:p>
        </w:tc>
        <w:tc>
          <w:tcPr>
            <w:tcW w:w="100" w:type="dxa"/>
            <w:vAlign w:val="bottom"/>
            <w:vMerge w:val="restart"/>
            <w:shd w:val="clear" w:color="auto" w:fill="CFF0FC"/>
          </w:tcPr>
          <w:p>
            <w:pPr>
              <w:spacing w:after="0" w:line="20" w:lineRule="exact"/>
              <w:rPr>
                <w:sz w:val="1"/>
                <w:szCs w:val="1"/>
                <w:color w:val="auto"/>
              </w:rPr>
            </w:pPr>
          </w:p>
        </w:tc>
        <w:tc>
          <w:tcPr>
            <w:tcW w:w="800" w:type="dxa"/>
            <w:vAlign w:val="bottom"/>
            <w:gridSpan w:val="3"/>
            <w:shd w:val="clear" w:color="auto" w:fill="000000"/>
          </w:tcPr>
          <w:p>
            <w:pPr>
              <w:spacing w:after="0" w:line="20" w:lineRule="exact"/>
              <w:rPr>
                <w:sz w:val="1"/>
                <w:szCs w:val="1"/>
                <w:color w:val="auto"/>
              </w:rPr>
            </w:pPr>
          </w:p>
        </w:tc>
        <w:tc>
          <w:tcPr>
            <w:tcW w:w="220" w:type="dxa"/>
            <w:vAlign w:val="bottom"/>
            <w:shd w:val="clear" w:color="auto" w:fill="CFF0FC"/>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3"/>
        </w:trPr>
        <w:tc>
          <w:tcPr>
            <w:tcW w:w="2120" w:type="dxa"/>
            <w:vAlign w:val="bottom"/>
            <w:gridSpan w:val="2"/>
            <w:vMerge w:val="continue"/>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6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1,194</w:t>
            </w:r>
          </w:p>
        </w:tc>
        <w:tc>
          <w:tcPr>
            <w:tcW w:w="200" w:type="dxa"/>
            <w:vAlign w:val="bottom"/>
            <w:vMerge w:val="continue"/>
            <w:shd w:val="clear" w:color="auto" w:fill="CFF0FC"/>
          </w:tcPr>
          <w:p>
            <w:pPr>
              <w:spacing w:after="0"/>
              <w:rPr>
                <w:sz w:val="19"/>
                <w:szCs w:val="19"/>
                <w:color w:val="auto"/>
              </w:rPr>
            </w:pPr>
          </w:p>
        </w:tc>
        <w:tc>
          <w:tcPr>
            <w:tcW w:w="8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113.0</w:t>
            </w:r>
          </w:p>
        </w:tc>
        <w:tc>
          <w:tcPr>
            <w:tcW w:w="240" w:type="dxa"/>
            <w:vAlign w:val="bottom"/>
            <w:tcBorders>
              <w:right w:val="single" w:sz="8" w:color="CFF0FC"/>
            </w:tcBorders>
            <w:shd w:val="clear" w:color="auto" w:fill="CFF0FC"/>
          </w:tcPr>
          <w:p>
            <w:pPr>
              <w:spacing w:after="0"/>
              <w:rPr>
                <w:sz w:val="19"/>
                <w:szCs w:val="19"/>
                <w:color w:val="auto"/>
              </w:rPr>
            </w:pPr>
          </w:p>
        </w:tc>
        <w:tc>
          <w:tcPr>
            <w:tcW w:w="7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3.5</w:t>
            </w:r>
          </w:p>
        </w:tc>
        <w:tc>
          <w:tcPr>
            <w:tcW w:w="200" w:type="dxa"/>
            <w:vAlign w:val="bottom"/>
            <w:shd w:val="clear" w:color="auto" w:fill="CFF0FC"/>
          </w:tcPr>
          <w:p>
            <w:pPr>
              <w:spacing w:after="0"/>
              <w:rPr>
                <w:sz w:val="19"/>
                <w:szCs w:val="19"/>
                <w:color w:val="auto"/>
              </w:rPr>
            </w:pPr>
          </w:p>
        </w:tc>
        <w:tc>
          <w:tcPr>
            <w:tcW w:w="7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667</w:t>
            </w:r>
          </w:p>
        </w:tc>
        <w:tc>
          <w:tcPr>
            <w:tcW w:w="220" w:type="dxa"/>
            <w:vAlign w:val="bottom"/>
            <w:vMerge w:val="continue"/>
            <w:shd w:val="clear" w:color="auto" w:fill="CFF0FC"/>
          </w:tcPr>
          <w:p>
            <w:pPr>
              <w:spacing w:after="0"/>
              <w:rPr>
                <w:sz w:val="19"/>
                <w:szCs w:val="19"/>
                <w:color w:val="auto"/>
              </w:rPr>
            </w:pPr>
          </w:p>
        </w:tc>
        <w:tc>
          <w:tcPr>
            <w:tcW w:w="8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90.7</w:t>
            </w:r>
          </w:p>
        </w:tc>
        <w:tc>
          <w:tcPr>
            <w:tcW w:w="220" w:type="dxa"/>
            <w:vAlign w:val="bottom"/>
            <w:shd w:val="clear" w:color="auto" w:fill="CFF0FC"/>
          </w:tcPr>
          <w:p>
            <w:pPr>
              <w:spacing w:after="0"/>
              <w:rPr>
                <w:sz w:val="19"/>
                <w:szCs w:val="19"/>
                <w:color w:val="auto"/>
              </w:rPr>
            </w:pPr>
          </w:p>
        </w:tc>
        <w:tc>
          <w:tcPr>
            <w:tcW w:w="780" w:type="dxa"/>
            <w:vAlign w:val="bottom"/>
            <w:gridSpan w:val="2"/>
            <w:shd w:val="clear" w:color="auto" w:fill="CFF0FC"/>
          </w:tcPr>
          <w:p>
            <w:pPr>
              <w:jc w:val="right"/>
              <w:spacing w:after="0"/>
              <w:rPr>
                <w:sz w:val="20"/>
                <w:szCs w:val="20"/>
                <w:color w:val="auto"/>
              </w:rPr>
            </w:pPr>
            <w:r>
              <w:rPr>
                <w:rFonts w:ascii="Arial" w:cs="Arial" w:eastAsia="Arial" w:hAnsi="Arial"/>
                <w:sz w:val="18"/>
                <w:szCs w:val="18"/>
                <w:color w:val="auto"/>
              </w:rPr>
              <w:t>2.5</w:t>
            </w:r>
          </w:p>
        </w:tc>
        <w:tc>
          <w:tcPr>
            <w:tcW w:w="220" w:type="dxa"/>
            <w:vAlign w:val="bottom"/>
            <w:shd w:val="clear" w:color="auto" w:fill="CFF0FC"/>
          </w:tcPr>
          <w:p>
            <w:pPr>
              <w:spacing w:after="0"/>
              <w:rPr>
                <w:sz w:val="19"/>
                <w:szCs w:val="19"/>
                <w:color w:val="auto"/>
              </w:rPr>
            </w:pPr>
          </w:p>
        </w:tc>
        <w:tc>
          <w:tcPr>
            <w:tcW w:w="940" w:type="dxa"/>
            <w:vAlign w:val="bottom"/>
            <w:gridSpan w:val="2"/>
            <w:shd w:val="clear" w:color="auto" w:fill="CFF0FC"/>
          </w:tcPr>
          <w:p>
            <w:pPr>
              <w:jc w:val="right"/>
              <w:spacing w:after="0"/>
              <w:rPr>
                <w:sz w:val="20"/>
                <w:szCs w:val="20"/>
                <w:color w:val="auto"/>
              </w:rPr>
            </w:pPr>
            <w:r>
              <w:rPr>
                <w:rFonts w:ascii="Arial" w:cs="Arial" w:eastAsia="Arial" w:hAnsi="Arial"/>
                <w:sz w:val="18"/>
                <w:szCs w:val="18"/>
                <w:color w:val="auto"/>
              </w:rPr>
              <w:t>79%</w:t>
            </w:r>
          </w:p>
        </w:tc>
        <w:tc>
          <w:tcPr>
            <w:tcW w:w="160" w:type="dxa"/>
            <w:vAlign w:val="bottom"/>
            <w:tcBorders>
              <w:right w:val="single" w:sz="8" w:color="CFF0FC"/>
            </w:tcBorders>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280" w:type="dxa"/>
            <w:vAlign w:val="bottom"/>
            <w:shd w:val="clear" w:color="auto" w:fill="CFF0FC"/>
          </w:tcPr>
          <w:p>
            <w:pPr>
              <w:spacing w:after="0"/>
              <w:rPr>
                <w:sz w:val="19"/>
                <w:szCs w:val="19"/>
                <w:color w:val="auto"/>
              </w:rPr>
            </w:pPr>
          </w:p>
        </w:tc>
        <w:tc>
          <w:tcPr>
            <w:tcW w:w="660" w:type="dxa"/>
            <w:vAlign w:val="bottom"/>
            <w:gridSpan w:val="2"/>
            <w:shd w:val="clear" w:color="auto" w:fill="CFF0FC"/>
          </w:tcPr>
          <w:p>
            <w:pPr>
              <w:jc w:val="right"/>
              <w:ind w:right="80"/>
              <w:spacing w:after="0"/>
              <w:rPr>
                <w:sz w:val="20"/>
                <w:szCs w:val="20"/>
                <w:color w:val="auto"/>
              </w:rPr>
            </w:pPr>
            <w:r>
              <w:rPr>
                <w:rFonts w:ascii="Arial" w:cs="Arial" w:eastAsia="Arial" w:hAnsi="Arial"/>
                <w:sz w:val="18"/>
                <w:szCs w:val="18"/>
                <w:color w:val="auto"/>
              </w:rPr>
              <w:t>25%</w:t>
            </w:r>
          </w:p>
        </w:tc>
        <w:tc>
          <w:tcPr>
            <w:tcW w:w="100" w:type="dxa"/>
            <w:vAlign w:val="bottom"/>
            <w:vMerge w:val="continue"/>
            <w:shd w:val="clear" w:color="auto" w:fill="CFF0FC"/>
          </w:tcPr>
          <w:p>
            <w:pPr>
              <w:spacing w:after="0"/>
              <w:rPr>
                <w:sz w:val="19"/>
                <w:szCs w:val="19"/>
                <w:color w:val="auto"/>
              </w:rPr>
            </w:pPr>
          </w:p>
        </w:tc>
        <w:tc>
          <w:tcPr>
            <w:tcW w:w="1020" w:type="dxa"/>
            <w:vAlign w:val="bottom"/>
            <w:gridSpan w:val="4"/>
            <w:shd w:val="clear" w:color="auto" w:fill="CFF0FC"/>
          </w:tcPr>
          <w:p>
            <w:pPr>
              <w:jc w:val="right"/>
              <w:ind w:right="80"/>
              <w:spacing w:after="0"/>
              <w:rPr>
                <w:sz w:val="20"/>
                <w:szCs w:val="20"/>
                <w:color w:val="auto"/>
              </w:rPr>
            </w:pPr>
            <w:r>
              <w:rPr>
                <w:rFonts w:ascii="Arial" w:cs="Arial" w:eastAsia="Arial" w:hAnsi="Arial"/>
                <w:sz w:val="18"/>
                <w:szCs w:val="18"/>
                <w:color w:val="auto"/>
              </w:rPr>
              <w:t>44%</w:t>
            </w:r>
          </w:p>
        </w:tc>
        <w:tc>
          <w:tcPr>
            <w:tcW w:w="0" w:type="dxa"/>
            <w:vAlign w:val="bottom"/>
          </w:tcPr>
          <w:p>
            <w:pPr>
              <w:spacing w:after="0"/>
              <w:rPr>
                <w:sz w:val="1"/>
                <w:szCs w:val="1"/>
                <w:color w:val="auto"/>
              </w:rPr>
            </w:pPr>
          </w:p>
        </w:tc>
      </w:tr>
      <w:tr>
        <w:trPr>
          <w:trHeight w:val="20"/>
        </w:trPr>
        <w:tc>
          <w:tcPr>
            <w:tcW w:w="580" w:type="dxa"/>
            <w:vAlign w:val="bottom"/>
            <w:tcBorders>
              <w:top w:val="single" w:sz="8" w:color="CFF0FC"/>
            </w:tcBorders>
          </w:tcPr>
          <w:p>
            <w:pPr>
              <w:spacing w:after="0" w:line="20" w:lineRule="exact"/>
              <w:rPr>
                <w:sz w:val="1"/>
                <w:szCs w:val="1"/>
                <w:color w:val="auto"/>
              </w:rPr>
            </w:pPr>
          </w:p>
        </w:tc>
        <w:tc>
          <w:tcPr>
            <w:tcW w:w="1540" w:type="dxa"/>
            <w:vAlign w:val="bottom"/>
            <w:tcBorders>
              <w:top w:val="single" w:sz="8" w:color="CFF0FC"/>
            </w:tcBorders>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Borders>
              <w:top w:val="single" w:sz="8" w:color="CFF0FC"/>
            </w:tcBorders>
          </w:tcPr>
          <w:p>
            <w:pPr>
              <w:spacing w:after="0" w:line="20" w:lineRule="exact"/>
              <w:rPr>
                <w:sz w:val="1"/>
                <w:szCs w:val="1"/>
                <w:color w:val="auto"/>
              </w:rPr>
            </w:pPr>
          </w:p>
        </w:tc>
        <w:tc>
          <w:tcPr>
            <w:tcW w:w="84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Borders>
              <w:top w:val="single" w:sz="8" w:color="CFF0FC"/>
            </w:tcBorders>
          </w:tcPr>
          <w:p>
            <w:pPr>
              <w:spacing w:after="0" w:line="20" w:lineRule="exact"/>
              <w:rPr>
                <w:sz w:val="1"/>
                <w:szCs w:val="1"/>
                <w:color w:val="auto"/>
              </w:rPr>
            </w:pPr>
          </w:p>
        </w:tc>
        <w:tc>
          <w:tcPr>
            <w:tcW w:w="76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Borders>
              <w:top w:val="single" w:sz="8" w:color="CFF0FC"/>
            </w:tcBorders>
          </w:tcPr>
          <w:p>
            <w:pPr>
              <w:spacing w:after="0" w:line="20" w:lineRule="exact"/>
              <w:rPr>
                <w:sz w:val="1"/>
                <w:szCs w:val="1"/>
                <w:color w:val="auto"/>
              </w:rPr>
            </w:pPr>
          </w:p>
        </w:tc>
        <w:tc>
          <w:tcPr>
            <w:tcW w:w="76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CFF0FC"/>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CFF0FC"/>
            </w:tcBorders>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CFF0FC"/>
            </w:tcBorders>
          </w:tcPr>
          <w:p>
            <w:pPr>
              <w:spacing w:after="0" w:line="20" w:lineRule="exact"/>
              <w:rPr>
                <w:sz w:val="1"/>
                <w:szCs w:val="1"/>
                <w:color w:val="auto"/>
              </w:rPr>
            </w:pPr>
          </w:p>
        </w:tc>
        <w:tc>
          <w:tcPr>
            <w:tcW w:w="76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Borders>
              <w:top w:val="single" w:sz="8" w:color="CFF0FC"/>
            </w:tcBorders>
          </w:tcPr>
          <w:p>
            <w:pPr>
              <w:spacing w:after="0" w:line="20" w:lineRule="exact"/>
              <w:rPr>
                <w:sz w:val="1"/>
                <w:szCs w:val="1"/>
                <w:color w:val="auto"/>
              </w:rPr>
            </w:pPr>
          </w:p>
        </w:tc>
        <w:tc>
          <w:tcPr>
            <w:tcW w:w="160" w:type="dxa"/>
            <w:vAlign w:val="bottom"/>
            <w:tcBorders>
              <w:top w:val="single" w:sz="8" w:color="CFF0FC"/>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42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Borders>
              <w:top w:val="single" w:sz="8" w:color="CFF0FC"/>
            </w:tcBorders>
          </w:tcPr>
          <w:p>
            <w:pPr>
              <w:spacing w:after="0" w:line="20" w:lineRule="exact"/>
              <w:rPr>
                <w:sz w:val="1"/>
                <w:szCs w:val="1"/>
                <w:color w:val="auto"/>
              </w:rPr>
            </w:pPr>
          </w:p>
        </w:tc>
        <w:tc>
          <w:tcPr>
            <w:tcW w:w="100" w:type="dxa"/>
            <w:vAlign w:val="bottom"/>
            <w:tcBorders>
              <w:top w:val="single" w:sz="8" w:color="CFF0FC"/>
            </w:tcBorders>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CFF0F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2" w:lineRule="exact"/>
        <w:rPr>
          <w:sz w:val="20"/>
          <w:szCs w:val="20"/>
          <w:color w:val="auto"/>
        </w:rPr>
      </w:pPr>
    </w:p>
    <w:p>
      <w:pPr>
        <w:ind w:right="80" w:firstLine="518"/>
        <w:spacing w:after="0" w:line="254" w:lineRule="auto"/>
        <w:rPr>
          <w:sz w:val="20"/>
          <w:szCs w:val="20"/>
          <w:color w:val="auto"/>
        </w:rPr>
      </w:pPr>
      <w:r>
        <w:rPr>
          <w:rFonts w:ascii="Arial" w:cs="Arial" w:eastAsia="Arial" w:hAnsi="Arial"/>
          <w:sz w:val="18"/>
          <w:szCs w:val="18"/>
          <w:color w:val="auto"/>
        </w:rPr>
        <w:t>Net new home orders for the three months ended March 31, 2015 increased 79% to 1,194, compared to 667 during the prior year period. The increase in net new home orders was partly due to an increase in our monthly absorption rate in all except for one segment reported in the prior year period. Our overall absorption rate for the three months ended March 31, 2015 was 10.6 per average selling community (3.5 monthly), compared to 7.4 per average selling community (2.5 monthly) during the prior year period. The increase in net new home orders, average selling communities and monthly absorption rate was due in part to the addition of TRI Pointe, which had 336 orders, 26.3 average selling communities and an absorption rate of 4.3 per average selling community in the three months ended March 31, 2015 with no comparable amounts in the prior year period. Net new home orders increased at all segments except for Trendmaker, which experienced a decrease as a result of a slowdown in the premium housing market in Houston driven by the uncertainty around oil prices.</w:t>
      </w:r>
    </w:p>
    <w:p>
      <w:pPr>
        <w:spacing w:after="0" w:line="200" w:lineRule="exact"/>
        <w:rPr>
          <w:sz w:val="20"/>
          <w:szCs w:val="20"/>
          <w:color w:val="auto"/>
        </w:rPr>
      </w:pPr>
    </w:p>
    <w:p>
      <w:pPr>
        <w:spacing w:after="0" w:line="23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- 30 -</w:t>
      </w:r>
    </w:p>
    <w:p>
      <w:pPr>
        <w:sectPr>
          <w:pgSz w:w="11900" w:h="16838" w:orient="portrait"/>
          <w:cols w:equalWidth="0" w:num="1">
            <w:col w:w="11420"/>
          </w:cols>
          <w:pgMar w:left="240" w:top="459" w:right="239" w:bottom="1440" w:gutter="0" w:footer="0" w:header="0"/>
        </w:sectPr>
      </w:pPr>
    </w:p>
    <w:bookmarkStart w:id="30" w:name="page31"/>
    <w:bookmarkEnd w:id="30"/>
    <w:p>
      <w:pPr>
        <w:spacing w:after="0"/>
        <w:rPr>
          <w:sz w:val="20"/>
          <w:szCs w:val="20"/>
          <w:color w:val="auto"/>
        </w:rPr>
      </w:pPr>
      <w:r>
        <w:rPr>
          <w:rFonts w:ascii="Arial" w:cs="Arial" w:eastAsia="Arial" w:hAnsi="Arial"/>
          <w:sz w:val="18"/>
          <w:szCs w:val="18"/>
          <w:b w:val="1"/>
          <w:bCs w:val="1"/>
          <w:i w:val="1"/>
          <w:iCs w:val="1"/>
          <w:color w:val="auto"/>
        </w:rPr>
        <w:t>Backlog Units, Dollar Value and Average Sales Price by Segment (dollars in thousands)</w:t>
      </w:r>
    </w:p>
    <w:p>
      <w:pPr>
        <w:spacing w:after="0" w:line="298"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2220" w:type="dxa"/>
            <w:vAlign w:val="bottom"/>
          </w:tcPr>
          <w:p>
            <w:pPr>
              <w:spacing w:after="0"/>
              <w:rPr>
                <w:sz w:val="14"/>
                <w:szCs w:val="14"/>
                <w:color w:val="auto"/>
              </w:rPr>
            </w:pPr>
          </w:p>
        </w:tc>
        <w:tc>
          <w:tcPr>
            <w:tcW w:w="2980" w:type="dxa"/>
            <w:vAlign w:val="bottom"/>
            <w:gridSpan w:val="8"/>
          </w:tcPr>
          <w:p>
            <w:pPr>
              <w:jc w:val="center"/>
              <w:ind w:right="220"/>
              <w:spacing w:after="0"/>
              <w:rPr>
                <w:sz w:val="20"/>
                <w:szCs w:val="20"/>
                <w:color w:val="auto"/>
              </w:rPr>
            </w:pPr>
            <w:r>
              <w:rPr>
                <w:rFonts w:ascii="Arial" w:cs="Arial" w:eastAsia="Arial" w:hAnsi="Arial"/>
                <w:sz w:val="14"/>
                <w:szCs w:val="14"/>
                <w:b w:val="1"/>
                <w:bCs w:val="1"/>
                <w:color w:val="auto"/>
                <w:w w:val="94"/>
              </w:rPr>
              <w:t>Three Months Ended March 31, 2015</w:t>
            </w:r>
          </w:p>
        </w:tc>
        <w:tc>
          <w:tcPr>
            <w:tcW w:w="3000" w:type="dxa"/>
            <w:vAlign w:val="bottom"/>
            <w:gridSpan w:val="8"/>
          </w:tcPr>
          <w:p>
            <w:pPr>
              <w:jc w:val="center"/>
              <w:ind w:right="220"/>
              <w:spacing w:after="0"/>
              <w:rPr>
                <w:sz w:val="20"/>
                <w:szCs w:val="20"/>
                <w:color w:val="auto"/>
              </w:rPr>
            </w:pPr>
            <w:r>
              <w:rPr>
                <w:rFonts w:ascii="Arial" w:cs="Arial" w:eastAsia="Arial" w:hAnsi="Arial"/>
                <w:sz w:val="14"/>
                <w:szCs w:val="14"/>
                <w:b w:val="1"/>
                <w:bCs w:val="1"/>
                <w:color w:val="auto"/>
                <w:w w:val="95"/>
              </w:rPr>
              <w:t>Three Months Ended March 31, 2014</w:t>
            </w:r>
          </w:p>
        </w:tc>
        <w:tc>
          <w:tcPr>
            <w:tcW w:w="780" w:type="dxa"/>
            <w:vAlign w:val="bottom"/>
          </w:tcPr>
          <w:p>
            <w:pPr>
              <w:spacing w:after="0"/>
              <w:rPr>
                <w:sz w:val="14"/>
                <w:szCs w:val="14"/>
                <w:color w:val="auto"/>
              </w:rPr>
            </w:pPr>
          </w:p>
        </w:tc>
        <w:tc>
          <w:tcPr>
            <w:tcW w:w="1440" w:type="dxa"/>
            <w:vAlign w:val="bottom"/>
            <w:gridSpan w:val="3"/>
          </w:tcPr>
          <w:p>
            <w:pPr>
              <w:jc w:val="center"/>
              <w:ind w:right="20"/>
              <w:spacing w:after="0"/>
              <w:rPr>
                <w:sz w:val="20"/>
                <w:szCs w:val="20"/>
                <w:color w:val="auto"/>
              </w:rPr>
            </w:pPr>
            <w:r>
              <w:rPr>
                <w:rFonts w:ascii="Arial" w:cs="Arial" w:eastAsia="Arial" w:hAnsi="Arial"/>
                <w:sz w:val="14"/>
                <w:szCs w:val="14"/>
                <w:b w:val="1"/>
                <w:bCs w:val="1"/>
                <w:color w:val="auto"/>
                <w:w w:val="90"/>
              </w:rPr>
              <w:t>Percentage Change</w:t>
            </w:r>
          </w:p>
        </w:tc>
        <w:tc>
          <w:tcPr>
            <w:tcW w:w="7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6"/>
        </w:trPr>
        <w:tc>
          <w:tcPr>
            <w:tcW w:w="2220" w:type="dxa"/>
            <w:vAlign w:val="bottom"/>
          </w:tcPr>
          <w:p>
            <w:pPr>
              <w:spacing w:after="0"/>
              <w:rPr>
                <w:sz w:val="12"/>
                <w:szCs w:val="12"/>
                <w:color w:val="auto"/>
              </w:rPr>
            </w:pPr>
          </w:p>
        </w:tc>
        <w:tc>
          <w:tcPr>
            <w:tcW w:w="780" w:type="dxa"/>
            <w:vAlign w:val="bottom"/>
            <w:tcBorders>
              <w:top w:val="single" w:sz="8" w:color="auto"/>
            </w:tcBorders>
          </w:tcPr>
          <w:p>
            <w:pPr>
              <w:spacing w:after="0"/>
              <w:rPr>
                <w:sz w:val="12"/>
                <w:szCs w:val="12"/>
                <w:color w:val="auto"/>
              </w:rPr>
            </w:pPr>
          </w:p>
        </w:tc>
        <w:tc>
          <w:tcPr>
            <w:tcW w:w="200" w:type="dxa"/>
            <w:vAlign w:val="bottom"/>
            <w:tcBorders>
              <w:top w:val="single" w:sz="8" w:color="auto"/>
            </w:tcBorders>
          </w:tcPr>
          <w:p>
            <w:pPr>
              <w:spacing w:after="0"/>
              <w:rPr>
                <w:sz w:val="12"/>
                <w:szCs w:val="12"/>
                <w:color w:val="auto"/>
              </w:rPr>
            </w:pPr>
          </w:p>
        </w:tc>
        <w:tc>
          <w:tcPr>
            <w:tcW w:w="120" w:type="dxa"/>
            <w:vAlign w:val="bottom"/>
            <w:tcBorders>
              <w:top w:val="single" w:sz="8" w:color="auto"/>
            </w:tcBorders>
          </w:tcPr>
          <w:p>
            <w:pPr>
              <w:spacing w:after="0"/>
              <w:rPr>
                <w:sz w:val="12"/>
                <w:szCs w:val="12"/>
                <w:color w:val="auto"/>
              </w:rPr>
            </w:pPr>
          </w:p>
        </w:tc>
        <w:tc>
          <w:tcPr>
            <w:tcW w:w="880" w:type="dxa"/>
            <w:vAlign w:val="bottom"/>
            <w:tcBorders>
              <w:top w:val="single" w:sz="8" w:color="auto"/>
            </w:tcBorders>
            <w:gridSpan w:val="2"/>
          </w:tcPr>
          <w:p>
            <w:pPr>
              <w:jc w:val="center"/>
              <w:ind w:right="340"/>
              <w:spacing w:after="0" w:line="147" w:lineRule="exact"/>
              <w:rPr>
                <w:sz w:val="20"/>
                <w:szCs w:val="20"/>
                <w:color w:val="auto"/>
              </w:rPr>
            </w:pPr>
            <w:r>
              <w:rPr>
                <w:rFonts w:ascii="Arial" w:cs="Arial" w:eastAsia="Arial" w:hAnsi="Arial"/>
                <w:sz w:val="14"/>
                <w:szCs w:val="14"/>
                <w:b w:val="1"/>
                <w:bCs w:val="1"/>
                <w:color w:val="auto"/>
                <w:w w:val="91"/>
              </w:rPr>
              <w:t>Backlog</w:t>
            </w:r>
          </w:p>
        </w:tc>
        <w:tc>
          <w:tcPr>
            <w:tcW w:w="120" w:type="dxa"/>
            <w:vAlign w:val="bottom"/>
            <w:tcBorders>
              <w:top w:val="single" w:sz="8" w:color="auto"/>
            </w:tcBorders>
          </w:tcPr>
          <w:p>
            <w:pPr>
              <w:spacing w:after="0"/>
              <w:rPr>
                <w:sz w:val="12"/>
                <w:szCs w:val="12"/>
                <w:color w:val="auto"/>
              </w:rPr>
            </w:pPr>
          </w:p>
        </w:tc>
        <w:tc>
          <w:tcPr>
            <w:tcW w:w="680" w:type="dxa"/>
            <w:vAlign w:val="bottom"/>
            <w:tcBorders>
              <w:top w:val="single" w:sz="8" w:color="auto"/>
            </w:tcBorders>
          </w:tcPr>
          <w:p>
            <w:pPr>
              <w:jc w:val="center"/>
              <w:ind w:right="55"/>
              <w:spacing w:after="0" w:line="147" w:lineRule="exact"/>
              <w:rPr>
                <w:sz w:val="20"/>
                <w:szCs w:val="20"/>
                <w:color w:val="auto"/>
              </w:rPr>
            </w:pPr>
            <w:r>
              <w:rPr>
                <w:rFonts w:ascii="Arial" w:cs="Arial" w:eastAsia="Arial" w:hAnsi="Arial"/>
                <w:sz w:val="14"/>
                <w:szCs w:val="14"/>
                <w:b w:val="1"/>
                <w:bCs w:val="1"/>
                <w:color w:val="auto"/>
                <w:w w:val="90"/>
              </w:rPr>
              <w:t>Average</w:t>
            </w:r>
          </w:p>
        </w:tc>
        <w:tc>
          <w:tcPr>
            <w:tcW w:w="200" w:type="dxa"/>
            <w:vAlign w:val="bottom"/>
          </w:tcPr>
          <w:p>
            <w:pPr>
              <w:spacing w:after="0"/>
              <w:rPr>
                <w:sz w:val="12"/>
                <w:szCs w:val="12"/>
                <w:color w:val="auto"/>
              </w:rPr>
            </w:pPr>
          </w:p>
        </w:tc>
        <w:tc>
          <w:tcPr>
            <w:tcW w:w="800" w:type="dxa"/>
            <w:vAlign w:val="bottom"/>
            <w:tcBorders>
              <w:top w:val="single" w:sz="8" w:color="auto"/>
            </w:tcBorders>
          </w:tcPr>
          <w:p>
            <w:pPr>
              <w:spacing w:after="0"/>
              <w:rPr>
                <w:sz w:val="12"/>
                <w:szCs w:val="12"/>
                <w:color w:val="auto"/>
              </w:rPr>
            </w:pPr>
          </w:p>
        </w:tc>
        <w:tc>
          <w:tcPr>
            <w:tcW w:w="200" w:type="dxa"/>
            <w:vAlign w:val="bottom"/>
            <w:tcBorders>
              <w:top w:val="single" w:sz="8" w:color="auto"/>
            </w:tcBorders>
          </w:tcPr>
          <w:p>
            <w:pPr>
              <w:spacing w:after="0"/>
              <w:rPr>
                <w:sz w:val="12"/>
                <w:szCs w:val="12"/>
                <w:color w:val="auto"/>
              </w:rPr>
            </w:pPr>
          </w:p>
        </w:tc>
        <w:tc>
          <w:tcPr>
            <w:tcW w:w="120" w:type="dxa"/>
            <w:vAlign w:val="bottom"/>
            <w:tcBorders>
              <w:top w:val="single" w:sz="8" w:color="auto"/>
            </w:tcBorders>
          </w:tcPr>
          <w:p>
            <w:pPr>
              <w:spacing w:after="0"/>
              <w:rPr>
                <w:sz w:val="12"/>
                <w:szCs w:val="12"/>
                <w:color w:val="auto"/>
              </w:rPr>
            </w:pPr>
          </w:p>
        </w:tc>
        <w:tc>
          <w:tcPr>
            <w:tcW w:w="880" w:type="dxa"/>
            <w:vAlign w:val="bottom"/>
            <w:tcBorders>
              <w:top w:val="single" w:sz="8" w:color="auto"/>
            </w:tcBorders>
            <w:gridSpan w:val="2"/>
          </w:tcPr>
          <w:p>
            <w:pPr>
              <w:jc w:val="center"/>
              <w:ind w:right="340"/>
              <w:spacing w:after="0" w:line="147" w:lineRule="exact"/>
              <w:rPr>
                <w:sz w:val="20"/>
                <w:szCs w:val="20"/>
                <w:color w:val="auto"/>
              </w:rPr>
            </w:pPr>
            <w:r>
              <w:rPr>
                <w:rFonts w:ascii="Arial" w:cs="Arial" w:eastAsia="Arial" w:hAnsi="Arial"/>
                <w:sz w:val="14"/>
                <w:szCs w:val="14"/>
                <w:b w:val="1"/>
                <w:bCs w:val="1"/>
                <w:color w:val="auto"/>
                <w:w w:val="91"/>
              </w:rPr>
              <w:t>Backlog</w:t>
            </w:r>
          </w:p>
        </w:tc>
        <w:tc>
          <w:tcPr>
            <w:tcW w:w="120" w:type="dxa"/>
            <w:vAlign w:val="bottom"/>
            <w:tcBorders>
              <w:top w:val="single" w:sz="8" w:color="auto"/>
            </w:tcBorders>
          </w:tcPr>
          <w:p>
            <w:pPr>
              <w:spacing w:after="0"/>
              <w:rPr>
                <w:sz w:val="12"/>
                <w:szCs w:val="12"/>
                <w:color w:val="auto"/>
              </w:rPr>
            </w:pPr>
          </w:p>
        </w:tc>
        <w:tc>
          <w:tcPr>
            <w:tcW w:w="660" w:type="dxa"/>
            <w:vAlign w:val="bottom"/>
            <w:tcBorders>
              <w:top w:val="single" w:sz="8" w:color="auto"/>
            </w:tcBorders>
          </w:tcPr>
          <w:p>
            <w:pPr>
              <w:jc w:val="center"/>
              <w:ind w:right="35"/>
              <w:spacing w:after="0" w:line="147" w:lineRule="exact"/>
              <w:rPr>
                <w:sz w:val="20"/>
                <w:szCs w:val="20"/>
                <w:color w:val="auto"/>
              </w:rPr>
            </w:pPr>
            <w:r>
              <w:rPr>
                <w:rFonts w:ascii="Arial" w:cs="Arial" w:eastAsia="Arial" w:hAnsi="Arial"/>
                <w:sz w:val="14"/>
                <w:szCs w:val="14"/>
                <w:b w:val="1"/>
                <w:bCs w:val="1"/>
                <w:color w:val="auto"/>
                <w:w w:val="90"/>
              </w:rPr>
              <w:t>Average</w:t>
            </w:r>
          </w:p>
        </w:tc>
        <w:tc>
          <w:tcPr>
            <w:tcW w:w="220" w:type="dxa"/>
            <w:vAlign w:val="bottom"/>
          </w:tcPr>
          <w:p>
            <w:pPr>
              <w:spacing w:after="0"/>
              <w:rPr>
                <w:sz w:val="12"/>
                <w:szCs w:val="12"/>
                <w:color w:val="auto"/>
              </w:rPr>
            </w:pPr>
          </w:p>
        </w:tc>
        <w:tc>
          <w:tcPr>
            <w:tcW w:w="780" w:type="dxa"/>
            <w:vAlign w:val="bottom"/>
            <w:tcBorders>
              <w:top w:val="single" w:sz="8" w:color="auto"/>
            </w:tcBorders>
          </w:tcPr>
          <w:p>
            <w:pPr>
              <w:spacing w:after="0"/>
              <w:rPr>
                <w:sz w:val="12"/>
                <w:szCs w:val="12"/>
                <w:color w:val="auto"/>
              </w:rPr>
            </w:pPr>
          </w:p>
        </w:tc>
        <w:tc>
          <w:tcPr>
            <w:tcW w:w="340" w:type="dxa"/>
            <w:vAlign w:val="bottom"/>
            <w:tcBorders>
              <w:top w:val="single" w:sz="8" w:color="auto"/>
            </w:tcBorders>
          </w:tcPr>
          <w:p>
            <w:pPr>
              <w:spacing w:after="0"/>
              <w:rPr>
                <w:sz w:val="12"/>
                <w:szCs w:val="12"/>
                <w:color w:val="auto"/>
              </w:rPr>
            </w:pPr>
          </w:p>
        </w:tc>
        <w:tc>
          <w:tcPr>
            <w:tcW w:w="1100" w:type="dxa"/>
            <w:vAlign w:val="bottom"/>
            <w:tcBorders>
              <w:top w:val="single" w:sz="8" w:color="auto"/>
            </w:tcBorders>
            <w:gridSpan w:val="2"/>
          </w:tcPr>
          <w:p>
            <w:pPr>
              <w:jc w:val="center"/>
              <w:ind w:right="360"/>
              <w:spacing w:after="0" w:line="147" w:lineRule="exact"/>
              <w:rPr>
                <w:sz w:val="20"/>
                <w:szCs w:val="20"/>
                <w:color w:val="auto"/>
              </w:rPr>
            </w:pPr>
            <w:r>
              <w:rPr>
                <w:rFonts w:ascii="Arial" w:cs="Arial" w:eastAsia="Arial" w:hAnsi="Arial"/>
                <w:sz w:val="14"/>
                <w:szCs w:val="14"/>
                <w:b w:val="1"/>
                <w:bCs w:val="1"/>
                <w:color w:val="auto"/>
                <w:w w:val="91"/>
              </w:rPr>
              <w:t>Backlog</w:t>
            </w:r>
          </w:p>
        </w:tc>
        <w:tc>
          <w:tcPr>
            <w:tcW w:w="780" w:type="dxa"/>
            <w:vAlign w:val="bottom"/>
            <w:tcBorders>
              <w:top w:val="single" w:sz="8" w:color="auto"/>
            </w:tcBorders>
          </w:tcPr>
          <w:p>
            <w:pPr>
              <w:jc w:val="right"/>
              <w:ind w:right="75"/>
              <w:spacing w:after="0" w:line="147" w:lineRule="exact"/>
              <w:rPr>
                <w:sz w:val="20"/>
                <w:szCs w:val="20"/>
                <w:color w:val="auto"/>
              </w:rPr>
            </w:pPr>
            <w:r>
              <w:rPr>
                <w:rFonts w:ascii="Arial" w:cs="Arial" w:eastAsia="Arial" w:hAnsi="Arial"/>
                <w:sz w:val="14"/>
                <w:szCs w:val="14"/>
                <w:b w:val="1"/>
                <w:bCs w:val="1"/>
                <w:color w:val="auto"/>
              </w:rPr>
              <w:t>Average</w:t>
            </w:r>
          </w:p>
        </w:tc>
        <w:tc>
          <w:tcPr>
            <w:tcW w:w="2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62"/>
        </w:trPr>
        <w:tc>
          <w:tcPr>
            <w:tcW w:w="2220" w:type="dxa"/>
            <w:vAlign w:val="bottom"/>
          </w:tcPr>
          <w:p>
            <w:pPr>
              <w:spacing w:after="0"/>
              <w:rPr>
                <w:sz w:val="14"/>
                <w:szCs w:val="14"/>
                <w:color w:val="auto"/>
              </w:rPr>
            </w:pPr>
          </w:p>
        </w:tc>
        <w:tc>
          <w:tcPr>
            <w:tcW w:w="980" w:type="dxa"/>
            <w:vAlign w:val="bottom"/>
            <w:gridSpan w:val="2"/>
          </w:tcPr>
          <w:p>
            <w:pPr>
              <w:ind w:left="140"/>
              <w:spacing w:after="0"/>
              <w:rPr>
                <w:sz w:val="20"/>
                <w:szCs w:val="20"/>
                <w:color w:val="auto"/>
              </w:rPr>
            </w:pPr>
            <w:r>
              <w:rPr>
                <w:rFonts w:ascii="Arial" w:cs="Arial" w:eastAsia="Arial" w:hAnsi="Arial"/>
                <w:sz w:val="14"/>
                <w:szCs w:val="14"/>
                <w:b w:val="1"/>
                <w:bCs w:val="1"/>
                <w:color w:val="auto"/>
              </w:rPr>
              <w:t>Backlog</w:t>
            </w:r>
          </w:p>
        </w:tc>
        <w:tc>
          <w:tcPr>
            <w:tcW w:w="120" w:type="dxa"/>
            <w:vAlign w:val="bottom"/>
          </w:tcPr>
          <w:p>
            <w:pPr>
              <w:spacing w:after="0"/>
              <w:rPr>
                <w:sz w:val="14"/>
                <w:szCs w:val="14"/>
                <w:color w:val="auto"/>
              </w:rPr>
            </w:pPr>
          </w:p>
        </w:tc>
        <w:tc>
          <w:tcPr>
            <w:tcW w:w="880" w:type="dxa"/>
            <w:vAlign w:val="bottom"/>
            <w:gridSpan w:val="2"/>
          </w:tcPr>
          <w:p>
            <w:pPr>
              <w:jc w:val="center"/>
              <w:ind w:right="340"/>
              <w:spacing w:after="0"/>
              <w:rPr>
                <w:sz w:val="20"/>
                <w:szCs w:val="20"/>
                <w:color w:val="auto"/>
              </w:rPr>
            </w:pPr>
            <w:r>
              <w:rPr>
                <w:rFonts w:ascii="Arial" w:cs="Arial" w:eastAsia="Arial" w:hAnsi="Arial"/>
                <w:sz w:val="14"/>
                <w:szCs w:val="14"/>
                <w:b w:val="1"/>
                <w:bCs w:val="1"/>
                <w:color w:val="auto"/>
                <w:w w:val="95"/>
              </w:rPr>
              <w:t>Dollar</w:t>
            </w:r>
          </w:p>
        </w:tc>
        <w:tc>
          <w:tcPr>
            <w:tcW w:w="120" w:type="dxa"/>
            <w:vAlign w:val="bottom"/>
          </w:tcPr>
          <w:p>
            <w:pPr>
              <w:spacing w:after="0"/>
              <w:rPr>
                <w:sz w:val="14"/>
                <w:szCs w:val="14"/>
                <w:color w:val="auto"/>
              </w:rPr>
            </w:pPr>
          </w:p>
        </w:tc>
        <w:tc>
          <w:tcPr>
            <w:tcW w:w="880" w:type="dxa"/>
            <w:vAlign w:val="bottom"/>
            <w:gridSpan w:val="2"/>
          </w:tcPr>
          <w:p>
            <w:pPr>
              <w:jc w:val="center"/>
              <w:ind w:right="340"/>
              <w:spacing w:after="0"/>
              <w:rPr>
                <w:sz w:val="20"/>
                <w:szCs w:val="20"/>
                <w:color w:val="auto"/>
              </w:rPr>
            </w:pPr>
            <w:r>
              <w:rPr>
                <w:rFonts w:ascii="Arial" w:cs="Arial" w:eastAsia="Arial" w:hAnsi="Arial"/>
                <w:sz w:val="14"/>
                <w:szCs w:val="14"/>
                <w:b w:val="1"/>
                <w:bCs w:val="1"/>
                <w:color w:val="auto"/>
                <w:w w:val="81"/>
              </w:rPr>
              <w:t>Sales</w:t>
            </w:r>
          </w:p>
        </w:tc>
        <w:tc>
          <w:tcPr>
            <w:tcW w:w="1000" w:type="dxa"/>
            <w:vAlign w:val="bottom"/>
            <w:gridSpan w:val="2"/>
          </w:tcPr>
          <w:p>
            <w:pPr>
              <w:ind w:left="140"/>
              <w:spacing w:after="0"/>
              <w:rPr>
                <w:sz w:val="20"/>
                <w:szCs w:val="20"/>
                <w:color w:val="auto"/>
              </w:rPr>
            </w:pPr>
            <w:r>
              <w:rPr>
                <w:rFonts w:ascii="Arial" w:cs="Arial" w:eastAsia="Arial" w:hAnsi="Arial"/>
                <w:sz w:val="14"/>
                <w:szCs w:val="14"/>
                <w:b w:val="1"/>
                <w:bCs w:val="1"/>
                <w:color w:val="auto"/>
              </w:rPr>
              <w:t>Backlog</w:t>
            </w:r>
          </w:p>
        </w:tc>
        <w:tc>
          <w:tcPr>
            <w:tcW w:w="120" w:type="dxa"/>
            <w:vAlign w:val="bottom"/>
          </w:tcPr>
          <w:p>
            <w:pPr>
              <w:spacing w:after="0"/>
              <w:rPr>
                <w:sz w:val="14"/>
                <w:szCs w:val="14"/>
                <w:color w:val="auto"/>
              </w:rPr>
            </w:pPr>
          </w:p>
        </w:tc>
        <w:tc>
          <w:tcPr>
            <w:tcW w:w="880" w:type="dxa"/>
            <w:vAlign w:val="bottom"/>
            <w:gridSpan w:val="2"/>
          </w:tcPr>
          <w:p>
            <w:pPr>
              <w:jc w:val="center"/>
              <w:ind w:right="340"/>
              <w:spacing w:after="0"/>
              <w:rPr>
                <w:sz w:val="20"/>
                <w:szCs w:val="20"/>
                <w:color w:val="auto"/>
              </w:rPr>
            </w:pPr>
            <w:r>
              <w:rPr>
                <w:rFonts w:ascii="Arial" w:cs="Arial" w:eastAsia="Arial" w:hAnsi="Arial"/>
                <w:sz w:val="14"/>
                <w:szCs w:val="14"/>
                <w:b w:val="1"/>
                <w:bCs w:val="1"/>
                <w:color w:val="auto"/>
                <w:w w:val="95"/>
              </w:rPr>
              <w:t>Dollar</w:t>
            </w:r>
          </w:p>
        </w:tc>
        <w:tc>
          <w:tcPr>
            <w:tcW w:w="120" w:type="dxa"/>
            <w:vAlign w:val="bottom"/>
          </w:tcPr>
          <w:p>
            <w:pPr>
              <w:spacing w:after="0"/>
              <w:rPr>
                <w:sz w:val="14"/>
                <w:szCs w:val="14"/>
                <w:color w:val="auto"/>
              </w:rPr>
            </w:pPr>
          </w:p>
        </w:tc>
        <w:tc>
          <w:tcPr>
            <w:tcW w:w="880" w:type="dxa"/>
            <w:vAlign w:val="bottom"/>
            <w:gridSpan w:val="2"/>
          </w:tcPr>
          <w:p>
            <w:pPr>
              <w:jc w:val="center"/>
              <w:ind w:right="340"/>
              <w:spacing w:after="0"/>
              <w:rPr>
                <w:sz w:val="20"/>
                <w:szCs w:val="20"/>
                <w:color w:val="auto"/>
              </w:rPr>
            </w:pPr>
            <w:r>
              <w:rPr>
                <w:rFonts w:ascii="Arial" w:cs="Arial" w:eastAsia="Arial" w:hAnsi="Arial"/>
                <w:sz w:val="14"/>
                <w:szCs w:val="14"/>
                <w:b w:val="1"/>
                <w:bCs w:val="1"/>
                <w:color w:val="auto"/>
                <w:w w:val="81"/>
              </w:rPr>
              <w:t>Sales</w:t>
            </w:r>
          </w:p>
        </w:tc>
        <w:tc>
          <w:tcPr>
            <w:tcW w:w="1120" w:type="dxa"/>
            <w:vAlign w:val="bottom"/>
            <w:gridSpan w:val="2"/>
          </w:tcPr>
          <w:p>
            <w:pPr>
              <w:jc w:val="right"/>
              <w:ind w:right="408"/>
              <w:spacing w:after="0"/>
              <w:rPr>
                <w:sz w:val="20"/>
                <w:szCs w:val="20"/>
                <w:color w:val="auto"/>
              </w:rPr>
            </w:pPr>
            <w:r>
              <w:rPr>
                <w:rFonts w:ascii="Arial" w:cs="Arial" w:eastAsia="Arial" w:hAnsi="Arial"/>
                <w:sz w:val="14"/>
                <w:szCs w:val="14"/>
                <w:b w:val="1"/>
                <w:bCs w:val="1"/>
                <w:color w:val="auto"/>
              </w:rPr>
              <w:t>Backlog</w:t>
            </w:r>
          </w:p>
        </w:tc>
        <w:tc>
          <w:tcPr>
            <w:tcW w:w="1100" w:type="dxa"/>
            <w:vAlign w:val="bottom"/>
            <w:gridSpan w:val="2"/>
          </w:tcPr>
          <w:p>
            <w:pPr>
              <w:jc w:val="center"/>
              <w:ind w:right="360"/>
              <w:spacing w:after="0"/>
              <w:rPr>
                <w:sz w:val="20"/>
                <w:szCs w:val="20"/>
                <w:color w:val="auto"/>
              </w:rPr>
            </w:pPr>
            <w:r>
              <w:rPr>
                <w:rFonts w:ascii="Arial" w:cs="Arial" w:eastAsia="Arial" w:hAnsi="Arial"/>
                <w:sz w:val="14"/>
                <w:szCs w:val="14"/>
                <w:b w:val="1"/>
                <w:bCs w:val="1"/>
                <w:color w:val="auto"/>
                <w:w w:val="95"/>
              </w:rPr>
              <w:t>Dollar</w:t>
            </w:r>
          </w:p>
        </w:tc>
        <w:tc>
          <w:tcPr>
            <w:tcW w:w="1000" w:type="dxa"/>
            <w:vAlign w:val="bottom"/>
            <w:gridSpan w:val="2"/>
          </w:tcPr>
          <w:p>
            <w:pPr>
              <w:jc w:val="right"/>
              <w:ind w:right="460"/>
              <w:spacing w:after="0"/>
              <w:rPr>
                <w:sz w:val="20"/>
                <w:szCs w:val="20"/>
                <w:color w:val="auto"/>
              </w:rPr>
            </w:pPr>
            <w:r>
              <w:rPr>
                <w:rFonts w:ascii="Arial" w:cs="Arial" w:eastAsia="Arial" w:hAnsi="Arial"/>
                <w:sz w:val="14"/>
                <w:szCs w:val="14"/>
                <w:b w:val="1"/>
                <w:bCs w:val="1"/>
                <w:color w:val="auto"/>
              </w:rPr>
              <w:t>Sales</w:t>
            </w:r>
          </w:p>
        </w:tc>
        <w:tc>
          <w:tcPr>
            <w:tcW w:w="0" w:type="dxa"/>
            <w:vAlign w:val="bottom"/>
          </w:tcPr>
          <w:p>
            <w:pPr>
              <w:spacing w:after="0"/>
              <w:rPr>
                <w:sz w:val="1"/>
                <w:szCs w:val="1"/>
                <w:color w:val="auto"/>
              </w:rPr>
            </w:pPr>
          </w:p>
        </w:tc>
      </w:tr>
      <w:tr>
        <w:trPr>
          <w:trHeight w:val="171"/>
        </w:trPr>
        <w:tc>
          <w:tcPr>
            <w:tcW w:w="2220" w:type="dxa"/>
            <w:vAlign w:val="bottom"/>
            <w:tcBorders>
              <w:bottom w:val="single" w:sz="8" w:color="CFF0FC"/>
            </w:tcBorders>
          </w:tcPr>
          <w:p>
            <w:pPr>
              <w:spacing w:after="0"/>
              <w:rPr>
                <w:sz w:val="14"/>
                <w:szCs w:val="14"/>
                <w:color w:val="auto"/>
              </w:rPr>
            </w:pPr>
          </w:p>
        </w:tc>
        <w:tc>
          <w:tcPr>
            <w:tcW w:w="780" w:type="dxa"/>
            <w:vAlign w:val="bottom"/>
            <w:tcBorders>
              <w:bottom w:val="single" w:sz="8" w:color="auto"/>
            </w:tcBorders>
          </w:tcPr>
          <w:p>
            <w:pPr>
              <w:jc w:val="right"/>
              <w:ind w:right="155"/>
              <w:spacing w:after="0"/>
              <w:rPr>
                <w:sz w:val="20"/>
                <w:szCs w:val="20"/>
                <w:color w:val="auto"/>
              </w:rPr>
            </w:pPr>
            <w:r>
              <w:rPr>
                <w:rFonts w:ascii="Arial" w:cs="Arial" w:eastAsia="Arial" w:hAnsi="Arial"/>
                <w:sz w:val="14"/>
                <w:szCs w:val="14"/>
                <w:b w:val="1"/>
                <w:bCs w:val="1"/>
                <w:color w:val="auto"/>
              </w:rPr>
              <w:t>Units</w:t>
            </w:r>
          </w:p>
        </w:tc>
        <w:tc>
          <w:tcPr>
            <w:tcW w:w="200" w:type="dxa"/>
            <w:vAlign w:val="bottom"/>
            <w:tcBorders>
              <w:bottom w:val="single" w:sz="8" w:color="CFF0FC"/>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680" w:type="dxa"/>
            <w:vAlign w:val="bottom"/>
            <w:tcBorders>
              <w:bottom w:val="single" w:sz="8" w:color="auto"/>
            </w:tcBorders>
          </w:tcPr>
          <w:p>
            <w:pPr>
              <w:jc w:val="center"/>
              <w:ind w:right="55"/>
              <w:spacing w:after="0"/>
              <w:rPr>
                <w:sz w:val="20"/>
                <w:szCs w:val="20"/>
                <w:color w:val="auto"/>
              </w:rPr>
            </w:pPr>
            <w:r>
              <w:rPr>
                <w:rFonts w:ascii="Arial" w:cs="Arial" w:eastAsia="Arial" w:hAnsi="Arial"/>
                <w:sz w:val="14"/>
                <w:szCs w:val="14"/>
                <w:b w:val="1"/>
                <w:bCs w:val="1"/>
                <w:color w:val="auto"/>
                <w:w w:val="90"/>
              </w:rPr>
              <w:t>Value</w:t>
            </w:r>
          </w:p>
        </w:tc>
        <w:tc>
          <w:tcPr>
            <w:tcW w:w="200" w:type="dxa"/>
            <w:vAlign w:val="bottom"/>
            <w:tcBorders>
              <w:bottom w:val="single" w:sz="8" w:color="CFF0FC"/>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680" w:type="dxa"/>
            <w:vAlign w:val="bottom"/>
            <w:tcBorders>
              <w:bottom w:val="single" w:sz="8" w:color="auto"/>
            </w:tcBorders>
          </w:tcPr>
          <w:p>
            <w:pPr>
              <w:jc w:val="center"/>
              <w:ind w:right="35"/>
              <w:spacing w:after="0"/>
              <w:rPr>
                <w:sz w:val="20"/>
                <w:szCs w:val="20"/>
                <w:color w:val="auto"/>
              </w:rPr>
            </w:pPr>
            <w:r>
              <w:rPr>
                <w:rFonts w:ascii="Arial" w:cs="Arial" w:eastAsia="Arial" w:hAnsi="Arial"/>
                <w:sz w:val="14"/>
                <w:szCs w:val="14"/>
                <w:b w:val="1"/>
                <w:bCs w:val="1"/>
                <w:color w:val="auto"/>
                <w:w w:val="93"/>
              </w:rPr>
              <w:t>Price</w:t>
            </w:r>
          </w:p>
        </w:tc>
        <w:tc>
          <w:tcPr>
            <w:tcW w:w="200" w:type="dxa"/>
            <w:vAlign w:val="bottom"/>
            <w:tcBorders>
              <w:bottom w:val="single" w:sz="8" w:color="CFF0FC"/>
            </w:tcBorders>
          </w:tcPr>
          <w:p>
            <w:pPr>
              <w:spacing w:after="0"/>
              <w:rPr>
                <w:sz w:val="14"/>
                <w:szCs w:val="14"/>
                <w:color w:val="auto"/>
              </w:rPr>
            </w:pPr>
          </w:p>
        </w:tc>
        <w:tc>
          <w:tcPr>
            <w:tcW w:w="800" w:type="dxa"/>
            <w:vAlign w:val="bottom"/>
            <w:tcBorders>
              <w:bottom w:val="single" w:sz="8" w:color="auto"/>
            </w:tcBorders>
          </w:tcPr>
          <w:p>
            <w:pPr>
              <w:jc w:val="right"/>
              <w:ind w:right="155"/>
              <w:spacing w:after="0"/>
              <w:rPr>
                <w:sz w:val="20"/>
                <w:szCs w:val="20"/>
                <w:color w:val="auto"/>
              </w:rPr>
            </w:pPr>
            <w:r>
              <w:rPr>
                <w:rFonts w:ascii="Arial" w:cs="Arial" w:eastAsia="Arial" w:hAnsi="Arial"/>
                <w:sz w:val="14"/>
                <w:szCs w:val="14"/>
                <w:b w:val="1"/>
                <w:bCs w:val="1"/>
                <w:color w:val="auto"/>
              </w:rPr>
              <w:t>Units</w:t>
            </w:r>
          </w:p>
        </w:tc>
        <w:tc>
          <w:tcPr>
            <w:tcW w:w="200" w:type="dxa"/>
            <w:vAlign w:val="bottom"/>
            <w:tcBorders>
              <w:bottom w:val="single" w:sz="8" w:color="CFF0FC"/>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680" w:type="dxa"/>
            <w:vAlign w:val="bottom"/>
            <w:tcBorders>
              <w:bottom w:val="single" w:sz="8" w:color="auto"/>
            </w:tcBorders>
          </w:tcPr>
          <w:p>
            <w:pPr>
              <w:jc w:val="center"/>
              <w:ind w:right="55"/>
              <w:spacing w:after="0"/>
              <w:rPr>
                <w:sz w:val="20"/>
                <w:szCs w:val="20"/>
                <w:color w:val="auto"/>
              </w:rPr>
            </w:pPr>
            <w:r>
              <w:rPr>
                <w:rFonts w:ascii="Arial" w:cs="Arial" w:eastAsia="Arial" w:hAnsi="Arial"/>
                <w:sz w:val="14"/>
                <w:szCs w:val="14"/>
                <w:b w:val="1"/>
                <w:bCs w:val="1"/>
                <w:color w:val="auto"/>
                <w:w w:val="90"/>
              </w:rPr>
              <w:t>Value</w:t>
            </w:r>
          </w:p>
        </w:tc>
        <w:tc>
          <w:tcPr>
            <w:tcW w:w="200" w:type="dxa"/>
            <w:vAlign w:val="bottom"/>
            <w:tcBorders>
              <w:bottom w:val="single" w:sz="8" w:color="CFF0FC"/>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660" w:type="dxa"/>
            <w:vAlign w:val="bottom"/>
            <w:tcBorders>
              <w:bottom w:val="single" w:sz="8" w:color="auto"/>
            </w:tcBorders>
          </w:tcPr>
          <w:p>
            <w:pPr>
              <w:jc w:val="center"/>
              <w:ind w:right="15"/>
              <w:spacing w:after="0"/>
              <w:rPr>
                <w:sz w:val="20"/>
                <w:szCs w:val="20"/>
                <w:color w:val="auto"/>
              </w:rPr>
            </w:pPr>
            <w:r>
              <w:rPr>
                <w:rFonts w:ascii="Arial" w:cs="Arial" w:eastAsia="Arial" w:hAnsi="Arial"/>
                <w:sz w:val="14"/>
                <w:szCs w:val="14"/>
                <w:b w:val="1"/>
                <w:bCs w:val="1"/>
                <w:color w:val="auto"/>
                <w:w w:val="93"/>
              </w:rPr>
              <w:t>Price</w:t>
            </w:r>
          </w:p>
        </w:tc>
        <w:tc>
          <w:tcPr>
            <w:tcW w:w="220" w:type="dxa"/>
            <w:vAlign w:val="bottom"/>
            <w:tcBorders>
              <w:bottom w:val="single" w:sz="8" w:color="CFF0FC"/>
            </w:tcBorders>
          </w:tcPr>
          <w:p>
            <w:pPr>
              <w:spacing w:after="0"/>
              <w:rPr>
                <w:sz w:val="14"/>
                <w:szCs w:val="14"/>
                <w:color w:val="auto"/>
              </w:rPr>
            </w:pPr>
          </w:p>
        </w:tc>
        <w:tc>
          <w:tcPr>
            <w:tcW w:w="780" w:type="dxa"/>
            <w:vAlign w:val="bottom"/>
            <w:tcBorders>
              <w:bottom w:val="single" w:sz="8" w:color="auto"/>
            </w:tcBorders>
          </w:tcPr>
          <w:p>
            <w:pPr>
              <w:jc w:val="right"/>
              <w:ind w:right="154"/>
              <w:spacing w:after="0"/>
              <w:rPr>
                <w:sz w:val="20"/>
                <w:szCs w:val="20"/>
                <w:color w:val="auto"/>
              </w:rPr>
            </w:pPr>
            <w:r>
              <w:rPr>
                <w:rFonts w:ascii="Arial" w:cs="Arial" w:eastAsia="Arial" w:hAnsi="Arial"/>
                <w:sz w:val="14"/>
                <w:szCs w:val="14"/>
                <w:b w:val="1"/>
                <w:bCs w:val="1"/>
                <w:color w:val="auto"/>
              </w:rPr>
              <w:t>Units</w:t>
            </w:r>
          </w:p>
        </w:tc>
        <w:tc>
          <w:tcPr>
            <w:tcW w:w="340" w:type="dxa"/>
            <w:vAlign w:val="bottom"/>
            <w:tcBorders>
              <w:bottom w:val="single" w:sz="8" w:color="CFF0FC"/>
            </w:tcBorders>
          </w:tcPr>
          <w:p>
            <w:pPr>
              <w:spacing w:after="0"/>
              <w:rPr>
                <w:sz w:val="14"/>
                <w:szCs w:val="14"/>
                <w:color w:val="auto"/>
              </w:rPr>
            </w:pPr>
          </w:p>
        </w:tc>
        <w:tc>
          <w:tcPr>
            <w:tcW w:w="76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0"/>
              </w:rPr>
              <w:t>Value</w:t>
            </w:r>
          </w:p>
        </w:tc>
        <w:tc>
          <w:tcPr>
            <w:tcW w:w="340" w:type="dxa"/>
            <w:vAlign w:val="bottom"/>
            <w:tcBorders>
              <w:bottom w:val="single" w:sz="8" w:color="CFF0FC"/>
            </w:tcBorders>
          </w:tcPr>
          <w:p>
            <w:pPr>
              <w:spacing w:after="0"/>
              <w:rPr>
                <w:sz w:val="14"/>
                <w:szCs w:val="14"/>
                <w:color w:val="auto"/>
              </w:rPr>
            </w:pPr>
          </w:p>
        </w:tc>
        <w:tc>
          <w:tcPr>
            <w:tcW w:w="780" w:type="dxa"/>
            <w:vAlign w:val="bottom"/>
            <w:tcBorders>
              <w:bottom w:val="single" w:sz="8" w:color="auto"/>
            </w:tcBorders>
          </w:tcPr>
          <w:p>
            <w:pPr>
              <w:jc w:val="right"/>
              <w:ind w:right="155"/>
              <w:spacing w:after="0"/>
              <w:rPr>
                <w:sz w:val="20"/>
                <w:szCs w:val="20"/>
                <w:color w:val="auto"/>
              </w:rPr>
            </w:pPr>
            <w:r>
              <w:rPr>
                <w:rFonts w:ascii="Arial" w:cs="Arial" w:eastAsia="Arial" w:hAnsi="Arial"/>
                <w:sz w:val="14"/>
                <w:szCs w:val="14"/>
                <w:b w:val="1"/>
                <w:bCs w:val="1"/>
                <w:color w:val="auto"/>
              </w:rPr>
              <w:t>Price</w:t>
            </w:r>
          </w:p>
        </w:tc>
        <w:tc>
          <w:tcPr>
            <w:tcW w:w="220" w:type="dxa"/>
            <w:vAlign w:val="bottom"/>
            <w:tcBorders>
              <w:bottom w:val="single" w:sz="8" w:color="CFF0FC"/>
            </w:tcBorders>
          </w:tcPr>
          <w:p>
            <w:pPr>
              <w:spacing w:after="0"/>
              <w:rPr>
                <w:sz w:val="14"/>
                <w:szCs w:val="14"/>
                <w:color w:val="auto"/>
              </w:rPr>
            </w:pPr>
          </w:p>
        </w:tc>
        <w:tc>
          <w:tcPr>
            <w:tcW w:w="0" w:type="dxa"/>
            <w:vAlign w:val="bottom"/>
          </w:tcPr>
          <w:p>
            <w:pPr>
              <w:spacing w:after="0"/>
              <w:rPr>
                <w:sz w:val="1"/>
                <w:szCs w:val="1"/>
                <w:color w:val="auto"/>
              </w:rPr>
            </w:pPr>
          </w:p>
        </w:tc>
      </w:tr>
      <w:tr>
        <w:trPr>
          <w:trHeight w:val="223"/>
        </w:trPr>
        <w:tc>
          <w:tcPr>
            <w:tcW w:w="2220" w:type="dxa"/>
            <w:vAlign w:val="bottom"/>
            <w:shd w:val="clear" w:color="auto" w:fill="CFF0FC"/>
          </w:tcPr>
          <w:p>
            <w:pPr>
              <w:spacing w:after="0"/>
              <w:rPr>
                <w:sz w:val="20"/>
                <w:szCs w:val="20"/>
                <w:color w:val="auto"/>
              </w:rPr>
            </w:pPr>
            <w:r>
              <w:rPr>
                <w:rFonts w:ascii="Arial" w:cs="Arial" w:eastAsia="Arial" w:hAnsi="Arial"/>
                <w:sz w:val="18"/>
                <w:szCs w:val="18"/>
                <w:color w:val="auto"/>
              </w:rPr>
              <w:t>Maracay</w:t>
            </w:r>
          </w:p>
        </w:tc>
        <w:tc>
          <w:tcPr>
            <w:tcW w:w="7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181</w:t>
            </w:r>
          </w:p>
        </w:tc>
        <w:tc>
          <w:tcPr>
            <w:tcW w:w="200" w:type="dxa"/>
            <w:vAlign w:val="bottom"/>
            <w:shd w:val="clear" w:color="auto" w:fill="CFF0FC"/>
          </w:tcPr>
          <w:p>
            <w:pPr>
              <w:spacing w:after="0"/>
              <w:rPr>
                <w:sz w:val="19"/>
                <w:szCs w:val="19"/>
                <w:color w:val="auto"/>
              </w:rPr>
            </w:pPr>
          </w:p>
        </w:tc>
        <w:tc>
          <w:tcPr>
            <w:tcW w:w="120" w:type="dxa"/>
            <w:vAlign w:val="bottom"/>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6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67,817</w:t>
            </w:r>
          </w:p>
        </w:tc>
        <w:tc>
          <w:tcPr>
            <w:tcW w:w="200" w:type="dxa"/>
            <w:vAlign w:val="bottom"/>
            <w:shd w:val="clear" w:color="auto" w:fill="CFF0FC"/>
          </w:tcPr>
          <w:p>
            <w:pPr>
              <w:spacing w:after="0"/>
              <w:rPr>
                <w:sz w:val="19"/>
                <w:szCs w:val="19"/>
                <w:color w:val="auto"/>
              </w:rPr>
            </w:pPr>
          </w:p>
        </w:tc>
        <w:tc>
          <w:tcPr>
            <w:tcW w:w="120" w:type="dxa"/>
            <w:vAlign w:val="bottom"/>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6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375</w:t>
            </w:r>
          </w:p>
        </w:tc>
        <w:tc>
          <w:tcPr>
            <w:tcW w:w="200" w:type="dxa"/>
            <w:vAlign w:val="bottom"/>
            <w:shd w:val="clear" w:color="auto" w:fill="CFF0FC"/>
          </w:tcPr>
          <w:p>
            <w:pPr>
              <w:spacing w:after="0"/>
              <w:rPr>
                <w:sz w:val="19"/>
                <w:szCs w:val="19"/>
                <w:color w:val="auto"/>
              </w:rPr>
            </w:pPr>
          </w:p>
        </w:tc>
        <w:tc>
          <w:tcPr>
            <w:tcW w:w="8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122</w:t>
            </w:r>
          </w:p>
        </w:tc>
        <w:tc>
          <w:tcPr>
            <w:tcW w:w="200" w:type="dxa"/>
            <w:vAlign w:val="bottom"/>
            <w:shd w:val="clear" w:color="auto" w:fill="CFF0FC"/>
          </w:tcPr>
          <w:p>
            <w:pPr>
              <w:spacing w:after="0"/>
              <w:rPr>
                <w:sz w:val="19"/>
                <w:szCs w:val="19"/>
                <w:color w:val="auto"/>
              </w:rPr>
            </w:pPr>
          </w:p>
        </w:tc>
        <w:tc>
          <w:tcPr>
            <w:tcW w:w="120" w:type="dxa"/>
            <w:vAlign w:val="bottom"/>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6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47,623</w:t>
            </w:r>
          </w:p>
        </w:tc>
        <w:tc>
          <w:tcPr>
            <w:tcW w:w="200" w:type="dxa"/>
            <w:vAlign w:val="bottom"/>
            <w:shd w:val="clear" w:color="auto" w:fill="CFF0FC"/>
          </w:tcPr>
          <w:p>
            <w:pPr>
              <w:spacing w:after="0"/>
              <w:rPr>
                <w:sz w:val="19"/>
                <w:szCs w:val="19"/>
                <w:color w:val="auto"/>
              </w:rPr>
            </w:pPr>
          </w:p>
        </w:tc>
        <w:tc>
          <w:tcPr>
            <w:tcW w:w="120" w:type="dxa"/>
            <w:vAlign w:val="bottom"/>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6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390</w:t>
            </w:r>
          </w:p>
        </w:tc>
        <w:tc>
          <w:tcPr>
            <w:tcW w:w="220" w:type="dxa"/>
            <w:vAlign w:val="bottom"/>
            <w:shd w:val="clear" w:color="auto" w:fill="CFF0FC"/>
          </w:tcPr>
          <w:p>
            <w:pPr>
              <w:spacing w:after="0"/>
              <w:rPr>
                <w:sz w:val="19"/>
                <w:szCs w:val="19"/>
                <w:color w:val="auto"/>
              </w:rPr>
            </w:pPr>
          </w:p>
        </w:tc>
        <w:tc>
          <w:tcPr>
            <w:tcW w:w="1120" w:type="dxa"/>
            <w:vAlign w:val="bottom"/>
            <w:gridSpan w:val="2"/>
            <w:shd w:val="clear" w:color="auto" w:fill="CFF0FC"/>
          </w:tcPr>
          <w:p>
            <w:pPr>
              <w:jc w:val="right"/>
              <w:ind w:right="128"/>
              <w:spacing w:after="0"/>
              <w:rPr>
                <w:sz w:val="20"/>
                <w:szCs w:val="20"/>
                <w:color w:val="auto"/>
              </w:rPr>
            </w:pPr>
            <w:r>
              <w:rPr>
                <w:rFonts w:ascii="Arial" w:cs="Arial" w:eastAsia="Arial" w:hAnsi="Arial"/>
                <w:sz w:val="18"/>
                <w:szCs w:val="18"/>
                <w:color w:val="auto"/>
              </w:rPr>
              <w:t>48%</w:t>
            </w:r>
          </w:p>
        </w:tc>
        <w:tc>
          <w:tcPr>
            <w:tcW w:w="1100" w:type="dxa"/>
            <w:vAlign w:val="bottom"/>
            <w:gridSpan w:val="2"/>
            <w:shd w:val="clear" w:color="auto" w:fill="CFF0FC"/>
          </w:tcPr>
          <w:p>
            <w:pPr>
              <w:jc w:val="right"/>
              <w:ind w:right="180"/>
              <w:spacing w:after="0"/>
              <w:rPr>
                <w:sz w:val="20"/>
                <w:szCs w:val="20"/>
                <w:color w:val="auto"/>
              </w:rPr>
            </w:pPr>
            <w:r>
              <w:rPr>
                <w:rFonts w:ascii="Arial" w:cs="Arial" w:eastAsia="Arial" w:hAnsi="Arial"/>
                <w:sz w:val="18"/>
                <w:szCs w:val="18"/>
                <w:color w:val="auto"/>
              </w:rPr>
              <w:t>42%</w:t>
            </w:r>
          </w:p>
        </w:tc>
        <w:tc>
          <w:tcPr>
            <w:tcW w:w="1000" w:type="dxa"/>
            <w:vAlign w:val="bottom"/>
            <w:gridSpan w:val="2"/>
            <w:shd w:val="clear" w:color="auto" w:fill="CFF0FC"/>
          </w:tcPr>
          <w:p>
            <w:pPr>
              <w:jc w:val="right"/>
              <w:ind w:right="20"/>
              <w:spacing w:after="0"/>
              <w:rPr>
                <w:sz w:val="20"/>
                <w:szCs w:val="20"/>
                <w:color w:val="auto"/>
              </w:rPr>
            </w:pPr>
            <w:r>
              <w:rPr>
                <w:rFonts w:ascii="Arial" w:cs="Arial" w:eastAsia="Arial" w:hAnsi="Arial"/>
                <w:sz w:val="18"/>
                <w:szCs w:val="18"/>
                <w:color w:val="auto"/>
              </w:rPr>
              <w:t>(4)%</w:t>
            </w:r>
          </w:p>
        </w:tc>
        <w:tc>
          <w:tcPr>
            <w:tcW w:w="0" w:type="dxa"/>
            <w:vAlign w:val="bottom"/>
          </w:tcPr>
          <w:p>
            <w:pPr>
              <w:spacing w:after="0"/>
              <w:rPr>
                <w:sz w:val="1"/>
                <w:szCs w:val="1"/>
                <w:color w:val="auto"/>
              </w:rPr>
            </w:pPr>
          </w:p>
        </w:tc>
      </w:tr>
      <w:tr>
        <w:trPr>
          <w:trHeight w:val="230"/>
        </w:trPr>
        <w:tc>
          <w:tcPr>
            <w:tcW w:w="2220" w:type="dxa"/>
            <w:vAlign w:val="bottom"/>
          </w:tcPr>
          <w:p>
            <w:pPr>
              <w:spacing w:after="0"/>
              <w:rPr>
                <w:sz w:val="20"/>
                <w:szCs w:val="20"/>
                <w:color w:val="auto"/>
              </w:rPr>
            </w:pPr>
            <w:r>
              <w:rPr>
                <w:rFonts w:ascii="Arial" w:cs="Arial" w:eastAsia="Arial" w:hAnsi="Arial"/>
                <w:sz w:val="18"/>
                <w:szCs w:val="18"/>
                <w:color w:val="auto"/>
              </w:rPr>
              <w:t>Pardee</w:t>
            </w:r>
          </w:p>
        </w:tc>
        <w:tc>
          <w:tcPr>
            <w:tcW w:w="780" w:type="dxa"/>
            <w:vAlign w:val="bottom"/>
          </w:tcPr>
          <w:p>
            <w:pPr>
              <w:jc w:val="right"/>
              <w:spacing w:after="0"/>
              <w:rPr>
                <w:sz w:val="20"/>
                <w:szCs w:val="20"/>
                <w:color w:val="auto"/>
              </w:rPr>
            </w:pPr>
            <w:r>
              <w:rPr>
                <w:rFonts w:ascii="Arial" w:cs="Arial" w:eastAsia="Arial" w:hAnsi="Arial"/>
                <w:sz w:val="18"/>
                <w:szCs w:val="18"/>
                <w:color w:val="auto"/>
              </w:rPr>
              <w:t>358</w:t>
            </w:r>
          </w:p>
        </w:tc>
        <w:tc>
          <w:tcPr>
            <w:tcW w:w="2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680" w:type="dxa"/>
            <w:vAlign w:val="bottom"/>
          </w:tcPr>
          <w:p>
            <w:pPr>
              <w:jc w:val="right"/>
              <w:spacing w:after="0"/>
              <w:rPr>
                <w:sz w:val="20"/>
                <w:szCs w:val="20"/>
                <w:color w:val="auto"/>
              </w:rPr>
            </w:pPr>
            <w:r>
              <w:rPr>
                <w:rFonts w:ascii="Arial" w:cs="Arial" w:eastAsia="Arial" w:hAnsi="Arial"/>
                <w:sz w:val="18"/>
                <w:szCs w:val="18"/>
                <w:color w:val="auto"/>
                <w:w w:val="98"/>
              </w:rPr>
              <w:t>228,206</w:t>
            </w:r>
          </w:p>
        </w:tc>
        <w:tc>
          <w:tcPr>
            <w:tcW w:w="2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680" w:type="dxa"/>
            <w:vAlign w:val="bottom"/>
          </w:tcPr>
          <w:p>
            <w:pPr>
              <w:jc w:val="right"/>
              <w:spacing w:after="0"/>
              <w:rPr>
                <w:sz w:val="20"/>
                <w:szCs w:val="20"/>
                <w:color w:val="auto"/>
              </w:rPr>
            </w:pPr>
            <w:r>
              <w:rPr>
                <w:rFonts w:ascii="Arial" w:cs="Arial" w:eastAsia="Arial" w:hAnsi="Arial"/>
                <w:sz w:val="18"/>
                <w:szCs w:val="18"/>
                <w:color w:val="auto"/>
              </w:rPr>
              <w:t>637</w:t>
            </w:r>
          </w:p>
        </w:tc>
        <w:tc>
          <w:tcPr>
            <w:tcW w:w="200" w:type="dxa"/>
            <w:vAlign w:val="bottom"/>
          </w:tcPr>
          <w:p>
            <w:pPr>
              <w:spacing w:after="0"/>
              <w:rPr>
                <w:sz w:val="19"/>
                <w:szCs w:val="19"/>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390</w:t>
            </w:r>
          </w:p>
        </w:tc>
        <w:tc>
          <w:tcPr>
            <w:tcW w:w="2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680" w:type="dxa"/>
            <w:vAlign w:val="bottom"/>
          </w:tcPr>
          <w:p>
            <w:pPr>
              <w:jc w:val="right"/>
              <w:spacing w:after="0"/>
              <w:rPr>
                <w:sz w:val="20"/>
                <w:szCs w:val="20"/>
                <w:color w:val="auto"/>
              </w:rPr>
            </w:pPr>
            <w:r>
              <w:rPr>
                <w:rFonts w:ascii="Arial" w:cs="Arial" w:eastAsia="Arial" w:hAnsi="Arial"/>
                <w:sz w:val="18"/>
                <w:szCs w:val="18"/>
                <w:color w:val="auto"/>
                <w:w w:val="98"/>
              </w:rPr>
              <w:t>220,596</w:t>
            </w:r>
          </w:p>
        </w:tc>
        <w:tc>
          <w:tcPr>
            <w:tcW w:w="2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566</w:t>
            </w:r>
          </w:p>
        </w:tc>
        <w:tc>
          <w:tcPr>
            <w:tcW w:w="220" w:type="dxa"/>
            <w:vAlign w:val="bottom"/>
          </w:tcPr>
          <w:p>
            <w:pPr>
              <w:spacing w:after="0"/>
              <w:rPr>
                <w:sz w:val="19"/>
                <w:szCs w:val="19"/>
                <w:color w:val="auto"/>
              </w:rPr>
            </w:pPr>
          </w:p>
        </w:tc>
        <w:tc>
          <w:tcPr>
            <w:tcW w:w="1120" w:type="dxa"/>
            <w:vAlign w:val="bottom"/>
            <w:gridSpan w:val="2"/>
          </w:tcPr>
          <w:p>
            <w:pPr>
              <w:jc w:val="right"/>
              <w:ind w:right="68"/>
              <w:spacing w:after="0"/>
              <w:rPr>
                <w:sz w:val="20"/>
                <w:szCs w:val="20"/>
                <w:color w:val="auto"/>
              </w:rPr>
            </w:pPr>
            <w:r>
              <w:rPr>
                <w:rFonts w:ascii="Arial" w:cs="Arial" w:eastAsia="Arial" w:hAnsi="Arial"/>
                <w:sz w:val="18"/>
                <w:szCs w:val="18"/>
                <w:color w:val="auto"/>
              </w:rPr>
              <w:t>(8)%</w:t>
            </w:r>
          </w:p>
        </w:tc>
        <w:tc>
          <w:tcPr>
            <w:tcW w:w="1100" w:type="dxa"/>
            <w:vAlign w:val="bottom"/>
            <w:gridSpan w:val="2"/>
          </w:tcPr>
          <w:p>
            <w:pPr>
              <w:jc w:val="right"/>
              <w:ind w:right="180"/>
              <w:spacing w:after="0"/>
              <w:rPr>
                <w:sz w:val="20"/>
                <w:szCs w:val="20"/>
                <w:color w:val="auto"/>
              </w:rPr>
            </w:pPr>
            <w:r>
              <w:rPr>
                <w:rFonts w:ascii="Arial" w:cs="Arial" w:eastAsia="Arial" w:hAnsi="Arial"/>
                <w:sz w:val="18"/>
                <w:szCs w:val="18"/>
                <w:color w:val="auto"/>
              </w:rPr>
              <w:t>3%</w:t>
            </w:r>
          </w:p>
        </w:tc>
        <w:tc>
          <w:tcPr>
            <w:tcW w:w="1000" w:type="dxa"/>
            <w:vAlign w:val="bottom"/>
            <w:gridSpan w:val="2"/>
          </w:tcPr>
          <w:p>
            <w:pPr>
              <w:jc w:val="right"/>
              <w:ind w:right="80"/>
              <w:spacing w:after="0"/>
              <w:rPr>
                <w:sz w:val="20"/>
                <w:szCs w:val="20"/>
                <w:color w:val="auto"/>
              </w:rPr>
            </w:pPr>
            <w:r>
              <w:rPr>
                <w:rFonts w:ascii="Arial" w:cs="Arial" w:eastAsia="Arial" w:hAnsi="Arial"/>
                <w:sz w:val="18"/>
                <w:szCs w:val="18"/>
                <w:color w:val="auto"/>
              </w:rPr>
              <w:t>13%</w:t>
            </w:r>
          </w:p>
        </w:tc>
        <w:tc>
          <w:tcPr>
            <w:tcW w:w="0" w:type="dxa"/>
            <w:vAlign w:val="bottom"/>
          </w:tcPr>
          <w:p>
            <w:pPr>
              <w:spacing w:after="0"/>
              <w:rPr>
                <w:sz w:val="1"/>
                <w:szCs w:val="1"/>
                <w:color w:val="auto"/>
              </w:rPr>
            </w:pPr>
          </w:p>
        </w:tc>
      </w:tr>
      <w:tr>
        <w:trPr>
          <w:trHeight w:val="230"/>
        </w:trPr>
        <w:tc>
          <w:tcPr>
            <w:tcW w:w="2220" w:type="dxa"/>
            <w:vAlign w:val="bottom"/>
            <w:shd w:val="clear" w:color="auto" w:fill="CFF0FC"/>
          </w:tcPr>
          <w:p>
            <w:pPr>
              <w:spacing w:after="0"/>
              <w:rPr>
                <w:sz w:val="20"/>
                <w:szCs w:val="20"/>
                <w:color w:val="auto"/>
              </w:rPr>
            </w:pPr>
            <w:r>
              <w:rPr>
                <w:rFonts w:ascii="Arial" w:cs="Arial" w:eastAsia="Arial" w:hAnsi="Arial"/>
                <w:sz w:val="18"/>
                <w:szCs w:val="18"/>
                <w:color w:val="auto"/>
              </w:rPr>
              <w:t>Quadrant</w:t>
            </w:r>
          </w:p>
        </w:tc>
        <w:tc>
          <w:tcPr>
            <w:tcW w:w="7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170</w:t>
            </w:r>
          </w:p>
        </w:tc>
        <w:tc>
          <w:tcPr>
            <w:tcW w:w="20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6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68,952</w:t>
            </w:r>
          </w:p>
        </w:tc>
        <w:tc>
          <w:tcPr>
            <w:tcW w:w="20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6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406</w:t>
            </w:r>
          </w:p>
        </w:tc>
        <w:tc>
          <w:tcPr>
            <w:tcW w:w="200" w:type="dxa"/>
            <w:vAlign w:val="bottom"/>
            <w:shd w:val="clear" w:color="auto" w:fill="CFF0FC"/>
          </w:tcPr>
          <w:p>
            <w:pPr>
              <w:spacing w:after="0"/>
              <w:rPr>
                <w:sz w:val="19"/>
                <w:szCs w:val="19"/>
                <w:color w:val="auto"/>
              </w:rPr>
            </w:pPr>
          </w:p>
        </w:tc>
        <w:tc>
          <w:tcPr>
            <w:tcW w:w="8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116</w:t>
            </w:r>
          </w:p>
        </w:tc>
        <w:tc>
          <w:tcPr>
            <w:tcW w:w="20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6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55,517</w:t>
            </w:r>
          </w:p>
        </w:tc>
        <w:tc>
          <w:tcPr>
            <w:tcW w:w="20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6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479</w:t>
            </w:r>
          </w:p>
        </w:tc>
        <w:tc>
          <w:tcPr>
            <w:tcW w:w="220" w:type="dxa"/>
            <w:vAlign w:val="bottom"/>
            <w:shd w:val="clear" w:color="auto" w:fill="CFF0FC"/>
          </w:tcPr>
          <w:p>
            <w:pPr>
              <w:spacing w:after="0"/>
              <w:rPr>
                <w:sz w:val="19"/>
                <w:szCs w:val="19"/>
                <w:color w:val="auto"/>
              </w:rPr>
            </w:pPr>
          </w:p>
        </w:tc>
        <w:tc>
          <w:tcPr>
            <w:tcW w:w="1120" w:type="dxa"/>
            <w:vAlign w:val="bottom"/>
            <w:gridSpan w:val="2"/>
            <w:shd w:val="clear" w:color="auto" w:fill="CFF0FC"/>
          </w:tcPr>
          <w:p>
            <w:pPr>
              <w:jc w:val="right"/>
              <w:ind w:right="128"/>
              <w:spacing w:after="0"/>
              <w:rPr>
                <w:sz w:val="20"/>
                <w:szCs w:val="20"/>
                <w:color w:val="auto"/>
              </w:rPr>
            </w:pPr>
            <w:r>
              <w:rPr>
                <w:rFonts w:ascii="Arial" w:cs="Arial" w:eastAsia="Arial" w:hAnsi="Arial"/>
                <w:sz w:val="18"/>
                <w:szCs w:val="18"/>
                <w:color w:val="auto"/>
              </w:rPr>
              <w:t>47%</w:t>
            </w:r>
          </w:p>
        </w:tc>
        <w:tc>
          <w:tcPr>
            <w:tcW w:w="1100" w:type="dxa"/>
            <w:vAlign w:val="bottom"/>
            <w:gridSpan w:val="2"/>
            <w:shd w:val="clear" w:color="auto" w:fill="CFF0FC"/>
          </w:tcPr>
          <w:p>
            <w:pPr>
              <w:jc w:val="right"/>
              <w:ind w:right="180"/>
              <w:spacing w:after="0"/>
              <w:rPr>
                <w:sz w:val="20"/>
                <w:szCs w:val="20"/>
                <w:color w:val="auto"/>
              </w:rPr>
            </w:pPr>
            <w:r>
              <w:rPr>
                <w:rFonts w:ascii="Arial" w:cs="Arial" w:eastAsia="Arial" w:hAnsi="Arial"/>
                <w:sz w:val="18"/>
                <w:szCs w:val="18"/>
                <w:color w:val="auto"/>
              </w:rPr>
              <w:t>24%</w:t>
            </w:r>
          </w:p>
        </w:tc>
        <w:tc>
          <w:tcPr>
            <w:tcW w:w="1000" w:type="dxa"/>
            <w:vAlign w:val="bottom"/>
            <w:gridSpan w:val="2"/>
            <w:shd w:val="clear" w:color="auto" w:fill="CFF0FC"/>
          </w:tcPr>
          <w:p>
            <w:pPr>
              <w:jc w:val="right"/>
              <w:ind w:right="20"/>
              <w:spacing w:after="0"/>
              <w:rPr>
                <w:sz w:val="20"/>
                <w:szCs w:val="20"/>
                <w:color w:val="auto"/>
              </w:rPr>
            </w:pPr>
            <w:r>
              <w:rPr>
                <w:rFonts w:ascii="Arial" w:cs="Arial" w:eastAsia="Arial" w:hAnsi="Arial"/>
                <w:sz w:val="18"/>
                <w:szCs w:val="18"/>
                <w:color w:val="auto"/>
              </w:rPr>
              <w:t>(15)%</w:t>
            </w:r>
          </w:p>
        </w:tc>
        <w:tc>
          <w:tcPr>
            <w:tcW w:w="0" w:type="dxa"/>
            <w:vAlign w:val="bottom"/>
          </w:tcPr>
          <w:p>
            <w:pPr>
              <w:spacing w:after="0"/>
              <w:rPr>
                <w:sz w:val="1"/>
                <w:szCs w:val="1"/>
                <w:color w:val="auto"/>
              </w:rPr>
            </w:pPr>
          </w:p>
        </w:tc>
      </w:tr>
      <w:tr>
        <w:trPr>
          <w:trHeight w:val="230"/>
        </w:trPr>
        <w:tc>
          <w:tcPr>
            <w:tcW w:w="2220" w:type="dxa"/>
            <w:vAlign w:val="bottom"/>
          </w:tcPr>
          <w:p>
            <w:pPr>
              <w:spacing w:after="0"/>
              <w:rPr>
                <w:sz w:val="20"/>
                <w:szCs w:val="20"/>
                <w:color w:val="auto"/>
              </w:rPr>
            </w:pPr>
            <w:r>
              <w:rPr>
                <w:rFonts w:ascii="Arial" w:cs="Arial" w:eastAsia="Arial" w:hAnsi="Arial"/>
                <w:sz w:val="18"/>
                <w:szCs w:val="18"/>
                <w:color w:val="auto"/>
              </w:rPr>
              <w:t>Trendmaker</w:t>
            </w:r>
          </w:p>
        </w:tc>
        <w:tc>
          <w:tcPr>
            <w:tcW w:w="780" w:type="dxa"/>
            <w:vAlign w:val="bottom"/>
          </w:tcPr>
          <w:p>
            <w:pPr>
              <w:jc w:val="right"/>
              <w:spacing w:after="0"/>
              <w:rPr>
                <w:sz w:val="20"/>
                <w:szCs w:val="20"/>
                <w:color w:val="auto"/>
              </w:rPr>
            </w:pPr>
            <w:r>
              <w:rPr>
                <w:rFonts w:ascii="Arial" w:cs="Arial" w:eastAsia="Arial" w:hAnsi="Arial"/>
                <w:sz w:val="18"/>
                <w:szCs w:val="18"/>
                <w:color w:val="auto"/>
              </w:rPr>
              <w:t>242</w:t>
            </w:r>
          </w:p>
        </w:tc>
        <w:tc>
          <w:tcPr>
            <w:tcW w:w="2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680" w:type="dxa"/>
            <w:vAlign w:val="bottom"/>
          </w:tcPr>
          <w:p>
            <w:pPr>
              <w:jc w:val="right"/>
              <w:spacing w:after="0"/>
              <w:rPr>
                <w:sz w:val="20"/>
                <w:szCs w:val="20"/>
                <w:color w:val="auto"/>
              </w:rPr>
            </w:pPr>
            <w:r>
              <w:rPr>
                <w:rFonts w:ascii="Arial" w:cs="Arial" w:eastAsia="Arial" w:hAnsi="Arial"/>
                <w:sz w:val="18"/>
                <w:szCs w:val="18"/>
                <w:color w:val="auto"/>
                <w:w w:val="98"/>
              </w:rPr>
              <w:t>128,206</w:t>
            </w:r>
          </w:p>
        </w:tc>
        <w:tc>
          <w:tcPr>
            <w:tcW w:w="2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680" w:type="dxa"/>
            <w:vAlign w:val="bottom"/>
          </w:tcPr>
          <w:p>
            <w:pPr>
              <w:jc w:val="right"/>
              <w:spacing w:after="0"/>
              <w:rPr>
                <w:sz w:val="20"/>
                <w:szCs w:val="20"/>
                <w:color w:val="auto"/>
              </w:rPr>
            </w:pPr>
            <w:r>
              <w:rPr>
                <w:rFonts w:ascii="Arial" w:cs="Arial" w:eastAsia="Arial" w:hAnsi="Arial"/>
                <w:sz w:val="18"/>
                <w:szCs w:val="18"/>
                <w:color w:val="auto"/>
              </w:rPr>
              <w:t>530</w:t>
            </w:r>
          </w:p>
        </w:tc>
        <w:tc>
          <w:tcPr>
            <w:tcW w:w="200" w:type="dxa"/>
            <w:vAlign w:val="bottom"/>
          </w:tcPr>
          <w:p>
            <w:pPr>
              <w:spacing w:after="0"/>
              <w:rPr>
                <w:sz w:val="19"/>
                <w:szCs w:val="19"/>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235</w:t>
            </w:r>
          </w:p>
        </w:tc>
        <w:tc>
          <w:tcPr>
            <w:tcW w:w="2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680" w:type="dxa"/>
            <w:vAlign w:val="bottom"/>
          </w:tcPr>
          <w:p>
            <w:pPr>
              <w:jc w:val="right"/>
              <w:spacing w:after="0"/>
              <w:rPr>
                <w:sz w:val="20"/>
                <w:szCs w:val="20"/>
                <w:color w:val="auto"/>
              </w:rPr>
            </w:pPr>
            <w:r>
              <w:rPr>
                <w:rFonts w:ascii="Arial" w:cs="Arial" w:eastAsia="Arial" w:hAnsi="Arial"/>
                <w:sz w:val="18"/>
                <w:szCs w:val="18"/>
                <w:color w:val="auto"/>
                <w:w w:val="98"/>
              </w:rPr>
              <w:t>119,055</w:t>
            </w:r>
          </w:p>
        </w:tc>
        <w:tc>
          <w:tcPr>
            <w:tcW w:w="2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507</w:t>
            </w:r>
          </w:p>
        </w:tc>
        <w:tc>
          <w:tcPr>
            <w:tcW w:w="220" w:type="dxa"/>
            <w:vAlign w:val="bottom"/>
          </w:tcPr>
          <w:p>
            <w:pPr>
              <w:spacing w:after="0"/>
              <w:rPr>
                <w:sz w:val="19"/>
                <w:szCs w:val="19"/>
                <w:color w:val="auto"/>
              </w:rPr>
            </w:pPr>
          </w:p>
        </w:tc>
        <w:tc>
          <w:tcPr>
            <w:tcW w:w="1120" w:type="dxa"/>
            <w:vAlign w:val="bottom"/>
            <w:gridSpan w:val="2"/>
          </w:tcPr>
          <w:p>
            <w:pPr>
              <w:jc w:val="right"/>
              <w:ind w:right="128"/>
              <w:spacing w:after="0"/>
              <w:rPr>
                <w:sz w:val="20"/>
                <w:szCs w:val="20"/>
                <w:color w:val="auto"/>
              </w:rPr>
            </w:pPr>
            <w:r>
              <w:rPr>
                <w:rFonts w:ascii="Arial" w:cs="Arial" w:eastAsia="Arial" w:hAnsi="Arial"/>
                <w:sz w:val="18"/>
                <w:szCs w:val="18"/>
                <w:color w:val="auto"/>
              </w:rPr>
              <w:t>3%</w:t>
            </w:r>
          </w:p>
        </w:tc>
        <w:tc>
          <w:tcPr>
            <w:tcW w:w="1100" w:type="dxa"/>
            <w:vAlign w:val="bottom"/>
            <w:gridSpan w:val="2"/>
          </w:tcPr>
          <w:p>
            <w:pPr>
              <w:jc w:val="right"/>
              <w:ind w:right="180"/>
              <w:spacing w:after="0"/>
              <w:rPr>
                <w:sz w:val="20"/>
                <w:szCs w:val="20"/>
                <w:color w:val="auto"/>
              </w:rPr>
            </w:pPr>
            <w:r>
              <w:rPr>
                <w:rFonts w:ascii="Arial" w:cs="Arial" w:eastAsia="Arial" w:hAnsi="Arial"/>
                <w:sz w:val="18"/>
                <w:szCs w:val="18"/>
                <w:color w:val="auto"/>
              </w:rPr>
              <w:t>8%</w:t>
            </w:r>
          </w:p>
        </w:tc>
        <w:tc>
          <w:tcPr>
            <w:tcW w:w="1000" w:type="dxa"/>
            <w:vAlign w:val="bottom"/>
            <w:gridSpan w:val="2"/>
          </w:tcPr>
          <w:p>
            <w:pPr>
              <w:jc w:val="right"/>
              <w:ind w:right="80"/>
              <w:spacing w:after="0"/>
              <w:rPr>
                <w:sz w:val="20"/>
                <w:szCs w:val="20"/>
                <w:color w:val="auto"/>
              </w:rPr>
            </w:pPr>
            <w:r>
              <w:rPr>
                <w:rFonts w:ascii="Arial" w:cs="Arial" w:eastAsia="Arial" w:hAnsi="Arial"/>
                <w:sz w:val="18"/>
                <w:szCs w:val="18"/>
                <w:color w:val="auto"/>
              </w:rPr>
              <w:t>5%</w:t>
            </w:r>
          </w:p>
        </w:tc>
        <w:tc>
          <w:tcPr>
            <w:tcW w:w="0" w:type="dxa"/>
            <w:vAlign w:val="bottom"/>
          </w:tcPr>
          <w:p>
            <w:pPr>
              <w:spacing w:after="0"/>
              <w:rPr>
                <w:sz w:val="1"/>
                <w:szCs w:val="1"/>
                <w:color w:val="auto"/>
              </w:rPr>
            </w:pPr>
          </w:p>
        </w:tc>
      </w:tr>
      <w:tr>
        <w:trPr>
          <w:trHeight w:val="230"/>
        </w:trPr>
        <w:tc>
          <w:tcPr>
            <w:tcW w:w="2220" w:type="dxa"/>
            <w:vAlign w:val="bottom"/>
            <w:shd w:val="clear" w:color="auto" w:fill="CFF0FC"/>
          </w:tcPr>
          <w:p>
            <w:pPr>
              <w:spacing w:after="0"/>
              <w:rPr>
                <w:sz w:val="20"/>
                <w:szCs w:val="20"/>
                <w:color w:val="auto"/>
              </w:rPr>
            </w:pPr>
            <w:r>
              <w:rPr>
                <w:rFonts w:ascii="Arial" w:cs="Arial" w:eastAsia="Arial" w:hAnsi="Arial"/>
                <w:sz w:val="18"/>
                <w:szCs w:val="18"/>
                <w:color w:val="auto"/>
              </w:rPr>
              <w:t>TRI Pointe</w:t>
            </w:r>
          </w:p>
        </w:tc>
        <w:tc>
          <w:tcPr>
            <w:tcW w:w="7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440</w:t>
            </w:r>
          </w:p>
        </w:tc>
        <w:tc>
          <w:tcPr>
            <w:tcW w:w="20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680" w:type="dxa"/>
            <w:vAlign w:val="bottom"/>
            <w:shd w:val="clear" w:color="auto" w:fill="CFF0FC"/>
          </w:tcPr>
          <w:p>
            <w:pPr>
              <w:jc w:val="right"/>
              <w:spacing w:after="0"/>
              <w:rPr>
                <w:sz w:val="20"/>
                <w:szCs w:val="20"/>
                <w:color w:val="auto"/>
              </w:rPr>
            </w:pPr>
            <w:r>
              <w:rPr>
                <w:rFonts w:ascii="Arial" w:cs="Arial" w:eastAsia="Arial" w:hAnsi="Arial"/>
                <w:sz w:val="18"/>
                <w:szCs w:val="18"/>
                <w:color w:val="auto"/>
                <w:w w:val="98"/>
              </w:rPr>
              <w:t>323,215</w:t>
            </w:r>
          </w:p>
        </w:tc>
        <w:tc>
          <w:tcPr>
            <w:tcW w:w="20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6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735</w:t>
            </w:r>
          </w:p>
        </w:tc>
        <w:tc>
          <w:tcPr>
            <w:tcW w:w="200" w:type="dxa"/>
            <w:vAlign w:val="bottom"/>
            <w:shd w:val="clear" w:color="auto" w:fill="CFF0FC"/>
          </w:tcPr>
          <w:p>
            <w:pPr>
              <w:spacing w:after="0"/>
              <w:rPr>
                <w:sz w:val="19"/>
                <w:szCs w:val="19"/>
                <w:color w:val="auto"/>
              </w:rPr>
            </w:pPr>
          </w:p>
        </w:tc>
        <w:tc>
          <w:tcPr>
            <w:tcW w:w="1000" w:type="dxa"/>
            <w:vAlign w:val="bottom"/>
            <w:gridSpan w:val="2"/>
            <w:shd w:val="clear" w:color="auto" w:fill="CFF0FC"/>
          </w:tcPr>
          <w:p>
            <w:pPr>
              <w:jc w:val="right"/>
              <w:ind w:right="220"/>
              <w:spacing w:after="0"/>
              <w:rPr>
                <w:sz w:val="20"/>
                <w:szCs w:val="20"/>
                <w:color w:val="auto"/>
              </w:rPr>
            </w:pPr>
            <w:r>
              <w:rPr>
                <w:rFonts w:ascii="Arial" w:cs="Arial" w:eastAsia="Arial" w:hAnsi="Arial"/>
                <w:sz w:val="18"/>
                <w:szCs w:val="18"/>
                <w:color w:val="auto"/>
              </w:rPr>
              <w:t>—</w:t>
            </w:r>
          </w:p>
        </w:tc>
        <w:tc>
          <w:tcPr>
            <w:tcW w:w="120" w:type="dxa"/>
            <w:vAlign w:val="bottom"/>
            <w:shd w:val="clear" w:color="auto" w:fill="CFF0FC"/>
          </w:tcPr>
          <w:p>
            <w:pPr>
              <w:spacing w:after="0"/>
              <w:rPr>
                <w:sz w:val="19"/>
                <w:szCs w:val="19"/>
                <w:color w:val="auto"/>
              </w:rPr>
            </w:pPr>
          </w:p>
        </w:tc>
        <w:tc>
          <w:tcPr>
            <w:tcW w:w="880" w:type="dxa"/>
            <w:vAlign w:val="bottom"/>
            <w:gridSpan w:val="2"/>
            <w:shd w:val="clear" w:color="auto" w:fill="CFF0FC"/>
          </w:tcPr>
          <w:p>
            <w:pPr>
              <w:jc w:val="right"/>
              <w:ind w:right="220"/>
              <w:spacing w:after="0"/>
              <w:rPr>
                <w:sz w:val="20"/>
                <w:szCs w:val="20"/>
                <w:color w:val="auto"/>
              </w:rPr>
            </w:pPr>
            <w:r>
              <w:rPr>
                <w:rFonts w:ascii="Arial" w:cs="Arial" w:eastAsia="Arial" w:hAnsi="Arial"/>
                <w:sz w:val="18"/>
                <w:szCs w:val="18"/>
                <w:color w:val="auto"/>
              </w:rPr>
              <w:t>—</w:t>
            </w:r>
          </w:p>
        </w:tc>
        <w:tc>
          <w:tcPr>
            <w:tcW w:w="120" w:type="dxa"/>
            <w:vAlign w:val="bottom"/>
            <w:shd w:val="clear" w:color="auto" w:fill="CFF0FC"/>
          </w:tcPr>
          <w:p>
            <w:pPr>
              <w:spacing w:after="0"/>
              <w:rPr>
                <w:sz w:val="19"/>
                <w:szCs w:val="19"/>
                <w:color w:val="auto"/>
              </w:rPr>
            </w:pPr>
          </w:p>
        </w:tc>
        <w:tc>
          <w:tcPr>
            <w:tcW w:w="880" w:type="dxa"/>
            <w:vAlign w:val="bottom"/>
            <w:gridSpan w:val="2"/>
            <w:shd w:val="clear" w:color="auto" w:fill="CFF0FC"/>
          </w:tcPr>
          <w:p>
            <w:pPr>
              <w:jc w:val="right"/>
              <w:ind w:right="220"/>
              <w:spacing w:after="0"/>
              <w:rPr>
                <w:sz w:val="20"/>
                <w:szCs w:val="20"/>
                <w:color w:val="auto"/>
              </w:rPr>
            </w:pPr>
            <w:r>
              <w:rPr>
                <w:rFonts w:ascii="Arial" w:cs="Arial" w:eastAsia="Arial" w:hAnsi="Arial"/>
                <w:sz w:val="18"/>
                <w:szCs w:val="18"/>
                <w:color w:val="auto"/>
              </w:rPr>
              <w:t>—</w:t>
            </w:r>
          </w:p>
        </w:tc>
        <w:tc>
          <w:tcPr>
            <w:tcW w:w="1120" w:type="dxa"/>
            <w:vAlign w:val="bottom"/>
            <w:gridSpan w:val="2"/>
            <w:shd w:val="clear" w:color="auto" w:fill="CFF0FC"/>
          </w:tcPr>
          <w:p>
            <w:pPr>
              <w:jc w:val="right"/>
              <w:ind w:right="288"/>
              <w:spacing w:after="0"/>
              <w:rPr>
                <w:sz w:val="20"/>
                <w:szCs w:val="20"/>
                <w:color w:val="auto"/>
              </w:rPr>
            </w:pPr>
            <w:r>
              <w:rPr>
                <w:rFonts w:ascii="Arial" w:cs="Arial" w:eastAsia="Arial" w:hAnsi="Arial"/>
                <w:sz w:val="18"/>
                <w:szCs w:val="18"/>
                <w:color w:val="auto"/>
              </w:rPr>
              <w:t>N/A</w:t>
            </w:r>
          </w:p>
        </w:tc>
        <w:tc>
          <w:tcPr>
            <w:tcW w:w="1100" w:type="dxa"/>
            <w:vAlign w:val="bottom"/>
            <w:gridSpan w:val="2"/>
            <w:shd w:val="clear" w:color="auto" w:fill="CFF0FC"/>
          </w:tcPr>
          <w:p>
            <w:pPr>
              <w:jc w:val="right"/>
              <w:ind w:right="360"/>
              <w:spacing w:after="0"/>
              <w:rPr>
                <w:sz w:val="20"/>
                <w:szCs w:val="20"/>
                <w:color w:val="auto"/>
              </w:rPr>
            </w:pPr>
            <w:r>
              <w:rPr>
                <w:rFonts w:ascii="Arial" w:cs="Arial" w:eastAsia="Arial" w:hAnsi="Arial"/>
                <w:sz w:val="18"/>
                <w:szCs w:val="18"/>
                <w:color w:val="auto"/>
              </w:rPr>
              <w:t>N/A</w:t>
            </w:r>
          </w:p>
        </w:tc>
        <w:tc>
          <w:tcPr>
            <w:tcW w:w="1000" w:type="dxa"/>
            <w:vAlign w:val="bottom"/>
            <w:gridSpan w:val="2"/>
            <w:shd w:val="clear" w:color="auto" w:fill="CFF0FC"/>
          </w:tcPr>
          <w:p>
            <w:pPr>
              <w:jc w:val="right"/>
              <w:ind w:right="240"/>
              <w:spacing w:after="0"/>
              <w:rPr>
                <w:sz w:val="20"/>
                <w:szCs w:val="20"/>
                <w:color w:val="auto"/>
              </w:rPr>
            </w:pPr>
            <w:r>
              <w:rPr>
                <w:rFonts w:ascii="Arial" w:cs="Arial" w:eastAsia="Arial" w:hAnsi="Arial"/>
                <w:sz w:val="18"/>
                <w:szCs w:val="18"/>
                <w:color w:val="auto"/>
              </w:rPr>
              <w:t>N/A</w:t>
            </w:r>
          </w:p>
        </w:tc>
        <w:tc>
          <w:tcPr>
            <w:tcW w:w="0" w:type="dxa"/>
            <w:vAlign w:val="bottom"/>
          </w:tcPr>
          <w:p>
            <w:pPr>
              <w:spacing w:after="0"/>
              <w:rPr>
                <w:sz w:val="1"/>
                <w:szCs w:val="1"/>
                <w:color w:val="auto"/>
              </w:rPr>
            </w:pPr>
          </w:p>
        </w:tc>
      </w:tr>
      <w:tr>
        <w:trPr>
          <w:trHeight w:val="230"/>
        </w:trPr>
        <w:tc>
          <w:tcPr>
            <w:tcW w:w="2220" w:type="dxa"/>
            <w:vAlign w:val="bottom"/>
          </w:tcPr>
          <w:p>
            <w:pPr>
              <w:spacing w:after="0"/>
              <w:rPr>
                <w:sz w:val="20"/>
                <w:szCs w:val="20"/>
                <w:color w:val="auto"/>
              </w:rPr>
            </w:pPr>
            <w:r>
              <w:rPr>
                <w:rFonts w:ascii="Arial" w:cs="Arial" w:eastAsia="Arial" w:hAnsi="Arial"/>
                <w:sz w:val="18"/>
                <w:szCs w:val="18"/>
                <w:color w:val="auto"/>
              </w:rPr>
              <w:t>Winchester</w:t>
            </w:r>
          </w:p>
        </w:tc>
        <w:tc>
          <w:tcPr>
            <w:tcW w:w="780" w:type="dxa"/>
            <w:vAlign w:val="bottom"/>
          </w:tcPr>
          <w:p>
            <w:pPr>
              <w:jc w:val="right"/>
              <w:spacing w:after="0"/>
              <w:rPr>
                <w:sz w:val="20"/>
                <w:szCs w:val="20"/>
                <w:color w:val="auto"/>
              </w:rPr>
            </w:pPr>
            <w:r>
              <w:rPr>
                <w:rFonts w:ascii="Arial" w:cs="Arial" w:eastAsia="Arial" w:hAnsi="Arial"/>
                <w:sz w:val="18"/>
                <w:szCs w:val="18"/>
                <w:color w:val="auto"/>
              </w:rPr>
              <w:t>167</w:t>
            </w:r>
          </w:p>
        </w:tc>
        <w:tc>
          <w:tcPr>
            <w:tcW w:w="2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680" w:type="dxa"/>
            <w:vAlign w:val="bottom"/>
          </w:tcPr>
          <w:p>
            <w:pPr>
              <w:jc w:val="right"/>
              <w:spacing w:after="0"/>
              <w:rPr>
                <w:sz w:val="20"/>
                <w:szCs w:val="20"/>
                <w:color w:val="auto"/>
              </w:rPr>
            </w:pPr>
            <w:r>
              <w:rPr>
                <w:rFonts w:ascii="Arial" w:cs="Arial" w:eastAsia="Arial" w:hAnsi="Arial"/>
                <w:sz w:val="18"/>
                <w:szCs w:val="18"/>
                <w:color w:val="auto"/>
                <w:w w:val="98"/>
              </w:rPr>
              <w:t>126,956</w:t>
            </w:r>
          </w:p>
        </w:tc>
        <w:tc>
          <w:tcPr>
            <w:tcW w:w="2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680" w:type="dxa"/>
            <w:vAlign w:val="bottom"/>
          </w:tcPr>
          <w:p>
            <w:pPr>
              <w:jc w:val="right"/>
              <w:spacing w:after="0"/>
              <w:rPr>
                <w:sz w:val="20"/>
                <w:szCs w:val="20"/>
                <w:color w:val="auto"/>
              </w:rPr>
            </w:pPr>
            <w:r>
              <w:rPr>
                <w:rFonts w:ascii="Arial" w:cs="Arial" w:eastAsia="Arial" w:hAnsi="Arial"/>
                <w:sz w:val="18"/>
                <w:szCs w:val="18"/>
                <w:color w:val="auto"/>
              </w:rPr>
              <w:t>760</w:t>
            </w:r>
          </w:p>
        </w:tc>
        <w:tc>
          <w:tcPr>
            <w:tcW w:w="200" w:type="dxa"/>
            <w:vAlign w:val="bottom"/>
          </w:tcPr>
          <w:p>
            <w:pPr>
              <w:spacing w:after="0"/>
              <w:rPr>
                <w:sz w:val="19"/>
                <w:szCs w:val="19"/>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193</w:t>
            </w:r>
          </w:p>
        </w:tc>
        <w:tc>
          <w:tcPr>
            <w:tcW w:w="2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680" w:type="dxa"/>
            <w:vAlign w:val="bottom"/>
          </w:tcPr>
          <w:p>
            <w:pPr>
              <w:jc w:val="right"/>
              <w:spacing w:after="0"/>
              <w:rPr>
                <w:sz w:val="20"/>
                <w:szCs w:val="20"/>
                <w:color w:val="auto"/>
              </w:rPr>
            </w:pPr>
            <w:r>
              <w:rPr>
                <w:rFonts w:ascii="Arial" w:cs="Arial" w:eastAsia="Arial" w:hAnsi="Arial"/>
                <w:sz w:val="18"/>
                <w:szCs w:val="18"/>
                <w:color w:val="auto"/>
                <w:w w:val="98"/>
              </w:rPr>
              <w:t>151,759</w:t>
            </w:r>
          </w:p>
        </w:tc>
        <w:tc>
          <w:tcPr>
            <w:tcW w:w="2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786</w:t>
            </w:r>
          </w:p>
        </w:tc>
        <w:tc>
          <w:tcPr>
            <w:tcW w:w="220" w:type="dxa"/>
            <w:vAlign w:val="bottom"/>
          </w:tcPr>
          <w:p>
            <w:pPr>
              <w:spacing w:after="0"/>
              <w:rPr>
                <w:sz w:val="19"/>
                <w:szCs w:val="19"/>
                <w:color w:val="auto"/>
              </w:rPr>
            </w:pPr>
          </w:p>
        </w:tc>
        <w:tc>
          <w:tcPr>
            <w:tcW w:w="1120" w:type="dxa"/>
            <w:vAlign w:val="bottom"/>
            <w:gridSpan w:val="2"/>
          </w:tcPr>
          <w:p>
            <w:pPr>
              <w:jc w:val="right"/>
              <w:ind w:right="68"/>
              <w:spacing w:after="0"/>
              <w:rPr>
                <w:sz w:val="20"/>
                <w:szCs w:val="20"/>
                <w:color w:val="auto"/>
              </w:rPr>
            </w:pPr>
            <w:r>
              <w:rPr>
                <w:rFonts w:ascii="Arial" w:cs="Arial" w:eastAsia="Arial" w:hAnsi="Arial"/>
                <w:sz w:val="18"/>
                <w:szCs w:val="18"/>
                <w:color w:val="auto"/>
              </w:rPr>
              <w:t>(14)%</w:t>
            </w:r>
          </w:p>
        </w:tc>
        <w:tc>
          <w:tcPr>
            <w:tcW w:w="1100" w:type="dxa"/>
            <w:vAlign w:val="bottom"/>
            <w:gridSpan w:val="2"/>
          </w:tcPr>
          <w:p>
            <w:pPr>
              <w:jc w:val="right"/>
              <w:ind w:right="120"/>
              <w:spacing w:after="0"/>
              <w:rPr>
                <w:sz w:val="20"/>
                <w:szCs w:val="20"/>
                <w:color w:val="auto"/>
              </w:rPr>
            </w:pPr>
            <w:r>
              <w:rPr>
                <w:rFonts w:ascii="Arial" w:cs="Arial" w:eastAsia="Arial" w:hAnsi="Arial"/>
                <w:sz w:val="18"/>
                <w:szCs w:val="18"/>
                <w:color w:val="auto"/>
              </w:rPr>
              <w:t>(16)%</w:t>
            </w:r>
          </w:p>
        </w:tc>
        <w:tc>
          <w:tcPr>
            <w:tcW w:w="1000" w:type="dxa"/>
            <w:vAlign w:val="bottom"/>
            <w:gridSpan w:val="2"/>
          </w:tcPr>
          <w:p>
            <w:pPr>
              <w:jc w:val="right"/>
              <w:ind w:right="20"/>
              <w:spacing w:after="0"/>
              <w:rPr>
                <w:sz w:val="20"/>
                <w:szCs w:val="20"/>
                <w:color w:val="auto"/>
              </w:rPr>
            </w:pPr>
            <w:r>
              <w:rPr>
                <w:rFonts w:ascii="Arial" w:cs="Arial" w:eastAsia="Arial" w:hAnsi="Arial"/>
                <w:sz w:val="18"/>
                <w:szCs w:val="18"/>
                <w:color w:val="auto"/>
              </w:rPr>
              <w:t>(3)%</w:t>
            </w:r>
          </w:p>
        </w:tc>
        <w:tc>
          <w:tcPr>
            <w:tcW w:w="0" w:type="dxa"/>
            <w:vAlign w:val="bottom"/>
          </w:tcPr>
          <w:p>
            <w:pPr>
              <w:spacing w:after="0"/>
              <w:rPr>
                <w:sz w:val="1"/>
                <w:szCs w:val="1"/>
                <w:color w:val="auto"/>
              </w:rPr>
            </w:pPr>
          </w:p>
        </w:tc>
      </w:tr>
      <w:tr>
        <w:trPr>
          <w:trHeight w:val="20"/>
        </w:trPr>
        <w:tc>
          <w:tcPr>
            <w:tcW w:w="2220" w:type="dxa"/>
            <w:vAlign w:val="bottom"/>
            <w:vMerge w:val="restart"/>
            <w:shd w:val="clear" w:color="auto" w:fill="CFF0FC"/>
          </w:tcPr>
          <w:p>
            <w:pPr>
              <w:ind w:left="260"/>
              <w:spacing w:after="0"/>
              <w:rPr>
                <w:sz w:val="20"/>
                <w:szCs w:val="20"/>
                <w:color w:val="auto"/>
              </w:rPr>
            </w:pPr>
            <w:r>
              <w:rPr>
                <w:rFonts w:ascii="Arial" w:cs="Arial" w:eastAsia="Arial" w:hAnsi="Arial"/>
                <w:sz w:val="18"/>
                <w:szCs w:val="18"/>
                <w:color w:val="auto"/>
              </w:rPr>
              <w:t>Total</w:t>
            </w:r>
          </w:p>
        </w:tc>
        <w:tc>
          <w:tcPr>
            <w:tcW w:w="780" w:type="dxa"/>
            <w:vAlign w:val="bottom"/>
            <w:shd w:val="clear" w:color="auto" w:fill="000000"/>
          </w:tcPr>
          <w:p>
            <w:pPr>
              <w:spacing w:after="0" w:line="20" w:lineRule="exact"/>
              <w:rPr>
                <w:sz w:val="1"/>
                <w:szCs w:val="1"/>
                <w:color w:val="auto"/>
              </w:rPr>
            </w:pPr>
          </w:p>
        </w:tc>
        <w:tc>
          <w:tcPr>
            <w:tcW w:w="200" w:type="dxa"/>
            <w:vAlign w:val="bottom"/>
            <w:shd w:val="clear" w:color="auto" w:fill="CFF0FC"/>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680" w:type="dxa"/>
            <w:vAlign w:val="bottom"/>
            <w:shd w:val="clear" w:color="auto" w:fill="000000"/>
          </w:tcPr>
          <w:p>
            <w:pPr>
              <w:spacing w:after="0" w:line="20" w:lineRule="exact"/>
              <w:rPr>
                <w:sz w:val="1"/>
                <w:szCs w:val="1"/>
                <w:color w:val="auto"/>
              </w:rPr>
            </w:pPr>
          </w:p>
        </w:tc>
        <w:tc>
          <w:tcPr>
            <w:tcW w:w="200" w:type="dxa"/>
            <w:vAlign w:val="bottom"/>
            <w:shd w:val="clear" w:color="auto" w:fill="CFF0FC"/>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680" w:type="dxa"/>
            <w:vAlign w:val="bottom"/>
            <w:shd w:val="clear" w:color="auto" w:fill="000000"/>
          </w:tcPr>
          <w:p>
            <w:pPr>
              <w:spacing w:after="0" w:line="20" w:lineRule="exact"/>
              <w:rPr>
                <w:sz w:val="1"/>
                <w:szCs w:val="1"/>
                <w:color w:val="auto"/>
              </w:rPr>
            </w:pPr>
          </w:p>
        </w:tc>
        <w:tc>
          <w:tcPr>
            <w:tcW w:w="200" w:type="dxa"/>
            <w:vAlign w:val="bottom"/>
            <w:shd w:val="clear" w:color="auto" w:fill="CFF0FC"/>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200" w:type="dxa"/>
            <w:vAlign w:val="bottom"/>
            <w:shd w:val="clear" w:color="auto" w:fill="CFF0FC"/>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680" w:type="dxa"/>
            <w:vAlign w:val="bottom"/>
            <w:shd w:val="clear" w:color="auto" w:fill="000000"/>
          </w:tcPr>
          <w:p>
            <w:pPr>
              <w:spacing w:after="0" w:line="20" w:lineRule="exact"/>
              <w:rPr>
                <w:sz w:val="1"/>
                <w:szCs w:val="1"/>
                <w:color w:val="auto"/>
              </w:rPr>
            </w:pPr>
          </w:p>
        </w:tc>
        <w:tc>
          <w:tcPr>
            <w:tcW w:w="200" w:type="dxa"/>
            <w:vAlign w:val="bottom"/>
            <w:shd w:val="clear" w:color="auto" w:fill="CFF0FC"/>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660" w:type="dxa"/>
            <w:vAlign w:val="bottom"/>
            <w:shd w:val="clear" w:color="auto" w:fill="000000"/>
          </w:tcPr>
          <w:p>
            <w:pPr>
              <w:spacing w:after="0" w:line="20" w:lineRule="exact"/>
              <w:rPr>
                <w:sz w:val="1"/>
                <w:szCs w:val="1"/>
                <w:color w:val="auto"/>
              </w:rPr>
            </w:pPr>
          </w:p>
        </w:tc>
        <w:tc>
          <w:tcPr>
            <w:tcW w:w="220" w:type="dxa"/>
            <w:vAlign w:val="bottom"/>
            <w:shd w:val="clear" w:color="auto" w:fill="CFF0FC"/>
          </w:tcPr>
          <w:p>
            <w:pPr>
              <w:spacing w:after="0" w:line="20" w:lineRule="exact"/>
              <w:rPr>
                <w:sz w:val="1"/>
                <w:szCs w:val="1"/>
                <w:color w:val="auto"/>
              </w:rPr>
            </w:pPr>
          </w:p>
        </w:tc>
        <w:tc>
          <w:tcPr>
            <w:tcW w:w="780" w:type="dxa"/>
            <w:vAlign w:val="bottom"/>
            <w:shd w:val="clear" w:color="auto" w:fill="000000"/>
          </w:tcPr>
          <w:p>
            <w:pPr>
              <w:spacing w:after="0" w:line="20" w:lineRule="exact"/>
              <w:rPr>
                <w:sz w:val="1"/>
                <w:szCs w:val="1"/>
                <w:color w:val="auto"/>
              </w:rPr>
            </w:pPr>
          </w:p>
        </w:tc>
        <w:tc>
          <w:tcPr>
            <w:tcW w:w="340" w:type="dxa"/>
            <w:vAlign w:val="bottom"/>
            <w:shd w:val="clear" w:color="auto" w:fill="CFF0FC"/>
          </w:tcPr>
          <w:p>
            <w:pPr>
              <w:spacing w:after="0" w:line="20" w:lineRule="exact"/>
              <w:rPr>
                <w:sz w:val="1"/>
                <w:szCs w:val="1"/>
                <w:color w:val="auto"/>
              </w:rPr>
            </w:pPr>
          </w:p>
        </w:tc>
        <w:tc>
          <w:tcPr>
            <w:tcW w:w="760" w:type="dxa"/>
            <w:vAlign w:val="bottom"/>
            <w:shd w:val="clear" w:color="auto" w:fill="000000"/>
          </w:tcPr>
          <w:p>
            <w:pPr>
              <w:spacing w:after="0" w:line="20" w:lineRule="exact"/>
              <w:rPr>
                <w:sz w:val="1"/>
                <w:szCs w:val="1"/>
                <w:color w:val="auto"/>
              </w:rPr>
            </w:pPr>
          </w:p>
        </w:tc>
        <w:tc>
          <w:tcPr>
            <w:tcW w:w="340" w:type="dxa"/>
            <w:vAlign w:val="bottom"/>
            <w:shd w:val="clear" w:color="auto" w:fill="CFF0FC"/>
          </w:tcPr>
          <w:p>
            <w:pPr>
              <w:spacing w:after="0" w:line="20" w:lineRule="exact"/>
              <w:rPr>
                <w:sz w:val="1"/>
                <w:szCs w:val="1"/>
                <w:color w:val="auto"/>
              </w:rPr>
            </w:pPr>
          </w:p>
        </w:tc>
        <w:tc>
          <w:tcPr>
            <w:tcW w:w="780" w:type="dxa"/>
            <w:vAlign w:val="bottom"/>
            <w:shd w:val="clear" w:color="auto" w:fill="000000"/>
          </w:tcPr>
          <w:p>
            <w:pPr>
              <w:spacing w:after="0" w:line="20" w:lineRule="exact"/>
              <w:rPr>
                <w:sz w:val="1"/>
                <w:szCs w:val="1"/>
                <w:color w:val="auto"/>
              </w:rPr>
            </w:pPr>
          </w:p>
        </w:tc>
        <w:tc>
          <w:tcPr>
            <w:tcW w:w="220" w:type="dxa"/>
            <w:vAlign w:val="bottom"/>
            <w:shd w:val="clear" w:color="auto" w:fill="CFF0FC"/>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3"/>
        </w:trPr>
        <w:tc>
          <w:tcPr>
            <w:tcW w:w="2220" w:type="dxa"/>
            <w:vAlign w:val="bottom"/>
            <w:vMerge w:val="continue"/>
            <w:shd w:val="clear" w:color="auto" w:fill="CFF0FC"/>
          </w:tcPr>
          <w:p>
            <w:pPr>
              <w:spacing w:after="0"/>
              <w:rPr>
                <w:sz w:val="19"/>
                <w:szCs w:val="19"/>
                <w:color w:val="auto"/>
              </w:rPr>
            </w:pPr>
          </w:p>
        </w:tc>
        <w:tc>
          <w:tcPr>
            <w:tcW w:w="7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1,558</w:t>
            </w:r>
          </w:p>
        </w:tc>
        <w:tc>
          <w:tcPr>
            <w:tcW w:w="200" w:type="dxa"/>
            <w:vAlign w:val="bottom"/>
            <w:shd w:val="clear" w:color="auto" w:fill="CFF0FC"/>
          </w:tcPr>
          <w:p>
            <w:pPr>
              <w:spacing w:after="0"/>
              <w:rPr>
                <w:sz w:val="19"/>
                <w:szCs w:val="19"/>
                <w:color w:val="auto"/>
              </w:rPr>
            </w:pPr>
          </w:p>
        </w:tc>
        <w:tc>
          <w:tcPr>
            <w:tcW w:w="120" w:type="dxa"/>
            <w:vAlign w:val="bottom"/>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680" w:type="dxa"/>
            <w:vAlign w:val="bottom"/>
            <w:shd w:val="clear" w:color="auto" w:fill="CFF0FC"/>
          </w:tcPr>
          <w:p>
            <w:pPr>
              <w:jc w:val="right"/>
              <w:spacing w:after="0"/>
              <w:rPr>
                <w:sz w:val="20"/>
                <w:szCs w:val="20"/>
                <w:color w:val="auto"/>
              </w:rPr>
            </w:pPr>
            <w:r>
              <w:rPr>
                <w:rFonts w:ascii="Arial" w:cs="Arial" w:eastAsia="Arial" w:hAnsi="Arial"/>
                <w:sz w:val="18"/>
                <w:szCs w:val="18"/>
                <w:color w:val="auto"/>
                <w:w w:val="98"/>
              </w:rPr>
              <w:t>943,352</w:t>
            </w:r>
          </w:p>
        </w:tc>
        <w:tc>
          <w:tcPr>
            <w:tcW w:w="200" w:type="dxa"/>
            <w:vAlign w:val="bottom"/>
            <w:shd w:val="clear" w:color="auto" w:fill="CFF0FC"/>
          </w:tcPr>
          <w:p>
            <w:pPr>
              <w:spacing w:after="0"/>
              <w:rPr>
                <w:sz w:val="19"/>
                <w:szCs w:val="19"/>
                <w:color w:val="auto"/>
              </w:rPr>
            </w:pPr>
          </w:p>
        </w:tc>
        <w:tc>
          <w:tcPr>
            <w:tcW w:w="120" w:type="dxa"/>
            <w:vAlign w:val="bottom"/>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6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605</w:t>
            </w:r>
          </w:p>
        </w:tc>
        <w:tc>
          <w:tcPr>
            <w:tcW w:w="200" w:type="dxa"/>
            <w:vAlign w:val="bottom"/>
            <w:shd w:val="clear" w:color="auto" w:fill="CFF0FC"/>
          </w:tcPr>
          <w:p>
            <w:pPr>
              <w:spacing w:after="0"/>
              <w:rPr>
                <w:sz w:val="19"/>
                <w:szCs w:val="19"/>
                <w:color w:val="auto"/>
              </w:rPr>
            </w:pPr>
          </w:p>
        </w:tc>
        <w:tc>
          <w:tcPr>
            <w:tcW w:w="8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1,056</w:t>
            </w:r>
          </w:p>
        </w:tc>
        <w:tc>
          <w:tcPr>
            <w:tcW w:w="200" w:type="dxa"/>
            <w:vAlign w:val="bottom"/>
            <w:shd w:val="clear" w:color="auto" w:fill="CFF0FC"/>
          </w:tcPr>
          <w:p>
            <w:pPr>
              <w:spacing w:after="0"/>
              <w:rPr>
                <w:sz w:val="19"/>
                <w:szCs w:val="19"/>
                <w:color w:val="auto"/>
              </w:rPr>
            </w:pPr>
          </w:p>
        </w:tc>
        <w:tc>
          <w:tcPr>
            <w:tcW w:w="120" w:type="dxa"/>
            <w:vAlign w:val="bottom"/>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680" w:type="dxa"/>
            <w:vAlign w:val="bottom"/>
            <w:shd w:val="clear" w:color="auto" w:fill="CFF0FC"/>
          </w:tcPr>
          <w:p>
            <w:pPr>
              <w:jc w:val="right"/>
              <w:spacing w:after="0"/>
              <w:rPr>
                <w:sz w:val="20"/>
                <w:szCs w:val="20"/>
                <w:color w:val="auto"/>
              </w:rPr>
            </w:pPr>
            <w:r>
              <w:rPr>
                <w:rFonts w:ascii="Arial" w:cs="Arial" w:eastAsia="Arial" w:hAnsi="Arial"/>
                <w:sz w:val="18"/>
                <w:szCs w:val="18"/>
                <w:color w:val="auto"/>
                <w:w w:val="98"/>
              </w:rPr>
              <w:t>594,550</w:t>
            </w:r>
          </w:p>
        </w:tc>
        <w:tc>
          <w:tcPr>
            <w:tcW w:w="200" w:type="dxa"/>
            <w:vAlign w:val="bottom"/>
            <w:shd w:val="clear" w:color="auto" w:fill="CFF0FC"/>
          </w:tcPr>
          <w:p>
            <w:pPr>
              <w:spacing w:after="0"/>
              <w:rPr>
                <w:sz w:val="19"/>
                <w:szCs w:val="19"/>
                <w:color w:val="auto"/>
              </w:rPr>
            </w:pPr>
          </w:p>
        </w:tc>
        <w:tc>
          <w:tcPr>
            <w:tcW w:w="120" w:type="dxa"/>
            <w:vAlign w:val="bottom"/>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6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563</w:t>
            </w:r>
          </w:p>
        </w:tc>
        <w:tc>
          <w:tcPr>
            <w:tcW w:w="220" w:type="dxa"/>
            <w:vAlign w:val="bottom"/>
            <w:shd w:val="clear" w:color="auto" w:fill="CFF0FC"/>
          </w:tcPr>
          <w:p>
            <w:pPr>
              <w:spacing w:after="0"/>
              <w:rPr>
                <w:sz w:val="19"/>
                <w:szCs w:val="19"/>
                <w:color w:val="auto"/>
              </w:rPr>
            </w:pPr>
          </w:p>
        </w:tc>
        <w:tc>
          <w:tcPr>
            <w:tcW w:w="1120" w:type="dxa"/>
            <w:vAlign w:val="bottom"/>
            <w:gridSpan w:val="2"/>
            <w:shd w:val="clear" w:color="auto" w:fill="CFF0FC"/>
          </w:tcPr>
          <w:p>
            <w:pPr>
              <w:jc w:val="right"/>
              <w:ind w:right="128"/>
              <w:spacing w:after="0"/>
              <w:rPr>
                <w:sz w:val="20"/>
                <w:szCs w:val="20"/>
                <w:color w:val="auto"/>
              </w:rPr>
            </w:pPr>
            <w:r>
              <w:rPr>
                <w:rFonts w:ascii="Arial" w:cs="Arial" w:eastAsia="Arial" w:hAnsi="Arial"/>
                <w:sz w:val="18"/>
                <w:szCs w:val="18"/>
                <w:color w:val="auto"/>
              </w:rPr>
              <w:t>48%</w:t>
            </w:r>
          </w:p>
        </w:tc>
        <w:tc>
          <w:tcPr>
            <w:tcW w:w="1100" w:type="dxa"/>
            <w:vAlign w:val="bottom"/>
            <w:gridSpan w:val="2"/>
            <w:shd w:val="clear" w:color="auto" w:fill="CFF0FC"/>
          </w:tcPr>
          <w:p>
            <w:pPr>
              <w:jc w:val="right"/>
              <w:ind w:right="180"/>
              <w:spacing w:after="0"/>
              <w:rPr>
                <w:sz w:val="20"/>
                <w:szCs w:val="20"/>
                <w:color w:val="auto"/>
              </w:rPr>
            </w:pPr>
            <w:r>
              <w:rPr>
                <w:rFonts w:ascii="Arial" w:cs="Arial" w:eastAsia="Arial" w:hAnsi="Arial"/>
                <w:sz w:val="18"/>
                <w:szCs w:val="18"/>
                <w:color w:val="auto"/>
              </w:rPr>
              <w:t>59%</w:t>
            </w:r>
          </w:p>
        </w:tc>
        <w:tc>
          <w:tcPr>
            <w:tcW w:w="1000" w:type="dxa"/>
            <w:vAlign w:val="bottom"/>
            <w:gridSpan w:val="2"/>
            <w:shd w:val="clear" w:color="auto" w:fill="CFF0FC"/>
          </w:tcPr>
          <w:p>
            <w:pPr>
              <w:jc w:val="right"/>
              <w:ind w:right="80"/>
              <w:spacing w:after="0"/>
              <w:rPr>
                <w:sz w:val="20"/>
                <w:szCs w:val="20"/>
                <w:color w:val="auto"/>
              </w:rPr>
            </w:pPr>
            <w:r>
              <w:rPr>
                <w:rFonts w:ascii="Arial" w:cs="Arial" w:eastAsia="Arial" w:hAnsi="Arial"/>
                <w:sz w:val="18"/>
                <w:szCs w:val="18"/>
                <w:color w:val="auto"/>
              </w:rPr>
              <w:t>8%</w:t>
            </w:r>
          </w:p>
        </w:tc>
        <w:tc>
          <w:tcPr>
            <w:tcW w:w="0" w:type="dxa"/>
            <w:vAlign w:val="bottom"/>
          </w:tcPr>
          <w:p>
            <w:pPr>
              <w:spacing w:after="0"/>
              <w:rPr>
                <w:sz w:val="1"/>
                <w:szCs w:val="1"/>
                <w:color w:val="auto"/>
              </w:rPr>
            </w:pPr>
          </w:p>
        </w:tc>
      </w:tr>
      <w:tr>
        <w:trPr>
          <w:trHeight w:val="20"/>
        </w:trPr>
        <w:tc>
          <w:tcPr>
            <w:tcW w:w="2220" w:type="dxa"/>
            <w:vAlign w:val="bottom"/>
            <w:tcBorders>
              <w:top w:val="single" w:sz="8" w:color="CFF0FC"/>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Borders>
              <w:top w:val="single" w:sz="8" w:color="CFF0FC"/>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Borders>
              <w:top w:val="single" w:sz="8" w:color="CFF0FC"/>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Borders>
              <w:top w:val="single" w:sz="8" w:color="CFF0FC"/>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Borders>
              <w:top w:val="single" w:sz="8" w:color="CFF0FC"/>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Borders>
              <w:top w:val="single" w:sz="8" w:color="CFF0FC"/>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CFF0FC"/>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Borders>
              <w:top w:val="single" w:sz="8" w:color="CFF0FC"/>
            </w:tcBorders>
          </w:tcPr>
          <w:p>
            <w:pPr>
              <w:spacing w:after="0" w:line="20" w:lineRule="exact"/>
              <w:rPr>
                <w:sz w:val="1"/>
                <w:szCs w:val="1"/>
                <w:color w:val="auto"/>
              </w:rPr>
            </w:pPr>
          </w:p>
        </w:tc>
        <w:tc>
          <w:tcPr>
            <w:tcW w:w="76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Borders>
              <w:top w:val="single" w:sz="8" w:color="CFF0FC"/>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CFF0F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2" w:lineRule="exact"/>
        <w:rPr>
          <w:sz w:val="20"/>
          <w:szCs w:val="20"/>
          <w:color w:val="auto"/>
        </w:rPr>
      </w:pPr>
    </w:p>
    <w:p>
      <w:pPr>
        <w:ind w:right="80" w:firstLine="518"/>
        <w:spacing w:after="0" w:line="269" w:lineRule="auto"/>
        <w:rPr>
          <w:sz w:val="20"/>
          <w:szCs w:val="20"/>
          <w:color w:val="auto"/>
        </w:rPr>
      </w:pPr>
      <w:r>
        <w:rPr>
          <w:rFonts w:ascii="Arial" w:cs="Arial" w:eastAsia="Arial" w:hAnsi="Arial"/>
          <w:sz w:val="17"/>
          <w:szCs w:val="17"/>
          <w:color w:val="auto"/>
        </w:rPr>
        <w:t>Backlog units reflects the number of homes, net of actual cancellations experienced during the period, for which we have entered into a sales contract with a customer but for which we have not yet delivered the home. Homes in backlog are generally delivered within three to nine months, although we may experience cancellations of sales contracts prior to delivery. Our cancellation rate of buyers who contracted to buy a home but did not close escrow (as a percentage of overall orders) was 11% for the three months ended March 31, 2015 as compared to 15% during the prior year period. The dollar value of backlog was $943.4 million as of March 31, 2015, an increase of $348.8 million, or 59%, compared to $594.6 million as of March 31, 2014. This increase is due to an increase in the number of homes in backlog of 502, or 48%, to 1,558 homes as of March 31, 2015 from 1,056 homes as of March 31, 2014, in addition to an increase in the average sales price of homes in backlog of $42,000, or 8%, to $605,000 as of March 31, 2015 compared to $563,000 as of March 31, 2014. The increase in the number of homes in backlog and the average sales price of homes in backlog was mainly the result of the addition of TRI Pointe, which had 440 homes in backlog and an average sales price in backlog of $735,000 as of March 31, 2015. In addition to the increases associated with TRI Pointe in the current year period, backlog dollar value increased at four of our reporting segments existing in the prior year period, with the exception of Winchester.</w:t>
      </w:r>
    </w:p>
    <w:p>
      <w:pPr>
        <w:spacing w:after="0" w:line="29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New Homes Delivered, Homes Sales Revenue and Average Sales Price by Segment (dollars in thousands)</w:t>
      </w:r>
    </w:p>
    <w:p>
      <w:pPr>
        <w:spacing w:after="0" w:line="257"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2540" w:type="dxa"/>
            <w:vAlign w:val="bottom"/>
          </w:tcPr>
          <w:p>
            <w:pPr>
              <w:spacing w:after="0"/>
              <w:rPr>
                <w:sz w:val="14"/>
                <w:szCs w:val="14"/>
                <w:color w:val="auto"/>
              </w:rPr>
            </w:pPr>
          </w:p>
        </w:tc>
        <w:tc>
          <w:tcPr>
            <w:tcW w:w="2800" w:type="dxa"/>
            <w:vAlign w:val="bottom"/>
            <w:gridSpan w:val="8"/>
          </w:tcPr>
          <w:p>
            <w:pPr>
              <w:jc w:val="center"/>
              <w:ind w:right="220"/>
              <w:spacing w:after="0"/>
              <w:rPr>
                <w:sz w:val="20"/>
                <w:szCs w:val="20"/>
                <w:color w:val="auto"/>
              </w:rPr>
            </w:pPr>
            <w:r>
              <w:rPr>
                <w:rFonts w:ascii="Arial" w:cs="Arial" w:eastAsia="Arial" w:hAnsi="Arial"/>
                <w:sz w:val="14"/>
                <w:szCs w:val="14"/>
                <w:b w:val="1"/>
                <w:bCs w:val="1"/>
                <w:color w:val="auto"/>
                <w:w w:val="95"/>
              </w:rPr>
              <w:t>Three Months Ended March 31, 2015</w:t>
            </w:r>
          </w:p>
        </w:tc>
        <w:tc>
          <w:tcPr>
            <w:tcW w:w="2860" w:type="dxa"/>
            <w:vAlign w:val="bottom"/>
            <w:gridSpan w:val="8"/>
          </w:tcPr>
          <w:p>
            <w:pPr>
              <w:jc w:val="center"/>
              <w:ind w:right="240"/>
              <w:spacing w:after="0"/>
              <w:rPr>
                <w:sz w:val="20"/>
                <w:szCs w:val="20"/>
                <w:color w:val="auto"/>
              </w:rPr>
            </w:pPr>
            <w:r>
              <w:rPr>
                <w:rFonts w:ascii="Arial" w:cs="Arial" w:eastAsia="Arial" w:hAnsi="Arial"/>
                <w:sz w:val="14"/>
                <w:szCs w:val="14"/>
                <w:b w:val="1"/>
                <w:bCs w:val="1"/>
                <w:color w:val="auto"/>
                <w:w w:val="95"/>
              </w:rPr>
              <w:t>Three Months Ended March 31, 2014</w:t>
            </w:r>
          </w:p>
        </w:tc>
        <w:tc>
          <w:tcPr>
            <w:tcW w:w="740" w:type="dxa"/>
            <w:vAlign w:val="bottom"/>
          </w:tcPr>
          <w:p>
            <w:pPr>
              <w:spacing w:after="0"/>
              <w:rPr>
                <w:sz w:val="14"/>
                <w:szCs w:val="14"/>
                <w:color w:val="auto"/>
              </w:rPr>
            </w:pPr>
          </w:p>
        </w:tc>
        <w:tc>
          <w:tcPr>
            <w:tcW w:w="1480" w:type="dxa"/>
            <w:vAlign w:val="bottom"/>
            <w:gridSpan w:val="3"/>
          </w:tcPr>
          <w:p>
            <w:pPr>
              <w:jc w:val="center"/>
              <w:spacing w:after="0"/>
              <w:rPr>
                <w:sz w:val="20"/>
                <w:szCs w:val="20"/>
                <w:color w:val="auto"/>
              </w:rPr>
            </w:pPr>
            <w:r>
              <w:rPr>
                <w:rFonts w:ascii="Arial" w:cs="Arial" w:eastAsia="Arial" w:hAnsi="Arial"/>
                <w:sz w:val="14"/>
                <w:szCs w:val="14"/>
                <w:b w:val="1"/>
                <w:bCs w:val="1"/>
                <w:color w:val="auto"/>
                <w:w w:val="91"/>
              </w:rPr>
              <w:t>Percentage Change</w:t>
            </w:r>
          </w:p>
        </w:tc>
        <w:tc>
          <w:tcPr>
            <w:tcW w:w="76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6"/>
        </w:trPr>
        <w:tc>
          <w:tcPr>
            <w:tcW w:w="2540" w:type="dxa"/>
            <w:vAlign w:val="bottom"/>
          </w:tcPr>
          <w:p>
            <w:pPr>
              <w:spacing w:after="0"/>
              <w:rPr>
                <w:sz w:val="12"/>
                <w:szCs w:val="12"/>
                <w:color w:val="auto"/>
              </w:rPr>
            </w:pPr>
          </w:p>
        </w:tc>
        <w:tc>
          <w:tcPr>
            <w:tcW w:w="700" w:type="dxa"/>
            <w:vAlign w:val="bottom"/>
            <w:tcBorders>
              <w:top w:val="single" w:sz="8" w:color="auto"/>
            </w:tcBorders>
          </w:tcPr>
          <w:p>
            <w:pPr>
              <w:jc w:val="center"/>
              <w:spacing w:after="0" w:line="147" w:lineRule="exact"/>
              <w:rPr>
                <w:sz w:val="20"/>
                <w:szCs w:val="20"/>
                <w:color w:val="auto"/>
              </w:rPr>
            </w:pPr>
            <w:r>
              <w:rPr>
                <w:rFonts w:ascii="Arial" w:cs="Arial" w:eastAsia="Arial" w:hAnsi="Arial"/>
                <w:sz w:val="14"/>
                <w:szCs w:val="14"/>
                <w:b w:val="1"/>
                <w:bCs w:val="1"/>
                <w:color w:val="auto"/>
                <w:w w:val="97"/>
              </w:rPr>
              <w:t>New</w:t>
            </w:r>
          </w:p>
        </w:tc>
        <w:tc>
          <w:tcPr>
            <w:tcW w:w="220" w:type="dxa"/>
            <w:vAlign w:val="bottom"/>
            <w:tcBorders>
              <w:top w:val="single" w:sz="8" w:color="auto"/>
            </w:tcBorders>
          </w:tcPr>
          <w:p>
            <w:pPr>
              <w:spacing w:after="0"/>
              <w:rPr>
                <w:sz w:val="12"/>
                <w:szCs w:val="12"/>
                <w:color w:val="auto"/>
              </w:rPr>
            </w:pPr>
          </w:p>
        </w:tc>
        <w:tc>
          <w:tcPr>
            <w:tcW w:w="80" w:type="dxa"/>
            <w:vAlign w:val="bottom"/>
            <w:tcBorders>
              <w:top w:val="single" w:sz="8" w:color="auto"/>
            </w:tcBorders>
          </w:tcPr>
          <w:p>
            <w:pPr>
              <w:spacing w:after="0"/>
              <w:rPr>
                <w:sz w:val="12"/>
                <w:szCs w:val="12"/>
                <w:color w:val="auto"/>
              </w:rPr>
            </w:pPr>
          </w:p>
        </w:tc>
        <w:tc>
          <w:tcPr>
            <w:tcW w:w="880" w:type="dxa"/>
            <w:vAlign w:val="bottom"/>
            <w:tcBorders>
              <w:top w:val="single" w:sz="8" w:color="auto"/>
            </w:tcBorders>
            <w:gridSpan w:val="2"/>
          </w:tcPr>
          <w:p>
            <w:pPr>
              <w:jc w:val="center"/>
              <w:ind w:right="320"/>
              <w:spacing w:after="0" w:line="147" w:lineRule="exact"/>
              <w:rPr>
                <w:sz w:val="20"/>
                <w:szCs w:val="20"/>
                <w:color w:val="auto"/>
              </w:rPr>
            </w:pPr>
            <w:r>
              <w:rPr>
                <w:rFonts w:ascii="Arial" w:cs="Arial" w:eastAsia="Arial" w:hAnsi="Arial"/>
                <w:sz w:val="14"/>
                <w:szCs w:val="14"/>
                <w:b w:val="1"/>
                <w:bCs w:val="1"/>
                <w:color w:val="auto"/>
                <w:w w:val="92"/>
              </w:rPr>
              <w:t>Home</w:t>
            </w:r>
          </w:p>
        </w:tc>
        <w:tc>
          <w:tcPr>
            <w:tcW w:w="80" w:type="dxa"/>
            <w:vAlign w:val="bottom"/>
            <w:tcBorders>
              <w:top w:val="single" w:sz="8" w:color="auto"/>
            </w:tcBorders>
          </w:tcPr>
          <w:p>
            <w:pPr>
              <w:spacing w:after="0"/>
              <w:rPr>
                <w:sz w:val="12"/>
                <w:szCs w:val="12"/>
                <w:color w:val="auto"/>
              </w:rPr>
            </w:pPr>
          </w:p>
        </w:tc>
        <w:tc>
          <w:tcPr>
            <w:tcW w:w="620" w:type="dxa"/>
            <w:vAlign w:val="bottom"/>
            <w:tcBorders>
              <w:top w:val="single" w:sz="8" w:color="auto"/>
            </w:tcBorders>
          </w:tcPr>
          <w:p>
            <w:pPr>
              <w:jc w:val="center"/>
              <w:spacing w:after="0" w:line="147" w:lineRule="exact"/>
              <w:rPr>
                <w:sz w:val="20"/>
                <w:szCs w:val="20"/>
                <w:color w:val="auto"/>
              </w:rPr>
            </w:pPr>
            <w:r>
              <w:rPr>
                <w:rFonts w:ascii="Arial" w:cs="Arial" w:eastAsia="Arial" w:hAnsi="Arial"/>
                <w:sz w:val="14"/>
                <w:szCs w:val="14"/>
                <w:b w:val="1"/>
                <w:bCs w:val="1"/>
                <w:color w:val="auto"/>
                <w:w w:val="90"/>
              </w:rPr>
              <w:t>Average</w:t>
            </w:r>
          </w:p>
        </w:tc>
        <w:tc>
          <w:tcPr>
            <w:tcW w:w="220" w:type="dxa"/>
            <w:vAlign w:val="bottom"/>
          </w:tcPr>
          <w:p>
            <w:pPr>
              <w:spacing w:after="0"/>
              <w:rPr>
                <w:sz w:val="12"/>
                <w:szCs w:val="12"/>
                <w:color w:val="auto"/>
              </w:rPr>
            </w:pPr>
          </w:p>
        </w:tc>
        <w:tc>
          <w:tcPr>
            <w:tcW w:w="720" w:type="dxa"/>
            <w:vAlign w:val="bottom"/>
            <w:tcBorders>
              <w:top w:val="single" w:sz="8" w:color="auto"/>
            </w:tcBorders>
          </w:tcPr>
          <w:p>
            <w:pPr>
              <w:jc w:val="center"/>
              <w:spacing w:after="0" w:line="147" w:lineRule="exact"/>
              <w:rPr>
                <w:sz w:val="20"/>
                <w:szCs w:val="20"/>
                <w:color w:val="auto"/>
              </w:rPr>
            </w:pPr>
            <w:r>
              <w:rPr>
                <w:rFonts w:ascii="Arial" w:cs="Arial" w:eastAsia="Arial" w:hAnsi="Arial"/>
                <w:sz w:val="14"/>
                <w:szCs w:val="14"/>
                <w:b w:val="1"/>
                <w:bCs w:val="1"/>
                <w:color w:val="auto"/>
                <w:w w:val="90"/>
              </w:rPr>
              <w:t>New</w:t>
            </w:r>
          </w:p>
        </w:tc>
        <w:tc>
          <w:tcPr>
            <w:tcW w:w="220" w:type="dxa"/>
            <w:vAlign w:val="bottom"/>
            <w:tcBorders>
              <w:top w:val="single" w:sz="8" w:color="auto"/>
            </w:tcBorders>
          </w:tcPr>
          <w:p>
            <w:pPr>
              <w:spacing w:after="0"/>
              <w:rPr>
                <w:sz w:val="12"/>
                <w:szCs w:val="12"/>
                <w:color w:val="auto"/>
              </w:rPr>
            </w:pPr>
          </w:p>
        </w:tc>
        <w:tc>
          <w:tcPr>
            <w:tcW w:w="100" w:type="dxa"/>
            <w:vAlign w:val="bottom"/>
            <w:tcBorders>
              <w:top w:val="single" w:sz="8" w:color="auto"/>
            </w:tcBorders>
          </w:tcPr>
          <w:p>
            <w:pPr>
              <w:spacing w:after="0"/>
              <w:rPr>
                <w:sz w:val="12"/>
                <w:szCs w:val="12"/>
                <w:color w:val="auto"/>
              </w:rPr>
            </w:pPr>
          </w:p>
        </w:tc>
        <w:tc>
          <w:tcPr>
            <w:tcW w:w="660" w:type="dxa"/>
            <w:vAlign w:val="bottom"/>
            <w:tcBorders>
              <w:top w:val="single" w:sz="8" w:color="auto"/>
            </w:tcBorders>
          </w:tcPr>
          <w:p>
            <w:pPr>
              <w:jc w:val="center"/>
              <w:ind w:right="55"/>
              <w:spacing w:after="0" w:line="147" w:lineRule="exact"/>
              <w:rPr>
                <w:sz w:val="20"/>
                <w:szCs w:val="20"/>
                <w:color w:val="auto"/>
              </w:rPr>
            </w:pPr>
            <w:r>
              <w:rPr>
                <w:rFonts w:ascii="Arial" w:cs="Arial" w:eastAsia="Arial" w:hAnsi="Arial"/>
                <w:sz w:val="14"/>
                <w:szCs w:val="14"/>
                <w:b w:val="1"/>
                <w:bCs w:val="1"/>
                <w:color w:val="auto"/>
                <w:w w:val="92"/>
              </w:rPr>
              <w:t>Home</w:t>
            </w:r>
          </w:p>
        </w:tc>
        <w:tc>
          <w:tcPr>
            <w:tcW w:w="200" w:type="dxa"/>
            <w:vAlign w:val="bottom"/>
            <w:tcBorders>
              <w:top w:val="single" w:sz="8" w:color="auto"/>
            </w:tcBorders>
          </w:tcPr>
          <w:p>
            <w:pPr>
              <w:spacing w:after="0"/>
              <w:rPr>
                <w:sz w:val="12"/>
                <w:szCs w:val="12"/>
                <w:color w:val="auto"/>
              </w:rPr>
            </w:pPr>
          </w:p>
        </w:tc>
        <w:tc>
          <w:tcPr>
            <w:tcW w:w="100" w:type="dxa"/>
            <w:vAlign w:val="bottom"/>
            <w:tcBorders>
              <w:top w:val="single" w:sz="8" w:color="auto"/>
            </w:tcBorders>
          </w:tcPr>
          <w:p>
            <w:pPr>
              <w:spacing w:after="0"/>
              <w:rPr>
                <w:sz w:val="12"/>
                <w:szCs w:val="12"/>
                <w:color w:val="auto"/>
              </w:rPr>
            </w:pPr>
          </w:p>
        </w:tc>
        <w:tc>
          <w:tcPr>
            <w:tcW w:w="640" w:type="dxa"/>
            <w:vAlign w:val="bottom"/>
            <w:tcBorders>
              <w:top w:val="single" w:sz="8" w:color="auto"/>
            </w:tcBorders>
          </w:tcPr>
          <w:p>
            <w:pPr>
              <w:jc w:val="center"/>
              <w:ind w:right="15"/>
              <w:spacing w:after="0" w:line="147" w:lineRule="exact"/>
              <w:rPr>
                <w:sz w:val="20"/>
                <w:szCs w:val="20"/>
                <w:color w:val="auto"/>
              </w:rPr>
            </w:pPr>
            <w:r>
              <w:rPr>
                <w:rFonts w:ascii="Arial" w:cs="Arial" w:eastAsia="Arial" w:hAnsi="Arial"/>
                <w:sz w:val="14"/>
                <w:szCs w:val="14"/>
                <w:b w:val="1"/>
                <w:bCs w:val="1"/>
                <w:color w:val="auto"/>
                <w:w w:val="90"/>
              </w:rPr>
              <w:t>Average</w:t>
            </w:r>
          </w:p>
        </w:tc>
        <w:tc>
          <w:tcPr>
            <w:tcW w:w="220" w:type="dxa"/>
            <w:vAlign w:val="bottom"/>
          </w:tcPr>
          <w:p>
            <w:pPr>
              <w:spacing w:after="0"/>
              <w:rPr>
                <w:sz w:val="12"/>
                <w:szCs w:val="12"/>
                <w:color w:val="auto"/>
              </w:rPr>
            </w:pPr>
          </w:p>
        </w:tc>
        <w:tc>
          <w:tcPr>
            <w:tcW w:w="1100" w:type="dxa"/>
            <w:vAlign w:val="bottom"/>
            <w:tcBorders>
              <w:top w:val="single" w:sz="8" w:color="auto"/>
            </w:tcBorders>
            <w:gridSpan w:val="2"/>
          </w:tcPr>
          <w:p>
            <w:pPr>
              <w:jc w:val="center"/>
              <w:ind w:right="299"/>
              <w:spacing w:after="0" w:line="147" w:lineRule="exact"/>
              <w:rPr>
                <w:sz w:val="20"/>
                <w:szCs w:val="20"/>
                <w:color w:val="auto"/>
              </w:rPr>
            </w:pPr>
            <w:r>
              <w:rPr>
                <w:rFonts w:ascii="Arial" w:cs="Arial" w:eastAsia="Arial" w:hAnsi="Arial"/>
                <w:sz w:val="14"/>
                <w:szCs w:val="14"/>
                <w:b w:val="1"/>
                <w:bCs w:val="1"/>
                <w:color w:val="auto"/>
                <w:w w:val="97"/>
              </w:rPr>
              <w:t>New</w:t>
            </w:r>
          </w:p>
        </w:tc>
        <w:tc>
          <w:tcPr>
            <w:tcW w:w="1120" w:type="dxa"/>
            <w:vAlign w:val="bottom"/>
            <w:tcBorders>
              <w:top w:val="single" w:sz="8" w:color="auto"/>
            </w:tcBorders>
            <w:gridSpan w:val="2"/>
          </w:tcPr>
          <w:p>
            <w:pPr>
              <w:jc w:val="center"/>
              <w:ind w:right="380"/>
              <w:spacing w:after="0" w:line="147" w:lineRule="exact"/>
              <w:rPr>
                <w:sz w:val="20"/>
                <w:szCs w:val="20"/>
                <w:color w:val="auto"/>
              </w:rPr>
            </w:pPr>
            <w:r>
              <w:rPr>
                <w:rFonts w:ascii="Arial" w:cs="Arial" w:eastAsia="Arial" w:hAnsi="Arial"/>
                <w:sz w:val="14"/>
                <w:szCs w:val="14"/>
                <w:b w:val="1"/>
                <w:bCs w:val="1"/>
                <w:color w:val="auto"/>
                <w:w w:val="97"/>
              </w:rPr>
              <w:t>Home</w:t>
            </w:r>
          </w:p>
        </w:tc>
        <w:tc>
          <w:tcPr>
            <w:tcW w:w="760" w:type="dxa"/>
            <w:vAlign w:val="bottom"/>
            <w:tcBorders>
              <w:top w:val="single" w:sz="8" w:color="auto"/>
            </w:tcBorders>
          </w:tcPr>
          <w:p>
            <w:pPr>
              <w:jc w:val="right"/>
              <w:ind w:right="55"/>
              <w:spacing w:after="0" w:line="147" w:lineRule="exact"/>
              <w:rPr>
                <w:sz w:val="20"/>
                <w:szCs w:val="20"/>
                <w:color w:val="auto"/>
              </w:rPr>
            </w:pPr>
            <w:r>
              <w:rPr>
                <w:rFonts w:ascii="Arial" w:cs="Arial" w:eastAsia="Arial" w:hAnsi="Arial"/>
                <w:sz w:val="14"/>
                <w:szCs w:val="14"/>
                <w:b w:val="1"/>
                <w:bCs w:val="1"/>
                <w:color w:val="auto"/>
              </w:rPr>
              <w:t>Average</w:t>
            </w:r>
          </w:p>
        </w:tc>
        <w:tc>
          <w:tcPr>
            <w:tcW w:w="2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62"/>
        </w:trPr>
        <w:tc>
          <w:tcPr>
            <w:tcW w:w="2540" w:type="dxa"/>
            <w:vAlign w:val="bottom"/>
          </w:tcPr>
          <w:p>
            <w:pPr>
              <w:spacing w:after="0"/>
              <w:rPr>
                <w:sz w:val="14"/>
                <w:szCs w:val="14"/>
                <w:color w:val="auto"/>
              </w:rPr>
            </w:pPr>
          </w:p>
        </w:tc>
        <w:tc>
          <w:tcPr>
            <w:tcW w:w="700" w:type="dxa"/>
            <w:vAlign w:val="bottom"/>
          </w:tcPr>
          <w:p>
            <w:pPr>
              <w:jc w:val="center"/>
              <w:spacing w:after="0"/>
              <w:rPr>
                <w:sz w:val="20"/>
                <w:szCs w:val="20"/>
                <w:color w:val="auto"/>
              </w:rPr>
            </w:pPr>
            <w:r>
              <w:rPr>
                <w:rFonts w:ascii="Arial" w:cs="Arial" w:eastAsia="Arial" w:hAnsi="Arial"/>
                <w:sz w:val="14"/>
                <w:szCs w:val="14"/>
                <w:b w:val="1"/>
                <w:bCs w:val="1"/>
                <w:color w:val="auto"/>
                <w:w w:val="89"/>
              </w:rPr>
              <w:t>Homes</w:t>
            </w:r>
          </w:p>
        </w:tc>
        <w:tc>
          <w:tcPr>
            <w:tcW w:w="2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80" w:type="dxa"/>
            <w:vAlign w:val="bottom"/>
            <w:gridSpan w:val="2"/>
          </w:tcPr>
          <w:p>
            <w:pPr>
              <w:jc w:val="center"/>
              <w:ind w:right="320"/>
              <w:spacing w:after="0"/>
              <w:rPr>
                <w:sz w:val="20"/>
                <w:szCs w:val="20"/>
                <w:color w:val="auto"/>
              </w:rPr>
            </w:pPr>
            <w:r>
              <w:rPr>
                <w:rFonts w:ascii="Arial" w:cs="Arial" w:eastAsia="Arial" w:hAnsi="Arial"/>
                <w:sz w:val="14"/>
                <w:szCs w:val="14"/>
                <w:b w:val="1"/>
                <w:bCs w:val="1"/>
                <w:color w:val="auto"/>
                <w:w w:val="87"/>
              </w:rPr>
              <w:t>Sales</w:t>
            </w:r>
          </w:p>
        </w:tc>
        <w:tc>
          <w:tcPr>
            <w:tcW w:w="80" w:type="dxa"/>
            <w:vAlign w:val="bottom"/>
          </w:tcPr>
          <w:p>
            <w:pPr>
              <w:spacing w:after="0"/>
              <w:rPr>
                <w:sz w:val="14"/>
                <w:szCs w:val="14"/>
                <w:color w:val="auto"/>
              </w:rPr>
            </w:pPr>
          </w:p>
        </w:tc>
        <w:tc>
          <w:tcPr>
            <w:tcW w:w="840" w:type="dxa"/>
            <w:vAlign w:val="bottom"/>
            <w:gridSpan w:val="2"/>
          </w:tcPr>
          <w:p>
            <w:pPr>
              <w:jc w:val="center"/>
              <w:ind w:right="320"/>
              <w:spacing w:after="0"/>
              <w:rPr>
                <w:sz w:val="20"/>
                <w:szCs w:val="20"/>
                <w:color w:val="auto"/>
              </w:rPr>
            </w:pPr>
            <w:r>
              <w:rPr>
                <w:rFonts w:ascii="Arial" w:cs="Arial" w:eastAsia="Arial" w:hAnsi="Arial"/>
                <w:sz w:val="14"/>
                <w:szCs w:val="14"/>
                <w:b w:val="1"/>
                <w:bCs w:val="1"/>
                <w:color w:val="auto"/>
                <w:w w:val="87"/>
              </w:rPr>
              <w:t>Sales</w:t>
            </w:r>
          </w:p>
        </w:tc>
        <w:tc>
          <w:tcPr>
            <w:tcW w:w="720" w:type="dxa"/>
            <w:vAlign w:val="bottom"/>
          </w:tcPr>
          <w:p>
            <w:pPr>
              <w:jc w:val="center"/>
              <w:spacing w:after="0"/>
              <w:rPr>
                <w:sz w:val="20"/>
                <w:szCs w:val="20"/>
                <w:color w:val="auto"/>
              </w:rPr>
            </w:pPr>
            <w:r>
              <w:rPr>
                <w:rFonts w:ascii="Arial" w:cs="Arial" w:eastAsia="Arial" w:hAnsi="Arial"/>
                <w:sz w:val="14"/>
                <w:szCs w:val="14"/>
                <w:b w:val="1"/>
                <w:bCs w:val="1"/>
                <w:color w:val="auto"/>
                <w:w w:val="89"/>
              </w:rPr>
              <w:t>Homes</w:t>
            </w:r>
          </w:p>
        </w:tc>
        <w:tc>
          <w:tcPr>
            <w:tcW w:w="2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60" w:type="dxa"/>
            <w:vAlign w:val="bottom"/>
          </w:tcPr>
          <w:p>
            <w:pPr>
              <w:jc w:val="center"/>
              <w:ind w:right="35"/>
              <w:spacing w:after="0"/>
              <w:rPr>
                <w:sz w:val="20"/>
                <w:szCs w:val="20"/>
                <w:color w:val="auto"/>
              </w:rPr>
            </w:pPr>
            <w:r>
              <w:rPr>
                <w:rFonts w:ascii="Arial" w:cs="Arial" w:eastAsia="Arial" w:hAnsi="Arial"/>
                <w:sz w:val="14"/>
                <w:szCs w:val="14"/>
                <w:b w:val="1"/>
                <w:bCs w:val="1"/>
                <w:color w:val="auto"/>
                <w:w w:val="81"/>
              </w:rPr>
              <w:t>Sales</w:t>
            </w:r>
          </w:p>
        </w:tc>
        <w:tc>
          <w:tcPr>
            <w:tcW w:w="2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60" w:type="dxa"/>
            <w:vAlign w:val="bottom"/>
            <w:gridSpan w:val="2"/>
          </w:tcPr>
          <w:p>
            <w:pPr>
              <w:jc w:val="center"/>
              <w:ind w:right="340"/>
              <w:spacing w:after="0"/>
              <w:rPr>
                <w:sz w:val="20"/>
                <w:szCs w:val="20"/>
                <w:color w:val="auto"/>
              </w:rPr>
            </w:pPr>
            <w:r>
              <w:rPr>
                <w:rFonts w:ascii="Arial" w:cs="Arial" w:eastAsia="Arial" w:hAnsi="Arial"/>
                <w:sz w:val="14"/>
                <w:szCs w:val="14"/>
                <w:b w:val="1"/>
                <w:bCs w:val="1"/>
                <w:color w:val="auto"/>
                <w:w w:val="87"/>
              </w:rPr>
              <w:t>Sales</w:t>
            </w:r>
          </w:p>
        </w:tc>
        <w:tc>
          <w:tcPr>
            <w:tcW w:w="1100" w:type="dxa"/>
            <w:vAlign w:val="bottom"/>
            <w:gridSpan w:val="2"/>
          </w:tcPr>
          <w:p>
            <w:pPr>
              <w:jc w:val="center"/>
              <w:ind w:right="319"/>
              <w:spacing w:after="0"/>
              <w:rPr>
                <w:sz w:val="20"/>
                <w:szCs w:val="20"/>
                <w:color w:val="auto"/>
              </w:rPr>
            </w:pPr>
            <w:r>
              <w:rPr>
                <w:rFonts w:ascii="Arial" w:cs="Arial" w:eastAsia="Arial" w:hAnsi="Arial"/>
                <w:sz w:val="14"/>
                <w:szCs w:val="14"/>
                <w:b w:val="1"/>
                <w:bCs w:val="1"/>
                <w:color w:val="auto"/>
                <w:w w:val="89"/>
              </w:rPr>
              <w:t>Homes</w:t>
            </w:r>
          </w:p>
        </w:tc>
        <w:tc>
          <w:tcPr>
            <w:tcW w:w="1120" w:type="dxa"/>
            <w:vAlign w:val="bottom"/>
            <w:gridSpan w:val="2"/>
          </w:tcPr>
          <w:p>
            <w:pPr>
              <w:jc w:val="center"/>
              <w:ind w:right="380"/>
              <w:spacing w:after="0"/>
              <w:rPr>
                <w:sz w:val="20"/>
                <w:szCs w:val="20"/>
                <w:color w:val="auto"/>
              </w:rPr>
            </w:pPr>
            <w:r>
              <w:rPr>
                <w:rFonts w:ascii="Arial" w:cs="Arial" w:eastAsia="Arial" w:hAnsi="Arial"/>
                <w:sz w:val="14"/>
                <w:szCs w:val="14"/>
                <w:b w:val="1"/>
                <w:bCs w:val="1"/>
                <w:color w:val="auto"/>
                <w:w w:val="81"/>
              </w:rPr>
              <w:t>Sales</w:t>
            </w:r>
          </w:p>
        </w:tc>
        <w:tc>
          <w:tcPr>
            <w:tcW w:w="1000" w:type="dxa"/>
            <w:vAlign w:val="bottom"/>
            <w:gridSpan w:val="2"/>
          </w:tcPr>
          <w:p>
            <w:pPr>
              <w:jc w:val="right"/>
              <w:ind w:right="480"/>
              <w:spacing w:after="0"/>
              <w:rPr>
                <w:sz w:val="20"/>
                <w:szCs w:val="20"/>
                <w:color w:val="auto"/>
              </w:rPr>
            </w:pPr>
            <w:r>
              <w:rPr>
                <w:rFonts w:ascii="Arial" w:cs="Arial" w:eastAsia="Arial" w:hAnsi="Arial"/>
                <w:sz w:val="14"/>
                <w:szCs w:val="14"/>
                <w:b w:val="1"/>
                <w:bCs w:val="1"/>
                <w:color w:val="auto"/>
              </w:rPr>
              <w:t>Sales</w:t>
            </w:r>
          </w:p>
        </w:tc>
        <w:tc>
          <w:tcPr>
            <w:tcW w:w="0" w:type="dxa"/>
            <w:vAlign w:val="bottom"/>
          </w:tcPr>
          <w:p>
            <w:pPr>
              <w:spacing w:after="0"/>
              <w:rPr>
                <w:sz w:val="1"/>
                <w:szCs w:val="1"/>
                <w:color w:val="auto"/>
              </w:rPr>
            </w:pPr>
          </w:p>
        </w:tc>
      </w:tr>
      <w:tr>
        <w:trPr>
          <w:trHeight w:val="171"/>
        </w:trPr>
        <w:tc>
          <w:tcPr>
            <w:tcW w:w="2540" w:type="dxa"/>
            <w:vAlign w:val="bottom"/>
            <w:tcBorders>
              <w:bottom w:val="single" w:sz="8" w:color="CFF0FC"/>
            </w:tcBorders>
          </w:tcPr>
          <w:p>
            <w:pPr>
              <w:spacing w:after="0"/>
              <w:rPr>
                <w:sz w:val="14"/>
                <w:szCs w:val="14"/>
                <w:color w:val="auto"/>
              </w:rPr>
            </w:pPr>
          </w:p>
        </w:tc>
        <w:tc>
          <w:tcPr>
            <w:tcW w:w="70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5"/>
              </w:rPr>
              <w:t>Delivered</w:t>
            </w:r>
          </w:p>
        </w:tc>
        <w:tc>
          <w:tcPr>
            <w:tcW w:w="220" w:type="dxa"/>
            <w:vAlign w:val="bottom"/>
            <w:tcBorders>
              <w:bottom w:val="single" w:sz="8" w:color="CFF0FC"/>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660" w:type="dxa"/>
            <w:vAlign w:val="bottom"/>
            <w:tcBorders>
              <w:bottom w:val="single" w:sz="8" w:color="auto"/>
            </w:tcBorders>
          </w:tcPr>
          <w:p>
            <w:pPr>
              <w:jc w:val="center"/>
              <w:ind w:right="15"/>
              <w:spacing w:after="0"/>
              <w:rPr>
                <w:sz w:val="20"/>
                <w:szCs w:val="20"/>
                <w:color w:val="auto"/>
              </w:rPr>
            </w:pPr>
            <w:r>
              <w:rPr>
                <w:rFonts w:ascii="Arial" w:cs="Arial" w:eastAsia="Arial" w:hAnsi="Arial"/>
                <w:sz w:val="14"/>
                <w:szCs w:val="14"/>
                <w:b w:val="1"/>
                <w:bCs w:val="1"/>
                <w:color w:val="auto"/>
                <w:w w:val="89"/>
              </w:rPr>
              <w:t>Revenue</w:t>
            </w:r>
          </w:p>
        </w:tc>
        <w:tc>
          <w:tcPr>
            <w:tcW w:w="220" w:type="dxa"/>
            <w:vAlign w:val="bottom"/>
            <w:tcBorders>
              <w:bottom w:val="single" w:sz="8" w:color="CFF0FC"/>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620" w:type="dxa"/>
            <w:vAlign w:val="bottom"/>
            <w:tcBorders>
              <w:bottom w:val="single" w:sz="8" w:color="auto"/>
            </w:tcBorders>
          </w:tcPr>
          <w:p>
            <w:pPr>
              <w:jc w:val="center"/>
              <w:ind w:right="15"/>
              <w:spacing w:after="0"/>
              <w:rPr>
                <w:sz w:val="20"/>
                <w:szCs w:val="20"/>
                <w:color w:val="auto"/>
              </w:rPr>
            </w:pPr>
            <w:r>
              <w:rPr>
                <w:rFonts w:ascii="Arial" w:cs="Arial" w:eastAsia="Arial" w:hAnsi="Arial"/>
                <w:sz w:val="14"/>
                <w:szCs w:val="14"/>
                <w:b w:val="1"/>
                <w:bCs w:val="1"/>
                <w:color w:val="auto"/>
                <w:w w:val="93"/>
              </w:rPr>
              <w:t>Price</w:t>
            </w:r>
          </w:p>
        </w:tc>
        <w:tc>
          <w:tcPr>
            <w:tcW w:w="220" w:type="dxa"/>
            <w:vAlign w:val="bottom"/>
            <w:tcBorders>
              <w:bottom w:val="single" w:sz="8" w:color="CFF0FC"/>
            </w:tcBorders>
          </w:tcPr>
          <w:p>
            <w:pPr>
              <w:spacing w:after="0"/>
              <w:rPr>
                <w:sz w:val="14"/>
                <w:szCs w:val="14"/>
                <w:color w:val="auto"/>
              </w:rPr>
            </w:pPr>
          </w:p>
        </w:tc>
        <w:tc>
          <w:tcPr>
            <w:tcW w:w="72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1"/>
              </w:rPr>
              <w:t>Delivered</w:t>
            </w:r>
          </w:p>
        </w:tc>
        <w:tc>
          <w:tcPr>
            <w:tcW w:w="220" w:type="dxa"/>
            <w:vAlign w:val="bottom"/>
            <w:tcBorders>
              <w:bottom w:val="single" w:sz="8" w:color="CFF0FC"/>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660" w:type="dxa"/>
            <w:vAlign w:val="bottom"/>
            <w:tcBorders>
              <w:bottom w:val="single" w:sz="8" w:color="auto"/>
            </w:tcBorders>
          </w:tcPr>
          <w:p>
            <w:pPr>
              <w:jc w:val="center"/>
              <w:ind w:right="55"/>
              <w:spacing w:after="0"/>
              <w:rPr>
                <w:sz w:val="20"/>
                <w:szCs w:val="20"/>
                <w:color w:val="auto"/>
              </w:rPr>
            </w:pPr>
            <w:r>
              <w:rPr>
                <w:rFonts w:ascii="Arial" w:cs="Arial" w:eastAsia="Arial" w:hAnsi="Arial"/>
                <w:sz w:val="14"/>
                <w:szCs w:val="14"/>
                <w:b w:val="1"/>
                <w:bCs w:val="1"/>
                <w:color w:val="auto"/>
                <w:w w:val="89"/>
              </w:rPr>
              <w:t>Revenue</w:t>
            </w:r>
          </w:p>
        </w:tc>
        <w:tc>
          <w:tcPr>
            <w:tcW w:w="200" w:type="dxa"/>
            <w:vAlign w:val="bottom"/>
            <w:tcBorders>
              <w:bottom w:val="single" w:sz="8" w:color="CFF0FC"/>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640" w:type="dxa"/>
            <w:vAlign w:val="bottom"/>
            <w:tcBorders>
              <w:bottom w:val="single" w:sz="8" w:color="auto"/>
            </w:tcBorders>
          </w:tcPr>
          <w:p>
            <w:pPr>
              <w:jc w:val="center"/>
              <w:ind w:right="35"/>
              <w:spacing w:after="0"/>
              <w:rPr>
                <w:sz w:val="20"/>
                <w:szCs w:val="20"/>
                <w:color w:val="auto"/>
              </w:rPr>
            </w:pPr>
            <w:r>
              <w:rPr>
                <w:rFonts w:ascii="Arial" w:cs="Arial" w:eastAsia="Arial" w:hAnsi="Arial"/>
                <w:sz w:val="14"/>
                <w:szCs w:val="14"/>
                <w:b w:val="1"/>
                <w:bCs w:val="1"/>
                <w:color w:val="auto"/>
                <w:w w:val="93"/>
              </w:rPr>
              <w:t>Price</w:t>
            </w:r>
          </w:p>
        </w:tc>
        <w:tc>
          <w:tcPr>
            <w:tcW w:w="220" w:type="dxa"/>
            <w:vAlign w:val="bottom"/>
            <w:tcBorders>
              <w:bottom w:val="single" w:sz="8" w:color="CFF0FC"/>
            </w:tcBorders>
          </w:tcPr>
          <w:p>
            <w:pPr>
              <w:spacing w:after="0"/>
              <w:rPr>
                <w:sz w:val="14"/>
                <w:szCs w:val="14"/>
                <w:color w:val="auto"/>
              </w:rPr>
            </w:pPr>
          </w:p>
        </w:tc>
        <w:tc>
          <w:tcPr>
            <w:tcW w:w="74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5"/>
              </w:rPr>
              <w:t>Delivered</w:t>
            </w:r>
          </w:p>
        </w:tc>
        <w:tc>
          <w:tcPr>
            <w:tcW w:w="360" w:type="dxa"/>
            <w:vAlign w:val="bottom"/>
            <w:tcBorders>
              <w:bottom w:val="single" w:sz="8" w:color="CFF0FC"/>
            </w:tcBorders>
          </w:tcPr>
          <w:p>
            <w:pPr>
              <w:spacing w:after="0"/>
              <w:rPr>
                <w:sz w:val="14"/>
                <w:szCs w:val="14"/>
                <w:color w:val="auto"/>
              </w:rPr>
            </w:pPr>
          </w:p>
        </w:tc>
        <w:tc>
          <w:tcPr>
            <w:tcW w:w="76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2"/>
              </w:rPr>
              <w:t>Revenue</w:t>
            </w:r>
          </w:p>
        </w:tc>
        <w:tc>
          <w:tcPr>
            <w:tcW w:w="360" w:type="dxa"/>
            <w:vAlign w:val="bottom"/>
            <w:tcBorders>
              <w:bottom w:val="single" w:sz="8" w:color="CFF0FC"/>
            </w:tcBorders>
          </w:tcPr>
          <w:p>
            <w:pPr>
              <w:spacing w:after="0"/>
              <w:rPr>
                <w:sz w:val="14"/>
                <w:szCs w:val="14"/>
                <w:color w:val="auto"/>
              </w:rPr>
            </w:pPr>
          </w:p>
        </w:tc>
        <w:tc>
          <w:tcPr>
            <w:tcW w:w="760" w:type="dxa"/>
            <w:vAlign w:val="bottom"/>
            <w:tcBorders>
              <w:bottom w:val="single" w:sz="8" w:color="auto"/>
            </w:tcBorders>
          </w:tcPr>
          <w:p>
            <w:pPr>
              <w:jc w:val="right"/>
              <w:ind w:right="135"/>
              <w:spacing w:after="0"/>
              <w:rPr>
                <w:sz w:val="20"/>
                <w:szCs w:val="20"/>
                <w:color w:val="auto"/>
              </w:rPr>
            </w:pPr>
            <w:r>
              <w:rPr>
                <w:rFonts w:ascii="Arial" w:cs="Arial" w:eastAsia="Arial" w:hAnsi="Arial"/>
                <w:sz w:val="14"/>
                <w:szCs w:val="14"/>
                <w:b w:val="1"/>
                <w:bCs w:val="1"/>
                <w:color w:val="auto"/>
              </w:rPr>
              <w:t>Price</w:t>
            </w:r>
          </w:p>
        </w:tc>
        <w:tc>
          <w:tcPr>
            <w:tcW w:w="240" w:type="dxa"/>
            <w:vAlign w:val="bottom"/>
            <w:tcBorders>
              <w:bottom w:val="single" w:sz="8" w:color="CFF0FC"/>
            </w:tcBorders>
          </w:tcPr>
          <w:p>
            <w:pPr>
              <w:spacing w:after="0"/>
              <w:rPr>
                <w:sz w:val="14"/>
                <w:szCs w:val="14"/>
                <w:color w:val="auto"/>
              </w:rPr>
            </w:pPr>
          </w:p>
        </w:tc>
        <w:tc>
          <w:tcPr>
            <w:tcW w:w="0" w:type="dxa"/>
            <w:vAlign w:val="bottom"/>
          </w:tcPr>
          <w:p>
            <w:pPr>
              <w:spacing w:after="0"/>
              <w:rPr>
                <w:sz w:val="1"/>
                <w:szCs w:val="1"/>
                <w:color w:val="auto"/>
              </w:rPr>
            </w:pPr>
          </w:p>
        </w:tc>
      </w:tr>
      <w:tr>
        <w:trPr>
          <w:trHeight w:val="223"/>
        </w:trPr>
        <w:tc>
          <w:tcPr>
            <w:tcW w:w="2540" w:type="dxa"/>
            <w:vAlign w:val="bottom"/>
            <w:shd w:val="clear" w:color="auto" w:fill="CFF0FC"/>
          </w:tcPr>
          <w:p>
            <w:pPr>
              <w:spacing w:after="0"/>
              <w:rPr>
                <w:sz w:val="20"/>
                <w:szCs w:val="20"/>
                <w:color w:val="auto"/>
              </w:rPr>
            </w:pPr>
            <w:r>
              <w:rPr>
                <w:rFonts w:ascii="Arial" w:cs="Arial" w:eastAsia="Arial" w:hAnsi="Arial"/>
                <w:sz w:val="18"/>
                <w:szCs w:val="18"/>
                <w:color w:val="auto"/>
              </w:rPr>
              <w:t>Maracay</w:t>
            </w:r>
          </w:p>
        </w:tc>
        <w:tc>
          <w:tcPr>
            <w:tcW w:w="7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85</w:t>
            </w:r>
          </w:p>
        </w:tc>
        <w:tc>
          <w:tcPr>
            <w:tcW w:w="220" w:type="dxa"/>
            <w:vAlign w:val="bottom"/>
            <w:shd w:val="clear" w:color="auto" w:fill="CFF0FC"/>
          </w:tcPr>
          <w:p>
            <w:pPr>
              <w:spacing w:after="0"/>
              <w:rPr>
                <w:sz w:val="19"/>
                <w:szCs w:val="19"/>
                <w:color w:val="auto"/>
              </w:rPr>
            </w:pPr>
          </w:p>
        </w:tc>
        <w:tc>
          <w:tcPr>
            <w:tcW w:w="80" w:type="dxa"/>
            <w:vAlign w:val="bottom"/>
            <w:shd w:val="clear" w:color="auto" w:fill="CFF0FC"/>
          </w:tcPr>
          <w:p>
            <w:pPr>
              <w:jc w:val="right"/>
              <w:spacing w:after="0"/>
              <w:rPr>
                <w:sz w:val="20"/>
                <w:szCs w:val="20"/>
                <w:color w:val="auto"/>
              </w:rPr>
            </w:pPr>
            <w:r>
              <w:rPr>
                <w:rFonts w:ascii="Arial" w:cs="Arial" w:eastAsia="Arial" w:hAnsi="Arial"/>
                <w:sz w:val="15"/>
                <w:szCs w:val="15"/>
                <w:color w:val="auto"/>
                <w:w w:val="71"/>
              </w:rPr>
              <w:t>$</w:t>
            </w:r>
          </w:p>
        </w:tc>
        <w:tc>
          <w:tcPr>
            <w:tcW w:w="6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32,477</w:t>
            </w:r>
          </w:p>
        </w:tc>
        <w:tc>
          <w:tcPr>
            <w:tcW w:w="220" w:type="dxa"/>
            <w:vAlign w:val="bottom"/>
            <w:shd w:val="clear" w:color="auto" w:fill="CFF0FC"/>
          </w:tcPr>
          <w:p>
            <w:pPr>
              <w:spacing w:after="0"/>
              <w:rPr>
                <w:sz w:val="19"/>
                <w:szCs w:val="19"/>
                <w:color w:val="auto"/>
              </w:rPr>
            </w:pPr>
          </w:p>
        </w:tc>
        <w:tc>
          <w:tcPr>
            <w:tcW w:w="80" w:type="dxa"/>
            <w:vAlign w:val="bottom"/>
            <w:shd w:val="clear" w:color="auto" w:fill="CFF0FC"/>
          </w:tcPr>
          <w:p>
            <w:pPr>
              <w:jc w:val="right"/>
              <w:spacing w:after="0"/>
              <w:rPr>
                <w:sz w:val="20"/>
                <w:szCs w:val="20"/>
                <w:color w:val="auto"/>
              </w:rPr>
            </w:pPr>
            <w:r>
              <w:rPr>
                <w:rFonts w:ascii="Arial" w:cs="Arial" w:eastAsia="Arial" w:hAnsi="Arial"/>
                <w:sz w:val="15"/>
                <w:szCs w:val="15"/>
                <w:color w:val="auto"/>
                <w:w w:val="71"/>
              </w:rPr>
              <w:t>$</w:t>
            </w:r>
          </w:p>
        </w:tc>
        <w:tc>
          <w:tcPr>
            <w:tcW w:w="6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382</w:t>
            </w:r>
          </w:p>
        </w:tc>
        <w:tc>
          <w:tcPr>
            <w:tcW w:w="220" w:type="dxa"/>
            <w:vAlign w:val="bottom"/>
            <w:shd w:val="clear" w:color="auto" w:fill="CFF0FC"/>
          </w:tcPr>
          <w:p>
            <w:pPr>
              <w:spacing w:after="0"/>
              <w:rPr>
                <w:sz w:val="19"/>
                <w:szCs w:val="19"/>
                <w:color w:val="auto"/>
              </w:rPr>
            </w:pPr>
          </w:p>
        </w:tc>
        <w:tc>
          <w:tcPr>
            <w:tcW w:w="7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99</w:t>
            </w:r>
          </w:p>
        </w:tc>
        <w:tc>
          <w:tcPr>
            <w:tcW w:w="220" w:type="dxa"/>
            <w:vAlign w:val="bottom"/>
            <w:shd w:val="clear" w:color="auto" w:fill="CFF0FC"/>
          </w:tcPr>
          <w:p>
            <w:pPr>
              <w:spacing w:after="0"/>
              <w:rPr>
                <w:sz w:val="19"/>
                <w:szCs w:val="19"/>
                <w:color w:val="auto"/>
              </w:rPr>
            </w:pPr>
          </w:p>
        </w:tc>
        <w:tc>
          <w:tcPr>
            <w:tcW w:w="100" w:type="dxa"/>
            <w:vAlign w:val="bottom"/>
            <w:shd w:val="clear" w:color="auto" w:fill="CFF0FC"/>
          </w:tcPr>
          <w:p>
            <w:pPr>
              <w:jc w:val="right"/>
              <w:spacing w:after="0"/>
              <w:rPr>
                <w:sz w:val="20"/>
                <w:szCs w:val="20"/>
                <w:color w:val="auto"/>
              </w:rPr>
            </w:pPr>
            <w:r>
              <w:rPr>
                <w:rFonts w:ascii="Arial" w:cs="Arial" w:eastAsia="Arial" w:hAnsi="Arial"/>
                <w:sz w:val="15"/>
                <w:szCs w:val="15"/>
                <w:color w:val="auto"/>
                <w:w w:val="71"/>
              </w:rPr>
              <w:t>$</w:t>
            </w:r>
          </w:p>
        </w:tc>
        <w:tc>
          <w:tcPr>
            <w:tcW w:w="6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35,230</w:t>
            </w:r>
          </w:p>
        </w:tc>
        <w:tc>
          <w:tcPr>
            <w:tcW w:w="200" w:type="dxa"/>
            <w:vAlign w:val="bottom"/>
            <w:shd w:val="clear" w:color="auto" w:fill="CFF0FC"/>
          </w:tcPr>
          <w:p>
            <w:pPr>
              <w:spacing w:after="0"/>
              <w:rPr>
                <w:sz w:val="19"/>
                <w:szCs w:val="19"/>
                <w:color w:val="auto"/>
              </w:rPr>
            </w:pPr>
          </w:p>
        </w:tc>
        <w:tc>
          <w:tcPr>
            <w:tcW w:w="100" w:type="dxa"/>
            <w:vAlign w:val="bottom"/>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6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356</w:t>
            </w:r>
          </w:p>
        </w:tc>
        <w:tc>
          <w:tcPr>
            <w:tcW w:w="220" w:type="dxa"/>
            <w:vAlign w:val="bottom"/>
            <w:shd w:val="clear" w:color="auto" w:fill="CFF0FC"/>
          </w:tcPr>
          <w:p>
            <w:pPr>
              <w:spacing w:after="0"/>
              <w:rPr>
                <w:sz w:val="19"/>
                <w:szCs w:val="19"/>
                <w:color w:val="auto"/>
              </w:rPr>
            </w:pPr>
          </w:p>
        </w:tc>
        <w:tc>
          <w:tcPr>
            <w:tcW w:w="7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(14)</w:t>
            </w:r>
          </w:p>
        </w:tc>
        <w:tc>
          <w:tcPr>
            <w:tcW w:w="360" w:type="dxa"/>
            <w:vAlign w:val="bottom"/>
            <w:shd w:val="clear" w:color="auto" w:fill="CFF0FC"/>
          </w:tcPr>
          <w:p>
            <w:pPr>
              <w:jc w:val="right"/>
              <w:ind w:right="79"/>
              <w:spacing w:after="0"/>
              <w:rPr>
                <w:sz w:val="20"/>
                <w:szCs w:val="20"/>
                <w:color w:val="auto"/>
              </w:rPr>
            </w:pPr>
            <w:r>
              <w:rPr>
                <w:rFonts w:ascii="Arial" w:cs="Arial" w:eastAsia="Arial" w:hAnsi="Arial"/>
                <w:sz w:val="18"/>
                <w:szCs w:val="18"/>
                <w:color w:val="auto"/>
              </w:rPr>
              <w:t>%</w:t>
            </w:r>
          </w:p>
        </w:tc>
        <w:tc>
          <w:tcPr>
            <w:tcW w:w="1120" w:type="dxa"/>
            <w:vAlign w:val="bottom"/>
            <w:gridSpan w:val="2"/>
            <w:shd w:val="clear" w:color="auto" w:fill="CFF0FC"/>
          </w:tcPr>
          <w:p>
            <w:pPr>
              <w:jc w:val="right"/>
              <w:ind w:right="160"/>
              <w:spacing w:after="0"/>
              <w:rPr>
                <w:sz w:val="20"/>
                <w:szCs w:val="20"/>
                <w:color w:val="auto"/>
              </w:rPr>
            </w:pPr>
            <w:r>
              <w:rPr>
                <w:rFonts w:ascii="Arial" w:cs="Arial" w:eastAsia="Arial" w:hAnsi="Arial"/>
                <w:sz w:val="18"/>
                <w:szCs w:val="18"/>
                <w:color w:val="auto"/>
              </w:rPr>
              <w:t>(8)%</w:t>
            </w:r>
          </w:p>
        </w:tc>
        <w:tc>
          <w:tcPr>
            <w:tcW w:w="1000" w:type="dxa"/>
            <w:vAlign w:val="bottom"/>
            <w:gridSpan w:val="2"/>
            <w:shd w:val="clear" w:color="auto" w:fill="CFF0FC"/>
          </w:tcPr>
          <w:p>
            <w:pPr>
              <w:jc w:val="right"/>
              <w:ind w:right="100"/>
              <w:spacing w:after="0"/>
              <w:rPr>
                <w:sz w:val="20"/>
                <w:szCs w:val="20"/>
                <w:color w:val="auto"/>
              </w:rPr>
            </w:pPr>
            <w:r>
              <w:rPr>
                <w:rFonts w:ascii="Arial" w:cs="Arial" w:eastAsia="Arial" w:hAnsi="Arial"/>
                <w:sz w:val="18"/>
                <w:szCs w:val="18"/>
                <w:color w:val="auto"/>
              </w:rPr>
              <w:t>7%</w:t>
            </w:r>
          </w:p>
        </w:tc>
        <w:tc>
          <w:tcPr>
            <w:tcW w:w="0" w:type="dxa"/>
            <w:vAlign w:val="bottom"/>
          </w:tcPr>
          <w:p>
            <w:pPr>
              <w:spacing w:after="0"/>
              <w:rPr>
                <w:sz w:val="1"/>
                <w:szCs w:val="1"/>
                <w:color w:val="auto"/>
              </w:rPr>
            </w:pPr>
          </w:p>
        </w:tc>
      </w:tr>
      <w:tr>
        <w:trPr>
          <w:trHeight w:val="230"/>
        </w:trPr>
        <w:tc>
          <w:tcPr>
            <w:tcW w:w="2540" w:type="dxa"/>
            <w:vAlign w:val="bottom"/>
          </w:tcPr>
          <w:p>
            <w:pPr>
              <w:spacing w:after="0"/>
              <w:rPr>
                <w:sz w:val="20"/>
                <w:szCs w:val="20"/>
                <w:color w:val="auto"/>
              </w:rPr>
            </w:pPr>
            <w:r>
              <w:rPr>
                <w:rFonts w:ascii="Arial" w:cs="Arial" w:eastAsia="Arial" w:hAnsi="Arial"/>
                <w:sz w:val="18"/>
                <w:szCs w:val="18"/>
                <w:color w:val="auto"/>
              </w:rPr>
              <w:t>Pardee</w:t>
            </w:r>
          </w:p>
        </w:tc>
        <w:tc>
          <w:tcPr>
            <w:tcW w:w="700" w:type="dxa"/>
            <w:vAlign w:val="bottom"/>
          </w:tcPr>
          <w:p>
            <w:pPr>
              <w:jc w:val="right"/>
              <w:spacing w:after="0"/>
              <w:rPr>
                <w:sz w:val="20"/>
                <w:szCs w:val="20"/>
                <w:color w:val="auto"/>
              </w:rPr>
            </w:pPr>
            <w:r>
              <w:rPr>
                <w:rFonts w:ascii="Arial" w:cs="Arial" w:eastAsia="Arial" w:hAnsi="Arial"/>
                <w:sz w:val="18"/>
                <w:szCs w:val="18"/>
                <w:color w:val="auto"/>
              </w:rPr>
              <w:t>168</w:t>
            </w:r>
          </w:p>
        </w:tc>
        <w:tc>
          <w:tcPr>
            <w:tcW w:w="2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85,658</w:t>
            </w:r>
          </w:p>
        </w:tc>
        <w:tc>
          <w:tcPr>
            <w:tcW w:w="2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620" w:type="dxa"/>
            <w:vAlign w:val="bottom"/>
          </w:tcPr>
          <w:p>
            <w:pPr>
              <w:jc w:val="right"/>
              <w:spacing w:after="0"/>
              <w:rPr>
                <w:sz w:val="20"/>
                <w:szCs w:val="20"/>
                <w:color w:val="auto"/>
              </w:rPr>
            </w:pPr>
            <w:r>
              <w:rPr>
                <w:rFonts w:ascii="Arial" w:cs="Arial" w:eastAsia="Arial" w:hAnsi="Arial"/>
                <w:sz w:val="18"/>
                <w:szCs w:val="18"/>
                <w:color w:val="auto"/>
              </w:rPr>
              <w:t>510</w:t>
            </w:r>
          </w:p>
        </w:tc>
        <w:tc>
          <w:tcPr>
            <w:tcW w:w="220" w:type="dxa"/>
            <w:vAlign w:val="bottom"/>
          </w:tcPr>
          <w:p>
            <w:pPr>
              <w:spacing w:after="0"/>
              <w:rPr>
                <w:sz w:val="19"/>
                <w:szCs w:val="19"/>
                <w:color w:val="auto"/>
              </w:rPr>
            </w:pPr>
          </w:p>
        </w:tc>
        <w:tc>
          <w:tcPr>
            <w:tcW w:w="720" w:type="dxa"/>
            <w:vAlign w:val="bottom"/>
          </w:tcPr>
          <w:p>
            <w:pPr>
              <w:jc w:val="right"/>
              <w:spacing w:after="0"/>
              <w:rPr>
                <w:sz w:val="20"/>
                <w:szCs w:val="20"/>
                <w:color w:val="auto"/>
              </w:rPr>
            </w:pPr>
            <w:r>
              <w:rPr>
                <w:rFonts w:ascii="Arial" w:cs="Arial" w:eastAsia="Arial" w:hAnsi="Arial"/>
                <w:sz w:val="18"/>
                <w:szCs w:val="18"/>
                <w:color w:val="auto"/>
              </w:rPr>
              <w:t>135</w:t>
            </w:r>
          </w:p>
        </w:tc>
        <w:tc>
          <w:tcPr>
            <w:tcW w:w="2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67,397</w:t>
            </w:r>
          </w:p>
        </w:tc>
        <w:tc>
          <w:tcPr>
            <w:tcW w:w="2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40" w:type="dxa"/>
            <w:vAlign w:val="bottom"/>
          </w:tcPr>
          <w:p>
            <w:pPr>
              <w:jc w:val="right"/>
              <w:spacing w:after="0"/>
              <w:rPr>
                <w:sz w:val="20"/>
                <w:szCs w:val="20"/>
                <w:color w:val="auto"/>
              </w:rPr>
            </w:pPr>
            <w:r>
              <w:rPr>
                <w:rFonts w:ascii="Arial" w:cs="Arial" w:eastAsia="Arial" w:hAnsi="Arial"/>
                <w:sz w:val="18"/>
                <w:szCs w:val="18"/>
                <w:color w:val="auto"/>
              </w:rPr>
              <w:t>499</w:t>
            </w:r>
          </w:p>
        </w:tc>
        <w:tc>
          <w:tcPr>
            <w:tcW w:w="220" w:type="dxa"/>
            <w:vAlign w:val="bottom"/>
          </w:tcPr>
          <w:p>
            <w:pPr>
              <w:spacing w:after="0"/>
              <w:rPr>
                <w:sz w:val="19"/>
                <w:szCs w:val="19"/>
                <w:color w:val="auto"/>
              </w:rPr>
            </w:pPr>
          </w:p>
        </w:tc>
        <w:tc>
          <w:tcPr>
            <w:tcW w:w="1100" w:type="dxa"/>
            <w:vAlign w:val="bottom"/>
            <w:gridSpan w:val="2"/>
          </w:tcPr>
          <w:p>
            <w:pPr>
              <w:jc w:val="right"/>
              <w:ind w:right="139"/>
              <w:spacing w:after="0"/>
              <w:rPr>
                <w:sz w:val="20"/>
                <w:szCs w:val="20"/>
                <w:color w:val="auto"/>
              </w:rPr>
            </w:pPr>
            <w:r>
              <w:rPr>
                <w:rFonts w:ascii="Arial" w:cs="Arial" w:eastAsia="Arial" w:hAnsi="Arial"/>
                <w:sz w:val="18"/>
                <w:szCs w:val="18"/>
                <w:color w:val="auto"/>
              </w:rPr>
              <w:t>24%</w:t>
            </w:r>
          </w:p>
        </w:tc>
        <w:tc>
          <w:tcPr>
            <w:tcW w:w="1120" w:type="dxa"/>
            <w:vAlign w:val="bottom"/>
            <w:gridSpan w:val="2"/>
          </w:tcPr>
          <w:p>
            <w:pPr>
              <w:jc w:val="right"/>
              <w:ind w:right="220"/>
              <w:spacing w:after="0"/>
              <w:rPr>
                <w:sz w:val="20"/>
                <w:szCs w:val="20"/>
                <w:color w:val="auto"/>
              </w:rPr>
            </w:pPr>
            <w:r>
              <w:rPr>
                <w:rFonts w:ascii="Arial" w:cs="Arial" w:eastAsia="Arial" w:hAnsi="Arial"/>
                <w:sz w:val="18"/>
                <w:szCs w:val="18"/>
                <w:color w:val="auto"/>
              </w:rPr>
              <w:t>27%</w:t>
            </w:r>
          </w:p>
        </w:tc>
        <w:tc>
          <w:tcPr>
            <w:tcW w:w="1000" w:type="dxa"/>
            <w:vAlign w:val="bottom"/>
            <w:gridSpan w:val="2"/>
          </w:tcPr>
          <w:p>
            <w:pPr>
              <w:jc w:val="right"/>
              <w:ind w:right="100"/>
              <w:spacing w:after="0"/>
              <w:rPr>
                <w:sz w:val="20"/>
                <w:szCs w:val="20"/>
                <w:color w:val="auto"/>
              </w:rPr>
            </w:pPr>
            <w:r>
              <w:rPr>
                <w:rFonts w:ascii="Arial" w:cs="Arial" w:eastAsia="Arial" w:hAnsi="Arial"/>
                <w:sz w:val="18"/>
                <w:szCs w:val="18"/>
                <w:color w:val="auto"/>
              </w:rPr>
              <w:t>2%</w:t>
            </w:r>
          </w:p>
        </w:tc>
        <w:tc>
          <w:tcPr>
            <w:tcW w:w="0" w:type="dxa"/>
            <w:vAlign w:val="bottom"/>
          </w:tcPr>
          <w:p>
            <w:pPr>
              <w:spacing w:after="0"/>
              <w:rPr>
                <w:sz w:val="1"/>
                <w:szCs w:val="1"/>
                <w:color w:val="auto"/>
              </w:rPr>
            </w:pPr>
          </w:p>
        </w:tc>
      </w:tr>
      <w:tr>
        <w:trPr>
          <w:trHeight w:val="230"/>
        </w:trPr>
        <w:tc>
          <w:tcPr>
            <w:tcW w:w="2540" w:type="dxa"/>
            <w:vAlign w:val="bottom"/>
            <w:shd w:val="clear" w:color="auto" w:fill="CFF0FC"/>
          </w:tcPr>
          <w:p>
            <w:pPr>
              <w:spacing w:after="0"/>
              <w:rPr>
                <w:sz w:val="20"/>
                <w:szCs w:val="20"/>
                <w:color w:val="auto"/>
              </w:rPr>
            </w:pPr>
            <w:r>
              <w:rPr>
                <w:rFonts w:ascii="Arial" w:cs="Arial" w:eastAsia="Arial" w:hAnsi="Arial"/>
                <w:sz w:val="18"/>
                <w:szCs w:val="18"/>
                <w:color w:val="auto"/>
              </w:rPr>
              <w:t>Quadrant</w:t>
            </w:r>
          </w:p>
        </w:tc>
        <w:tc>
          <w:tcPr>
            <w:tcW w:w="7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93</w:t>
            </w:r>
          </w:p>
        </w:tc>
        <w:tc>
          <w:tcPr>
            <w:tcW w:w="22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6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43,336</w:t>
            </w:r>
          </w:p>
        </w:tc>
        <w:tc>
          <w:tcPr>
            <w:tcW w:w="22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6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466</w:t>
            </w:r>
          </w:p>
        </w:tc>
        <w:tc>
          <w:tcPr>
            <w:tcW w:w="220" w:type="dxa"/>
            <w:vAlign w:val="bottom"/>
            <w:shd w:val="clear" w:color="auto" w:fill="CFF0FC"/>
          </w:tcPr>
          <w:p>
            <w:pPr>
              <w:spacing w:after="0"/>
              <w:rPr>
                <w:sz w:val="19"/>
                <w:szCs w:val="19"/>
                <w:color w:val="auto"/>
              </w:rPr>
            </w:pPr>
          </w:p>
        </w:tc>
        <w:tc>
          <w:tcPr>
            <w:tcW w:w="7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78</w:t>
            </w:r>
          </w:p>
        </w:tc>
        <w:tc>
          <w:tcPr>
            <w:tcW w:w="22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6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31,089</w:t>
            </w:r>
          </w:p>
        </w:tc>
        <w:tc>
          <w:tcPr>
            <w:tcW w:w="20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6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399</w:t>
            </w:r>
          </w:p>
        </w:tc>
        <w:tc>
          <w:tcPr>
            <w:tcW w:w="220" w:type="dxa"/>
            <w:vAlign w:val="bottom"/>
            <w:shd w:val="clear" w:color="auto" w:fill="CFF0FC"/>
          </w:tcPr>
          <w:p>
            <w:pPr>
              <w:spacing w:after="0"/>
              <w:rPr>
                <w:sz w:val="19"/>
                <w:szCs w:val="19"/>
                <w:color w:val="auto"/>
              </w:rPr>
            </w:pPr>
          </w:p>
        </w:tc>
        <w:tc>
          <w:tcPr>
            <w:tcW w:w="1100" w:type="dxa"/>
            <w:vAlign w:val="bottom"/>
            <w:gridSpan w:val="2"/>
            <w:shd w:val="clear" w:color="auto" w:fill="CFF0FC"/>
          </w:tcPr>
          <w:p>
            <w:pPr>
              <w:jc w:val="right"/>
              <w:ind w:right="139"/>
              <w:spacing w:after="0"/>
              <w:rPr>
                <w:sz w:val="20"/>
                <w:szCs w:val="20"/>
                <w:color w:val="auto"/>
              </w:rPr>
            </w:pPr>
            <w:r>
              <w:rPr>
                <w:rFonts w:ascii="Arial" w:cs="Arial" w:eastAsia="Arial" w:hAnsi="Arial"/>
                <w:sz w:val="18"/>
                <w:szCs w:val="18"/>
                <w:color w:val="auto"/>
              </w:rPr>
              <w:t>19%</w:t>
            </w:r>
          </w:p>
        </w:tc>
        <w:tc>
          <w:tcPr>
            <w:tcW w:w="1120" w:type="dxa"/>
            <w:vAlign w:val="bottom"/>
            <w:gridSpan w:val="2"/>
            <w:shd w:val="clear" w:color="auto" w:fill="CFF0FC"/>
          </w:tcPr>
          <w:p>
            <w:pPr>
              <w:jc w:val="right"/>
              <w:ind w:right="220"/>
              <w:spacing w:after="0"/>
              <w:rPr>
                <w:sz w:val="20"/>
                <w:szCs w:val="20"/>
                <w:color w:val="auto"/>
              </w:rPr>
            </w:pPr>
            <w:r>
              <w:rPr>
                <w:rFonts w:ascii="Arial" w:cs="Arial" w:eastAsia="Arial" w:hAnsi="Arial"/>
                <w:sz w:val="18"/>
                <w:szCs w:val="18"/>
                <w:color w:val="auto"/>
              </w:rPr>
              <w:t>39%</w:t>
            </w:r>
          </w:p>
        </w:tc>
        <w:tc>
          <w:tcPr>
            <w:tcW w:w="1000" w:type="dxa"/>
            <w:vAlign w:val="bottom"/>
            <w:gridSpan w:val="2"/>
            <w:shd w:val="clear" w:color="auto" w:fill="CFF0FC"/>
          </w:tcPr>
          <w:p>
            <w:pPr>
              <w:jc w:val="right"/>
              <w:ind w:right="100"/>
              <w:spacing w:after="0"/>
              <w:rPr>
                <w:sz w:val="20"/>
                <w:szCs w:val="20"/>
                <w:color w:val="auto"/>
              </w:rPr>
            </w:pPr>
            <w:r>
              <w:rPr>
                <w:rFonts w:ascii="Arial" w:cs="Arial" w:eastAsia="Arial" w:hAnsi="Arial"/>
                <w:sz w:val="18"/>
                <w:szCs w:val="18"/>
                <w:color w:val="auto"/>
              </w:rPr>
              <w:t>17%</w:t>
            </w:r>
          </w:p>
        </w:tc>
        <w:tc>
          <w:tcPr>
            <w:tcW w:w="0" w:type="dxa"/>
            <w:vAlign w:val="bottom"/>
          </w:tcPr>
          <w:p>
            <w:pPr>
              <w:spacing w:after="0"/>
              <w:rPr>
                <w:sz w:val="1"/>
                <w:szCs w:val="1"/>
                <w:color w:val="auto"/>
              </w:rPr>
            </w:pPr>
          </w:p>
        </w:tc>
      </w:tr>
      <w:tr>
        <w:trPr>
          <w:trHeight w:val="230"/>
        </w:trPr>
        <w:tc>
          <w:tcPr>
            <w:tcW w:w="2540" w:type="dxa"/>
            <w:vAlign w:val="bottom"/>
          </w:tcPr>
          <w:p>
            <w:pPr>
              <w:spacing w:after="0"/>
              <w:rPr>
                <w:sz w:val="20"/>
                <w:szCs w:val="20"/>
                <w:color w:val="auto"/>
              </w:rPr>
            </w:pPr>
            <w:r>
              <w:rPr>
                <w:rFonts w:ascii="Arial" w:cs="Arial" w:eastAsia="Arial" w:hAnsi="Arial"/>
                <w:sz w:val="18"/>
                <w:szCs w:val="18"/>
                <w:color w:val="auto"/>
              </w:rPr>
              <w:t>Trendmaker</w:t>
            </w:r>
          </w:p>
        </w:tc>
        <w:tc>
          <w:tcPr>
            <w:tcW w:w="700" w:type="dxa"/>
            <w:vAlign w:val="bottom"/>
          </w:tcPr>
          <w:p>
            <w:pPr>
              <w:jc w:val="right"/>
              <w:spacing w:after="0"/>
              <w:rPr>
                <w:sz w:val="20"/>
                <w:szCs w:val="20"/>
                <w:color w:val="auto"/>
              </w:rPr>
            </w:pPr>
            <w:r>
              <w:rPr>
                <w:rFonts w:ascii="Arial" w:cs="Arial" w:eastAsia="Arial" w:hAnsi="Arial"/>
                <w:sz w:val="18"/>
                <w:szCs w:val="18"/>
                <w:color w:val="auto"/>
              </w:rPr>
              <w:t>108</w:t>
            </w:r>
          </w:p>
        </w:tc>
        <w:tc>
          <w:tcPr>
            <w:tcW w:w="2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56,208</w:t>
            </w:r>
          </w:p>
        </w:tc>
        <w:tc>
          <w:tcPr>
            <w:tcW w:w="2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620" w:type="dxa"/>
            <w:vAlign w:val="bottom"/>
          </w:tcPr>
          <w:p>
            <w:pPr>
              <w:jc w:val="right"/>
              <w:spacing w:after="0"/>
              <w:rPr>
                <w:sz w:val="20"/>
                <w:szCs w:val="20"/>
                <w:color w:val="auto"/>
              </w:rPr>
            </w:pPr>
            <w:r>
              <w:rPr>
                <w:rFonts w:ascii="Arial" w:cs="Arial" w:eastAsia="Arial" w:hAnsi="Arial"/>
                <w:sz w:val="18"/>
                <w:szCs w:val="18"/>
                <w:color w:val="auto"/>
              </w:rPr>
              <w:t>520</w:t>
            </w:r>
          </w:p>
        </w:tc>
        <w:tc>
          <w:tcPr>
            <w:tcW w:w="220" w:type="dxa"/>
            <w:vAlign w:val="bottom"/>
          </w:tcPr>
          <w:p>
            <w:pPr>
              <w:spacing w:after="0"/>
              <w:rPr>
                <w:sz w:val="19"/>
                <w:szCs w:val="19"/>
                <w:color w:val="auto"/>
              </w:rPr>
            </w:pPr>
          </w:p>
        </w:tc>
        <w:tc>
          <w:tcPr>
            <w:tcW w:w="720" w:type="dxa"/>
            <w:vAlign w:val="bottom"/>
          </w:tcPr>
          <w:p>
            <w:pPr>
              <w:jc w:val="right"/>
              <w:spacing w:after="0"/>
              <w:rPr>
                <w:sz w:val="20"/>
                <w:szCs w:val="20"/>
                <w:color w:val="auto"/>
              </w:rPr>
            </w:pPr>
            <w:r>
              <w:rPr>
                <w:rFonts w:ascii="Arial" w:cs="Arial" w:eastAsia="Arial" w:hAnsi="Arial"/>
                <w:sz w:val="18"/>
                <w:szCs w:val="18"/>
                <w:color w:val="auto"/>
              </w:rPr>
              <w:t>130</w:t>
            </w:r>
          </w:p>
        </w:tc>
        <w:tc>
          <w:tcPr>
            <w:tcW w:w="2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61,400</w:t>
            </w:r>
          </w:p>
        </w:tc>
        <w:tc>
          <w:tcPr>
            <w:tcW w:w="2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40" w:type="dxa"/>
            <w:vAlign w:val="bottom"/>
          </w:tcPr>
          <w:p>
            <w:pPr>
              <w:jc w:val="right"/>
              <w:spacing w:after="0"/>
              <w:rPr>
                <w:sz w:val="20"/>
                <w:szCs w:val="20"/>
                <w:color w:val="auto"/>
              </w:rPr>
            </w:pPr>
            <w:r>
              <w:rPr>
                <w:rFonts w:ascii="Arial" w:cs="Arial" w:eastAsia="Arial" w:hAnsi="Arial"/>
                <w:sz w:val="18"/>
                <w:szCs w:val="18"/>
                <w:color w:val="auto"/>
              </w:rPr>
              <w:t>472</w:t>
            </w:r>
          </w:p>
        </w:tc>
        <w:tc>
          <w:tcPr>
            <w:tcW w:w="220" w:type="dxa"/>
            <w:vAlign w:val="bottom"/>
          </w:tcPr>
          <w:p>
            <w:pPr>
              <w:spacing w:after="0"/>
              <w:rPr>
                <w:sz w:val="19"/>
                <w:szCs w:val="19"/>
                <w:color w:val="auto"/>
              </w:rPr>
            </w:pPr>
          </w:p>
        </w:tc>
        <w:tc>
          <w:tcPr>
            <w:tcW w:w="1100" w:type="dxa"/>
            <w:vAlign w:val="bottom"/>
            <w:gridSpan w:val="2"/>
          </w:tcPr>
          <w:p>
            <w:pPr>
              <w:jc w:val="right"/>
              <w:ind w:right="79"/>
              <w:spacing w:after="0"/>
              <w:rPr>
                <w:sz w:val="20"/>
                <w:szCs w:val="20"/>
                <w:color w:val="auto"/>
              </w:rPr>
            </w:pPr>
            <w:r>
              <w:rPr>
                <w:rFonts w:ascii="Arial" w:cs="Arial" w:eastAsia="Arial" w:hAnsi="Arial"/>
                <w:sz w:val="18"/>
                <w:szCs w:val="18"/>
                <w:color w:val="auto"/>
              </w:rPr>
              <w:t>(17)%</w:t>
            </w:r>
          </w:p>
        </w:tc>
        <w:tc>
          <w:tcPr>
            <w:tcW w:w="1120" w:type="dxa"/>
            <w:vAlign w:val="bottom"/>
            <w:gridSpan w:val="2"/>
          </w:tcPr>
          <w:p>
            <w:pPr>
              <w:jc w:val="right"/>
              <w:ind w:right="160"/>
              <w:spacing w:after="0"/>
              <w:rPr>
                <w:sz w:val="20"/>
                <w:szCs w:val="20"/>
                <w:color w:val="auto"/>
              </w:rPr>
            </w:pPr>
            <w:r>
              <w:rPr>
                <w:rFonts w:ascii="Arial" w:cs="Arial" w:eastAsia="Arial" w:hAnsi="Arial"/>
                <w:sz w:val="18"/>
                <w:szCs w:val="18"/>
                <w:color w:val="auto"/>
              </w:rPr>
              <w:t>(8)%</w:t>
            </w:r>
          </w:p>
        </w:tc>
        <w:tc>
          <w:tcPr>
            <w:tcW w:w="1000" w:type="dxa"/>
            <w:vAlign w:val="bottom"/>
            <w:gridSpan w:val="2"/>
          </w:tcPr>
          <w:p>
            <w:pPr>
              <w:jc w:val="right"/>
              <w:ind w:right="100"/>
              <w:spacing w:after="0"/>
              <w:rPr>
                <w:sz w:val="20"/>
                <w:szCs w:val="20"/>
                <w:color w:val="auto"/>
              </w:rPr>
            </w:pPr>
            <w:r>
              <w:rPr>
                <w:rFonts w:ascii="Arial" w:cs="Arial" w:eastAsia="Arial" w:hAnsi="Arial"/>
                <w:sz w:val="18"/>
                <w:szCs w:val="18"/>
                <w:color w:val="auto"/>
              </w:rPr>
              <w:t>10%</w:t>
            </w:r>
          </w:p>
        </w:tc>
        <w:tc>
          <w:tcPr>
            <w:tcW w:w="0" w:type="dxa"/>
            <w:vAlign w:val="bottom"/>
          </w:tcPr>
          <w:p>
            <w:pPr>
              <w:spacing w:after="0"/>
              <w:rPr>
                <w:sz w:val="1"/>
                <w:szCs w:val="1"/>
                <w:color w:val="auto"/>
              </w:rPr>
            </w:pPr>
          </w:p>
        </w:tc>
      </w:tr>
      <w:tr>
        <w:trPr>
          <w:trHeight w:val="230"/>
        </w:trPr>
        <w:tc>
          <w:tcPr>
            <w:tcW w:w="2540" w:type="dxa"/>
            <w:vAlign w:val="bottom"/>
            <w:shd w:val="clear" w:color="auto" w:fill="CFF0FC"/>
          </w:tcPr>
          <w:p>
            <w:pPr>
              <w:spacing w:after="0"/>
              <w:rPr>
                <w:sz w:val="20"/>
                <w:szCs w:val="20"/>
                <w:color w:val="auto"/>
              </w:rPr>
            </w:pPr>
            <w:r>
              <w:rPr>
                <w:rFonts w:ascii="Arial" w:cs="Arial" w:eastAsia="Arial" w:hAnsi="Arial"/>
                <w:sz w:val="18"/>
                <w:szCs w:val="18"/>
                <w:color w:val="auto"/>
              </w:rPr>
              <w:t>TRI Pointe</w:t>
            </w:r>
          </w:p>
        </w:tc>
        <w:tc>
          <w:tcPr>
            <w:tcW w:w="7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139</w:t>
            </w:r>
          </w:p>
        </w:tc>
        <w:tc>
          <w:tcPr>
            <w:tcW w:w="22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660" w:type="dxa"/>
            <w:vAlign w:val="bottom"/>
            <w:shd w:val="clear" w:color="auto" w:fill="CFF0FC"/>
          </w:tcPr>
          <w:p>
            <w:pPr>
              <w:jc w:val="right"/>
              <w:spacing w:after="0"/>
              <w:rPr>
                <w:sz w:val="20"/>
                <w:szCs w:val="20"/>
                <w:color w:val="auto"/>
              </w:rPr>
            </w:pPr>
            <w:r>
              <w:rPr>
                <w:rFonts w:ascii="Arial" w:cs="Arial" w:eastAsia="Arial" w:hAnsi="Arial"/>
                <w:sz w:val="18"/>
                <w:szCs w:val="18"/>
                <w:color w:val="auto"/>
                <w:w w:val="95"/>
              </w:rPr>
              <w:t>106,858</w:t>
            </w:r>
          </w:p>
        </w:tc>
        <w:tc>
          <w:tcPr>
            <w:tcW w:w="22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6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769</w:t>
            </w:r>
          </w:p>
        </w:tc>
        <w:tc>
          <w:tcPr>
            <w:tcW w:w="220" w:type="dxa"/>
            <w:vAlign w:val="bottom"/>
            <w:shd w:val="clear" w:color="auto" w:fill="CFF0FC"/>
          </w:tcPr>
          <w:p>
            <w:pPr>
              <w:spacing w:after="0"/>
              <w:rPr>
                <w:sz w:val="19"/>
                <w:szCs w:val="19"/>
                <w:color w:val="auto"/>
              </w:rPr>
            </w:pPr>
          </w:p>
        </w:tc>
        <w:tc>
          <w:tcPr>
            <w:tcW w:w="7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22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6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20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860" w:type="dxa"/>
            <w:vAlign w:val="bottom"/>
            <w:gridSpan w:val="2"/>
            <w:shd w:val="clear" w:color="auto" w:fill="CFF0FC"/>
          </w:tcPr>
          <w:p>
            <w:pPr>
              <w:jc w:val="right"/>
              <w:ind w:right="240"/>
              <w:spacing w:after="0"/>
              <w:rPr>
                <w:sz w:val="20"/>
                <w:szCs w:val="20"/>
                <w:color w:val="auto"/>
              </w:rPr>
            </w:pPr>
            <w:r>
              <w:rPr>
                <w:rFonts w:ascii="Arial" w:cs="Arial" w:eastAsia="Arial" w:hAnsi="Arial"/>
                <w:sz w:val="18"/>
                <w:szCs w:val="18"/>
                <w:color w:val="auto"/>
              </w:rPr>
              <w:t>—</w:t>
            </w:r>
          </w:p>
        </w:tc>
        <w:tc>
          <w:tcPr>
            <w:tcW w:w="1100" w:type="dxa"/>
            <w:vAlign w:val="bottom"/>
            <w:gridSpan w:val="2"/>
            <w:shd w:val="clear" w:color="auto" w:fill="CFF0FC"/>
          </w:tcPr>
          <w:p>
            <w:pPr>
              <w:jc w:val="right"/>
              <w:ind w:right="299"/>
              <w:spacing w:after="0"/>
              <w:rPr>
                <w:sz w:val="20"/>
                <w:szCs w:val="20"/>
                <w:color w:val="auto"/>
              </w:rPr>
            </w:pPr>
            <w:r>
              <w:rPr>
                <w:rFonts w:ascii="Arial" w:cs="Arial" w:eastAsia="Arial" w:hAnsi="Arial"/>
                <w:sz w:val="18"/>
                <w:szCs w:val="18"/>
                <w:color w:val="auto"/>
              </w:rPr>
              <w:t>N/A</w:t>
            </w:r>
          </w:p>
        </w:tc>
        <w:tc>
          <w:tcPr>
            <w:tcW w:w="1120" w:type="dxa"/>
            <w:vAlign w:val="bottom"/>
            <w:gridSpan w:val="2"/>
            <w:shd w:val="clear" w:color="auto" w:fill="CFF0FC"/>
          </w:tcPr>
          <w:p>
            <w:pPr>
              <w:jc w:val="right"/>
              <w:ind w:right="380"/>
              <w:spacing w:after="0"/>
              <w:rPr>
                <w:sz w:val="20"/>
                <w:szCs w:val="20"/>
                <w:color w:val="auto"/>
              </w:rPr>
            </w:pPr>
            <w:r>
              <w:rPr>
                <w:rFonts w:ascii="Arial" w:cs="Arial" w:eastAsia="Arial" w:hAnsi="Arial"/>
                <w:sz w:val="18"/>
                <w:szCs w:val="18"/>
                <w:color w:val="auto"/>
              </w:rPr>
              <w:t>N/A</w:t>
            </w:r>
          </w:p>
        </w:tc>
        <w:tc>
          <w:tcPr>
            <w:tcW w:w="1000" w:type="dxa"/>
            <w:vAlign w:val="bottom"/>
            <w:gridSpan w:val="2"/>
            <w:shd w:val="clear" w:color="auto" w:fill="CFF0FC"/>
          </w:tcPr>
          <w:p>
            <w:pPr>
              <w:jc w:val="right"/>
              <w:ind w:right="260"/>
              <w:spacing w:after="0"/>
              <w:rPr>
                <w:sz w:val="20"/>
                <w:szCs w:val="20"/>
                <w:color w:val="auto"/>
              </w:rPr>
            </w:pPr>
            <w:r>
              <w:rPr>
                <w:rFonts w:ascii="Arial" w:cs="Arial" w:eastAsia="Arial" w:hAnsi="Arial"/>
                <w:sz w:val="18"/>
                <w:szCs w:val="18"/>
                <w:color w:val="auto"/>
              </w:rPr>
              <w:t>N/A</w:t>
            </w:r>
          </w:p>
        </w:tc>
        <w:tc>
          <w:tcPr>
            <w:tcW w:w="0" w:type="dxa"/>
            <w:vAlign w:val="bottom"/>
          </w:tcPr>
          <w:p>
            <w:pPr>
              <w:spacing w:after="0"/>
              <w:rPr>
                <w:sz w:val="1"/>
                <w:szCs w:val="1"/>
                <w:color w:val="auto"/>
              </w:rPr>
            </w:pPr>
          </w:p>
        </w:tc>
      </w:tr>
      <w:tr>
        <w:trPr>
          <w:trHeight w:val="230"/>
        </w:trPr>
        <w:tc>
          <w:tcPr>
            <w:tcW w:w="2540" w:type="dxa"/>
            <w:vAlign w:val="bottom"/>
          </w:tcPr>
          <w:p>
            <w:pPr>
              <w:spacing w:after="0"/>
              <w:rPr>
                <w:sz w:val="20"/>
                <w:szCs w:val="20"/>
                <w:color w:val="auto"/>
              </w:rPr>
            </w:pPr>
            <w:r>
              <w:rPr>
                <w:rFonts w:ascii="Arial" w:cs="Arial" w:eastAsia="Arial" w:hAnsi="Arial"/>
                <w:sz w:val="18"/>
                <w:szCs w:val="18"/>
                <w:color w:val="auto"/>
              </w:rPr>
              <w:t>Winchester</w:t>
            </w:r>
          </w:p>
        </w:tc>
        <w:tc>
          <w:tcPr>
            <w:tcW w:w="700" w:type="dxa"/>
            <w:vAlign w:val="bottom"/>
          </w:tcPr>
          <w:p>
            <w:pPr>
              <w:jc w:val="right"/>
              <w:spacing w:after="0"/>
              <w:rPr>
                <w:sz w:val="20"/>
                <w:szCs w:val="20"/>
                <w:color w:val="auto"/>
              </w:rPr>
            </w:pPr>
            <w:r>
              <w:rPr>
                <w:rFonts w:ascii="Arial" w:cs="Arial" w:eastAsia="Arial" w:hAnsi="Arial"/>
                <w:sz w:val="18"/>
                <w:szCs w:val="18"/>
                <w:color w:val="auto"/>
              </w:rPr>
              <w:t>75</w:t>
            </w:r>
          </w:p>
        </w:tc>
        <w:tc>
          <w:tcPr>
            <w:tcW w:w="2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49,728</w:t>
            </w:r>
          </w:p>
        </w:tc>
        <w:tc>
          <w:tcPr>
            <w:tcW w:w="2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620" w:type="dxa"/>
            <w:vAlign w:val="bottom"/>
          </w:tcPr>
          <w:p>
            <w:pPr>
              <w:jc w:val="right"/>
              <w:spacing w:after="0"/>
              <w:rPr>
                <w:sz w:val="20"/>
                <w:szCs w:val="20"/>
                <w:color w:val="auto"/>
              </w:rPr>
            </w:pPr>
            <w:r>
              <w:rPr>
                <w:rFonts w:ascii="Arial" w:cs="Arial" w:eastAsia="Arial" w:hAnsi="Arial"/>
                <w:sz w:val="18"/>
                <w:szCs w:val="18"/>
                <w:color w:val="auto"/>
              </w:rPr>
              <w:t>663</w:t>
            </w:r>
          </w:p>
        </w:tc>
        <w:tc>
          <w:tcPr>
            <w:tcW w:w="220" w:type="dxa"/>
            <w:vAlign w:val="bottom"/>
          </w:tcPr>
          <w:p>
            <w:pPr>
              <w:spacing w:after="0"/>
              <w:rPr>
                <w:sz w:val="19"/>
                <w:szCs w:val="19"/>
                <w:color w:val="auto"/>
              </w:rPr>
            </w:pPr>
          </w:p>
        </w:tc>
        <w:tc>
          <w:tcPr>
            <w:tcW w:w="720" w:type="dxa"/>
            <w:vAlign w:val="bottom"/>
          </w:tcPr>
          <w:p>
            <w:pPr>
              <w:jc w:val="right"/>
              <w:spacing w:after="0"/>
              <w:rPr>
                <w:sz w:val="20"/>
                <w:szCs w:val="20"/>
                <w:color w:val="auto"/>
              </w:rPr>
            </w:pPr>
            <w:r>
              <w:rPr>
                <w:rFonts w:ascii="Arial" w:cs="Arial" w:eastAsia="Arial" w:hAnsi="Arial"/>
                <w:sz w:val="18"/>
                <w:szCs w:val="18"/>
                <w:color w:val="auto"/>
              </w:rPr>
              <w:t>66</w:t>
            </w:r>
          </w:p>
        </w:tc>
        <w:tc>
          <w:tcPr>
            <w:tcW w:w="2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46,786</w:t>
            </w:r>
          </w:p>
        </w:tc>
        <w:tc>
          <w:tcPr>
            <w:tcW w:w="2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40" w:type="dxa"/>
            <w:vAlign w:val="bottom"/>
          </w:tcPr>
          <w:p>
            <w:pPr>
              <w:jc w:val="right"/>
              <w:spacing w:after="0"/>
              <w:rPr>
                <w:sz w:val="20"/>
                <w:szCs w:val="20"/>
                <w:color w:val="auto"/>
              </w:rPr>
            </w:pPr>
            <w:r>
              <w:rPr>
                <w:rFonts w:ascii="Arial" w:cs="Arial" w:eastAsia="Arial" w:hAnsi="Arial"/>
                <w:sz w:val="18"/>
                <w:szCs w:val="18"/>
                <w:color w:val="auto"/>
              </w:rPr>
              <w:t>709</w:t>
            </w:r>
          </w:p>
        </w:tc>
        <w:tc>
          <w:tcPr>
            <w:tcW w:w="220" w:type="dxa"/>
            <w:vAlign w:val="bottom"/>
          </w:tcPr>
          <w:p>
            <w:pPr>
              <w:spacing w:after="0"/>
              <w:rPr>
                <w:sz w:val="19"/>
                <w:szCs w:val="19"/>
                <w:color w:val="auto"/>
              </w:rPr>
            </w:pPr>
          </w:p>
        </w:tc>
        <w:tc>
          <w:tcPr>
            <w:tcW w:w="1100" w:type="dxa"/>
            <w:vAlign w:val="bottom"/>
            <w:gridSpan w:val="2"/>
          </w:tcPr>
          <w:p>
            <w:pPr>
              <w:jc w:val="right"/>
              <w:ind w:right="139"/>
              <w:spacing w:after="0"/>
              <w:rPr>
                <w:sz w:val="20"/>
                <w:szCs w:val="20"/>
                <w:color w:val="auto"/>
              </w:rPr>
            </w:pPr>
            <w:r>
              <w:rPr>
                <w:rFonts w:ascii="Arial" w:cs="Arial" w:eastAsia="Arial" w:hAnsi="Arial"/>
                <w:sz w:val="18"/>
                <w:szCs w:val="18"/>
                <w:color w:val="auto"/>
              </w:rPr>
              <w:t>14%</w:t>
            </w:r>
          </w:p>
        </w:tc>
        <w:tc>
          <w:tcPr>
            <w:tcW w:w="1120" w:type="dxa"/>
            <w:vAlign w:val="bottom"/>
            <w:gridSpan w:val="2"/>
          </w:tcPr>
          <w:p>
            <w:pPr>
              <w:jc w:val="right"/>
              <w:ind w:right="220"/>
              <w:spacing w:after="0"/>
              <w:rPr>
                <w:sz w:val="20"/>
                <w:szCs w:val="20"/>
                <w:color w:val="auto"/>
              </w:rPr>
            </w:pPr>
            <w:r>
              <w:rPr>
                <w:rFonts w:ascii="Arial" w:cs="Arial" w:eastAsia="Arial" w:hAnsi="Arial"/>
                <w:sz w:val="18"/>
                <w:szCs w:val="18"/>
                <w:color w:val="auto"/>
              </w:rPr>
              <w:t>6%</w:t>
            </w:r>
          </w:p>
        </w:tc>
        <w:tc>
          <w:tcPr>
            <w:tcW w:w="1000" w:type="dxa"/>
            <w:vAlign w:val="bottom"/>
            <w:gridSpan w:val="2"/>
          </w:tcPr>
          <w:p>
            <w:pPr>
              <w:jc w:val="right"/>
              <w:ind w:right="40"/>
              <w:spacing w:after="0"/>
              <w:rPr>
                <w:sz w:val="20"/>
                <w:szCs w:val="20"/>
                <w:color w:val="auto"/>
              </w:rPr>
            </w:pPr>
            <w:r>
              <w:rPr>
                <w:rFonts w:ascii="Arial" w:cs="Arial" w:eastAsia="Arial" w:hAnsi="Arial"/>
                <w:sz w:val="18"/>
                <w:szCs w:val="18"/>
                <w:color w:val="auto"/>
              </w:rPr>
              <w:t>(6)%</w:t>
            </w:r>
          </w:p>
        </w:tc>
        <w:tc>
          <w:tcPr>
            <w:tcW w:w="0" w:type="dxa"/>
            <w:vAlign w:val="bottom"/>
          </w:tcPr>
          <w:p>
            <w:pPr>
              <w:spacing w:after="0"/>
              <w:rPr>
                <w:sz w:val="1"/>
                <w:szCs w:val="1"/>
                <w:color w:val="auto"/>
              </w:rPr>
            </w:pPr>
          </w:p>
        </w:tc>
      </w:tr>
      <w:tr>
        <w:trPr>
          <w:trHeight w:val="20"/>
        </w:trPr>
        <w:tc>
          <w:tcPr>
            <w:tcW w:w="2540" w:type="dxa"/>
            <w:vAlign w:val="bottom"/>
            <w:vMerge w:val="restart"/>
            <w:shd w:val="clear" w:color="auto" w:fill="CFF0FC"/>
          </w:tcPr>
          <w:p>
            <w:pPr>
              <w:ind w:left="260"/>
              <w:spacing w:after="0"/>
              <w:rPr>
                <w:sz w:val="20"/>
                <w:szCs w:val="20"/>
                <w:color w:val="auto"/>
              </w:rPr>
            </w:pPr>
            <w:r>
              <w:rPr>
                <w:rFonts w:ascii="Arial" w:cs="Arial" w:eastAsia="Arial" w:hAnsi="Arial"/>
                <w:sz w:val="18"/>
                <w:szCs w:val="18"/>
                <w:color w:val="auto"/>
              </w:rPr>
              <w:t>Total</w:t>
            </w:r>
          </w:p>
        </w:tc>
        <w:tc>
          <w:tcPr>
            <w:tcW w:w="700" w:type="dxa"/>
            <w:vAlign w:val="bottom"/>
            <w:shd w:val="clear" w:color="auto" w:fill="000000"/>
          </w:tcPr>
          <w:p>
            <w:pPr>
              <w:spacing w:after="0" w:line="20" w:lineRule="exact"/>
              <w:rPr>
                <w:sz w:val="1"/>
                <w:szCs w:val="1"/>
                <w:color w:val="auto"/>
              </w:rPr>
            </w:pPr>
          </w:p>
        </w:tc>
        <w:tc>
          <w:tcPr>
            <w:tcW w:w="220" w:type="dxa"/>
            <w:vAlign w:val="bottom"/>
            <w:vMerge w:val="restart"/>
            <w:shd w:val="clear" w:color="auto" w:fill="CFF0FC"/>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660" w:type="dxa"/>
            <w:vAlign w:val="bottom"/>
            <w:shd w:val="clear" w:color="auto" w:fill="000000"/>
          </w:tcPr>
          <w:p>
            <w:pPr>
              <w:spacing w:after="0" w:line="20" w:lineRule="exact"/>
              <w:rPr>
                <w:sz w:val="1"/>
                <w:szCs w:val="1"/>
                <w:color w:val="auto"/>
              </w:rPr>
            </w:pPr>
          </w:p>
        </w:tc>
        <w:tc>
          <w:tcPr>
            <w:tcW w:w="220" w:type="dxa"/>
            <w:vAlign w:val="bottom"/>
            <w:shd w:val="clear" w:color="auto" w:fill="CFF0FC"/>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620" w:type="dxa"/>
            <w:vAlign w:val="bottom"/>
            <w:shd w:val="clear" w:color="auto" w:fill="000000"/>
          </w:tcPr>
          <w:p>
            <w:pPr>
              <w:spacing w:after="0" w:line="20" w:lineRule="exact"/>
              <w:rPr>
                <w:sz w:val="1"/>
                <w:szCs w:val="1"/>
                <w:color w:val="auto"/>
              </w:rPr>
            </w:pPr>
          </w:p>
        </w:tc>
        <w:tc>
          <w:tcPr>
            <w:tcW w:w="220" w:type="dxa"/>
            <w:vAlign w:val="bottom"/>
            <w:shd w:val="clear" w:color="auto" w:fill="CFF0FC"/>
          </w:tcPr>
          <w:p>
            <w:pPr>
              <w:spacing w:after="0" w:line="20" w:lineRule="exact"/>
              <w:rPr>
                <w:sz w:val="1"/>
                <w:szCs w:val="1"/>
                <w:color w:val="auto"/>
              </w:rPr>
            </w:pPr>
          </w:p>
        </w:tc>
        <w:tc>
          <w:tcPr>
            <w:tcW w:w="720" w:type="dxa"/>
            <w:vAlign w:val="bottom"/>
            <w:shd w:val="clear" w:color="auto" w:fill="000000"/>
          </w:tcPr>
          <w:p>
            <w:pPr>
              <w:spacing w:after="0" w:line="20" w:lineRule="exact"/>
              <w:rPr>
                <w:sz w:val="1"/>
                <w:szCs w:val="1"/>
                <w:color w:val="auto"/>
              </w:rPr>
            </w:pPr>
          </w:p>
        </w:tc>
        <w:tc>
          <w:tcPr>
            <w:tcW w:w="220" w:type="dxa"/>
            <w:vAlign w:val="bottom"/>
            <w:vMerge w:val="restart"/>
            <w:shd w:val="clear" w:color="auto" w:fill="CFF0FC"/>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660" w:type="dxa"/>
            <w:vAlign w:val="bottom"/>
            <w:shd w:val="clear" w:color="auto" w:fill="000000"/>
          </w:tcPr>
          <w:p>
            <w:pPr>
              <w:spacing w:after="0" w:line="20" w:lineRule="exact"/>
              <w:rPr>
                <w:sz w:val="1"/>
                <w:szCs w:val="1"/>
                <w:color w:val="auto"/>
              </w:rPr>
            </w:pPr>
          </w:p>
        </w:tc>
        <w:tc>
          <w:tcPr>
            <w:tcW w:w="200" w:type="dxa"/>
            <w:vAlign w:val="bottom"/>
            <w:vMerge w:val="restart"/>
            <w:shd w:val="clear" w:color="auto" w:fill="CFF0FC"/>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640" w:type="dxa"/>
            <w:vAlign w:val="bottom"/>
            <w:shd w:val="clear" w:color="auto" w:fill="000000"/>
          </w:tcPr>
          <w:p>
            <w:pPr>
              <w:spacing w:after="0" w:line="20" w:lineRule="exact"/>
              <w:rPr>
                <w:sz w:val="1"/>
                <w:szCs w:val="1"/>
                <w:color w:val="auto"/>
              </w:rPr>
            </w:pPr>
          </w:p>
        </w:tc>
        <w:tc>
          <w:tcPr>
            <w:tcW w:w="220" w:type="dxa"/>
            <w:vAlign w:val="bottom"/>
            <w:shd w:val="clear" w:color="auto" w:fill="CFF0FC"/>
          </w:tcPr>
          <w:p>
            <w:pPr>
              <w:spacing w:after="0" w:line="20" w:lineRule="exact"/>
              <w:rPr>
                <w:sz w:val="1"/>
                <w:szCs w:val="1"/>
                <w:color w:val="auto"/>
              </w:rPr>
            </w:pPr>
          </w:p>
        </w:tc>
        <w:tc>
          <w:tcPr>
            <w:tcW w:w="740" w:type="dxa"/>
            <w:vAlign w:val="bottom"/>
            <w:shd w:val="clear" w:color="auto" w:fill="000000"/>
          </w:tcPr>
          <w:p>
            <w:pPr>
              <w:spacing w:after="0" w:line="20" w:lineRule="exact"/>
              <w:rPr>
                <w:sz w:val="1"/>
                <w:szCs w:val="1"/>
                <w:color w:val="auto"/>
              </w:rPr>
            </w:pPr>
          </w:p>
        </w:tc>
        <w:tc>
          <w:tcPr>
            <w:tcW w:w="360" w:type="dxa"/>
            <w:vAlign w:val="bottom"/>
            <w:shd w:val="clear" w:color="auto" w:fill="CFF0FC"/>
          </w:tcPr>
          <w:p>
            <w:pPr>
              <w:spacing w:after="0" w:line="20" w:lineRule="exact"/>
              <w:rPr>
                <w:sz w:val="1"/>
                <w:szCs w:val="1"/>
                <w:color w:val="auto"/>
              </w:rPr>
            </w:pPr>
          </w:p>
        </w:tc>
        <w:tc>
          <w:tcPr>
            <w:tcW w:w="760" w:type="dxa"/>
            <w:vAlign w:val="bottom"/>
            <w:shd w:val="clear" w:color="auto" w:fill="000000"/>
          </w:tcPr>
          <w:p>
            <w:pPr>
              <w:spacing w:after="0" w:line="20" w:lineRule="exact"/>
              <w:rPr>
                <w:sz w:val="1"/>
                <w:szCs w:val="1"/>
                <w:color w:val="auto"/>
              </w:rPr>
            </w:pPr>
          </w:p>
        </w:tc>
        <w:tc>
          <w:tcPr>
            <w:tcW w:w="360" w:type="dxa"/>
            <w:vAlign w:val="bottom"/>
            <w:shd w:val="clear" w:color="auto" w:fill="CFF0FC"/>
          </w:tcPr>
          <w:p>
            <w:pPr>
              <w:spacing w:after="0" w:line="20" w:lineRule="exact"/>
              <w:rPr>
                <w:sz w:val="1"/>
                <w:szCs w:val="1"/>
                <w:color w:val="auto"/>
              </w:rPr>
            </w:pPr>
          </w:p>
        </w:tc>
        <w:tc>
          <w:tcPr>
            <w:tcW w:w="760" w:type="dxa"/>
            <w:vAlign w:val="bottom"/>
            <w:shd w:val="clear" w:color="auto" w:fill="000000"/>
          </w:tcPr>
          <w:p>
            <w:pPr>
              <w:spacing w:after="0" w:line="20" w:lineRule="exact"/>
              <w:rPr>
                <w:sz w:val="1"/>
                <w:szCs w:val="1"/>
                <w:color w:val="auto"/>
              </w:rPr>
            </w:pPr>
          </w:p>
        </w:tc>
        <w:tc>
          <w:tcPr>
            <w:tcW w:w="240" w:type="dxa"/>
            <w:vAlign w:val="bottom"/>
            <w:shd w:val="clear" w:color="auto" w:fill="CFF0FC"/>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3"/>
        </w:trPr>
        <w:tc>
          <w:tcPr>
            <w:tcW w:w="2540" w:type="dxa"/>
            <w:vAlign w:val="bottom"/>
            <w:vMerge w:val="continue"/>
            <w:shd w:val="clear" w:color="auto" w:fill="CFF0FC"/>
          </w:tcPr>
          <w:p>
            <w:pPr>
              <w:spacing w:after="0"/>
              <w:rPr>
                <w:sz w:val="19"/>
                <w:szCs w:val="19"/>
                <w:color w:val="auto"/>
              </w:rPr>
            </w:pPr>
          </w:p>
        </w:tc>
        <w:tc>
          <w:tcPr>
            <w:tcW w:w="7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668</w:t>
            </w:r>
          </w:p>
        </w:tc>
        <w:tc>
          <w:tcPr>
            <w:tcW w:w="220" w:type="dxa"/>
            <w:vAlign w:val="bottom"/>
            <w:vMerge w:val="continue"/>
            <w:shd w:val="clear" w:color="auto" w:fill="CFF0FC"/>
          </w:tcPr>
          <w:p>
            <w:pPr>
              <w:spacing w:after="0"/>
              <w:rPr>
                <w:sz w:val="19"/>
                <w:szCs w:val="19"/>
                <w:color w:val="auto"/>
              </w:rPr>
            </w:pPr>
          </w:p>
        </w:tc>
        <w:tc>
          <w:tcPr>
            <w:tcW w:w="80" w:type="dxa"/>
            <w:vAlign w:val="bottom"/>
            <w:shd w:val="clear" w:color="auto" w:fill="CFF0FC"/>
          </w:tcPr>
          <w:p>
            <w:pPr>
              <w:jc w:val="right"/>
              <w:spacing w:after="0"/>
              <w:rPr>
                <w:sz w:val="20"/>
                <w:szCs w:val="20"/>
                <w:color w:val="auto"/>
              </w:rPr>
            </w:pPr>
            <w:r>
              <w:rPr>
                <w:rFonts w:ascii="Arial" w:cs="Arial" w:eastAsia="Arial" w:hAnsi="Arial"/>
                <w:sz w:val="15"/>
                <w:szCs w:val="15"/>
                <w:color w:val="auto"/>
                <w:w w:val="71"/>
              </w:rPr>
              <w:t>$</w:t>
            </w:r>
          </w:p>
        </w:tc>
        <w:tc>
          <w:tcPr>
            <w:tcW w:w="660" w:type="dxa"/>
            <w:vAlign w:val="bottom"/>
            <w:shd w:val="clear" w:color="auto" w:fill="CFF0FC"/>
          </w:tcPr>
          <w:p>
            <w:pPr>
              <w:jc w:val="right"/>
              <w:spacing w:after="0"/>
              <w:rPr>
                <w:sz w:val="20"/>
                <w:szCs w:val="20"/>
                <w:color w:val="auto"/>
              </w:rPr>
            </w:pPr>
            <w:r>
              <w:rPr>
                <w:rFonts w:ascii="Arial" w:cs="Arial" w:eastAsia="Arial" w:hAnsi="Arial"/>
                <w:sz w:val="18"/>
                <w:szCs w:val="18"/>
                <w:color w:val="auto"/>
                <w:w w:val="95"/>
              </w:rPr>
              <w:t>374,265</w:t>
            </w:r>
          </w:p>
        </w:tc>
        <w:tc>
          <w:tcPr>
            <w:tcW w:w="220" w:type="dxa"/>
            <w:vAlign w:val="bottom"/>
            <w:shd w:val="clear" w:color="auto" w:fill="CFF0FC"/>
          </w:tcPr>
          <w:p>
            <w:pPr>
              <w:spacing w:after="0"/>
              <w:rPr>
                <w:sz w:val="19"/>
                <w:szCs w:val="19"/>
                <w:color w:val="auto"/>
              </w:rPr>
            </w:pPr>
          </w:p>
        </w:tc>
        <w:tc>
          <w:tcPr>
            <w:tcW w:w="80" w:type="dxa"/>
            <w:vAlign w:val="bottom"/>
            <w:shd w:val="clear" w:color="auto" w:fill="CFF0FC"/>
          </w:tcPr>
          <w:p>
            <w:pPr>
              <w:jc w:val="right"/>
              <w:spacing w:after="0"/>
              <w:rPr>
                <w:sz w:val="20"/>
                <w:szCs w:val="20"/>
                <w:color w:val="auto"/>
              </w:rPr>
            </w:pPr>
            <w:r>
              <w:rPr>
                <w:rFonts w:ascii="Arial" w:cs="Arial" w:eastAsia="Arial" w:hAnsi="Arial"/>
                <w:sz w:val="15"/>
                <w:szCs w:val="15"/>
                <w:color w:val="auto"/>
                <w:w w:val="71"/>
              </w:rPr>
              <w:t>$</w:t>
            </w:r>
          </w:p>
        </w:tc>
        <w:tc>
          <w:tcPr>
            <w:tcW w:w="6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560</w:t>
            </w:r>
          </w:p>
        </w:tc>
        <w:tc>
          <w:tcPr>
            <w:tcW w:w="220" w:type="dxa"/>
            <w:vAlign w:val="bottom"/>
            <w:shd w:val="clear" w:color="auto" w:fill="CFF0FC"/>
          </w:tcPr>
          <w:p>
            <w:pPr>
              <w:spacing w:after="0"/>
              <w:rPr>
                <w:sz w:val="19"/>
                <w:szCs w:val="19"/>
                <w:color w:val="auto"/>
              </w:rPr>
            </w:pPr>
          </w:p>
        </w:tc>
        <w:tc>
          <w:tcPr>
            <w:tcW w:w="7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508</w:t>
            </w:r>
          </w:p>
        </w:tc>
        <w:tc>
          <w:tcPr>
            <w:tcW w:w="220" w:type="dxa"/>
            <w:vAlign w:val="bottom"/>
            <w:vMerge w:val="continue"/>
            <w:shd w:val="clear" w:color="auto" w:fill="CFF0FC"/>
          </w:tcPr>
          <w:p>
            <w:pPr>
              <w:spacing w:after="0"/>
              <w:rPr>
                <w:sz w:val="19"/>
                <w:szCs w:val="19"/>
                <w:color w:val="auto"/>
              </w:rPr>
            </w:pPr>
          </w:p>
        </w:tc>
        <w:tc>
          <w:tcPr>
            <w:tcW w:w="100" w:type="dxa"/>
            <w:vAlign w:val="bottom"/>
            <w:shd w:val="clear" w:color="auto" w:fill="CFF0FC"/>
          </w:tcPr>
          <w:p>
            <w:pPr>
              <w:jc w:val="right"/>
              <w:spacing w:after="0"/>
              <w:rPr>
                <w:sz w:val="20"/>
                <w:szCs w:val="20"/>
                <w:color w:val="auto"/>
              </w:rPr>
            </w:pPr>
            <w:r>
              <w:rPr>
                <w:rFonts w:ascii="Arial" w:cs="Arial" w:eastAsia="Arial" w:hAnsi="Arial"/>
                <w:sz w:val="15"/>
                <w:szCs w:val="15"/>
                <w:color w:val="auto"/>
                <w:w w:val="71"/>
              </w:rPr>
              <w:t>$</w:t>
            </w:r>
          </w:p>
        </w:tc>
        <w:tc>
          <w:tcPr>
            <w:tcW w:w="660" w:type="dxa"/>
            <w:vAlign w:val="bottom"/>
            <w:shd w:val="clear" w:color="auto" w:fill="CFF0FC"/>
          </w:tcPr>
          <w:p>
            <w:pPr>
              <w:jc w:val="right"/>
              <w:spacing w:after="0"/>
              <w:rPr>
                <w:sz w:val="20"/>
                <w:szCs w:val="20"/>
                <w:color w:val="auto"/>
              </w:rPr>
            </w:pPr>
            <w:r>
              <w:rPr>
                <w:rFonts w:ascii="Arial" w:cs="Arial" w:eastAsia="Arial" w:hAnsi="Arial"/>
                <w:sz w:val="18"/>
                <w:szCs w:val="18"/>
                <w:color w:val="auto"/>
                <w:w w:val="95"/>
              </w:rPr>
              <w:t>241,902</w:t>
            </w:r>
          </w:p>
        </w:tc>
        <w:tc>
          <w:tcPr>
            <w:tcW w:w="200" w:type="dxa"/>
            <w:vAlign w:val="bottom"/>
            <w:vMerge w:val="continue"/>
            <w:shd w:val="clear" w:color="auto" w:fill="CFF0FC"/>
          </w:tcPr>
          <w:p>
            <w:pPr>
              <w:spacing w:after="0"/>
              <w:rPr>
                <w:sz w:val="19"/>
                <w:szCs w:val="19"/>
                <w:color w:val="auto"/>
              </w:rPr>
            </w:pPr>
          </w:p>
        </w:tc>
        <w:tc>
          <w:tcPr>
            <w:tcW w:w="100" w:type="dxa"/>
            <w:vAlign w:val="bottom"/>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6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476</w:t>
            </w:r>
          </w:p>
        </w:tc>
        <w:tc>
          <w:tcPr>
            <w:tcW w:w="220" w:type="dxa"/>
            <w:vAlign w:val="bottom"/>
            <w:shd w:val="clear" w:color="auto" w:fill="CFF0FC"/>
          </w:tcPr>
          <w:p>
            <w:pPr>
              <w:spacing w:after="0"/>
              <w:rPr>
                <w:sz w:val="19"/>
                <w:szCs w:val="19"/>
                <w:color w:val="auto"/>
              </w:rPr>
            </w:pPr>
          </w:p>
        </w:tc>
        <w:tc>
          <w:tcPr>
            <w:tcW w:w="1100" w:type="dxa"/>
            <w:vAlign w:val="bottom"/>
            <w:gridSpan w:val="2"/>
            <w:shd w:val="clear" w:color="auto" w:fill="CFF0FC"/>
          </w:tcPr>
          <w:p>
            <w:pPr>
              <w:jc w:val="right"/>
              <w:ind w:right="139"/>
              <w:spacing w:after="0"/>
              <w:rPr>
                <w:sz w:val="20"/>
                <w:szCs w:val="20"/>
                <w:color w:val="auto"/>
              </w:rPr>
            </w:pPr>
            <w:r>
              <w:rPr>
                <w:rFonts w:ascii="Arial" w:cs="Arial" w:eastAsia="Arial" w:hAnsi="Arial"/>
                <w:sz w:val="18"/>
                <w:szCs w:val="18"/>
                <w:color w:val="auto"/>
              </w:rPr>
              <w:t>31%</w:t>
            </w:r>
          </w:p>
        </w:tc>
        <w:tc>
          <w:tcPr>
            <w:tcW w:w="1120" w:type="dxa"/>
            <w:vAlign w:val="bottom"/>
            <w:gridSpan w:val="2"/>
            <w:shd w:val="clear" w:color="auto" w:fill="CFF0FC"/>
          </w:tcPr>
          <w:p>
            <w:pPr>
              <w:jc w:val="right"/>
              <w:ind w:right="220"/>
              <w:spacing w:after="0"/>
              <w:rPr>
                <w:sz w:val="20"/>
                <w:szCs w:val="20"/>
                <w:color w:val="auto"/>
              </w:rPr>
            </w:pPr>
            <w:r>
              <w:rPr>
                <w:rFonts w:ascii="Arial" w:cs="Arial" w:eastAsia="Arial" w:hAnsi="Arial"/>
                <w:sz w:val="18"/>
                <w:szCs w:val="18"/>
                <w:color w:val="auto"/>
              </w:rPr>
              <w:t>55%</w:t>
            </w:r>
          </w:p>
        </w:tc>
        <w:tc>
          <w:tcPr>
            <w:tcW w:w="1000" w:type="dxa"/>
            <w:vAlign w:val="bottom"/>
            <w:gridSpan w:val="2"/>
            <w:shd w:val="clear" w:color="auto" w:fill="CFF0FC"/>
          </w:tcPr>
          <w:p>
            <w:pPr>
              <w:jc w:val="right"/>
              <w:ind w:right="100"/>
              <w:spacing w:after="0"/>
              <w:rPr>
                <w:sz w:val="20"/>
                <w:szCs w:val="20"/>
                <w:color w:val="auto"/>
              </w:rPr>
            </w:pPr>
            <w:r>
              <w:rPr>
                <w:rFonts w:ascii="Arial" w:cs="Arial" w:eastAsia="Arial" w:hAnsi="Arial"/>
                <w:sz w:val="18"/>
                <w:szCs w:val="18"/>
                <w:color w:val="auto"/>
              </w:rPr>
              <w:t>18%</w:t>
            </w:r>
          </w:p>
        </w:tc>
        <w:tc>
          <w:tcPr>
            <w:tcW w:w="0" w:type="dxa"/>
            <w:vAlign w:val="bottom"/>
          </w:tcPr>
          <w:p>
            <w:pPr>
              <w:spacing w:after="0"/>
              <w:rPr>
                <w:sz w:val="1"/>
                <w:szCs w:val="1"/>
                <w:color w:val="auto"/>
              </w:rPr>
            </w:pPr>
          </w:p>
        </w:tc>
      </w:tr>
      <w:tr>
        <w:trPr>
          <w:trHeight w:val="20"/>
        </w:trPr>
        <w:tc>
          <w:tcPr>
            <w:tcW w:w="2540" w:type="dxa"/>
            <w:vAlign w:val="bottom"/>
            <w:tcBorders>
              <w:top w:val="single" w:sz="8" w:color="CFF0FC"/>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CFF0FC"/>
            </w:tcBorders>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CFF0FC"/>
            </w:tcBorders>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62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CFF0FC"/>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CFF0FC"/>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Borders>
              <w:top w:val="single" w:sz="8" w:color="CFF0FC"/>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64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CFF0FC"/>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360" w:type="dxa"/>
            <w:vAlign w:val="bottom"/>
            <w:tcBorders>
              <w:top w:val="single" w:sz="8" w:color="CFF0FC"/>
            </w:tcBorders>
          </w:tcPr>
          <w:p>
            <w:pPr>
              <w:spacing w:after="0" w:line="20" w:lineRule="exact"/>
              <w:rPr>
                <w:sz w:val="1"/>
                <w:szCs w:val="1"/>
                <w:color w:val="auto"/>
              </w:rPr>
            </w:pPr>
          </w:p>
        </w:tc>
        <w:tc>
          <w:tcPr>
            <w:tcW w:w="760" w:type="dxa"/>
            <w:vAlign w:val="bottom"/>
            <w:tcBorders>
              <w:top w:val="single" w:sz="8" w:color="auto"/>
              <w:bottom w:val="single" w:sz="8" w:color="auto"/>
            </w:tcBorders>
          </w:tcPr>
          <w:p>
            <w:pPr>
              <w:spacing w:after="0" w:line="20" w:lineRule="exact"/>
              <w:rPr>
                <w:sz w:val="1"/>
                <w:szCs w:val="1"/>
                <w:color w:val="auto"/>
              </w:rPr>
            </w:pPr>
          </w:p>
        </w:tc>
        <w:tc>
          <w:tcPr>
            <w:tcW w:w="360" w:type="dxa"/>
            <w:vAlign w:val="bottom"/>
            <w:tcBorders>
              <w:top w:val="single" w:sz="8" w:color="CFF0FC"/>
            </w:tcBorders>
          </w:tcPr>
          <w:p>
            <w:pPr>
              <w:spacing w:after="0" w:line="20" w:lineRule="exact"/>
              <w:rPr>
                <w:sz w:val="1"/>
                <w:szCs w:val="1"/>
                <w:color w:val="auto"/>
              </w:rPr>
            </w:pPr>
          </w:p>
        </w:tc>
        <w:tc>
          <w:tcPr>
            <w:tcW w:w="76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Borders>
              <w:top w:val="single" w:sz="8" w:color="CFF0F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2" w:lineRule="exact"/>
        <w:rPr>
          <w:sz w:val="20"/>
          <w:szCs w:val="20"/>
          <w:color w:val="auto"/>
        </w:rPr>
      </w:pPr>
    </w:p>
    <w:p>
      <w:pPr>
        <w:ind w:right="20" w:firstLine="518"/>
        <w:spacing w:after="0" w:line="254" w:lineRule="auto"/>
        <w:rPr>
          <w:sz w:val="20"/>
          <w:szCs w:val="20"/>
          <w:color w:val="auto"/>
        </w:rPr>
      </w:pPr>
      <w:r>
        <w:rPr>
          <w:rFonts w:ascii="Arial" w:cs="Arial" w:eastAsia="Arial" w:hAnsi="Arial"/>
          <w:sz w:val="18"/>
          <w:szCs w:val="18"/>
          <w:color w:val="auto"/>
        </w:rPr>
        <w:t>Home sales revenue increased $132.4 million, or 55%, to $374.3 million for the three months ended March 31, 2015 from $241.9 million for the prior year period. The increase was comprised of: (i) $89.6 million related to an increase in average sales price of $84,000 per home to $560,000 for the three months ended March 31, 2015 from $476,000 in the prior year period; and (ii) $42.7 million due to a 31% increase in homes delivered to 668 for the three months ended March 31, 2015 from 508 in the prior year period. The increase in the average sales price and new home deliveries was primarily attributable to the addition of TRI Pointe with no comparable amounts in the prior year period. In addition, the average sales price of homes delivered increased at all but one of our reporting segments due to a change in product mix with a shift to a more move-up product in certain markets and price increases in certain markets. The average sales price at Winchester declined for the three months ended March 31, 2015 compared to the same prior year period primarily due to a change in product mix.</w:t>
      </w:r>
    </w:p>
    <w:p>
      <w:pPr>
        <w:spacing w:after="0" w:line="200" w:lineRule="exact"/>
        <w:rPr>
          <w:sz w:val="20"/>
          <w:szCs w:val="20"/>
          <w:color w:val="auto"/>
        </w:rPr>
      </w:pPr>
    </w:p>
    <w:p>
      <w:pPr>
        <w:spacing w:after="0" w:line="23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- 31 -</w:t>
      </w:r>
    </w:p>
    <w:p>
      <w:pPr>
        <w:sectPr>
          <w:pgSz w:w="11900" w:h="16838" w:orient="portrait"/>
          <w:cols w:equalWidth="0" w:num="1">
            <w:col w:w="11420"/>
          </w:cols>
          <w:pgMar w:left="240" w:top="463" w:right="239" w:bottom="1440" w:gutter="0" w:footer="0" w:header="0"/>
        </w:sectPr>
      </w:pPr>
    </w:p>
    <w:bookmarkStart w:id="31" w:name="page32"/>
    <w:bookmarkEnd w:id="31"/>
    <w:p>
      <w:pPr>
        <w:spacing w:after="0"/>
        <w:rPr>
          <w:sz w:val="20"/>
          <w:szCs w:val="20"/>
          <w:color w:val="auto"/>
        </w:rPr>
      </w:pPr>
      <w:r>
        <w:rPr>
          <w:rFonts w:ascii="Arial" w:cs="Arial" w:eastAsia="Arial" w:hAnsi="Arial"/>
          <w:sz w:val="18"/>
          <w:szCs w:val="18"/>
          <w:b w:val="1"/>
          <w:bCs w:val="1"/>
          <w:i w:val="1"/>
          <w:iCs w:val="1"/>
          <w:color w:val="auto"/>
        </w:rPr>
        <w:t>Homebuilding Gross Margins (dollars in thousands)</w:t>
      </w:r>
    </w:p>
    <w:p>
      <w:pPr>
        <w:spacing w:after="0" w:line="230"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36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448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220" w:type="dxa"/>
            <w:vAlign w:val="bottom"/>
            <w:tcBorders>
              <w:bottom w:val="single" w:sz="8" w:color="auto"/>
            </w:tcBorders>
          </w:tcPr>
          <w:p>
            <w:pPr>
              <w:spacing w:after="0"/>
              <w:rPr>
                <w:sz w:val="14"/>
                <w:szCs w:val="14"/>
                <w:color w:val="auto"/>
              </w:rPr>
            </w:pPr>
          </w:p>
        </w:tc>
        <w:tc>
          <w:tcPr>
            <w:tcW w:w="800" w:type="dxa"/>
            <w:vAlign w:val="bottom"/>
            <w:tcBorders>
              <w:bottom w:val="single" w:sz="8" w:color="auto"/>
            </w:tcBorders>
          </w:tcPr>
          <w:p>
            <w:pPr>
              <w:spacing w:after="0"/>
              <w:rPr>
                <w:sz w:val="14"/>
                <w:szCs w:val="14"/>
                <w:color w:val="auto"/>
              </w:rPr>
            </w:pPr>
          </w:p>
        </w:tc>
        <w:tc>
          <w:tcPr>
            <w:tcW w:w="280" w:type="dxa"/>
            <w:vAlign w:val="bottom"/>
            <w:tcBorders>
              <w:bottom w:val="single" w:sz="8" w:color="auto"/>
            </w:tcBorders>
          </w:tcPr>
          <w:p>
            <w:pPr>
              <w:spacing w:after="0"/>
              <w:rPr>
                <w:sz w:val="14"/>
                <w:szCs w:val="14"/>
                <w:color w:val="auto"/>
              </w:rPr>
            </w:pPr>
          </w:p>
        </w:tc>
        <w:tc>
          <w:tcPr>
            <w:tcW w:w="2560" w:type="dxa"/>
            <w:vAlign w:val="bottom"/>
            <w:tcBorders>
              <w:bottom w:val="single" w:sz="8" w:color="auto"/>
            </w:tcBorders>
            <w:gridSpan w:val="5"/>
          </w:tcPr>
          <w:p>
            <w:pPr>
              <w:jc w:val="right"/>
              <w:ind w:right="440"/>
              <w:spacing w:after="0"/>
              <w:rPr>
                <w:sz w:val="20"/>
                <w:szCs w:val="20"/>
                <w:color w:val="auto"/>
              </w:rPr>
            </w:pPr>
            <w:r>
              <w:rPr>
                <w:rFonts w:ascii="Arial" w:cs="Arial" w:eastAsia="Arial" w:hAnsi="Arial"/>
                <w:sz w:val="14"/>
                <w:szCs w:val="14"/>
                <w:b w:val="1"/>
                <w:bCs w:val="1"/>
                <w:color w:val="auto"/>
              </w:rPr>
              <w:t>Three Months Ended March 31,</w:t>
            </w:r>
          </w:p>
        </w:tc>
        <w:tc>
          <w:tcPr>
            <w:tcW w:w="1020" w:type="dxa"/>
            <w:vAlign w:val="bottom"/>
            <w:tcBorders>
              <w:bottom w:val="single" w:sz="8" w:color="auto"/>
            </w:tcBorders>
          </w:tcPr>
          <w:p>
            <w:pPr>
              <w:spacing w:after="0"/>
              <w:rPr>
                <w:sz w:val="14"/>
                <w:szCs w:val="14"/>
                <w:color w:val="auto"/>
              </w:rPr>
            </w:pPr>
          </w:p>
        </w:tc>
        <w:tc>
          <w:tcPr>
            <w:tcW w:w="1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56"/>
        </w:trPr>
        <w:tc>
          <w:tcPr>
            <w:tcW w:w="36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4480" w:type="dxa"/>
            <w:vAlign w:val="bottom"/>
            <w:tcBorders>
              <w:bottom w:val="single" w:sz="8" w:color="CFF0FC"/>
            </w:tcBorders>
          </w:tcPr>
          <w:p>
            <w:pPr>
              <w:spacing w:after="0"/>
              <w:rPr>
                <w:sz w:val="13"/>
                <w:szCs w:val="13"/>
                <w:color w:val="auto"/>
              </w:rPr>
            </w:pPr>
          </w:p>
        </w:tc>
        <w:tc>
          <w:tcPr>
            <w:tcW w:w="740" w:type="dxa"/>
            <w:vAlign w:val="bottom"/>
            <w:tcBorders>
              <w:bottom w:val="single" w:sz="8" w:color="CFF0FC"/>
            </w:tcBorders>
          </w:tcPr>
          <w:p>
            <w:pPr>
              <w:spacing w:after="0"/>
              <w:rPr>
                <w:sz w:val="13"/>
                <w:szCs w:val="13"/>
                <w:color w:val="auto"/>
              </w:rPr>
            </w:pPr>
          </w:p>
        </w:tc>
        <w:tc>
          <w:tcPr>
            <w:tcW w:w="220" w:type="dxa"/>
            <w:vAlign w:val="bottom"/>
            <w:tcBorders>
              <w:bottom w:val="single" w:sz="8" w:color="auto"/>
            </w:tcBorders>
          </w:tcPr>
          <w:p>
            <w:pPr>
              <w:spacing w:after="0"/>
              <w:rPr>
                <w:sz w:val="13"/>
                <w:szCs w:val="13"/>
                <w:color w:val="auto"/>
              </w:rPr>
            </w:pPr>
          </w:p>
        </w:tc>
        <w:tc>
          <w:tcPr>
            <w:tcW w:w="800" w:type="dxa"/>
            <w:vAlign w:val="bottom"/>
            <w:tcBorders>
              <w:bottom w:val="single" w:sz="8" w:color="auto"/>
            </w:tcBorders>
          </w:tcPr>
          <w:p>
            <w:pPr>
              <w:jc w:val="right"/>
              <w:ind w:right="292"/>
              <w:spacing w:after="0" w:line="155" w:lineRule="exact"/>
              <w:rPr>
                <w:sz w:val="20"/>
                <w:szCs w:val="20"/>
                <w:color w:val="auto"/>
              </w:rPr>
            </w:pPr>
            <w:r>
              <w:rPr>
                <w:rFonts w:ascii="Arial" w:cs="Arial" w:eastAsia="Arial" w:hAnsi="Arial"/>
                <w:sz w:val="14"/>
                <w:szCs w:val="14"/>
                <w:b w:val="1"/>
                <w:bCs w:val="1"/>
                <w:color w:val="auto"/>
              </w:rPr>
              <w:t>2015</w:t>
            </w:r>
          </w:p>
        </w:tc>
        <w:tc>
          <w:tcPr>
            <w:tcW w:w="280" w:type="dxa"/>
            <w:vAlign w:val="bottom"/>
            <w:tcBorders>
              <w:bottom w:val="single" w:sz="8" w:color="CFF0FC"/>
            </w:tcBorders>
          </w:tcPr>
          <w:p>
            <w:pPr>
              <w:spacing w:after="0"/>
              <w:rPr>
                <w:sz w:val="13"/>
                <w:szCs w:val="13"/>
                <w:color w:val="auto"/>
              </w:rPr>
            </w:pPr>
          </w:p>
        </w:tc>
        <w:tc>
          <w:tcPr>
            <w:tcW w:w="1000" w:type="dxa"/>
            <w:vAlign w:val="bottom"/>
            <w:tcBorders>
              <w:bottom w:val="single" w:sz="8" w:color="auto"/>
            </w:tcBorders>
          </w:tcPr>
          <w:p>
            <w:pPr>
              <w:jc w:val="right"/>
              <w:ind w:right="354"/>
              <w:spacing w:after="0" w:line="155" w:lineRule="exact"/>
              <w:rPr>
                <w:sz w:val="20"/>
                <w:szCs w:val="20"/>
                <w:color w:val="auto"/>
              </w:rPr>
            </w:pPr>
            <w:r>
              <w:rPr>
                <w:rFonts w:ascii="Arial" w:cs="Arial" w:eastAsia="Arial" w:hAnsi="Arial"/>
                <w:sz w:val="14"/>
                <w:szCs w:val="14"/>
                <w:b w:val="1"/>
                <w:bCs w:val="1"/>
                <w:color w:val="auto"/>
              </w:rPr>
              <w:t>%</w:t>
            </w:r>
          </w:p>
        </w:tc>
        <w:tc>
          <w:tcPr>
            <w:tcW w:w="260" w:type="dxa"/>
            <w:vAlign w:val="bottom"/>
            <w:tcBorders>
              <w:bottom w:val="single" w:sz="8" w:color="CFF0FC"/>
            </w:tcBorders>
          </w:tcPr>
          <w:p>
            <w:pPr>
              <w:spacing w:after="0"/>
              <w:rPr>
                <w:sz w:val="13"/>
                <w:szCs w:val="13"/>
                <w:color w:val="auto"/>
              </w:rPr>
            </w:pPr>
          </w:p>
        </w:tc>
        <w:tc>
          <w:tcPr>
            <w:tcW w:w="220" w:type="dxa"/>
            <w:vAlign w:val="bottom"/>
            <w:tcBorders>
              <w:bottom w:val="single" w:sz="8" w:color="auto"/>
            </w:tcBorders>
          </w:tcPr>
          <w:p>
            <w:pPr>
              <w:spacing w:after="0"/>
              <w:rPr>
                <w:sz w:val="13"/>
                <w:szCs w:val="13"/>
                <w:color w:val="auto"/>
              </w:rPr>
            </w:pPr>
          </w:p>
        </w:tc>
        <w:tc>
          <w:tcPr>
            <w:tcW w:w="820" w:type="dxa"/>
            <w:vAlign w:val="bottom"/>
            <w:tcBorders>
              <w:bottom w:val="single" w:sz="8" w:color="auto"/>
            </w:tcBorders>
          </w:tcPr>
          <w:p>
            <w:pPr>
              <w:jc w:val="right"/>
              <w:ind w:right="292"/>
              <w:spacing w:after="0" w:line="155" w:lineRule="exact"/>
              <w:rPr>
                <w:sz w:val="20"/>
                <w:szCs w:val="20"/>
                <w:color w:val="auto"/>
              </w:rPr>
            </w:pPr>
            <w:r>
              <w:rPr>
                <w:rFonts w:ascii="Arial" w:cs="Arial" w:eastAsia="Arial" w:hAnsi="Arial"/>
                <w:sz w:val="14"/>
                <w:szCs w:val="14"/>
                <w:b w:val="1"/>
                <w:bCs w:val="1"/>
                <w:color w:val="auto"/>
              </w:rPr>
              <w:t>2014</w:t>
            </w:r>
          </w:p>
        </w:tc>
        <w:tc>
          <w:tcPr>
            <w:tcW w:w="260" w:type="dxa"/>
            <w:vAlign w:val="bottom"/>
            <w:tcBorders>
              <w:bottom w:val="single" w:sz="8" w:color="CFF0FC"/>
            </w:tcBorders>
          </w:tcPr>
          <w:p>
            <w:pPr>
              <w:spacing w:after="0"/>
              <w:rPr>
                <w:sz w:val="13"/>
                <w:szCs w:val="13"/>
                <w:color w:val="auto"/>
              </w:rPr>
            </w:pPr>
          </w:p>
        </w:tc>
        <w:tc>
          <w:tcPr>
            <w:tcW w:w="1020" w:type="dxa"/>
            <w:vAlign w:val="bottom"/>
            <w:tcBorders>
              <w:bottom w:val="single" w:sz="8" w:color="auto"/>
            </w:tcBorders>
          </w:tcPr>
          <w:p>
            <w:pPr>
              <w:jc w:val="right"/>
              <w:ind w:right="373"/>
              <w:spacing w:after="0" w:line="155" w:lineRule="exact"/>
              <w:rPr>
                <w:sz w:val="20"/>
                <w:szCs w:val="20"/>
                <w:color w:val="auto"/>
              </w:rPr>
            </w:pPr>
            <w:r>
              <w:rPr>
                <w:rFonts w:ascii="Arial" w:cs="Arial" w:eastAsia="Arial" w:hAnsi="Arial"/>
                <w:sz w:val="14"/>
                <w:szCs w:val="14"/>
                <w:b w:val="1"/>
                <w:bCs w:val="1"/>
                <w:color w:val="auto"/>
              </w:rPr>
              <w:t>%</w:t>
            </w:r>
          </w:p>
        </w:tc>
        <w:tc>
          <w:tcPr>
            <w:tcW w:w="180" w:type="dxa"/>
            <w:vAlign w:val="bottom"/>
            <w:tcBorders>
              <w:bottom w:val="single" w:sz="8" w:color="CFF0FC"/>
            </w:tcBorders>
          </w:tcPr>
          <w:p>
            <w:pPr>
              <w:spacing w:after="0"/>
              <w:rPr>
                <w:sz w:val="13"/>
                <w:szCs w:val="13"/>
                <w:color w:val="auto"/>
              </w:rPr>
            </w:pPr>
          </w:p>
        </w:tc>
        <w:tc>
          <w:tcPr>
            <w:tcW w:w="0" w:type="dxa"/>
            <w:vAlign w:val="bottom"/>
          </w:tcPr>
          <w:p>
            <w:pPr>
              <w:spacing w:after="0"/>
              <w:rPr>
                <w:sz w:val="1"/>
                <w:szCs w:val="1"/>
                <w:color w:val="auto"/>
              </w:rPr>
            </w:pPr>
          </w:p>
        </w:tc>
      </w:tr>
      <w:tr>
        <w:trPr>
          <w:trHeight w:val="223"/>
        </w:trPr>
        <w:tc>
          <w:tcPr>
            <w:tcW w:w="36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4480" w:type="dxa"/>
            <w:vAlign w:val="bottom"/>
            <w:shd w:val="clear" w:color="auto" w:fill="CFF0FC"/>
          </w:tcPr>
          <w:p>
            <w:pPr>
              <w:spacing w:after="0"/>
              <w:rPr>
                <w:sz w:val="20"/>
                <w:szCs w:val="20"/>
                <w:color w:val="auto"/>
              </w:rPr>
            </w:pPr>
            <w:r>
              <w:rPr>
                <w:rFonts w:ascii="Arial" w:cs="Arial" w:eastAsia="Arial" w:hAnsi="Arial"/>
                <w:sz w:val="18"/>
                <w:szCs w:val="18"/>
                <w:color w:val="auto"/>
              </w:rPr>
              <w:t>Home sales</w:t>
            </w:r>
          </w:p>
        </w:tc>
        <w:tc>
          <w:tcPr>
            <w:tcW w:w="740" w:type="dxa"/>
            <w:vAlign w:val="bottom"/>
            <w:shd w:val="clear" w:color="auto" w:fill="CFF0FC"/>
          </w:tcPr>
          <w:p>
            <w:pPr>
              <w:spacing w:after="0"/>
              <w:rPr>
                <w:sz w:val="19"/>
                <w:szCs w:val="19"/>
                <w:color w:val="auto"/>
              </w:rPr>
            </w:pPr>
          </w:p>
        </w:tc>
        <w:tc>
          <w:tcPr>
            <w:tcW w:w="220" w:type="dxa"/>
            <w:vAlign w:val="bottom"/>
            <w:shd w:val="clear" w:color="auto" w:fill="CFF0FC"/>
          </w:tcPr>
          <w:p>
            <w:pPr>
              <w:jc w:val="right"/>
              <w:ind w:right="65"/>
              <w:spacing w:after="0"/>
              <w:rPr>
                <w:sz w:val="20"/>
                <w:szCs w:val="20"/>
                <w:color w:val="auto"/>
              </w:rPr>
            </w:pPr>
            <w:r>
              <w:rPr>
                <w:rFonts w:ascii="Arial" w:cs="Arial" w:eastAsia="Arial" w:hAnsi="Arial"/>
                <w:sz w:val="15"/>
                <w:szCs w:val="15"/>
                <w:color w:val="auto"/>
                <w:w w:val="71"/>
              </w:rPr>
              <w:t>$</w:t>
            </w:r>
          </w:p>
        </w:tc>
        <w:tc>
          <w:tcPr>
            <w:tcW w:w="8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374,265</w:t>
            </w:r>
          </w:p>
        </w:tc>
        <w:tc>
          <w:tcPr>
            <w:tcW w:w="280" w:type="dxa"/>
            <w:vAlign w:val="bottom"/>
            <w:shd w:val="clear" w:color="auto" w:fill="CFF0FC"/>
          </w:tcPr>
          <w:p>
            <w:pPr>
              <w:spacing w:after="0"/>
              <w:rPr>
                <w:sz w:val="19"/>
                <w:szCs w:val="19"/>
                <w:color w:val="auto"/>
              </w:rPr>
            </w:pPr>
          </w:p>
        </w:tc>
        <w:tc>
          <w:tcPr>
            <w:tcW w:w="1260" w:type="dxa"/>
            <w:vAlign w:val="bottom"/>
            <w:tcBorders>
              <w:right w:val="single" w:sz="8" w:color="CFF0FC"/>
            </w:tcBorders>
            <w:gridSpan w:val="2"/>
            <w:shd w:val="clear" w:color="auto" w:fill="CFF0FC"/>
          </w:tcPr>
          <w:p>
            <w:pPr>
              <w:jc w:val="right"/>
              <w:ind w:right="120"/>
              <w:spacing w:after="0"/>
              <w:rPr>
                <w:sz w:val="20"/>
                <w:szCs w:val="20"/>
                <w:color w:val="auto"/>
              </w:rPr>
            </w:pPr>
            <w:r>
              <w:rPr>
                <w:rFonts w:ascii="Arial" w:cs="Arial" w:eastAsia="Arial" w:hAnsi="Arial"/>
                <w:sz w:val="18"/>
                <w:szCs w:val="18"/>
                <w:color w:val="auto"/>
              </w:rPr>
              <w:t>100.0%</w:t>
            </w:r>
          </w:p>
        </w:tc>
        <w:tc>
          <w:tcPr>
            <w:tcW w:w="220" w:type="dxa"/>
            <w:vAlign w:val="bottom"/>
            <w:shd w:val="clear" w:color="auto" w:fill="CFF0FC"/>
          </w:tcPr>
          <w:p>
            <w:pPr>
              <w:jc w:val="right"/>
              <w:ind w:right="30"/>
              <w:spacing w:after="0"/>
              <w:rPr>
                <w:sz w:val="20"/>
                <w:szCs w:val="20"/>
                <w:color w:val="auto"/>
              </w:rPr>
            </w:pPr>
            <w:r>
              <w:rPr>
                <w:rFonts w:ascii="Arial" w:cs="Arial" w:eastAsia="Arial" w:hAnsi="Arial"/>
                <w:sz w:val="18"/>
                <w:szCs w:val="18"/>
                <w:color w:val="auto"/>
                <w:w w:val="79"/>
              </w:rPr>
              <w:t>$</w:t>
            </w:r>
          </w:p>
        </w:tc>
        <w:tc>
          <w:tcPr>
            <w:tcW w:w="8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241,902</w:t>
            </w:r>
          </w:p>
        </w:tc>
        <w:tc>
          <w:tcPr>
            <w:tcW w:w="260" w:type="dxa"/>
            <w:vAlign w:val="bottom"/>
            <w:shd w:val="clear" w:color="auto" w:fill="CFF0FC"/>
          </w:tcPr>
          <w:p>
            <w:pPr>
              <w:spacing w:after="0"/>
              <w:rPr>
                <w:sz w:val="19"/>
                <w:szCs w:val="19"/>
                <w:color w:val="auto"/>
              </w:rPr>
            </w:pPr>
          </w:p>
        </w:tc>
        <w:tc>
          <w:tcPr>
            <w:tcW w:w="1200" w:type="dxa"/>
            <w:vAlign w:val="bottom"/>
            <w:gridSpan w:val="2"/>
            <w:shd w:val="clear" w:color="auto" w:fill="CFF0FC"/>
          </w:tcPr>
          <w:p>
            <w:pPr>
              <w:jc w:val="right"/>
              <w:ind w:right="40"/>
              <w:spacing w:after="0"/>
              <w:rPr>
                <w:sz w:val="20"/>
                <w:szCs w:val="20"/>
                <w:color w:val="auto"/>
              </w:rPr>
            </w:pPr>
            <w:r>
              <w:rPr>
                <w:rFonts w:ascii="Arial" w:cs="Arial" w:eastAsia="Arial" w:hAnsi="Arial"/>
                <w:sz w:val="18"/>
                <w:szCs w:val="18"/>
                <w:color w:val="auto"/>
              </w:rPr>
              <w:t>100.0%</w:t>
            </w:r>
          </w:p>
        </w:tc>
        <w:tc>
          <w:tcPr>
            <w:tcW w:w="0" w:type="dxa"/>
            <w:vAlign w:val="bottom"/>
          </w:tcPr>
          <w:p>
            <w:pPr>
              <w:spacing w:after="0"/>
              <w:rPr>
                <w:sz w:val="1"/>
                <w:szCs w:val="1"/>
                <w:color w:val="auto"/>
              </w:rPr>
            </w:pPr>
          </w:p>
        </w:tc>
      </w:tr>
      <w:tr>
        <w:trPr>
          <w:trHeight w:val="230"/>
        </w:trPr>
        <w:tc>
          <w:tcPr>
            <w:tcW w:w="36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4480" w:type="dxa"/>
            <w:vAlign w:val="bottom"/>
          </w:tcPr>
          <w:p>
            <w:pPr>
              <w:spacing w:after="0"/>
              <w:rPr>
                <w:sz w:val="20"/>
                <w:szCs w:val="20"/>
                <w:color w:val="auto"/>
              </w:rPr>
            </w:pPr>
            <w:r>
              <w:rPr>
                <w:rFonts w:ascii="Arial" w:cs="Arial" w:eastAsia="Arial" w:hAnsi="Arial"/>
                <w:sz w:val="18"/>
                <w:szCs w:val="18"/>
                <w:color w:val="auto"/>
              </w:rPr>
              <w:t>Cost of home sales</w:t>
            </w:r>
          </w:p>
        </w:tc>
        <w:tc>
          <w:tcPr>
            <w:tcW w:w="74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299,907</w:t>
            </w:r>
          </w:p>
        </w:tc>
        <w:tc>
          <w:tcPr>
            <w:tcW w:w="280" w:type="dxa"/>
            <w:vAlign w:val="bottom"/>
          </w:tcPr>
          <w:p>
            <w:pPr>
              <w:spacing w:after="0"/>
              <w:rPr>
                <w:sz w:val="19"/>
                <w:szCs w:val="19"/>
                <w:color w:val="auto"/>
              </w:rPr>
            </w:pPr>
          </w:p>
        </w:tc>
        <w:tc>
          <w:tcPr>
            <w:tcW w:w="1260" w:type="dxa"/>
            <w:vAlign w:val="bottom"/>
            <w:gridSpan w:val="2"/>
          </w:tcPr>
          <w:p>
            <w:pPr>
              <w:jc w:val="right"/>
              <w:ind w:right="120"/>
              <w:spacing w:after="0"/>
              <w:rPr>
                <w:sz w:val="20"/>
                <w:szCs w:val="20"/>
                <w:color w:val="auto"/>
              </w:rPr>
            </w:pPr>
            <w:r>
              <w:rPr>
                <w:rFonts w:ascii="Arial" w:cs="Arial" w:eastAsia="Arial" w:hAnsi="Arial"/>
                <w:sz w:val="18"/>
                <w:szCs w:val="18"/>
                <w:color w:val="auto"/>
              </w:rPr>
              <w:t>80.1%</w:t>
            </w:r>
          </w:p>
        </w:tc>
        <w:tc>
          <w:tcPr>
            <w:tcW w:w="220" w:type="dxa"/>
            <w:vAlign w:val="bottom"/>
          </w:tcPr>
          <w:p>
            <w:pPr>
              <w:spacing w:after="0"/>
              <w:rPr>
                <w:sz w:val="19"/>
                <w:szCs w:val="19"/>
                <w:color w:val="auto"/>
              </w:rPr>
            </w:pPr>
          </w:p>
        </w:tc>
        <w:tc>
          <w:tcPr>
            <w:tcW w:w="820" w:type="dxa"/>
            <w:vAlign w:val="bottom"/>
          </w:tcPr>
          <w:p>
            <w:pPr>
              <w:jc w:val="right"/>
              <w:spacing w:after="0"/>
              <w:rPr>
                <w:sz w:val="20"/>
                <w:szCs w:val="20"/>
                <w:color w:val="auto"/>
              </w:rPr>
            </w:pPr>
            <w:r>
              <w:rPr>
                <w:rFonts w:ascii="Arial" w:cs="Arial" w:eastAsia="Arial" w:hAnsi="Arial"/>
                <w:sz w:val="18"/>
                <w:szCs w:val="18"/>
                <w:color w:val="auto"/>
              </w:rPr>
              <w:t>191,268</w:t>
            </w:r>
          </w:p>
        </w:tc>
        <w:tc>
          <w:tcPr>
            <w:tcW w:w="260" w:type="dxa"/>
            <w:vAlign w:val="bottom"/>
          </w:tcPr>
          <w:p>
            <w:pPr>
              <w:spacing w:after="0"/>
              <w:rPr>
                <w:sz w:val="19"/>
                <w:szCs w:val="19"/>
                <w:color w:val="auto"/>
              </w:rPr>
            </w:pPr>
          </w:p>
        </w:tc>
        <w:tc>
          <w:tcPr>
            <w:tcW w:w="1200" w:type="dxa"/>
            <w:vAlign w:val="bottom"/>
            <w:gridSpan w:val="2"/>
          </w:tcPr>
          <w:p>
            <w:pPr>
              <w:jc w:val="right"/>
              <w:ind w:right="40"/>
              <w:spacing w:after="0"/>
              <w:rPr>
                <w:sz w:val="20"/>
                <w:szCs w:val="20"/>
                <w:color w:val="auto"/>
              </w:rPr>
            </w:pPr>
            <w:r>
              <w:rPr>
                <w:rFonts w:ascii="Arial" w:cs="Arial" w:eastAsia="Arial" w:hAnsi="Arial"/>
                <w:sz w:val="18"/>
                <w:szCs w:val="18"/>
                <w:color w:val="auto"/>
              </w:rPr>
              <w:t>79.1%</w:t>
            </w:r>
          </w:p>
        </w:tc>
        <w:tc>
          <w:tcPr>
            <w:tcW w:w="0" w:type="dxa"/>
            <w:vAlign w:val="bottom"/>
          </w:tcPr>
          <w:p>
            <w:pPr>
              <w:spacing w:after="0"/>
              <w:rPr>
                <w:sz w:val="1"/>
                <w:szCs w:val="1"/>
                <w:color w:val="auto"/>
              </w:rPr>
            </w:pPr>
          </w:p>
        </w:tc>
      </w:tr>
      <w:tr>
        <w:trPr>
          <w:trHeight w:val="20"/>
        </w:trPr>
        <w:tc>
          <w:tcPr>
            <w:tcW w:w="36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4480" w:type="dxa"/>
            <w:vAlign w:val="bottom"/>
            <w:vMerge w:val="restart"/>
            <w:shd w:val="clear" w:color="auto" w:fill="CFF0FC"/>
          </w:tcPr>
          <w:p>
            <w:pPr>
              <w:spacing w:after="0"/>
              <w:rPr>
                <w:sz w:val="20"/>
                <w:szCs w:val="20"/>
                <w:color w:val="auto"/>
              </w:rPr>
            </w:pPr>
            <w:r>
              <w:rPr>
                <w:rFonts w:ascii="Arial" w:cs="Arial" w:eastAsia="Arial" w:hAnsi="Arial"/>
                <w:sz w:val="18"/>
                <w:szCs w:val="18"/>
                <w:color w:val="auto"/>
              </w:rPr>
              <w:t>Homebuilding gross margin</w:t>
            </w:r>
          </w:p>
        </w:tc>
        <w:tc>
          <w:tcPr>
            <w:tcW w:w="740" w:type="dxa"/>
            <w:vAlign w:val="bottom"/>
            <w:shd w:val="clear" w:color="auto" w:fill="CFF0FC"/>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280" w:type="dxa"/>
            <w:vAlign w:val="bottom"/>
            <w:shd w:val="clear" w:color="auto" w:fill="CFF0FC"/>
          </w:tcPr>
          <w:p>
            <w:pPr>
              <w:spacing w:after="0" w:line="20" w:lineRule="exact"/>
              <w:rPr>
                <w:sz w:val="1"/>
                <w:szCs w:val="1"/>
                <w:color w:val="auto"/>
              </w:rPr>
            </w:pPr>
          </w:p>
        </w:tc>
        <w:tc>
          <w:tcPr>
            <w:tcW w:w="1000" w:type="dxa"/>
            <w:vAlign w:val="bottom"/>
            <w:shd w:val="clear" w:color="auto" w:fill="000000"/>
          </w:tcPr>
          <w:p>
            <w:pPr>
              <w:spacing w:after="0" w:line="20" w:lineRule="exact"/>
              <w:rPr>
                <w:sz w:val="1"/>
                <w:szCs w:val="1"/>
                <w:color w:val="auto"/>
              </w:rPr>
            </w:pPr>
          </w:p>
        </w:tc>
        <w:tc>
          <w:tcPr>
            <w:tcW w:w="260" w:type="dxa"/>
            <w:vAlign w:val="bottom"/>
            <w:tcBorders>
              <w:right w:val="single" w:sz="8" w:color="CFF0FC"/>
            </w:tcBorders>
            <w:shd w:val="clear" w:color="auto" w:fill="CFF0FC"/>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820" w:type="dxa"/>
            <w:vAlign w:val="bottom"/>
            <w:shd w:val="clear" w:color="auto" w:fill="000000"/>
          </w:tcPr>
          <w:p>
            <w:pPr>
              <w:spacing w:after="0" w:line="20" w:lineRule="exact"/>
              <w:rPr>
                <w:sz w:val="1"/>
                <w:szCs w:val="1"/>
                <w:color w:val="auto"/>
              </w:rPr>
            </w:pPr>
          </w:p>
        </w:tc>
        <w:tc>
          <w:tcPr>
            <w:tcW w:w="260" w:type="dxa"/>
            <w:vAlign w:val="bottom"/>
            <w:shd w:val="clear" w:color="auto" w:fill="CFF0FC"/>
          </w:tcPr>
          <w:p>
            <w:pPr>
              <w:spacing w:after="0" w:line="20" w:lineRule="exact"/>
              <w:rPr>
                <w:sz w:val="1"/>
                <w:szCs w:val="1"/>
                <w:color w:val="auto"/>
              </w:rPr>
            </w:pPr>
          </w:p>
        </w:tc>
        <w:tc>
          <w:tcPr>
            <w:tcW w:w="1020" w:type="dxa"/>
            <w:vAlign w:val="bottom"/>
            <w:shd w:val="clear" w:color="auto" w:fill="000000"/>
          </w:tcPr>
          <w:p>
            <w:pPr>
              <w:spacing w:after="0" w:line="20" w:lineRule="exact"/>
              <w:rPr>
                <w:sz w:val="1"/>
                <w:szCs w:val="1"/>
                <w:color w:val="auto"/>
              </w:rPr>
            </w:pPr>
          </w:p>
        </w:tc>
        <w:tc>
          <w:tcPr>
            <w:tcW w:w="180" w:type="dxa"/>
            <w:vAlign w:val="bottom"/>
            <w:shd w:val="clear" w:color="auto" w:fill="CFF0FC"/>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3"/>
        </w:trPr>
        <w:tc>
          <w:tcPr>
            <w:tcW w:w="36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4480" w:type="dxa"/>
            <w:vAlign w:val="bottom"/>
            <w:vMerge w:val="continue"/>
            <w:shd w:val="clear" w:color="auto" w:fill="CFF0FC"/>
          </w:tcPr>
          <w:p>
            <w:pPr>
              <w:spacing w:after="0"/>
              <w:rPr>
                <w:sz w:val="19"/>
                <w:szCs w:val="19"/>
                <w:color w:val="auto"/>
              </w:rPr>
            </w:pPr>
          </w:p>
        </w:tc>
        <w:tc>
          <w:tcPr>
            <w:tcW w:w="740" w:type="dxa"/>
            <w:vAlign w:val="bottom"/>
            <w:shd w:val="clear" w:color="auto" w:fill="CFF0FC"/>
          </w:tcPr>
          <w:p>
            <w:pPr>
              <w:spacing w:after="0"/>
              <w:rPr>
                <w:sz w:val="19"/>
                <w:szCs w:val="19"/>
                <w:color w:val="auto"/>
              </w:rPr>
            </w:pPr>
          </w:p>
        </w:tc>
        <w:tc>
          <w:tcPr>
            <w:tcW w:w="220" w:type="dxa"/>
            <w:vAlign w:val="bottom"/>
            <w:shd w:val="clear" w:color="auto" w:fill="CFF0FC"/>
          </w:tcPr>
          <w:p>
            <w:pPr>
              <w:spacing w:after="0"/>
              <w:rPr>
                <w:sz w:val="19"/>
                <w:szCs w:val="19"/>
                <w:color w:val="auto"/>
              </w:rPr>
            </w:pPr>
          </w:p>
        </w:tc>
        <w:tc>
          <w:tcPr>
            <w:tcW w:w="8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74,358</w:t>
            </w:r>
          </w:p>
        </w:tc>
        <w:tc>
          <w:tcPr>
            <w:tcW w:w="280" w:type="dxa"/>
            <w:vAlign w:val="bottom"/>
            <w:shd w:val="clear" w:color="auto" w:fill="CFF0FC"/>
          </w:tcPr>
          <w:p>
            <w:pPr>
              <w:spacing w:after="0"/>
              <w:rPr>
                <w:sz w:val="19"/>
                <w:szCs w:val="19"/>
                <w:color w:val="auto"/>
              </w:rPr>
            </w:pPr>
          </w:p>
        </w:tc>
        <w:tc>
          <w:tcPr>
            <w:tcW w:w="1260" w:type="dxa"/>
            <w:vAlign w:val="bottom"/>
            <w:tcBorders>
              <w:right w:val="single" w:sz="8" w:color="CFF0FC"/>
            </w:tcBorders>
            <w:gridSpan w:val="2"/>
            <w:shd w:val="clear" w:color="auto" w:fill="CFF0FC"/>
          </w:tcPr>
          <w:p>
            <w:pPr>
              <w:jc w:val="right"/>
              <w:ind w:right="120"/>
              <w:spacing w:after="0"/>
              <w:rPr>
                <w:sz w:val="20"/>
                <w:szCs w:val="20"/>
                <w:color w:val="auto"/>
              </w:rPr>
            </w:pPr>
            <w:r>
              <w:rPr>
                <w:rFonts w:ascii="Arial" w:cs="Arial" w:eastAsia="Arial" w:hAnsi="Arial"/>
                <w:sz w:val="18"/>
                <w:szCs w:val="18"/>
                <w:color w:val="auto"/>
              </w:rPr>
              <w:t>19.9%</w:t>
            </w:r>
          </w:p>
        </w:tc>
        <w:tc>
          <w:tcPr>
            <w:tcW w:w="220" w:type="dxa"/>
            <w:vAlign w:val="bottom"/>
            <w:shd w:val="clear" w:color="auto" w:fill="CFF0FC"/>
          </w:tcPr>
          <w:p>
            <w:pPr>
              <w:spacing w:after="0"/>
              <w:rPr>
                <w:sz w:val="19"/>
                <w:szCs w:val="19"/>
                <w:color w:val="auto"/>
              </w:rPr>
            </w:pPr>
          </w:p>
        </w:tc>
        <w:tc>
          <w:tcPr>
            <w:tcW w:w="8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50,634</w:t>
            </w:r>
          </w:p>
        </w:tc>
        <w:tc>
          <w:tcPr>
            <w:tcW w:w="260" w:type="dxa"/>
            <w:vAlign w:val="bottom"/>
            <w:shd w:val="clear" w:color="auto" w:fill="CFF0FC"/>
          </w:tcPr>
          <w:p>
            <w:pPr>
              <w:spacing w:after="0"/>
              <w:rPr>
                <w:sz w:val="19"/>
                <w:szCs w:val="19"/>
                <w:color w:val="auto"/>
              </w:rPr>
            </w:pPr>
          </w:p>
        </w:tc>
        <w:tc>
          <w:tcPr>
            <w:tcW w:w="1200" w:type="dxa"/>
            <w:vAlign w:val="bottom"/>
            <w:gridSpan w:val="2"/>
            <w:shd w:val="clear" w:color="auto" w:fill="CFF0FC"/>
          </w:tcPr>
          <w:p>
            <w:pPr>
              <w:jc w:val="right"/>
              <w:ind w:right="40"/>
              <w:spacing w:after="0"/>
              <w:rPr>
                <w:sz w:val="20"/>
                <w:szCs w:val="20"/>
                <w:color w:val="auto"/>
              </w:rPr>
            </w:pPr>
            <w:r>
              <w:rPr>
                <w:rFonts w:ascii="Arial" w:cs="Arial" w:eastAsia="Arial" w:hAnsi="Arial"/>
                <w:sz w:val="18"/>
                <w:szCs w:val="18"/>
                <w:color w:val="auto"/>
              </w:rPr>
              <w:t>20.9%</w:t>
            </w:r>
          </w:p>
        </w:tc>
        <w:tc>
          <w:tcPr>
            <w:tcW w:w="0" w:type="dxa"/>
            <w:vAlign w:val="bottom"/>
          </w:tcPr>
          <w:p>
            <w:pPr>
              <w:spacing w:after="0"/>
              <w:rPr>
                <w:sz w:val="1"/>
                <w:szCs w:val="1"/>
                <w:color w:val="auto"/>
              </w:rPr>
            </w:pPr>
          </w:p>
        </w:tc>
      </w:tr>
      <w:tr>
        <w:trPr>
          <w:trHeight w:val="230"/>
        </w:trPr>
        <w:tc>
          <w:tcPr>
            <w:tcW w:w="36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4480" w:type="dxa"/>
            <w:vAlign w:val="bottom"/>
          </w:tcPr>
          <w:p>
            <w:pPr>
              <w:ind w:left="240"/>
              <w:spacing w:after="0"/>
              <w:rPr>
                <w:sz w:val="20"/>
                <w:szCs w:val="20"/>
                <w:color w:val="auto"/>
              </w:rPr>
            </w:pPr>
            <w:r>
              <w:rPr>
                <w:rFonts w:ascii="Arial" w:cs="Arial" w:eastAsia="Arial" w:hAnsi="Arial"/>
                <w:sz w:val="18"/>
                <w:szCs w:val="18"/>
                <w:color w:val="auto"/>
              </w:rPr>
              <w:t>Add: interest in cost of home sales</w:t>
            </w:r>
          </w:p>
        </w:tc>
        <w:tc>
          <w:tcPr>
            <w:tcW w:w="74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6,711</w:t>
            </w:r>
          </w:p>
        </w:tc>
        <w:tc>
          <w:tcPr>
            <w:tcW w:w="280" w:type="dxa"/>
            <w:vAlign w:val="bottom"/>
          </w:tcPr>
          <w:p>
            <w:pPr>
              <w:spacing w:after="0"/>
              <w:rPr>
                <w:sz w:val="19"/>
                <w:szCs w:val="19"/>
                <w:color w:val="auto"/>
              </w:rPr>
            </w:pPr>
          </w:p>
        </w:tc>
        <w:tc>
          <w:tcPr>
            <w:tcW w:w="1260" w:type="dxa"/>
            <w:vAlign w:val="bottom"/>
            <w:gridSpan w:val="2"/>
          </w:tcPr>
          <w:p>
            <w:pPr>
              <w:jc w:val="right"/>
              <w:ind w:right="120"/>
              <w:spacing w:after="0"/>
              <w:rPr>
                <w:sz w:val="20"/>
                <w:szCs w:val="20"/>
                <w:color w:val="auto"/>
              </w:rPr>
            </w:pPr>
            <w:r>
              <w:rPr>
                <w:rFonts w:ascii="Arial" w:cs="Arial" w:eastAsia="Arial" w:hAnsi="Arial"/>
                <w:sz w:val="18"/>
                <w:szCs w:val="18"/>
                <w:color w:val="auto"/>
              </w:rPr>
              <w:t>1.8%</w:t>
            </w:r>
          </w:p>
        </w:tc>
        <w:tc>
          <w:tcPr>
            <w:tcW w:w="220" w:type="dxa"/>
            <w:vAlign w:val="bottom"/>
          </w:tcPr>
          <w:p>
            <w:pPr>
              <w:spacing w:after="0"/>
              <w:rPr>
                <w:sz w:val="19"/>
                <w:szCs w:val="19"/>
                <w:color w:val="auto"/>
              </w:rPr>
            </w:pPr>
          </w:p>
        </w:tc>
        <w:tc>
          <w:tcPr>
            <w:tcW w:w="820" w:type="dxa"/>
            <w:vAlign w:val="bottom"/>
          </w:tcPr>
          <w:p>
            <w:pPr>
              <w:jc w:val="right"/>
              <w:spacing w:after="0"/>
              <w:rPr>
                <w:sz w:val="20"/>
                <w:szCs w:val="20"/>
                <w:color w:val="auto"/>
              </w:rPr>
            </w:pPr>
            <w:r>
              <w:rPr>
                <w:rFonts w:ascii="Arial" w:cs="Arial" w:eastAsia="Arial" w:hAnsi="Arial"/>
                <w:sz w:val="18"/>
                <w:szCs w:val="18"/>
                <w:color w:val="auto"/>
              </w:rPr>
              <w:t>3,300</w:t>
            </w:r>
          </w:p>
        </w:tc>
        <w:tc>
          <w:tcPr>
            <w:tcW w:w="260" w:type="dxa"/>
            <w:vAlign w:val="bottom"/>
          </w:tcPr>
          <w:p>
            <w:pPr>
              <w:spacing w:after="0"/>
              <w:rPr>
                <w:sz w:val="19"/>
                <w:szCs w:val="19"/>
                <w:color w:val="auto"/>
              </w:rPr>
            </w:pPr>
          </w:p>
        </w:tc>
        <w:tc>
          <w:tcPr>
            <w:tcW w:w="1200" w:type="dxa"/>
            <w:vAlign w:val="bottom"/>
            <w:gridSpan w:val="2"/>
          </w:tcPr>
          <w:p>
            <w:pPr>
              <w:jc w:val="right"/>
              <w:ind w:right="40"/>
              <w:spacing w:after="0"/>
              <w:rPr>
                <w:sz w:val="20"/>
                <w:szCs w:val="20"/>
                <w:color w:val="auto"/>
              </w:rPr>
            </w:pPr>
            <w:r>
              <w:rPr>
                <w:rFonts w:ascii="Arial" w:cs="Arial" w:eastAsia="Arial" w:hAnsi="Arial"/>
                <w:sz w:val="18"/>
                <w:szCs w:val="18"/>
                <w:color w:val="auto"/>
              </w:rPr>
              <w:t>1.4%</w:t>
            </w:r>
          </w:p>
        </w:tc>
        <w:tc>
          <w:tcPr>
            <w:tcW w:w="0" w:type="dxa"/>
            <w:vAlign w:val="bottom"/>
          </w:tcPr>
          <w:p>
            <w:pPr>
              <w:spacing w:after="0"/>
              <w:rPr>
                <w:sz w:val="1"/>
                <w:szCs w:val="1"/>
                <w:color w:val="auto"/>
              </w:rPr>
            </w:pPr>
          </w:p>
        </w:tc>
      </w:tr>
      <w:tr>
        <w:trPr>
          <w:trHeight w:val="230"/>
        </w:trPr>
        <w:tc>
          <w:tcPr>
            <w:tcW w:w="36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4480" w:type="dxa"/>
            <w:vAlign w:val="bottom"/>
            <w:shd w:val="clear" w:color="auto" w:fill="CFF0FC"/>
          </w:tcPr>
          <w:p>
            <w:pPr>
              <w:ind w:left="240"/>
              <w:spacing w:after="0"/>
              <w:rPr>
                <w:sz w:val="20"/>
                <w:szCs w:val="20"/>
                <w:color w:val="auto"/>
              </w:rPr>
            </w:pPr>
            <w:r>
              <w:rPr>
                <w:rFonts w:ascii="Arial" w:cs="Arial" w:eastAsia="Arial" w:hAnsi="Arial"/>
                <w:sz w:val="18"/>
                <w:szCs w:val="18"/>
                <w:color w:val="auto"/>
              </w:rPr>
              <w:t>Add: impairments and lot option abandonments</w:t>
            </w:r>
          </w:p>
        </w:tc>
        <w:tc>
          <w:tcPr>
            <w:tcW w:w="740" w:type="dxa"/>
            <w:vAlign w:val="bottom"/>
            <w:shd w:val="clear" w:color="auto" w:fill="CFF0FC"/>
          </w:tcPr>
          <w:p>
            <w:pPr>
              <w:spacing w:after="0"/>
              <w:rPr>
                <w:sz w:val="19"/>
                <w:szCs w:val="19"/>
                <w:color w:val="auto"/>
              </w:rPr>
            </w:pPr>
          </w:p>
        </w:tc>
        <w:tc>
          <w:tcPr>
            <w:tcW w:w="220" w:type="dxa"/>
            <w:vAlign w:val="bottom"/>
            <w:shd w:val="clear" w:color="auto" w:fill="CFF0FC"/>
          </w:tcPr>
          <w:p>
            <w:pPr>
              <w:spacing w:after="0"/>
              <w:rPr>
                <w:sz w:val="19"/>
                <w:szCs w:val="19"/>
                <w:color w:val="auto"/>
              </w:rPr>
            </w:pPr>
          </w:p>
        </w:tc>
        <w:tc>
          <w:tcPr>
            <w:tcW w:w="8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345</w:t>
            </w:r>
          </w:p>
        </w:tc>
        <w:tc>
          <w:tcPr>
            <w:tcW w:w="280" w:type="dxa"/>
            <w:vAlign w:val="bottom"/>
            <w:shd w:val="clear" w:color="auto" w:fill="CFF0FC"/>
          </w:tcPr>
          <w:p>
            <w:pPr>
              <w:spacing w:after="0"/>
              <w:rPr>
                <w:sz w:val="19"/>
                <w:szCs w:val="19"/>
                <w:color w:val="auto"/>
              </w:rPr>
            </w:pPr>
          </w:p>
        </w:tc>
        <w:tc>
          <w:tcPr>
            <w:tcW w:w="1260" w:type="dxa"/>
            <w:vAlign w:val="bottom"/>
            <w:tcBorders>
              <w:right w:val="single" w:sz="8" w:color="CFF0FC"/>
            </w:tcBorders>
            <w:gridSpan w:val="2"/>
            <w:shd w:val="clear" w:color="auto" w:fill="CFF0FC"/>
          </w:tcPr>
          <w:p>
            <w:pPr>
              <w:jc w:val="right"/>
              <w:ind w:right="120"/>
              <w:spacing w:after="0"/>
              <w:rPr>
                <w:sz w:val="20"/>
                <w:szCs w:val="20"/>
                <w:color w:val="auto"/>
              </w:rPr>
            </w:pPr>
            <w:r>
              <w:rPr>
                <w:rFonts w:ascii="Arial" w:cs="Arial" w:eastAsia="Arial" w:hAnsi="Arial"/>
                <w:sz w:val="18"/>
                <w:szCs w:val="18"/>
                <w:color w:val="auto"/>
              </w:rPr>
              <w:t>0.1%</w:t>
            </w:r>
          </w:p>
        </w:tc>
        <w:tc>
          <w:tcPr>
            <w:tcW w:w="220" w:type="dxa"/>
            <w:vAlign w:val="bottom"/>
            <w:shd w:val="clear" w:color="auto" w:fill="CFF0FC"/>
          </w:tcPr>
          <w:p>
            <w:pPr>
              <w:spacing w:after="0"/>
              <w:rPr>
                <w:sz w:val="19"/>
                <w:szCs w:val="19"/>
                <w:color w:val="auto"/>
              </w:rPr>
            </w:pPr>
          </w:p>
        </w:tc>
        <w:tc>
          <w:tcPr>
            <w:tcW w:w="8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429</w:t>
            </w:r>
          </w:p>
        </w:tc>
        <w:tc>
          <w:tcPr>
            <w:tcW w:w="260" w:type="dxa"/>
            <w:vAlign w:val="bottom"/>
            <w:shd w:val="clear" w:color="auto" w:fill="CFF0FC"/>
          </w:tcPr>
          <w:p>
            <w:pPr>
              <w:spacing w:after="0"/>
              <w:rPr>
                <w:sz w:val="19"/>
                <w:szCs w:val="19"/>
                <w:color w:val="auto"/>
              </w:rPr>
            </w:pPr>
          </w:p>
        </w:tc>
        <w:tc>
          <w:tcPr>
            <w:tcW w:w="1200" w:type="dxa"/>
            <w:vAlign w:val="bottom"/>
            <w:gridSpan w:val="2"/>
            <w:shd w:val="clear" w:color="auto" w:fill="CFF0FC"/>
          </w:tcPr>
          <w:p>
            <w:pPr>
              <w:jc w:val="right"/>
              <w:ind w:right="40"/>
              <w:spacing w:after="0"/>
              <w:rPr>
                <w:sz w:val="20"/>
                <w:szCs w:val="20"/>
                <w:color w:val="auto"/>
              </w:rPr>
            </w:pPr>
            <w:r>
              <w:rPr>
                <w:rFonts w:ascii="Arial" w:cs="Arial" w:eastAsia="Arial" w:hAnsi="Arial"/>
                <w:sz w:val="18"/>
                <w:szCs w:val="18"/>
                <w:color w:val="auto"/>
              </w:rPr>
              <w:t>0.2%</w:t>
            </w:r>
          </w:p>
        </w:tc>
        <w:tc>
          <w:tcPr>
            <w:tcW w:w="0" w:type="dxa"/>
            <w:vAlign w:val="bottom"/>
          </w:tcPr>
          <w:p>
            <w:pPr>
              <w:spacing w:after="0"/>
              <w:rPr>
                <w:sz w:val="1"/>
                <w:szCs w:val="1"/>
                <w:color w:val="auto"/>
              </w:rPr>
            </w:pPr>
          </w:p>
        </w:tc>
      </w:tr>
      <w:tr>
        <w:trPr>
          <w:trHeight w:val="20"/>
        </w:trPr>
        <w:tc>
          <w:tcPr>
            <w:tcW w:w="36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4480" w:type="dxa"/>
            <w:vAlign w:val="bottom"/>
            <w:vMerge w:val="restart"/>
          </w:tcPr>
          <w:p>
            <w:pPr>
              <w:spacing w:after="0"/>
              <w:rPr>
                <w:sz w:val="20"/>
                <w:szCs w:val="20"/>
                <w:color w:val="auto"/>
              </w:rPr>
            </w:pPr>
            <w:r>
              <w:rPr>
                <w:rFonts w:ascii="Arial" w:cs="Arial" w:eastAsia="Arial" w:hAnsi="Arial"/>
                <w:sz w:val="18"/>
                <w:szCs w:val="18"/>
                <w:color w:val="auto"/>
              </w:rPr>
              <w:t>Adjusted homebuilding gross margin</w:t>
            </w:r>
            <w:r>
              <w:rPr>
                <w:rFonts w:ascii="Arial" w:cs="Arial" w:eastAsia="Arial" w:hAnsi="Arial"/>
                <w:sz w:val="15"/>
                <w:szCs w:val="15"/>
                <w:color w:val="auto"/>
              </w:rPr>
              <w:t>(1)</w:t>
            </w:r>
          </w:p>
        </w:tc>
        <w:tc>
          <w:tcPr>
            <w:tcW w:w="740" w:type="dxa"/>
            <w:vAlign w:val="bottom"/>
            <w:vMerge w:val="restart"/>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000" w:type="dxa"/>
            <w:vAlign w:val="bottom"/>
            <w:shd w:val="clear" w:color="auto" w:fill="000000"/>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820" w:type="dxa"/>
            <w:vAlign w:val="bottom"/>
            <w:shd w:val="clear" w:color="auto" w:fill="000000"/>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020" w:type="dxa"/>
            <w:vAlign w:val="bottom"/>
            <w:shd w:val="clear" w:color="auto" w:fill="000000"/>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43"/>
        </w:trPr>
        <w:tc>
          <w:tcPr>
            <w:tcW w:w="36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4480" w:type="dxa"/>
            <w:vAlign w:val="bottom"/>
            <w:vMerge w:val="continue"/>
          </w:tcPr>
          <w:p>
            <w:pPr>
              <w:spacing w:after="0"/>
              <w:rPr>
                <w:sz w:val="21"/>
                <w:szCs w:val="21"/>
                <w:color w:val="auto"/>
              </w:rPr>
            </w:pPr>
          </w:p>
        </w:tc>
        <w:tc>
          <w:tcPr>
            <w:tcW w:w="740" w:type="dxa"/>
            <w:vAlign w:val="bottom"/>
            <w:vMerge w:val="continue"/>
          </w:tcPr>
          <w:p>
            <w:pPr>
              <w:spacing w:after="0"/>
              <w:rPr>
                <w:sz w:val="21"/>
                <w:szCs w:val="21"/>
                <w:color w:val="auto"/>
              </w:rPr>
            </w:pPr>
          </w:p>
        </w:tc>
        <w:tc>
          <w:tcPr>
            <w:tcW w:w="220" w:type="dxa"/>
            <w:vAlign w:val="bottom"/>
          </w:tcPr>
          <w:p>
            <w:pPr>
              <w:jc w:val="right"/>
              <w:ind w:right="65"/>
              <w:spacing w:after="0"/>
              <w:rPr>
                <w:sz w:val="20"/>
                <w:szCs w:val="20"/>
                <w:color w:val="auto"/>
              </w:rPr>
            </w:pPr>
            <w:r>
              <w:rPr>
                <w:rFonts w:ascii="Arial" w:cs="Arial" w:eastAsia="Arial" w:hAnsi="Arial"/>
                <w:sz w:val="15"/>
                <w:szCs w:val="15"/>
                <w:color w:val="auto"/>
                <w:w w:val="71"/>
              </w:rPr>
              <w:t>$</w:t>
            </w:r>
          </w:p>
        </w:tc>
        <w:tc>
          <w:tcPr>
            <w:tcW w:w="800" w:type="dxa"/>
            <w:vAlign w:val="bottom"/>
          </w:tcPr>
          <w:p>
            <w:pPr>
              <w:jc w:val="right"/>
              <w:spacing w:after="0"/>
              <w:rPr>
                <w:sz w:val="20"/>
                <w:szCs w:val="20"/>
                <w:color w:val="auto"/>
              </w:rPr>
            </w:pPr>
            <w:r>
              <w:rPr>
                <w:rFonts w:ascii="Arial" w:cs="Arial" w:eastAsia="Arial" w:hAnsi="Arial"/>
                <w:sz w:val="18"/>
                <w:szCs w:val="18"/>
                <w:color w:val="auto"/>
              </w:rPr>
              <w:t>81,414</w:t>
            </w:r>
          </w:p>
        </w:tc>
        <w:tc>
          <w:tcPr>
            <w:tcW w:w="280" w:type="dxa"/>
            <w:vAlign w:val="bottom"/>
          </w:tcPr>
          <w:p>
            <w:pPr>
              <w:spacing w:after="0"/>
              <w:rPr>
                <w:sz w:val="21"/>
                <w:szCs w:val="21"/>
                <w:color w:val="auto"/>
              </w:rPr>
            </w:pPr>
          </w:p>
        </w:tc>
        <w:tc>
          <w:tcPr>
            <w:tcW w:w="1260" w:type="dxa"/>
            <w:vAlign w:val="bottom"/>
            <w:gridSpan w:val="2"/>
          </w:tcPr>
          <w:p>
            <w:pPr>
              <w:jc w:val="right"/>
              <w:ind w:right="120"/>
              <w:spacing w:after="0"/>
              <w:rPr>
                <w:sz w:val="20"/>
                <w:szCs w:val="20"/>
                <w:color w:val="auto"/>
              </w:rPr>
            </w:pPr>
            <w:r>
              <w:rPr>
                <w:rFonts w:ascii="Arial" w:cs="Arial" w:eastAsia="Arial" w:hAnsi="Arial"/>
                <w:sz w:val="18"/>
                <w:szCs w:val="18"/>
                <w:color w:val="auto"/>
              </w:rPr>
              <w:t>21.8%</w:t>
            </w:r>
          </w:p>
        </w:tc>
        <w:tc>
          <w:tcPr>
            <w:tcW w:w="220" w:type="dxa"/>
            <w:vAlign w:val="bottom"/>
          </w:tcPr>
          <w:p>
            <w:pPr>
              <w:jc w:val="right"/>
              <w:ind w:right="30"/>
              <w:spacing w:after="0"/>
              <w:rPr>
                <w:sz w:val="20"/>
                <w:szCs w:val="20"/>
                <w:color w:val="auto"/>
              </w:rPr>
            </w:pPr>
            <w:r>
              <w:rPr>
                <w:rFonts w:ascii="Arial" w:cs="Arial" w:eastAsia="Arial" w:hAnsi="Arial"/>
                <w:sz w:val="18"/>
                <w:szCs w:val="18"/>
                <w:color w:val="auto"/>
                <w:w w:val="79"/>
              </w:rPr>
              <w:t>$</w:t>
            </w:r>
          </w:p>
        </w:tc>
        <w:tc>
          <w:tcPr>
            <w:tcW w:w="820" w:type="dxa"/>
            <w:vAlign w:val="bottom"/>
          </w:tcPr>
          <w:p>
            <w:pPr>
              <w:jc w:val="right"/>
              <w:spacing w:after="0"/>
              <w:rPr>
                <w:sz w:val="20"/>
                <w:szCs w:val="20"/>
                <w:color w:val="auto"/>
              </w:rPr>
            </w:pPr>
            <w:r>
              <w:rPr>
                <w:rFonts w:ascii="Arial" w:cs="Arial" w:eastAsia="Arial" w:hAnsi="Arial"/>
                <w:sz w:val="18"/>
                <w:szCs w:val="18"/>
                <w:color w:val="auto"/>
              </w:rPr>
              <w:t>54,363</w:t>
            </w:r>
          </w:p>
        </w:tc>
        <w:tc>
          <w:tcPr>
            <w:tcW w:w="260" w:type="dxa"/>
            <w:vAlign w:val="bottom"/>
          </w:tcPr>
          <w:p>
            <w:pPr>
              <w:spacing w:after="0"/>
              <w:rPr>
                <w:sz w:val="21"/>
                <w:szCs w:val="21"/>
                <w:color w:val="auto"/>
              </w:rPr>
            </w:pPr>
          </w:p>
        </w:tc>
        <w:tc>
          <w:tcPr>
            <w:tcW w:w="1200" w:type="dxa"/>
            <w:vAlign w:val="bottom"/>
            <w:gridSpan w:val="2"/>
          </w:tcPr>
          <w:p>
            <w:pPr>
              <w:jc w:val="right"/>
              <w:ind w:right="40"/>
              <w:spacing w:after="0"/>
              <w:rPr>
                <w:sz w:val="20"/>
                <w:szCs w:val="20"/>
                <w:color w:val="auto"/>
              </w:rPr>
            </w:pPr>
            <w:r>
              <w:rPr>
                <w:rFonts w:ascii="Arial" w:cs="Arial" w:eastAsia="Arial" w:hAnsi="Arial"/>
                <w:sz w:val="18"/>
                <w:szCs w:val="18"/>
                <w:color w:val="auto"/>
              </w:rPr>
              <w:t>22.5%</w:t>
            </w:r>
          </w:p>
        </w:tc>
        <w:tc>
          <w:tcPr>
            <w:tcW w:w="0" w:type="dxa"/>
            <w:vAlign w:val="bottom"/>
          </w:tcPr>
          <w:p>
            <w:pPr>
              <w:spacing w:after="0"/>
              <w:rPr>
                <w:sz w:val="1"/>
                <w:szCs w:val="1"/>
                <w:color w:val="auto"/>
              </w:rPr>
            </w:pPr>
          </w:p>
        </w:tc>
      </w:tr>
      <w:tr>
        <w:trPr>
          <w:trHeight w:val="20"/>
        </w:trPr>
        <w:tc>
          <w:tcPr>
            <w:tcW w:w="36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4480" w:type="dxa"/>
            <w:vAlign w:val="bottom"/>
            <w:tcBorders>
              <w:top w:val="single" w:sz="8" w:color="CFF0FC"/>
            </w:tcBorders>
            <w:vMerge w:val="restart"/>
            <w:shd w:val="clear" w:color="auto" w:fill="CFF0FC"/>
          </w:tcPr>
          <w:p>
            <w:pPr>
              <w:spacing w:after="0"/>
              <w:rPr>
                <w:sz w:val="20"/>
                <w:szCs w:val="20"/>
                <w:color w:val="auto"/>
              </w:rPr>
            </w:pPr>
            <w:r>
              <w:rPr>
                <w:rFonts w:ascii="Arial" w:cs="Arial" w:eastAsia="Arial" w:hAnsi="Arial"/>
                <w:sz w:val="18"/>
                <w:szCs w:val="18"/>
                <w:color w:val="auto"/>
              </w:rPr>
              <w:t>Homebuilding gross margin percentage</w:t>
            </w:r>
          </w:p>
        </w:tc>
        <w:tc>
          <w:tcPr>
            <w:tcW w:w="740" w:type="dxa"/>
            <w:vAlign w:val="bottom"/>
            <w:tcBorders>
              <w:top w:val="single" w:sz="8" w:color="CFF0FC"/>
            </w:tcBorders>
            <w:shd w:val="clear" w:color="auto" w:fill="CFF0FC"/>
          </w:tcPr>
          <w:p>
            <w:pPr>
              <w:spacing w:after="0" w:line="20" w:lineRule="exact"/>
              <w:rPr>
                <w:sz w:val="1"/>
                <w:szCs w:val="1"/>
                <w:color w:val="auto"/>
              </w:rPr>
            </w:pPr>
          </w:p>
        </w:tc>
        <w:tc>
          <w:tcPr>
            <w:tcW w:w="220" w:type="dxa"/>
            <w:vAlign w:val="bottom"/>
            <w:tcBorders>
              <w:top w:val="single" w:sz="8" w:color="auto"/>
            </w:tcBorders>
            <w:shd w:val="clear" w:color="auto" w:fill="000000"/>
          </w:tcPr>
          <w:p>
            <w:pPr>
              <w:spacing w:after="0" w:line="20" w:lineRule="exact"/>
              <w:rPr>
                <w:sz w:val="1"/>
                <w:szCs w:val="1"/>
                <w:color w:val="auto"/>
              </w:rPr>
            </w:pPr>
          </w:p>
        </w:tc>
        <w:tc>
          <w:tcPr>
            <w:tcW w:w="800" w:type="dxa"/>
            <w:vAlign w:val="bottom"/>
            <w:tcBorders>
              <w:top w:val="single" w:sz="8" w:color="auto"/>
            </w:tcBorders>
            <w:shd w:val="clear" w:color="auto" w:fill="000000"/>
          </w:tcPr>
          <w:p>
            <w:pPr>
              <w:spacing w:after="0" w:line="20" w:lineRule="exact"/>
              <w:rPr>
                <w:sz w:val="1"/>
                <w:szCs w:val="1"/>
                <w:color w:val="auto"/>
              </w:rPr>
            </w:pPr>
          </w:p>
        </w:tc>
        <w:tc>
          <w:tcPr>
            <w:tcW w:w="280" w:type="dxa"/>
            <w:vAlign w:val="bottom"/>
            <w:tcBorders>
              <w:top w:val="single" w:sz="8" w:color="CFF0FC"/>
            </w:tcBorders>
            <w:shd w:val="clear" w:color="auto" w:fill="CFF0FC"/>
          </w:tcPr>
          <w:p>
            <w:pPr>
              <w:spacing w:after="0" w:line="20" w:lineRule="exact"/>
              <w:rPr>
                <w:sz w:val="1"/>
                <w:szCs w:val="1"/>
                <w:color w:val="auto"/>
              </w:rPr>
            </w:pPr>
          </w:p>
        </w:tc>
        <w:tc>
          <w:tcPr>
            <w:tcW w:w="1000" w:type="dxa"/>
            <w:vAlign w:val="bottom"/>
            <w:tcBorders>
              <w:top w:val="single" w:sz="8" w:color="auto"/>
            </w:tcBorders>
            <w:shd w:val="clear" w:color="auto" w:fill="000000"/>
          </w:tcPr>
          <w:p>
            <w:pPr>
              <w:spacing w:after="0" w:line="20" w:lineRule="exact"/>
              <w:rPr>
                <w:sz w:val="1"/>
                <w:szCs w:val="1"/>
                <w:color w:val="auto"/>
              </w:rPr>
            </w:pPr>
          </w:p>
        </w:tc>
        <w:tc>
          <w:tcPr>
            <w:tcW w:w="260" w:type="dxa"/>
            <w:vAlign w:val="bottom"/>
            <w:tcBorders>
              <w:top w:val="single" w:sz="8" w:color="CFF0FC"/>
              <w:right w:val="single" w:sz="8" w:color="CFF0FC"/>
            </w:tcBorders>
            <w:shd w:val="clear" w:color="auto" w:fill="CFF0FC"/>
          </w:tcPr>
          <w:p>
            <w:pPr>
              <w:spacing w:after="0" w:line="20" w:lineRule="exact"/>
              <w:rPr>
                <w:sz w:val="1"/>
                <w:szCs w:val="1"/>
                <w:color w:val="auto"/>
              </w:rPr>
            </w:pPr>
          </w:p>
        </w:tc>
        <w:tc>
          <w:tcPr>
            <w:tcW w:w="220" w:type="dxa"/>
            <w:vAlign w:val="bottom"/>
            <w:tcBorders>
              <w:top w:val="single" w:sz="8" w:color="auto"/>
            </w:tcBorders>
            <w:shd w:val="clear" w:color="auto" w:fill="000000"/>
          </w:tcPr>
          <w:p>
            <w:pPr>
              <w:spacing w:after="0" w:line="20" w:lineRule="exact"/>
              <w:rPr>
                <w:sz w:val="1"/>
                <w:szCs w:val="1"/>
                <w:color w:val="auto"/>
              </w:rPr>
            </w:pPr>
          </w:p>
        </w:tc>
        <w:tc>
          <w:tcPr>
            <w:tcW w:w="820" w:type="dxa"/>
            <w:vAlign w:val="bottom"/>
            <w:tcBorders>
              <w:top w:val="single" w:sz="8" w:color="auto"/>
            </w:tcBorders>
            <w:shd w:val="clear" w:color="auto" w:fill="000000"/>
          </w:tcPr>
          <w:p>
            <w:pPr>
              <w:spacing w:after="0" w:line="20" w:lineRule="exact"/>
              <w:rPr>
                <w:sz w:val="1"/>
                <w:szCs w:val="1"/>
                <w:color w:val="auto"/>
              </w:rPr>
            </w:pPr>
          </w:p>
        </w:tc>
        <w:tc>
          <w:tcPr>
            <w:tcW w:w="260" w:type="dxa"/>
            <w:vAlign w:val="bottom"/>
            <w:tcBorders>
              <w:top w:val="single" w:sz="8" w:color="CFF0FC"/>
            </w:tcBorders>
            <w:shd w:val="clear" w:color="auto" w:fill="CFF0FC"/>
          </w:tcPr>
          <w:p>
            <w:pPr>
              <w:spacing w:after="0" w:line="20" w:lineRule="exact"/>
              <w:rPr>
                <w:sz w:val="1"/>
                <w:szCs w:val="1"/>
                <w:color w:val="auto"/>
              </w:rPr>
            </w:pPr>
          </w:p>
        </w:tc>
        <w:tc>
          <w:tcPr>
            <w:tcW w:w="1020" w:type="dxa"/>
            <w:vAlign w:val="bottom"/>
            <w:tcBorders>
              <w:top w:val="single" w:sz="8" w:color="auto"/>
            </w:tcBorders>
            <w:shd w:val="clear" w:color="auto" w:fill="000000"/>
          </w:tcPr>
          <w:p>
            <w:pPr>
              <w:spacing w:after="0" w:line="20" w:lineRule="exact"/>
              <w:rPr>
                <w:sz w:val="1"/>
                <w:szCs w:val="1"/>
                <w:color w:val="auto"/>
              </w:rPr>
            </w:pPr>
          </w:p>
        </w:tc>
        <w:tc>
          <w:tcPr>
            <w:tcW w:w="180" w:type="dxa"/>
            <w:vAlign w:val="bottom"/>
            <w:tcBorders>
              <w:top w:val="single" w:sz="8" w:color="CFF0FC"/>
            </w:tcBorders>
            <w:shd w:val="clear" w:color="auto" w:fill="CFF0FC"/>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3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4480" w:type="dxa"/>
            <w:vAlign w:val="bottom"/>
            <w:vMerge w:val="continue"/>
            <w:shd w:val="clear" w:color="auto" w:fill="CFF0FC"/>
          </w:tcPr>
          <w:p>
            <w:pPr>
              <w:spacing w:after="0"/>
              <w:rPr>
                <w:sz w:val="18"/>
                <w:szCs w:val="18"/>
                <w:color w:val="auto"/>
              </w:rPr>
            </w:pPr>
          </w:p>
        </w:tc>
        <w:tc>
          <w:tcPr>
            <w:tcW w:w="740" w:type="dxa"/>
            <w:vAlign w:val="bottom"/>
            <w:shd w:val="clear" w:color="auto" w:fill="CFF0FC"/>
          </w:tcPr>
          <w:p>
            <w:pPr>
              <w:spacing w:after="0"/>
              <w:rPr>
                <w:sz w:val="18"/>
                <w:szCs w:val="18"/>
                <w:color w:val="auto"/>
              </w:rPr>
            </w:pPr>
          </w:p>
        </w:tc>
        <w:tc>
          <w:tcPr>
            <w:tcW w:w="220" w:type="dxa"/>
            <w:vAlign w:val="bottom"/>
            <w:shd w:val="clear" w:color="auto" w:fill="CFF0FC"/>
          </w:tcPr>
          <w:p>
            <w:pPr>
              <w:spacing w:after="0"/>
              <w:rPr>
                <w:sz w:val="18"/>
                <w:szCs w:val="18"/>
                <w:color w:val="auto"/>
              </w:rPr>
            </w:pPr>
          </w:p>
        </w:tc>
        <w:tc>
          <w:tcPr>
            <w:tcW w:w="1080" w:type="dxa"/>
            <w:vAlign w:val="bottom"/>
            <w:gridSpan w:val="2"/>
            <w:shd w:val="clear" w:color="auto" w:fill="CFF0FC"/>
          </w:tcPr>
          <w:p>
            <w:pPr>
              <w:jc w:val="right"/>
              <w:ind w:right="120"/>
              <w:spacing w:after="0"/>
              <w:rPr>
                <w:sz w:val="20"/>
                <w:szCs w:val="20"/>
                <w:color w:val="auto"/>
              </w:rPr>
            </w:pPr>
            <w:r>
              <w:rPr>
                <w:rFonts w:ascii="Arial" w:cs="Arial" w:eastAsia="Arial" w:hAnsi="Arial"/>
                <w:sz w:val="18"/>
                <w:szCs w:val="18"/>
                <w:color w:val="auto"/>
              </w:rPr>
              <w:t>19.9%</w:t>
            </w:r>
          </w:p>
        </w:tc>
        <w:tc>
          <w:tcPr>
            <w:tcW w:w="1000" w:type="dxa"/>
            <w:vAlign w:val="bottom"/>
            <w:shd w:val="clear" w:color="auto" w:fill="CFF0FC"/>
          </w:tcPr>
          <w:p>
            <w:pPr>
              <w:spacing w:after="0"/>
              <w:rPr>
                <w:sz w:val="18"/>
                <w:szCs w:val="18"/>
                <w:color w:val="auto"/>
              </w:rPr>
            </w:pPr>
          </w:p>
        </w:tc>
        <w:tc>
          <w:tcPr>
            <w:tcW w:w="260" w:type="dxa"/>
            <w:vAlign w:val="bottom"/>
            <w:tcBorders>
              <w:right w:val="single" w:sz="8" w:color="CFF0FC"/>
            </w:tcBorders>
            <w:shd w:val="clear" w:color="auto" w:fill="CFF0FC"/>
          </w:tcPr>
          <w:p>
            <w:pPr>
              <w:spacing w:after="0"/>
              <w:rPr>
                <w:sz w:val="18"/>
                <w:szCs w:val="18"/>
                <w:color w:val="auto"/>
              </w:rPr>
            </w:pPr>
          </w:p>
        </w:tc>
        <w:tc>
          <w:tcPr>
            <w:tcW w:w="220" w:type="dxa"/>
            <w:vAlign w:val="bottom"/>
            <w:shd w:val="clear" w:color="auto" w:fill="CFF0FC"/>
          </w:tcPr>
          <w:p>
            <w:pPr>
              <w:spacing w:after="0"/>
              <w:rPr>
                <w:sz w:val="18"/>
                <w:szCs w:val="18"/>
                <w:color w:val="auto"/>
              </w:rPr>
            </w:pPr>
          </w:p>
        </w:tc>
        <w:tc>
          <w:tcPr>
            <w:tcW w:w="1080" w:type="dxa"/>
            <w:vAlign w:val="bottom"/>
            <w:gridSpan w:val="2"/>
            <w:shd w:val="clear" w:color="auto" w:fill="CFF0FC"/>
          </w:tcPr>
          <w:p>
            <w:pPr>
              <w:jc w:val="right"/>
              <w:ind w:right="120"/>
              <w:spacing w:after="0"/>
              <w:rPr>
                <w:sz w:val="20"/>
                <w:szCs w:val="20"/>
                <w:color w:val="auto"/>
              </w:rPr>
            </w:pPr>
            <w:r>
              <w:rPr>
                <w:rFonts w:ascii="Arial" w:cs="Arial" w:eastAsia="Arial" w:hAnsi="Arial"/>
                <w:sz w:val="18"/>
                <w:szCs w:val="18"/>
                <w:color w:val="auto"/>
              </w:rPr>
              <w:t>20.9%</w:t>
            </w:r>
          </w:p>
        </w:tc>
        <w:tc>
          <w:tcPr>
            <w:tcW w:w="1020" w:type="dxa"/>
            <w:vAlign w:val="bottom"/>
            <w:shd w:val="clear" w:color="auto" w:fill="CFF0FC"/>
          </w:tcPr>
          <w:p>
            <w:pPr>
              <w:spacing w:after="0"/>
              <w:rPr>
                <w:sz w:val="18"/>
                <w:szCs w:val="18"/>
                <w:color w:val="auto"/>
              </w:rPr>
            </w:pPr>
          </w:p>
        </w:tc>
        <w:tc>
          <w:tcPr>
            <w:tcW w:w="180" w:type="dxa"/>
            <w:vAlign w:val="bottom"/>
            <w:shd w:val="clear" w:color="auto" w:fill="CFF0FC"/>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360" w:type="dxa"/>
            <w:vAlign w:val="bottom"/>
          </w:tcPr>
          <w:p>
            <w:pPr>
              <w:spacing w:after="0" w:line="20" w:lineRule="exact"/>
              <w:rPr>
                <w:sz w:val="1"/>
                <w:szCs w:val="1"/>
                <w:color w:val="auto"/>
              </w:rPr>
            </w:pPr>
          </w:p>
        </w:tc>
        <w:tc>
          <w:tcPr>
            <w:tcW w:w="220" w:type="dxa"/>
            <w:vAlign w:val="bottom"/>
            <w:vMerge w:val="restart"/>
          </w:tcPr>
          <w:p>
            <w:pPr>
              <w:spacing w:after="0" w:line="20" w:lineRule="exact"/>
              <w:rPr>
                <w:sz w:val="1"/>
                <w:szCs w:val="1"/>
                <w:color w:val="auto"/>
              </w:rPr>
            </w:pPr>
          </w:p>
        </w:tc>
        <w:tc>
          <w:tcPr>
            <w:tcW w:w="4480" w:type="dxa"/>
            <w:vAlign w:val="bottom"/>
            <w:tcBorders>
              <w:top w:val="single" w:sz="8" w:color="CFF0FC"/>
              <w:bottom w:val="single" w:sz="8" w:color="CFF0FC"/>
            </w:tcBorders>
            <w:vMerge w:val="restart"/>
          </w:tcPr>
          <w:p>
            <w:pPr>
              <w:spacing w:after="0"/>
              <w:rPr>
                <w:sz w:val="20"/>
                <w:szCs w:val="20"/>
                <w:color w:val="auto"/>
              </w:rPr>
            </w:pPr>
            <w:r>
              <w:rPr>
                <w:rFonts w:ascii="Arial" w:cs="Arial" w:eastAsia="Arial" w:hAnsi="Arial"/>
                <w:sz w:val="18"/>
                <w:szCs w:val="18"/>
                <w:color w:val="auto"/>
              </w:rPr>
              <w:t>Adjusted homebuilding gross margin percentage</w:t>
            </w:r>
            <w:r>
              <w:rPr>
                <w:rFonts w:ascii="Arial" w:cs="Arial" w:eastAsia="Arial" w:hAnsi="Arial"/>
                <w:sz w:val="15"/>
                <w:szCs w:val="15"/>
                <w:color w:val="auto"/>
              </w:rPr>
              <w:t>(1)</w:t>
            </w:r>
          </w:p>
        </w:tc>
        <w:tc>
          <w:tcPr>
            <w:tcW w:w="740" w:type="dxa"/>
            <w:vAlign w:val="bottom"/>
            <w:tcBorders>
              <w:top w:val="single" w:sz="8" w:color="CFF0FC"/>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Borders>
              <w:top w:val="single" w:sz="8" w:color="CFF0FC"/>
            </w:tcBorders>
          </w:tcPr>
          <w:p>
            <w:pPr>
              <w:spacing w:after="0" w:line="20" w:lineRule="exact"/>
              <w:rPr>
                <w:sz w:val="1"/>
                <w:szCs w:val="1"/>
                <w:color w:val="auto"/>
              </w:rPr>
            </w:pPr>
          </w:p>
        </w:tc>
        <w:tc>
          <w:tcPr>
            <w:tcW w:w="1000" w:type="dxa"/>
            <w:vAlign w:val="bottom"/>
            <w:tcBorders>
              <w:top w:val="single" w:sz="8" w:color="CFF0FC"/>
            </w:tcBorders>
          </w:tcPr>
          <w:p>
            <w:pPr>
              <w:spacing w:after="0" w:line="20" w:lineRule="exact"/>
              <w:rPr>
                <w:sz w:val="1"/>
                <w:szCs w:val="1"/>
                <w:color w:val="auto"/>
              </w:rPr>
            </w:pPr>
          </w:p>
        </w:tc>
        <w:tc>
          <w:tcPr>
            <w:tcW w:w="260" w:type="dxa"/>
            <w:vAlign w:val="bottom"/>
            <w:tcBorders>
              <w:top w:val="single" w:sz="8" w:color="CFF0FC"/>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Borders>
              <w:top w:val="single" w:sz="8" w:color="CFF0FC"/>
            </w:tcBorders>
          </w:tcPr>
          <w:p>
            <w:pPr>
              <w:spacing w:after="0" w:line="20" w:lineRule="exact"/>
              <w:rPr>
                <w:sz w:val="1"/>
                <w:szCs w:val="1"/>
                <w:color w:val="auto"/>
              </w:rPr>
            </w:pPr>
          </w:p>
        </w:tc>
        <w:tc>
          <w:tcPr>
            <w:tcW w:w="1020" w:type="dxa"/>
            <w:vAlign w:val="bottom"/>
            <w:tcBorders>
              <w:top w:val="single" w:sz="8" w:color="CFF0FC"/>
            </w:tcBorders>
          </w:tcPr>
          <w:p>
            <w:pPr>
              <w:spacing w:after="0" w:line="20" w:lineRule="exact"/>
              <w:rPr>
                <w:sz w:val="1"/>
                <w:szCs w:val="1"/>
                <w:color w:val="auto"/>
              </w:rPr>
            </w:pPr>
          </w:p>
        </w:tc>
        <w:tc>
          <w:tcPr>
            <w:tcW w:w="180" w:type="dxa"/>
            <w:vAlign w:val="bottom"/>
            <w:tcBorders>
              <w:top w:val="single" w:sz="8" w:color="CFF0F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360" w:type="dxa"/>
            <w:vAlign w:val="bottom"/>
          </w:tcPr>
          <w:p>
            <w:pPr>
              <w:spacing w:after="0"/>
              <w:rPr>
                <w:sz w:val="18"/>
                <w:szCs w:val="18"/>
                <w:color w:val="auto"/>
              </w:rPr>
            </w:pPr>
          </w:p>
        </w:tc>
        <w:tc>
          <w:tcPr>
            <w:tcW w:w="220" w:type="dxa"/>
            <w:vAlign w:val="bottom"/>
            <w:vMerge w:val="continue"/>
          </w:tcPr>
          <w:p>
            <w:pPr>
              <w:spacing w:after="0"/>
              <w:rPr>
                <w:sz w:val="18"/>
                <w:szCs w:val="18"/>
                <w:color w:val="auto"/>
              </w:rPr>
            </w:pPr>
          </w:p>
        </w:tc>
        <w:tc>
          <w:tcPr>
            <w:tcW w:w="4480" w:type="dxa"/>
            <w:vAlign w:val="bottom"/>
            <w:vMerge w:val="continue"/>
          </w:tcPr>
          <w:p>
            <w:pPr>
              <w:spacing w:after="0"/>
              <w:rPr>
                <w:sz w:val="18"/>
                <w:szCs w:val="18"/>
                <w:color w:val="auto"/>
              </w:rPr>
            </w:pPr>
          </w:p>
        </w:tc>
        <w:tc>
          <w:tcPr>
            <w:tcW w:w="7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80" w:type="dxa"/>
            <w:vAlign w:val="bottom"/>
            <w:gridSpan w:val="2"/>
          </w:tcPr>
          <w:p>
            <w:pPr>
              <w:jc w:val="right"/>
              <w:ind w:right="120"/>
              <w:spacing w:after="0"/>
              <w:rPr>
                <w:sz w:val="20"/>
                <w:szCs w:val="20"/>
                <w:color w:val="auto"/>
              </w:rPr>
            </w:pPr>
            <w:r>
              <w:rPr>
                <w:rFonts w:ascii="Arial" w:cs="Arial" w:eastAsia="Arial" w:hAnsi="Arial"/>
                <w:sz w:val="18"/>
                <w:szCs w:val="18"/>
                <w:color w:val="auto"/>
              </w:rPr>
              <w:t>21.8%</w:t>
            </w:r>
          </w:p>
        </w:tc>
        <w:tc>
          <w:tcPr>
            <w:tcW w:w="10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80" w:type="dxa"/>
            <w:vAlign w:val="bottom"/>
            <w:gridSpan w:val="2"/>
          </w:tcPr>
          <w:p>
            <w:pPr>
              <w:jc w:val="right"/>
              <w:ind w:right="120"/>
              <w:spacing w:after="0"/>
              <w:rPr>
                <w:sz w:val="20"/>
                <w:szCs w:val="20"/>
                <w:color w:val="auto"/>
              </w:rPr>
            </w:pPr>
            <w:r>
              <w:rPr>
                <w:rFonts w:ascii="Arial" w:cs="Arial" w:eastAsia="Arial" w:hAnsi="Arial"/>
                <w:sz w:val="18"/>
                <w:szCs w:val="18"/>
                <w:color w:val="auto"/>
              </w:rPr>
              <w:t>22.5%</w:t>
            </w:r>
          </w:p>
        </w:tc>
        <w:tc>
          <w:tcPr>
            <w:tcW w:w="10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360" w:type="dxa"/>
            <w:vAlign w:val="bottom"/>
            <w:vMerge w:val="restart"/>
          </w:tcPr>
          <w:p>
            <w:pPr>
              <w:jc w:val="right"/>
              <w:ind w:right="103"/>
              <w:spacing w:after="0"/>
              <w:rPr>
                <w:sz w:val="20"/>
                <w:szCs w:val="20"/>
                <w:color w:val="auto"/>
              </w:rPr>
            </w:pPr>
            <w:r>
              <w:rPr>
                <w:rFonts w:ascii="Arial" w:cs="Arial" w:eastAsia="Arial" w:hAnsi="Arial"/>
                <w:sz w:val="15"/>
                <w:szCs w:val="15"/>
                <w:color w:val="auto"/>
                <w:w w:val="87"/>
              </w:rPr>
              <w:t>(1)</w:t>
            </w:r>
          </w:p>
        </w:tc>
        <w:tc>
          <w:tcPr>
            <w:tcW w:w="4700" w:type="dxa"/>
            <w:vAlign w:val="bottom"/>
            <w:gridSpan w:val="2"/>
            <w:vMerge w:val="restart"/>
          </w:tcPr>
          <w:p>
            <w:pPr>
              <w:ind w:left="180"/>
              <w:spacing w:after="0"/>
              <w:rPr>
                <w:sz w:val="20"/>
                <w:szCs w:val="20"/>
                <w:color w:val="auto"/>
              </w:rPr>
            </w:pPr>
            <w:r>
              <w:rPr>
                <w:rFonts w:ascii="Arial" w:cs="Arial" w:eastAsia="Arial" w:hAnsi="Arial"/>
                <w:sz w:val="18"/>
                <w:szCs w:val="18"/>
                <w:color w:val="auto"/>
              </w:rPr>
              <w:t>Non-GAAP financial measure (as discussed below).</w:t>
            </w:r>
          </w:p>
        </w:tc>
        <w:tc>
          <w:tcPr>
            <w:tcW w:w="740" w:type="dxa"/>
            <w:vAlign w:val="bottom"/>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00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0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72"/>
        </w:trPr>
        <w:tc>
          <w:tcPr>
            <w:tcW w:w="360" w:type="dxa"/>
            <w:vAlign w:val="bottom"/>
            <w:vMerge w:val="continue"/>
          </w:tcPr>
          <w:p>
            <w:pPr>
              <w:spacing w:after="0"/>
              <w:rPr>
                <w:sz w:val="24"/>
                <w:szCs w:val="24"/>
                <w:color w:val="auto"/>
              </w:rPr>
            </w:pPr>
          </w:p>
        </w:tc>
        <w:tc>
          <w:tcPr>
            <w:tcW w:w="4700" w:type="dxa"/>
            <w:vAlign w:val="bottom"/>
            <w:gridSpan w:val="2"/>
            <w:vMerge w:val="continue"/>
          </w:tcPr>
          <w:p>
            <w:pPr>
              <w:spacing w:after="0"/>
              <w:rPr>
                <w:sz w:val="24"/>
                <w:szCs w:val="24"/>
                <w:color w:val="auto"/>
              </w:rPr>
            </w:pPr>
          </w:p>
        </w:tc>
        <w:tc>
          <w:tcPr>
            <w:tcW w:w="7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pacing w:after="0" w:line="202" w:lineRule="exact"/>
        <w:rPr>
          <w:sz w:val="20"/>
          <w:szCs w:val="20"/>
          <w:color w:val="auto"/>
        </w:rPr>
      </w:pPr>
    </w:p>
    <w:p>
      <w:pPr>
        <w:ind w:right="180" w:firstLine="518"/>
        <w:spacing w:after="0" w:line="257" w:lineRule="auto"/>
        <w:rPr>
          <w:sz w:val="20"/>
          <w:szCs w:val="20"/>
          <w:color w:val="auto"/>
        </w:rPr>
      </w:pPr>
      <w:r>
        <w:rPr>
          <w:rFonts w:ascii="Arial" w:cs="Arial" w:eastAsia="Arial" w:hAnsi="Arial"/>
          <w:sz w:val="18"/>
          <w:szCs w:val="18"/>
          <w:color w:val="auto"/>
        </w:rPr>
        <w:t>Our homebuilding gross margin percentage decreased to 19.9% for the three months ended March 31, 2015 as compared to 20.9% for the prior year period. The decrease was primarily due to increases in land, labor and material costs outpacing home price appreciation. Excluding interest and impairment and lot option abandonments in cost of home sales, adjusted homebuilding gross margin percentage was 21.8% for the three months ended March 31, 2015, compared to 22.5% for the prior year period. The decrease in the adjusted homebuilding gross margin was consistent with the change in non-adjusted homebuilding gross margin.</w:t>
      </w:r>
    </w:p>
    <w:p>
      <w:pPr>
        <w:spacing w:after="0" w:line="188" w:lineRule="exact"/>
        <w:rPr>
          <w:sz w:val="20"/>
          <w:szCs w:val="20"/>
          <w:color w:val="auto"/>
        </w:rPr>
      </w:pPr>
    </w:p>
    <w:p>
      <w:pPr>
        <w:ind w:right="120" w:firstLine="518"/>
        <w:spacing w:after="0" w:line="312" w:lineRule="auto"/>
        <w:rPr>
          <w:sz w:val="20"/>
          <w:szCs w:val="20"/>
          <w:color w:val="auto"/>
        </w:rPr>
      </w:pPr>
      <w:r>
        <w:rPr>
          <w:rFonts w:ascii="Arial" w:cs="Arial" w:eastAsia="Arial" w:hAnsi="Arial"/>
          <w:sz w:val="16"/>
          <w:szCs w:val="16"/>
          <w:color w:val="auto"/>
        </w:rPr>
        <w:t>Adjusted homebuilding gross margin is a non-GAAP financial measure. We believe this information is meaningful as it isolates the impact that leverage and noncash charges have on homebuilding gross margin and permits investors to make better comparisons with our competitors, who adjust gross margins in a similar fashion. See the table above reconciling this non-GAAP financial measure to homebuilding gross margin, the nearest GAAP equivalent.</w:t>
      </w:r>
    </w:p>
    <w:p>
      <w:pPr>
        <w:spacing w:after="0" w:line="25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Sales and Marketing, General and Administrative Expense (dollars in thousands)</w:t>
      </w:r>
    </w:p>
    <w:p>
      <w:pPr>
        <w:spacing w:after="0" w:line="257" w:lineRule="exact"/>
        <w:rPr>
          <w:sz w:val="20"/>
          <w:szCs w:val="20"/>
          <w:color w:val="auto"/>
        </w:rPr>
      </w:pPr>
    </w:p>
    <w:tbl>
      <w:tblPr>
        <w:tblLayout w:type="fixed"/>
        <w:tblInd w:w="580" w:type="dxa"/>
        <w:tblCellMar>
          <w:top w:w="0" w:type="dxa"/>
          <w:left w:w="0" w:type="dxa"/>
          <w:bottom w:w="0" w:type="dxa"/>
          <w:right w:w="0" w:type="dxa"/>
        </w:tblCellMar>
      </w:tblPr>
      <w:tr>
        <w:trPr>
          <w:trHeight w:val="186"/>
        </w:trPr>
        <w:tc>
          <w:tcPr>
            <w:tcW w:w="530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2220" w:type="dxa"/>
            <w:vAlign w:val="bottom"/>
            <w:gridSpan w:val="5"/>
          </w:tcPr>
          <w:p>
            <w:pPr>
              <w:ind w:left="240"/>
              <w:spacing w:after="0"/>
              <w:rPr>
                <w:sz w:val="20"/>
                <w:szCs w:val="20"/>
                <w:color w:val="auto"/>
              </w:rPr>
            </w:pPr>
            <w:r>
              <w:rPr>
                <w:rFonts w:ascii="Arial" w:cs="Arial" w:eastAsia="Arial" w:hAnsi="Arial"/>
                <w:sz w:val="14"/>
                <w:szCs w:val="14"/>
                <w:b w:val="1"/>
                <w:bCs w:val="1"/>
                <w:color w:val="auto"/>
              </w:rPr>
              <w:t>Three Months Ended</w:t>
            </w:r>
          </w:p>
        </w:tc>
        <w:tc>
          <w:tcPr>
            <w:tcW w:w="2540" w:type="dxa"/>
            <w:vAlign w:val="bottom"/>
            <w:gridSpan w:val="4"/>
          </w:tcPr>
          <w:p>
            <w:pPr>
              <w:jc w:val="right"/>
              <w:ind w:right="800"/>
              <w:spacing w:after="0"/>
              <w:rPr>
                <w:sz w:val="20"/>
                <w:szCs w:val="20"/>
                <w:color w:val="auto"/>
              </w:rPr>
            </w:pPr>
            <w:r>
              <w:rPr>
                <w:rFonts w:ascii="Arial" w:cs="Arial" w:eastAsia="Arial" w:hAnsi="Arial"/>
                <w:sz w:val="14"/>
                <w:szCs w:val="14"/>
                <w:b w:val="1"/>
                <w:bCs w:val="1"/>
                <w:color w:val="auto"/>
              </w:rPr>
              <w:t>As a Percentage of</w:t>
            </w:r>
          </w:p>
        </w:tc>
        <w:tc>
          <w:tcPr>
            <w:tcW w:w="0" w:type="dxa"/>
            <w:vAlign w:val="bottom"/>
          </w:tcPr>
          <w:p>
            <w:pPr>
              <w:spacing w:after="0"/>
              <w:rPr>
                <w:sz w:val="1"/>
                <w:szCs w:val="1"/>
                <w:color w:val="auto"/>
              </w:rPr>
            </w:pPr>
          </w:p>
        </w:tc>
      </w:tr>
      <w:tr>
        <w:trPr>
          <w:trHeight w:val="188"/>
        </w:trPr>
        <w:tc>
          <w:tcPr>
            <w:tcW w:w="530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1280" w:type="dxa"/>
            <w:vAlign w:val="bottom"/>
            <w:gridSpan w:val="3"/>
          </w:tcPr>
          <w:p>
            <w:pPr>
              <w:jc w:val="right"/>
              <w:spacing w:after="0"/>
              <w:rPr>
                <w:sz w:val="20"/>
                <w:szCs w:val="20"/>
                <w:color w:val="auto"/>
              </w:rPr>
            </w:pPr>
            <w:r>
              <w:rPr>
                <w:rFonts w:ascii="Arial" w:cs="Arial" w:eastAsia="Arial" w:hAnsi="Arial"/>
                <w:sz w:val="14"/>
                <w:szCs w:val="14"/>
                <w:b w:val="1"/>
                <w:bCs w:val="1"/>
                <w:color w:val="auto"/>
              </w:rPr>
              <w:t>March 31,</w:t>
            </w:r>
          </w:p>
        </w:tc>
        <w:tc>
          <w:tcPr>
            <w:tcW w:w="76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2540" w:type="dxa"/>
            <w:vAlign w:val="bottom"/>
            <w:gridSpan w:val="4"/>
          </w:tcPr>
          <w:p>
            <w:pPr>
              <w:jc w:val="right"/>
              <w:ind w:right="740"/>
              <w:spacing w:after="0"/>
              <w:rPr>
                <w:sz w:val="20"/>
                <w:szCs w:val="20"/>
                <w:color w:val="auto"/>
              </w:rPr>
            </w:pPr>
            <w:r>
              <w:rPr>
                <w:rFonts w:ascii="Arial" w:cs="Arial" w:eastAsia="Arial" w:hAnsi="Arial"/>
                <w:sz w:val="14"/>
                <w:szCs w:val="14"/>
                <w:b w:val="1"/>
                <w:bCs w:val="1"/>
                <w:color w:val="auto"/>
              </w:rPr>
              <w:t>Home Sales Revenue</w:t>
            </w:r>
          </w:p>
        </w:tc>
        <w:tc>
          <w:tcPr>
            <w:tcW w:w="0" w:type="dxa"/>
            <w:vAlign w:val="bottom"/>
          </w:tcPr>
          <w:p>
            <w:pPr>
              <w:spacing w:after="0"/>
              <w:rPr>
                <w:sz w:val="1"/>
                <w:szCs w:val="1"/>
                <w:color w:val="auto"/>
              </w:rPr>
            </w:pPr>
          </w:p>
        </w:tc>
      </w:tr>
      <w:tr>
        <w:trPr>
          <w:trHeight w:val="156"/>
        </w:trPr>
        <w:tc>
          <w:tcPr>
            <w:tcW w:w="5300" w:type="dxa"/>
            <w:vAlign w:val="bottom"/>
            <w:tcBorders>
              <w:bottom w:val="single" w:sz="8" w:color="CFF0FC"/>
            </w:tcBorders>
          </w:tcPr>
          <w:p>
            <w:pPr>
              <w:spacing w:after="0"/>
              <w:rPr>
                <w:sz w:val="13"/>
                <w:szCs w:val="13"/>
                <w:color w:val="auto"/>
              </w:rPr>
            </w:pPr>
          </w:p>
        </w:tc>
        <w:tc>
          <w:tcPr>
            <w:tcW w:w="220" w:type="dxa"/>
            <w:vAlign w:val="bottom"/>
            <w:tcBorders>
              <w:top w:val="single" w:sz="8" w:color="auto"/>
              <w:bottom w:val="single" w:sz="8" w:color="auto"/>
            </w:tcBorders>
          </w:tcPr>
          <w:p>
            <w:pPr>
              <w:spacing w:after="0"/>
              <w:rPr>
                <w:sz w:val="13"/>
                <w:szCs w:val="13"/>
                <w:color w:val="auto"/>
              </w:rPr>
            </w:pPr>
          </w:p>
        </w:tc>
        <w:tc>
          <w:tcPr>
            <w:tcW w:w="800" w:type="dxa"/>
            <w:vAlign w:val="bottom"/>
            <w:tcBorders>
              <w:top w:val="single" w:sz="8" w:color="auto"/>
              <w:bottom w:val="single" w:sz="8" w:color="auto"/>
            </w:tcBorders>
          </w:tcPr>
          <w:p>
            <w:pPr>
              <w:jc w:val="right"/>
              <w:ind w:right="299"/>
              <w:spacing w:after="0" w:line="155" w:lineRule="exact"/>
              <w:rPr>
                <w:sz w:val="20"/>
                <w:szCs w:val="20"/>
                <w:color w:val="auto"/>
              </w:rPr>
            </w:pPr>
            <w:r>
              <w:rPr>
                <w:rFonts w:ascii="Arial" w:cs="Arial" w:eastAsia="Arial" w:hAnsi="Arial"/>
                <w:sz w:val="14"/>
                <w:szCs w:val="14"/>
                <w:b w:val="1"/>
                <w:bCs w:val="1"/>
                <w:color w:val="auto"/>
              </w:rPr>
              <w:t>2015</w:t>
            </w:r>
          </w:p>
        </w:tc>
        <w:tc>
          <w:tcPr>
            <w:tcW w:w="200" w:type="dxa"/>
            <w:vAlign w:val="bottom"/>
            <w:tcBorders>
              <w:top w:val="single" w:sz="8" w:color="auto"/>
              <w:bottom w:val="single" w:sz="8" w:color="CFF0FC"/>
            </w:tcBorders>
          </w:tcPr>
          <w:p>
            <w:pPr>
              <w:spacing w:after="0"/>
              <w:rPr>
                <w:sz w:val="13"/>
                <w:szCs w:val="13"/>
                <w:color w:val="auto"/>
              </w:rPr>
            </w:pPr>
          </w:p>
        </w:tc>
        <w:tc>
          <w:tcPr>
            <w:tcW w:w="280" w:type="dxa"/>
            <w:vAlign w:val="bottom"/>
            <w:tcBorders>
              <w:top w:val="single" w:sz="8" w:color="auto"/>
              <w:bottom w:val="single" w:sz="8" w:color="auto"/>
            </w:tcBorders>
          </w:tcPr>
          <w:p>
            <w:pPr>
              <w:spacing w:after="0"/>
              <w:rPr>
                <w:sz w:val="13"/>
                <w:szCs w:val="13"/>
                <w:color w:val="auto"/>
              </w:rPr>
            </w:pPr>
          </w:p>
        </w:tc>
        <w:tc>
          <w:tcPr>
            <w:tcW w:w="760" w:type="dxa"/>
            <w:vAlign w:val="bottom"/>
            <w:tcBorders>
              <w:top w:val="single" w:sz="8" w:color="auto"/>
              <w:bottom w:val="single" w:sz="8" w:color="auto"/>
            </w:tcBorders>
          </w:tcPr>
          <w:p>
            <w:pPr>
              <w:jc w:val="right"/>
              <w:ind w:right="314"/>
              <w:spacing w:after="0" w:line="155" w:lineRule="exact"/>
              <w:rPr>
                <w:sz w:val="20"/>
                <w:szCs w:val="20"/>
                <w:color w:val="auto"/>
              </w:rPr>
            </w:pPr>
            <w:r>
              <w:rPr>
                <w:rFonts w:ascii="Arial" w:cs="Arial" w:eastAsia="Arial" w:hAnsi="Arial"/>
                <w:sz w:val="14"/>
                <w:szCs w:val="14"/>
                <w:b w:val="1"/>
                <w:bCs w:val="1"/>
                <w:color w:val="auto"/>
              </w:rPr>
              <w:t>2014</w:t>
            </w:r>
          </w:p>
        </w:tc>
        <w:tc>
          <w:tcPr>
            <w:tcW w:w="180" w:type="dxa"/>
            <w:vAlign w:val="bottom"/>
            <w:tcBorders>
              <w:bottom w:val="single" w:sz="8" w:color="CFF0FC"/>
            </w:tcBorders>
          </w:tcPr>
          <w:p>
            <w:pPr>
              <w:spacing w:after="0"/>
              <w:rPr>
                <w:sz w:val="13"/>
                <w:szCs w:val="13"/>
                <w:color w:val="auto"/>
              </w:rPr>
            </w:pPr>
          </w:p>
        </w:tc>
        <w:tc>
          <w:tcPr>
            <w:tcW w:w="1040" w:type="dxa"/>
            <w:vAlign w:val="bottom"/>
            <w:tcBorders>
              <w:top w:val="single" w:sz="8" w:color="auto"/>
              <w:bottom w:val="single" w:sz="8" w:color="auto"/>
            </w:tcBorders>
          </w:tcPr>
          <w:p>
            <w:pPr>
              <w:jc w:val="right"/>
              <w:ind w:right="299"/>
              <w:spacing w:after="0" w:line="155" w:lineRule="exact"/>
              <w:rPr>
                <w:sz w:val="20"/>
                <w:szCs w:val="20"/>
                <w:color w:val="auto"/>
              </w:rPr>
            </w:pPr>
            <w:r>
              <w:rPr>
                <w:rFonts w:ascii="Arial" w:cs="Arial" w:eastAsia="Arial" w:hAnsi="Arial"/>
                <w:sz w:val="14"/>
                <w:szCs w:val="14"/>
                <w:b w:val="1"/>
                <w:bCs w:val="1"/>
                <w:color w:val="auto"/>
              </w:rPr>
              <w:t>2015</w:t>
            </w:r>
          </w:p>
        </w:tc>
        <w:tc>
          <w:tcPr>
            <w:tcW w:w="260" w:type="dxa"/>
            <w:vAlign w:val="bottom"/>
            <w:tcBorders>
              <w:top w:val="single" w:sz="8" w:color="auto"/>
              <w:bottom w:val="single" w:sz="8" w:color="CFF0FC"/>
            </w:tcBorders>
          </w:tcPr>
          <w:p>
            <w:pPr>
              <w:spacing w:after="0"/>
              <w:rPr>
                <w:sz w:val="13"/>
                <w:szCs w:val="13"/>
                <w:color w:val="auto"/>
              </w:rPr>
            </w:pPr>
          </w:p>
        </w:tc>
        <w:tc>
          <w:tcPr>
            <w:tcW w:w="1040" w:type="dxa"/>
            <w:vAlign w:val="bottom"/>
            <w:tcBorders>
              <w:top w:val="single" w:sz="8" w:color="auto"/>
              <w:bottom w:val="single" w:sz="8" w:color="auto"/>
            </w:tcBorders>
          </w:tcPr>
          <w:p>
            <w:pPr>
              <w:jc w:val="right"/>
              <w:ind w:right="294"/>
              <w:spacing w:after="0" w:line="155" w:lineRule="exact"/>
              <w:rPr>
                <w:sz w:val="20"/>
                <w:szCs w:val="20"/>
                <w:color w:val="auto"/>
              </w:rPr>
            </w:pPr>
            <w:r>
              <w:rPr>
                <w:rFonts w:ascii="Arial" w:cs="Arial" w:eastAsia="Arial" w:hAnsi="Arial"/>
                <w:sz w:val="14"/>
                <w:szCs w:val="14"/>
                <w:b w:val="1"/>
                <w:bCs w:val="1"/>
                <w:color w:val="auto"/>
              </w:rPr>
              <w:t>2014</w:t>
            </w:r>
          </w:p>
        </w:tc>
        <w:tc>
          <w:tcPr>
            <w:tcW w:w="200" w:type="dxa"/>
            <w:vAlign w:val="bottom"/>
            <w:tcBorders>
              <w:bottom w:val="single" w:sz="8" w:color="CFF0FC"/>
            </w:tcBorders>
          </w:tcPr>
          <w:p>
            <w:pPr>
              <w:spacing w:after="0"/>
              <w:rPr>
                <w:sz w:val="13"/>
                <w:szCs w:val="13"/>
                <w:color w:val="auto"/>
              </w:rPr>
            </w:pPr>
          </w:p>
        </w:tc>
        <w:tc>
          <w:tcPr>
            <w:tcW w:w="0" w:type="dxa"/>
            <w:vAlign w:val="bottom"/>
          </w:tcPr>
          <w:p>
            <w:pPr>
              <w:spacing w:after="0"/>
              <w:rPr>
                <w:sz w:val="1"/>
                <w:szCs w:val="1"/>
                <w:color w:val="auto"/>
              </w:rPr>
            </w:pPr>
          </w:p>
        </w:tc>
      </w:tr>
      <w:tr>
        <w:trPr>
          <w:trHeight w:val="223"/>
        </w:trPr>
        <w:tc>
          <w:tcPr>
            <w:tcW w:w="5300" w:type="dxa"/>
            <w:vAlign w:val="bottom"/>
            <w:shd w:val="clear" w:color="auto" w:fill="CFF0FC"/>
          </w:tcPr>
          <w:p>
            <w:pPr>
              <w:spacing w:after="0"/>
              <w:rPr>
                <w:sz w:val="20"/>
                <w:szCs w:val="20"/>
                <w:color w:val="auto"/>
              </w:rPr>
            </w:pPr>
            <w:r>
              <w:rPr>
                <w:rFonts w:ascii="Arial" w:cs="Arial" w:eastAsia="Arial" w:hAnsi="Arial"/>
                <w:sz w:val="18"/>
                <w:szCs w:val="18"/>
                <w:color w:val="auto"/>
              </w:rPr>
              <w:t>Sales and marketing</w:t>
            </w:r>
          </w:p>
        </w:tc>
        <w:tc>
          <w:tcPr>
            <w:tcW w:w="220" w:type="dxa"/>
            <w:vAlign w:val="bottom"/>
            <w:shd w:val="clear" w:color="auto" w:fill="CFF0FC"/>
          </w:tcPr>
          <w:p>
            <w:pPr>
              <w:jc w:val="right"/>
              <w:ind w:right="65"/>
              <w:spacing w:after="0"/>
              <w:rPr>
                <w:sz w:val="20"/>
                <w:szCs w:val="20"/>
                <w:color w:val="auto"/>
              </w:rPr>
            </w:pPr>
            <w:r>
              <w:rPr>
                <w:rFonts w:ascii="Arial" w:cs="Arial" w:eastAsia="Arial" w:hAnsi="Arial"/>
                <w:sz w:val="15"/>
                <w:szCs w:val="15"/>
                <w:color w:val="auto"/>
                <w:w w:val="71"/>
              </w:rPr>
              <w:t>$</w:t>
            </w:r>
          </w:p>
        </w:tc>
        <w:tc>
          <w:tcPr>
            <w:tcW w:w="8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23,286</w:t>
            </w:r>
          </w:p>
        </w:tc>
        <w:tc>
          <w:tcPr>
            <w:tcW w:w="200" w:type="dxa"/>
            <w:vAlign w:val="bottom"/>
            <w:shd w:val="clear" w:color="auto" w:fill="CFF0FC"/>
          </w:tcPr>
          <w:p>
            <w:pPr>
              <w:spacing w:after="0"/>
              <w:rPr>
                <w:sz w:val="19"/>
                <w:szCs w:val="19"/>
                <w:color w:val="auto"/>
              </w:rPr>
            </w:pPr>
          </w:p>
        </w:tc>
        <w:tc>
          <w:tcPr>
            <w:tcW w:w="280" w:type="dxa"/>
            <w:vAlign w:val="bottom"/>
            <w:shd w:val="clear" w:color="auto" w:fill="CFF0FC"/>
          </w:tcPr>
          <w:p>
            <w:pPr>
              <w:jc w:val="right"/>
              <w:ind w:right="125"/>
              <w:spacing w:after="0"/>
              <w:rPr>
                <w:sz w:val="20"/>
                <w:szCs w:val="20"/>
                <w:color w:val="auto"/>
              </w:rPr>
            </w:pPr>
            <w:r>
              <w:rPr>
                <w:rFonts w:ascii="Arial" w:cs="Arial" w:eastAsia="Arial" w:hAnsi="Arial"/>
                <w:sz w:val="15"/>
                <w:szCs w:val="15"/>
                <w:color w:val="auto"/>
                <w:w w:val="71"/>
              </w:rPr>
              <w:t>$</w:t>
            </w:r>
          </w:p>
        </w:tc>
        <w:tc>
          <w:tcPr>
            <w:tcW w:w="7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20,905</w:t>
            </w:r>
          </w:p>
        </w:tc>
        <w:tc>
          <w:tcPr>
            <w:tcW w:w="180" w:type="dxa"/>
            <w:vAlign w:val="bottom"/>
            <w:shd w:val="clear" w:color="auto" w:fill="CFF0FC"/>
          </w:tcPr>
          <w:p>
            <w:pPr>
              <w:spacing w:after="0"/>
              <w:rPr>
                <w:sz w:val="19"/>
                <w:szCs w:val="19"/>
                <w:color w:val="auto"/>
              </w:rPr>
            </w:pPr>
          </w:p>
        </w:tc>
        <w:tc>
          <w:tcPr>
            <w:tcW w:w="1300" w:type="dxa"/>
            <w:vAlign w:val="bottom"/>
            <w:gridSpan w:val="2"/>
            <w:shd w:val="clear" w:color="auto" w:fill="CFF0FC"/>
          </w:tcPr>
          <w:p>
            <w:pPr>
              <w:jc w:val="right"/>
              <w:ind w:right="120"/>
              <w:spacing w:after="0"/>
              <w:rPr>
                <w:sz w:val="20"/>
                <w:szCs w:val="20"/>
                <w:color w:val="auto"/>
              </w:rPr>
            </w:pPr>
            <w:r>
              <w:rPr>
                <w:rFonts w:ascii="Arial" w:cs="Arial" w:eastAsia="Arial" w:hAnsi="Arial"/>
                <w:sz w:val="18"/>
                <w:szCs w:val="18"/>
                <w:color w:val="auto"/>
              </w:rPr>
              <w:t>6.2%</w:t>
            </w:r>
          </w:p>
        </w:tc>
        <w:tc>
          <w:tcPr>
            <w:tcW w:w="1240" w:type="dxa"/>
            <w:vAlign w:val="bottom"/>
            <w:gridSpan w:val="2"/>
            <w:shd w:val="clear" w:color="auto" w:fill="CFF0FC"/>
          </w:tcPr>
          <w:p>
            <w:pPr>
              <w:jc w:val="right"/>
              <w:ind w:right="60"/>
              <w:spacing w:after="0"/>
              <w:rPr>
                <w:sz w:val="20"/>
                <w:szCs w:val="20"/>
                <w:color w:val="auto"/>
              </w:rPr>
            </w:pPr>
            <w:r>
              <w:rPr>
                <w:rFonts w:ascii="Arial" w:cs="Arial" w:eastAsia="Arial" w:hAnsi="Arial"/>
                <w:sz w:val="18"/>
                <w:szCs w:val="18"/>
                <w:color w:val="auto"/>
              </w:rPr>
              <w:t>8.6%</w:t>
            </w:r>
          </w:p>
        </w:tc>
        <w:tc>
          <w:tcPr>
            <w:tcW w:w="0" w:type="dxa"/>
            <w:vAlign w:val="bottom"/>
          </w:tcPr>
          <w:p>
            <w:pPr>
              <w:spacing w:after="0"/>
              <w:rPr>
                <w:sz w:val="1"/>
                <w:szCs w:val="1"/>
                <w:color w:val="auto"/>
              </w:rPr>
            </w:pPr>
          </w:p>
        </w:tc>
      </w:tr>
      <w:tr>
        <w:trPr>
          <w:trHeight w:val="230"/>
        </w:trPr>
        <w:tc>
          <w:tcPr>
            <w:tcW w:w="5300" w:type="dxa"/>
            <w:vAlign w:val="bottom"/>
          </w:tcPr>
          <w:p>
            <w:pPr>
              <w:spacing w:after="0"/>
              <w:rPr>
                <w:sz w:val="20"/>
                <w:szCs w:val="20"/>
                <w:color w:val="auto"/>
              </w:rPr>
            </w:pPr>
            <w:r>
              <w:rPr>
                <w:rFonts w:ascii="Arial" w:cs="Arial" w:eastAsia="Arial" w:hAnsi="Arial"/>
                <w:sz w:val="18"/>
                <w:szCs w:val="18"/>
                <w:color w:val="auto"/>
              </w:rPr>
              <w:t>General and administrative ("G&amp;A")</w:t>
            </w:r>
          </w:p>
        </w:tc>
        <w:tc>
          <w:tcPr>
            <w:tcW w:w="220" w:type="dxa"/>
            <w:vAlign w:val="bottom"/>
          </w:tcPr>
          <w:p>
            <w:pPr>
              <w:spacing w:after="0"/>
              <w:rPr>
                <w:sz w:val="19"/>
                <w:szCs w:val="19"/>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28,179</w:t>
            </w:r>
          </w:p>
        </w:tc>
        <w:tc>
          <w:tcPr>
            <w:tcW w:w="20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18,005</w:t>
            </w:r>
          </w:p>
        </w:tc>
        <w:tc>
          <w:tcPr>
            <w:tcW w:w="180" w:type="dxa"/>
            <w:vAlign w:val="bottom"/>
          </w:tcPr>
          <w:p>
            <w:pPr>
              <w:spacing w:after="0"/>
              <w:rPr>
                <w:sz w:val="19"/>
                <w:szCs w:val="19"/>
                <w:color w:val="auto"/>
              </w:rPr>
            </w:pPr>
          </w:p>
        </w:tc>
        <w:tc>
          <w:tcPr>
            <w:tcW w:w="1300" w:type="dxa"/>
            <w:vAlign w:val="bottom"/>
            <w:gridSpan w:val="2"/>
          </w:tcPr>
          <w:p>
            <w:pPr>
              <w:jc w:val="right"/>
              <w:ind w:right="120"/>
              <w:spacing w:after="0"/>
              <w:rPr>
                <w:sz w:val="20"/>
                <w:szCs w:val="20"/>
                <w:color w:val="auto"/>
              </w:rPr>
            </w:pPr>
            <w:r>
              <w:rPr>
                <w:rFonts w:ascii="Arial" w:cs="Arial" w:eastAsia="Arial" w:hAnsi="Arial"/>
                <w:sz w:val="18"/>
                <w:szCs w:val="18"/>
                <w:color w:val="auto"/>
              </w:rPr>
              <w:t>7.5%</w:t>
            </w:r>
          </w:p>
        </w:tc>
        <w:tc>
          <w:tcPr>
            <w:tcW w:w="1240" w:type="dxa"/>
            <w:vAlign w:val="bottom"/>
            <w:gridSpan w:val="2"/>
          </w:tcPr>
          <w:p>
            <w:pPr>
              <w:jc w:val="right"/>
              <w:ind w:right="60"/>
              <w:spacing w:after="0"/>
              <w:rPr>
                <w:sz w:val="20"/>
                <w:szCs w:val="20"/>
                <w:color w:val="auto"/>
              </w:rPr>
            </w:pPr>
            <w:r>
              <w:rPr>
                <w:rFonts w:ascii="Arial" w:cs="Arial" w:eastAsia="Arial" w:hAnsi="Arial"/>
                <w:sz w:val="18"/>
                <w:szCs w:val="18"/>
                <w:color w:val="auto"/>
              </w:rPr>
              <w:t>7.4%</w:t>
            </w:r>
          </w:p>
        </w:tc>
        <w:tc>
          <w:tcPr>
            <w:tcW w:w="0" w:type="dxa"/>
            <w:vAlign w:val="bottom"/>
          </w:tcPr>
          <w:p>
            <w:pPr>
              <w:spacing w:after="0"/>
              <w:rPr>
                <w:sz w:val="1"/>
                <w:szCs w:val="1"/>
                <w:color w:val="auto"/>
              </w:rPr>
            </w:pPr>
          </w:p>
        </w:tc>
      </w:tr>
      <w:tr>
        <w:trPr>
          <w:trHeight w:val="20"/>
        </w:trPr>
        <w:tc>
          <w:tcPr>
            <w:tcW w:w="5300" w:type="dxa"/>
            <w:vAlign w:val="bottom"/>
            <w:vMerge w:val="restart"/>
            <w:shd w:val="clear" w:color="auto" w:fill="CFF0FC"/>
          </w:tcPr>
          <w:p>
            <w:pPr>
              <w:ind w:left="240"/>
              <w:spacing w:after="0"/>
              <w:rPr>
                <w:sz w:val="20"/>
                <w:szCs w:val="20"/>
                <w:color w:val="auto"/>
              </w:rPr>
            </w:pPr>
            <w:r>
              <w:rPr>
                <w:rFonts w:ascii="Arial" w:cs="Arial" w:eastAsia="Arial" w:hAnsi="Arial"/>
                <w:sz w:val="18"/>
                <w:szCs w:val="18"/>
                <w:color w:val="auto"/>
              </w:rPr>
              <w:t>Total sales and marketing and G&amp;A</w:t>
            </w:r>
          </w:p>
        </w:tc>
        <w:tc>
          <w:tcPr>
            <w:tcW w:w="220" w:type="dxa"/>
            <w:vAlign w:val="bottom"/>
            <w:shd w:val="clear" w:color="auto" w:fill="000000"/>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200" w:type="dxa"/>
            <w:vAlign w:val="bottom"/>
            <w:vMerge w:val="restart"/>
            <w:shd w:val="clear" w:color="auto" w:fill="CFF0FC"/>
          </w:tcPr>
          <w:p>
            <w:pPr>
              <w:spacing w:after="0" w:line="20" w:lineRule="exact"/>
              <w:rPr>
                <w:sz w:val="1"/>
                <w:szCs w:val="1"/>
                <w:color w:val="auto"/>
              </w:rPr>
            </w:pPr>
          </w:p>
        </w:tc>
        <w:tc>
          <w:tcPr>
            <w:tcW w:w="280" w:type="dxa"/>
            <w:vAlign w:val="bottom"/>
            <w:shd w:val="clear" w:color="auto" w:fill="000000"/>
          </w:tcPr>
          <w:p>
            <w:pPr>
              <w:spacing w:after="0" w:line="20" w:lineRule="exact"/>
              <w:rPr>
                <w:sz w:val="1"/>
                <w:szCs w:val="1"/>
                <w:color w:val="auto"/>
              </w:rPr>
            </w:pPr>
          </w:p>
        </w:tc>
        <w:tc>
          <w:tcPr>
            <w:tcW w:w="760" w:type="dxa"/>
            <w:vAlign w:val="bottom"/>
            <w:shd w:val="clear" w:color="auto" w:fill="000000"/>
          </w:tcPr>
          <w:p>
            <w:pPr>
              <w:spacing w:after="0" w:line="20" w:lineRule="exact"/>
              <w:rPr>
                <w:sz w:val="1"/>
                <w:szCs w:val="1"/>
                <w:color w:val="auto"/>
              </w:rPr>
            </w:pPr>
          </w:p>
        </w:tc>
        <w:tc>
          <w:tcPr>
            <w:tcW w:w="180" w:type="dxa"/>
            <w:vAlign w:val="bottom"/>
            <w:shd w:val="clear" w:color="auto" w:fill="CFF0FC"/>
          </w:tcPr>
          <w:p>
            <w:pPr>
              <w:spacing w:after="0" w:line="20" w:lineRule="exact"/>
              <w:rPr>
                <w:sz w:val="1"/>
                <w:szCs w:val="1"/>
                <w:color w:val="auto"/>
              </w:rPr>
            </w:pPr>
          </w:p>
        </w:tc>
        <w:tc>
          <w:tcPr>
            <w:tcW w:w="1040" w:type="dxa"/>
            <w:vAlign w:val="bottom"/>
            <w:shd w:val="clear" w:color="auto" w:fill="000000"/>
          </w:tcPr>
          <w:p>
            <w:pPr>
              <w:spacing w:after="0" w:line="20" w:lineRule="exact"/>
              <w:rPr>
                <w:sz w:val="1"/>
                <w:szCs w:val="1"/>
                <w:color w:val="auto"/>
              </w:rPr>
            </w:pPr>
          </w:p>
        </w:tc>
        <w:tc>
          <w:tcPr>
            <w:tcW w:w="260" w:type="dxa"/>
            <w:vAlign w:val="bottom"/>
            <w:shd w:val="clear" w:color="auto" w:fill="CFF0FC"/>
          </w:tcPr>
          <w:p>
            <w:pPr>
              <w:spacing w:after="0" w:line="20" w:lineRule="exact"/>
              <w:rPr>
                <w:sz w:val="1"/>
                <w:szCs w:val="1"/>
                <w:color w:val="auto"/>
              </w:rPr>
            </w:pPr>
          </w:p>
        </w:tc>
        <w:tc>
          <w:tcPr>
            <w:tcW w:w="1040" w:type="dxa"/>
            <w:vAlign w:val="bottom"/>
            <w:shd w:val="clear" w:color="auto" w:fill="000000"/>
          </w:tcPr>
          <w:p>
            <w:pPr>
              <w:spacing w:after="0" w:line="20" w:lineRule="exact"/>
              <w:rPr>
                <w:sz w:val="1"/>
                <w:szCs w:val="1"/>
                <w:color w:val="auto"/>
              </w:rPr>
            </w:pPr>
          </w:p>
        </w:tc>
        <w:tc>
          <w:tcPr>
            <w:tcW w:w="200" w:type="dxa"/>
            <w:vAlign w:val="bottom"/>
            <w:shd w:val="clear" w:color="auto" w:fill="CFF0FC"/>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3"/>
        </w:trPr>
        <w:tc>
          <w:tcPr>
            <w:tcW w:w="5300" w:type="dxa"/>
            <w:vAlign w:val="bottom"/>
            <w:vMerge w:val="continue"/>
            <w:shd w:val="clear" w:color="auto" w:fill="CFF0FC"/>
          </w:tcPr>
          <w:p>
            <w:pPr>
              <w:spacing w:after="0"/>
              <w:rPr>
                <w:sz w:val="19"/>
                <w:szCs w:val="19"/>
                <w:color w:val="auto"/>
              </w:rPr>
            </w:pPr>
          </w:p>
        </w:tc>
        <w:tc>
          <w:tcPr>
            <w:tcW w:w="220" w:type="dxa"/>
            <w:vAlign w:val="bottom"/>
            <w:shd w:val="clear" w:color="auto" w:fill="CFF0FC"/>
          </w:tcPr>
          <w:p>
            <w:pPr>
              <w:jc w:val="right"/>
              <w:ind w:right="65"/>
              <w:spacing w:after="0"/>
              <w:rPr>
                <w:sz w:val="20"/>
                <w:szCs w:val="20"/>
                <w:color w:val="auto"/>
              </w:rPr>
            </w:pPr>
            <w:r>
              <w:rPr>
                <w:rFonts w:ascii="Arial" w:cs="Arial" w:eastAsia="Arial" w:hAnsi="Arial"/>
                <w:sz w:val="15"/>
                <w:szCs w:val="15"/>
                <w:color w:val="auto"/>
                <w:w w:val="71"/>
              </w:rPr>
              <w:t>$</w:t>
            </w:r>
          </w:p>
        </w:tc>
        <w:tc>
          <w:tcPr>
            <w:tcW w:w="8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51,465</w:t>
            </w:r>
          </w:p>
        </w:tc>
        <w:tc>
          <w:tcPr>
            <w:tcW w:w="200" w:type="dxa"/>
            <w:vAlign w:val="bottom"/>
            <w:vMerge w:val="continue"/>
            <w:shd w:val="clear" w:color="auto" w:fill="CFF0FC"/>
          </w:tcPr>
          <w:p>
            <w:pPr>
              <w:spacing w:after="0"/>
              <w:rPr>
                <w:sz w:val="19"/>
                <w:szCs w:val="19"/>
                <w:color w:val="auto"/>
              </w:rPr>
            </w:pPr>
          </w:p>
        </w:tc>
        <w:tc>
          <w:tcPr>
            <w:tcW w:w="280" w:type="dxa"/>
            <w:vAlign w:val="bottom"/>
            <w:shd w:val="clear" w:color="auto" w:fill="CFF0FC"/>
          </w:tcPr>
          <w:p>
            <w:pPr>
              <w:jc w:val="right"/>
              <w:ind w:right="125"/>
              <w:spacing w:after="0"/>
              <w:rPr>
                <w:sz w:val="20"/>
                <w:szCs w:val="20"/>
                <w:color w:val="auto"/>
              </w:rPr>
            </w:pPr>
            <w:r>
              <w:rPr>
                <w:rFonts w:ascii="Arial" w:cs="Arial" w:eastAsia="Arial" w:hAnsi="Arial"/>
                <w:sz w:val="15"/>
                <w:szCs w:val="15"/>
                <w:color w:val="auto"/>
                <w:w w:val="71"/>
              </w:rPr>
              <w:t>$</w:t>
            </w:r>
          </w:p>
        </w:tc>
        <w:tc>
          <w:tcPr>
            <w:tcW w:w="7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38,910</w:t>
            </w:r>
          </w:p>
        </w:tc>
        <w:tc>
          <w:tcPr>
            <w:tcW w:w="180" w:type="dxa"/>
            <w:vAlign w:val="bottom"/>
            <w:shd w:val="clear" w:color="auto" w:fill="CFF0FC"/>
          </w:tcPr>
          <w:p>
            <w:pPr>
              <w:spacing w:after="0"/>
              <w:rPr>
                <w:sz w:val="19"/>
                <w:szCs w:val="19"/>
                <w:color w:val="auto"/>
              </w:rPr>
            </w:pPr>
          </w:p>
        </w:tc>
        <w:tc>
          <w:tcPr>
            <w:tcW w:w="1300" w:type="dxa"/>
            <w:vAlign w:val="bottom"/>
            <w:gridSpan w:val="2"/>
            <w:shd w:val="clear" w:color="auto" w:fill="CFF0FC"/>
          </w:tcPr>
          <w:p>
            <w:pPr>
              <w:jc w:val="right"/>
              <w:ind w:right="120"/>
              <w:spacing w:after="0"/>
              <w:rPr>
                <w:sz w:val="20"/>
                <w:szCs w:val="20"/>
                <w:color w:val="auto"/>
              </w:rPr>
            </w:pPr>
            <w:r>
              <w:rPr>
                <w:rFonts w:ascii="Arial" w:cs="Arial" w:eastAsia="Arial" w:hAnsi="Arial"/>
                <w:sz w:val="18"/>
                <w:szCs w:val="18"/>
                <w:color w:val="auto"/>
              </w:rPr>
              <w:t>13.8%</w:t>
            </w:r>
          </w:p>
        </w:tc>
        <w:tc>
          <w:tcPr>
            <w:tcW w:w="1240" w:type="dxa"/>
            <w:vAlign w:val="bottom"/>
            <w:gridSpan w:val="2"/>
            <w:shd w:val="clear" w:color="auto" w:fill="CFF0FC"/>
          </w:tcPr>
          <w:p>
            <w:pPr>
              <w:jc w:val="right"/>
              <w:ind w:right="60"/>
              <w:spacing w:after="0"/>
              <w:rPr>
                <w:sz w:val="20"/>
                <w:szCs w:val="20"/>
                <w:color w:val="auto"/>
              </w:rPr>
            </w:pPr>
            <w:r>
              <w:rPr>
                <w:rFonts w:ascii="Arial" w:cs="Arial" w:eastAsia="Arial" w:hAnsi="Arial"/>
                <w:sz w:val="18"/>
                <w:szCs w:val="18"/>
                <w:color w:val="auto"/>
              </w:rPr>
              <w:t>16.1%</w:t>
            </w:r>
          </w:p>
        </w:tc>
        <w:tc>
          <w:tcPr>
            <w:tcW w:w="0" w:type="dxa"/>
            <w:vAlign w:val="bottom"/>
          </w:tcPr>
          <w:p>
            <w:pPr>
              <w:spacing w:after="0"/>
              <w:rPr>
                <w:sz w:val="1"/>
                <w:szCs w:val="1"/>
                <w:color w:val="auto"/>
              </w:rPr>
            </w:pPr>
          </w:p>
        </w:tc>
      </w:tr>
      <w:tr>
        <w:trPr>
          <w:trHeight w:val="20"/>
        </w:trPr>
        <w:tc>
          <w:tcPr>
            <w:tcW w:w="5300" w:type="dxa"/>
            <w:vAlign w:val="bottom"/>
            <w:tcBorders>
              <w:top w:val="single" w:sz="8" w:color="CFF0FC"/>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Borders>
              <w:top w:val="single" w:sz="8" w:color="CFF0FC"/>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76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Borders>
              <w:top w:val="single" w:sz="8" w:color="CFF0FC"/>
            </w:tcBorders>
          </w:tcPr>
          <w:p>
            <w:pPr>
              <w:spacing w:after="0" w:line="20" w:lineRule="exact"/>
              <w:rPr>
                <w:sz w:val="1"/>
                <w:szCs w:val="1"/>
                <w:color w:val="auto"/>
              </w:rPr>
            </w:pPr>
          </w:p>
        </w:tc>
        <w:tc>
          <w:tcPr>
            <w:tcW w:w="104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Borders>
              <w:top w:val="single" w:sz="8" w:color="CFF0FC"/>
            </w:tcBorders>
          </w:tcPr>
          <w:p>
            <w:pPr>
              <w:spacing w:after="0" w:line="20" w:lineRule="exact"/>
              <w:rPr>
                <w:sz w:val="1"/>
                <w:szCs w:val="1"/>
                <w:color w:val="auto"/>
              </w:rPr>
            </w:pPr>
          </w:p>
        </w:tc>
        <w:tc>
          <w:tcPr>
            <w:tcW w:w="104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Borders>
              <w:top w:val="single" w:sz="8" w:color="CFF0F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2" w:lineRule="exact"/>
        <w:rPr>
          <w:sz w:val="20"/>
          <w:szCs w:val="20"/>
          <w:color w:val="auto"/>
        </w:rPr>
      </w:pPr>
    </w:p>
    <w:p>
      <w:pPr>
        <w:ind w:firstLine="518"/>
        <w:spacing w:after="0" w:line="272" w:lineRule="auto"/>
        <w:rPr>
          <w:sz w:val="20"/>
          <w:szCs w:val="20"/>
          <w:color w:val="auto"/>
        </w:rPr>
      </w:pPr>
      <w:r>
        <w:rPr>
          <w:rFonts w:ascii="Arial" w:cs="Arial" w:eastAsia="Arial" w:hAnsi="Arial"/>
          <w:sz w:val="17"/>
          <w:szCs w:val="17"/>
          <w:color w:val="auto"/>
        </w:rPr>
        <w:t>Sales and marketing expense decreased to 6.2% of home sales revenue for the three months ended March 31, 2015 from 8.6% of home sales revenue for the three months ended March 31, 2014 mainly due to the addition of legacy TRI Pointe which has a lower sales and marketing expense as a percentage of revenue due to a strong sales absorption pace and higher average sales prices per community. Sales and marketing expense increased $2.4 million, or 11%, to $23.3 million for the three months ended March 31, 2015 from $20.9 million for the prior year period. The increase in sales and marketing expense was related primarily to the addition of legacy TRI Pointe for the three month period ended March 31, 2015, representing $4.8 million of sales and marketing expenses, with no comparable amounts in the prior year period. This amount was offset by decreases in each of the existing segments for the three months ending March 31, 2015 compared to the same prior year period.</w:t>
      </w:r>
    </w:p>
    <w:p>
      <w:pPr>
        <w:spacing w:after="0" w:line="178" w:lineRule="exact"/>
        <w:rPr>
          <w:sz w:val="20"/>
          <w:szCs w:val="20"/>
          <w:color w:val="auto"/>
        </w:rPr>
      </w:pPr>
    </w:p>
    <w:p>
      <w:pPr>
        <w:ind w:right="180" w:firstLine="518"/>
        <w:spacing w:after="0" w:line="259" w:lineRule="auto"/>
        <w:rPr>
          <w:sz w:val="20"/>
          <w:szCs w:val="20"/>
          <w:color w:val="auto"/>
        </w:rPr>
      </w:pPr>
      <w:r>
        <w:rPr>
          <w:rFonts w:ascii="Arial" w:cs="Arial" w:eastAsia="Arial" w:hAnsi="Arial"/>
          <w:sz w:val="18"/>
          <w:szCs w:val="18"/>
          <w:color w:val="auto"/>
        </w:rPr>
        <w:t>General and administrative expense increased by $10.2 million to $28.2 million for the three month period ended March 31, 2015 from $18.0 for the three month period ended March 31, 2014. General and administrative expenses were 7.5% of home sales revenue for the three months ended March 31, 2015 compared to 7.4% of home sales revenue for the same period in the prior year. The slight increase in general and administrative expenses as a percentage of home sales revenue is due primarily to employee related costs.</w:t>
      </w:r>
    </w:p>
    <w:p>
      <w:pPr>
        <w:spacing w:after="0" w:line="187" w:lineRule="exact"/>
        <w:rPr>
          <w:sz w:val="20"/>
          <w:szCs w:val="20"/>
          <w:color w:val="auto"/>
        </w:rPr>
      </w:pPr>
    </w:p>
    <w:p>
      <w:pPr>
        <w:jc w:val="both"/>
        <w:ind w:right="60" w:firstLine="518"/>
        <w:spacing w:after="0" w:line="264" w:lineRule="auto"/>
        <w:rPr>
          <w:sz w:val="20"/>
          <w:szCs w:val="20"/>
          <w:color w:val="auto"/>
        </w:rPr>
      </w:pPr>
      <w:r>
        <w:rPr>
          <w:rFonts w:ascii="Arial" w:cs="Arial" w:eastAsia="Arial" w:hAnsi="Arial"/>
          <w:sz w:val="18"/>
          <w:szCs w:val="18"/>
          <w:color w:val="auto"/>
        </w:rPr>
        <w:t>Total sales and marketing and G&amp;A (“SG&amp;A”) expense increased $12.6 million, or 32%, to $51.5 million for the three months ended March 31, 2015 from $38.9 million in the prior year period, but improved to 13.8% of home sales revenue from 16.1% for the three months ended March 31, 2015 and 2014, respectively.</w:t>
      </w:r>
    </w:p>
    <w:p>
      <w:pPr>
        <w:spacing w:after="0" w:line="200" w:lineRule="exact"/>
        <w:rPr>
          <w:sz w:val="20"/>
          <w:szCs w:val="20"/>
          <w:color w:val="auto"/>
        </w:rPr>
      </w:pPr>
    </w:p>
    <w:p>
      <w:pPr>
        <w:spacing w:after="0" w:line="22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- 32 -</w:t>
      </w:r>
    </w:p>
    <w:p>
      <w:pPr>
        <w:sectPr>
          <w:pgSz w:w="11900" w:h="16838" w:orient="portrait"/>
          <w:cols w:equalWidth="0" w:num="1">
            <w:col w:w="11400"/>
          </w:cols>
          <w:pgMar w:left="240" w:top="463" w:right="259" w:bottom="1440" w:gutter="0" w:footer="0" w:header="0"/>
        </w:sectPr>
      </w:pPr>
    </w:p>
    <w:bookmarkStart w:id="32" w:name="page33"/>
    <w:bookmarkEnd w:id="32"/>
    <w:p>
      <w:pPr>
        <w:spacing w:after="0"/>
        <w:rPr>
          <w:sz w:val="20"/>
          <w:szCs w:val="20"/>
          <w:color w:val="auto"/>
        </w:rPr>
      </w:pPr>
      <w:r>
        <w:rPr>
          <w:rFonts w:ascii="Arial" w:cs="Arial" w:eastAsia="Arial" w:hAnsi="Arial"/>
          <w:sz w:val="18"/>
          <w:szCs w:val="18"/>
          <w:b w:val="1"/>
          <w:bCs w:val="1"/>
          <w:i w:val="1"/>
          <w:iCs w:val="1"/>
          <w:color w:val="auto"/>
        </w:rPr>
        <w:t>Restructuring Charges</w:t>
      </w:r>
    </w:p>
    <w:p>
      <w:pPr>
        <w:spacing w:after="0" w:line="117" w:lineRule="exact"/>
        <w:rPr>
          <w:sz w:val="20"/>
          <w:szCs w:val="20"/>
          <w:color w:val="auto"/>
        </w:rPr>
      </w:pPr>
    </w:p>
    <w:p>
      <w:pPr>
        <w:ind w:right="200" w:firstLine="518"/>
        <w:spacing w:after="0" w:line="264" w:lineRule="auto"/>
        <w:rPr>
          <w:sz w:val="20"/>
          <w:szCs w:val="20"/>
          <w:color w:val="auto"/>
        </w:rPr>
      </w:pPr>
      <w:r>
        <w:rPr>
          <w:rFonts w:ascii="Arial" w:cs="Arial" w:eastAsia="Arial" w:hAnsi="Arial"/>
          <w:sz w:val="18"/>
          <w:szCs w:val="18"/>
          <w:color w:val="auto"/>
        </w:rPr>
        <w:t>Restructuring charges decreased to $222,000 for the three months ended March 31, 2015 compared to $1.7 million in the same period in the prior year. The decrease was mainly due to higher employee-related restructuring costs in 2014, largely related to severance and related costs in connection with the Merger.</w:t>
      </w:r>
    </w:p>
    <w:p>
      <w:pPr>
        <w:spacing w:after="0" w:line="28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Interest</w:t>
      </w:r>
    </w:p>
    <w:p>
      <w:pPr>
        <w:spacing w:after="0" w:line="117" w:lineRule="exact"/>
        <w:rPr>
          <w:sz w:val="20"/>
          <w:szCs w:val="20"/>
          <w:color w:val="auto"/>
        </w:rPr>
      </w:pPr>
    </w:p>
    <w:p>
      <w:pPr>
        <w:ind w:firstLine="518"/>
        <w:spacing w:after="0" w:line="257" w:lineRule="auto"/>
        <w:rPr>
          <w:sz w:val="20"/>
          <w:szCs w:val="20"/>
          <w:color w:val="auto"/>
        </w:rPr>
      </w:pPr>
      <w:r>
        <w:rPr>
          <w:rFonts w:ascii="Arial" w:cs="Arial" w:eastAsia="Arial" w:hAnsi="Arial"/>
          <w:sz w:val="18"/>
          <w:szCs w:val="18"/>
          <w:color w:val="auto"/>
        </w:rPr>
        <w:t>Interest, which was incurred principally to finance land acquisitions, land development and home construction, totaled $15.2 million and $4.0 million for the three months ended March 31, 2015 and 2014, respectively. The capitalized portion of interest incurred was $15.2 million and $3.8 million for the three months ended March 31, 2015 and 2014, respectively. The increase in interest incurred during the three months ended March 31, 2015 as compared to the prior year period was primarily attributable to an increase in our outstanding debt and higher interest rates as a result of the issuance of the Senior Notes in connection with the Merger.</w:t>
      </w:r>
    </w:p>
    <w:p>
      <w:pPr>
        <w:spacing w:after="0" w:line="29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Income Tax</w:t>
      </w:r>
    </w:p>
    <w:p>
      <w:pPr>
        <w:spacing w:after="0" w:line="117" w:lineRule="exact"/>
        <w:rPr>
          <w:sz w:val="20"/>
          <w:szCs w:val="20"/>
          <w:color w:val="auto"/>
        </w:rPr>
      </w:pPr>
    </w:p>
    <w:p>
      <w:pPr>
        <w:ind w:right="20" w:firstLine="518"/>
        <w:spacing w:after="0" w:line="259" w:lineRule="auto"/>
        <w:rPr>
          <w:sz w:val="20"/>
          <w:szCs w:val="20"/>
          <w:color w:val="auto"/>
        </w:rPr>
      </w:pPr>
      <w:r>
        <w:rPr>
          <w:rFonts w:ascii="Arial" w:cs="Arial" w:eastAsia="Arial" w:hAnsi="Arial"/>
          <w:sz w:val="18"/>
          <w:szCs w:val="18"/>
          <w:color w:val="auto"/>
        </w:rPr>
        <w:t>For the three months ended March 31, 2015, we recorded a tax provision of $7.8 million based on an effective tax rate of 33.8%. For the three months ended March 31, 2014, we recorded a tax provision of $4.5 million based on an effective tax rate of 37.4%. The increase in our provision for income tax was primarily the result of the $11.0 million increase in income before income taxes to $23.1 million for the three months ended March 31, 2015 compared to $12.1 million in the prior year period.</w:t>
      </w:r>
    </w:p>
    <w:p>
      <w:pPr>
        <w:spacing w:after="0" w:line="29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Lots Owned or Controlled by Segment</w:t>
      </w:r>
    </w:p>
    <w:p>
      <w:pPr>
        <w:spacing w:after="0" w:line="117" w:lineRule="exact"/>
        <w:rPr>
          <w:sz w:val="20"/>
          <w:szCs w:val="20"/>
          <w:color w:val="auto"/>
        </w:rPr>
      </w:pPr>
    </w:p>
    <w:p>
      <w:pPr>
        <w:ind w:right="260" w:firstLine="518"/>
        <w:spacing w:after="0" w:line="277" w:lineRule="auto"/>
        <w:rPr>
          <w:sz w:val="20"/>
          <w:szCs w:val="20"/>
          <w:color w:val="auto"/>
        </w:rPr>
      </w:pPr>
      <w:r>
        <w:rPr>
          <w:rFonts w:ascii="Arial" w:cs="Arial" w:eastAsia="Arial" w:hAnsi="Arial"/>
          <w:sz w:val="18"/>
          <w:szCs w:val="18"/>
          <w:color w:val="auto"/>
        </w:rPr>
        <w:t xml:space="preserve">Excluded from owned and controlled lots are those related to Note 8, </w:t>
      </w:r>
      <w:r>
        <w:rPr>
          <w:rFonts w:ascii="Arial" w:cs="Arial" w:eastAsia="Arial" w:hAnsi="Arial"/>
          <w:sz w:val="18"/>
          <w:szCs w:val="18"/>
          <w:i w:val="1"/>
          <w:iCs w:val="1"/>
          <w:color w:val="auto"/>
        </w:rPr>
        <w:t>Investments in Unconsolidated Entities</w:t>
      </w:r>
      <w:r>
        <w:rPr>
          <w:rFonts w:ascii="Arial" w:cs="Arial" w:eastAsia="Arial" w:hAnsi="Arial"/>
          <w:sz w:val="18"/>
          <w:szCs w:val="18"/>
          <w:color w:val="auto"/>
        </w:rPr>
        <w:t>. The table below summarizes our lots owned or controlled by segment as of the dates presented:</w:t>
      </w:r>
    </w:p>
    <w:p>
      <w:pPr>
        <w:spacing w:after="0" w:line="203" w:lineRule="exact"/>
        <w:rPr>
          <w:sz w:val="20"/>
          <w:szCs w:val="20"/>
          <w:color w:val="auto"/>
        </w:rPr>
      </w:pPr>
    </w:p>
    <w:tbl>
      <w:tblPr>
        <w:tblLayout w:type="fixed"/>
        <w:tblInd w:w="580" w:type="dxa"/>
        <w:tblCellMar>
          <w:top w:w="0" w:type="dxa"/>
          <w:left w:w="0" w:type="dxa"/>
          <w:bottom w:w="0" w:type="dxa"/>
          <w:right w:w="0" w:type="dxa"/>
        </w:tblCellMar>
      </w:tblPr>
      <w:tr>
        <w:trPr>
          <w:trHeight w:val="186"/>
        </w:trPr>
        <w:tc>
          <w:tcPr>
            <w:tcW w:w="5320" w:type="dxa"/>
            <w:vAlign w:val="bottom"/>
          </w:tcPr>
          <w:p>
            <w:pPr>
              <w:spacing w:after="0"/>
              <w:rPr>
                <w:sz w:val="16"/>
                <w:szCs w:val="16"/>
                <w:color w:val="auto"/>
              </w:rPr>
            </w:pPr>
          </w:p>
        </w:tc>
        <w:tc>
          <w:tcPr>
            <w:tcW w:w="104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1560" w:type="dxa"/>
            <w:vAlign w:val="bottom"/>
            <w:gridSpan w:val="3"/>
          </w:tcPr>
          <w:p>
            <w:pPr>
              <w:jc w:val="center"/>
              <w:ind w:left="593"/>
              <w:spacing w:after="0"/>
              <w:rPr>
                <w:sz w:val="20"/>
                <w:szCs w:val="20"/>
                <w:color w:val="auto"/>
              </w:rPr>
            </w:pPr>
            <w:r>
              <w:rPr>
                <w:rFonts w:ascii="Arial" w:cs="Arial" w:eastAsia="Arial" w:hAnsi="Arial"/>
                <w:sz w:val="14"/>
                <w:szCs w:val="14"/>
                <w:b w:val="1"/>
                <w:bCs w:val="1"/>
                <w:color w:val="auto"/>
                <w:w w:val="91"/>
              </w:rPr>
              <w:t>Increase</w:t>
            </w:r>
          </w:p>
        </w:tc>
        <w:tc>
          <w:tcPr>
            <w:tcW w:w="70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88"/>
        </w:trPr>
        <w:tc>
          <w:tcPr>
            <w:tcW w:w="5320" w:type="dxa"/>
            <w:vAlign w:val="bottom"/>
          </w:tcPr>
          <w:p>
            <w:pPr>
              <w:spacing w:after="0"/>
              <w:rPr>
                <w:sz w:val="16"/>
                <w:szCs w:val="16"/>
                <w:color w:val="auto"/>
              </w:rPr>
            </w:pPr>
          </w:p>
        </w:tc>
        <w:tc>
          <w:tcPr>
            <w:tcW w:w="1540" w:type="dxa"/>
            <w:vAlign w:val="bottom"/>
            <w:tcBorders>
              <w:bottom w:val="single" w:sz="8" w:color="auto"/>
            </w:tcBorders>
            <w:gridSpan w:val="3"/>
          </w:tcPr>
          <w:p>
            <w:pPr>
              <w:ind w:left="800"/>
              <w:spacing w:after="0"/>
              <w:rPr>
                <w:sz w:val="20"/>
                <w:szCs w:val="20"/>
                <w:color w:val="auto"/>
              </w:rPr>
            </w:pPr>
            <w:r>
              <w:rPr>
                <w:rFonts w:ascii="Arial" w:cs="Arial" w:eastAsia="Arial" w:hAnsi="Arial"/>
                <w:sz w:val="14"/>
                <w:szCs w:val="14"/>
                <w:b w:val="1"/>
                <w:bCs w:val="1"/>
                <w:color w:val="auto"/>
              </w:rPr>
              <w:t>March 31,</w:t>
            </w:r>
          </w:p>
        </w:tc>
        <w:tc>
          <w:tcPr>
            <w:tcW w:w="720" w:type="dxa"/>
            <w:vAlign w:val="bottom"/>
            <w:tcBorders>
              <w:bottom w:val="single" w:sz="8" w:color="auto"/>
            </w:tcBorders>
          </w:tcPr>
          <w:p>
            <w:pPr>
              <w:spacing w:after="0"/>
              <w:rPr>
                <w:sz w:val="16"/>
                <w:szCs w:val="16"/>
                <w:color w:val="auto"/>
              </w:rPr>
            </w:pPr>
          </w:p>
        </w:tc>
        <w:tc>
          <w:tcPr>
            <w:tcW w:w="180" w:type="dxa"/>
            <w:vAlign w:val="bottom"/>
          </w:tcPr>
          <w:p>
            <w:pPr>
              <w:spacing w:after="0"/>
              <w:rPr>
                <w:sz w:val="16"/>
                <w:szCs w:val="16"/>
                <w:color w:val="auto"/>
              </w:rPr>
            </w:pPr>
          </w:p>
        </w:tc>
        <w:tc>
          <w:tcPr>
            <w:tcW w:w="1560" w:type="dxa"/>
            <w:vAlign w:val="bottom"/>
            <w:tcBorders>
              <w:bottom w:val="single" w:sz="8" w:color="auto"/>
            </w:tcBorders>
            <w:gridSpan w:val="3"/>
          </w:tcPr>
          <w:p>
            <w:pPr>
              <w:jc w:val="center"/>
              <w:ind w:left="593"/>
              <w:spacing w:after="0"/>
              <w:rPr>
                <w:sz w:val="20"/>
                <w:szCs w:val="20"/>
                <w:color w:val="auto"/>
              </w:rPr>
            </w:pPr>
            <w:r>
              <w:rPr>
                <w:rFonts w:ascii="Arial" w:cs="Arial" w:eastAsia="Arial" w:hAnsi="Arial"/>
                <w:sz w:val="14"/>
                <w:szCs w:val="14"/>
                <w:b w:val="1"/>
                <w:bCs w:val="1"/>
                <w:color w:val="auto"/>
                <w:w w:val="89"/>
              </w:rPr>
              <w:t>(Decrease)</w:t>
            </w:r>
          </w:p>
        </w:tc>
        <w:tc>
          <w:tcPr>
            <w:tcW w:w="700" w:type="dxa"/>
            <w:vAlign w:val="bottom"/>
            <w:tcBorders>
              <w:bottom w:val="single" w:sz="8" w:color="auto"/>
            </w:tcBorders>
          </w:tcPr>
          <w:p>
            <w:pPr>
              <w:spacing w:after="0"/>
              <w:rPr>
                <w:sz w:val="16"/>
                <w:szCs w:val="16"/>
                <w:color w:val="auto"/>
              </w:rPr>
            </w:pPr>
          </w:p>
        </w:tc>
        <w:tc>
          <w:tcPr>
            <w:tcW w:w="2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56"/>
        </w:trPr>
        <w:tc>
          <w:tcPr>
            <w:tcW w:w="5320" w:type="dxa"/>
            <w:vAlign w:val="bottom"/>
          </w:tcPr>
          <w:p>
            <w:pPr>
              <w:spacing w:after="0"/>
              <w:rPr>
                <w:sz w:val="13"/>
                <w:szCs w:val="13"/>
                <w:color w:val="auto"/>
              </w:rPr>
            </w:pPr>
          </w:p>
        </w:tc>
        <w:tc>
          <w:tcPr>
            <w:tcW w:w="1040" w:type="dxa"/>
            <w:vAlign w:val="bottom"/>
          </w:tcPr>
          <w:p>
            <w:pPr>
              <w:jc w:val="right"/>
              <w:ind w:right="252"/>
              <w:spacing w:after="0" w:line="155" w:lineRule="exact"/>
              <w:rPr>
                <w:sz w:val="20"/>
                <w:szCs w:val="20"/>
                <w:color w:val="auto"/>
              </w:rPr>
            </w:pPr>
            <w:r>
              <w:rPr>
                <w:rFonts w:ascii="Arial" w:cs="Arial" w:eastAsia="Arial" w:hAnsi="Arial"/>
                <w:sz w:val="14"/>
                <w:szCs w:val="14"/>
                <w:b w:val="1"/>
                <w:bCs w:val="1"/>
                <w:color w:val="auto"/>
              </w:rPr>
              <w:t>2015</w:t>
            </w:r>
          </w:p>
        </w:tc>
        <w:tc>
          <w:tcPr>
            <w:tcW w:w="18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720" w:type="dxa"/>
            <w:vAlign w:val="bottom"/>
          </w:tcPr>
          <w:p>
            <w:pPr>
              <w:jc w:val="right"/>
              <w:ind w:right="251"/>
              <w:spacing w:after="0" w:line="155" w:lineRule="exact"/>
              <w:rPr>
                <w:sz w:val="20"/>
                <w:szCs w:val="20"/>
                <w:color w:val="auto"/>
              </w:rPr>
            </w:pPr>
            <w:r>
              <w:rPr>
                <w:rFonts w:ascii="Arial" w:cs="Arial" w:eastAsia="Arial" w:hAnsi="Arial"/>
                <w:sz w:val="14"/>
                <w:szCs w:val="14"/>
                <w:b w:val="1"/>
                <w:bCs w:val="1"/>
                <w:color w:val="auto"/>
              </w:rPr>
              <w:t>2014</w:t>
            </w:r>
          </w:p>
        </w:tc>
        <w:tc>
          <w:tcPr>
            <w:tcW w:w="180" w:type="dxa"/>
            <w:vAlign w:val="bottom"/>
          </w:tcPr>
          <w:p>
            <w:pPr>
              <w:spacing w:after="0"/>
              <w:rPr>
                <w:sz w:val="13"/>
                <w:szCs w:val="13"/>
                <w:color w:val="auto"/>
              </w:rPr>
            </w:pPr>
          </w:p>
        </w:tc>
        <w:tc>
          <w:tcPr>
            <w:tcW w:w="1560" w:type="dxa"/>
            <w:vAlign w:val="bottom"/>
            <w:gridSpan w:val="3"/>
          </w:tcPr>
          <w:p>
            <w:pPr>
              <w:ind w:left="260"/>
              <w:spacing w:after="0" w:line="155" w:lineRule="exact"/>
              <w:rPr>
                <w:sz w:val="20"/>
                <w:szCs w:val="20"/>
                <w:color w:val="auto"/>
              </w:rPr>
            </w:pPr>
            <w:r>
              <w:rPr>
                <w:rFonts w:ascii="Arial" w:cs="Arial" w:eastAsia="Arial" w:hAnsi="Arial"/>
                <w:sz w:val="14"/>
                <w:szCs w:val="14"/>
                <w:b w:val="1"/>
                <w:bCs w:val="1"/>
                <w:color w:val="auto"/>
              </w:rPr>
              <w:t>Amount</w:t>
            </w:r>
          </w:p>
        </w:tc>
        <w:tc>
          <w:tcPr>
            <w:tcW w:w="700" w:type="dxa"/>
            <w:vAlign w:val="bottom"/>
          </w:tcPr>
          <w:p>
            <w:pPr>
              <w:jc w:val="right"/>
              <w:ind w:right="371"/>
              <w:spacing w:after="0" w:line="155" w:lineRule="exact"/>
              <w:rPr>
                <w:sz w:val="20"/>
                <w:szCs w:val="20"/>
                <w:color w:val="auto"/>
              </w:rPr>
            </w:pPr>
            <w:r>
              <w:rPr>
                <w:rFonts w:ascii="Arial" w:cs="Arial" w:eastAsia="Arial" w:hAnsi="Arial"/>
                <w:sz w:val="14"/>
                <w:szCs w:val="14"/>
                <w:b w:val="1"/>
                <w:bCs w:val="1"/>
                <w:color w:val="auto"/>
              </w:rPr>
              <w:t>%</w:t>
            </w:r>
          </w:p>
        </w:tc>
        <w:tc>
          <w:tcPr>
            <w:tcW w:w="2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23"/>
        </w:trPr>
        <w:tc>
          <w:tcPr>
            <w:tcW w:w="5320" w:type="dxa"/>
            <w:vAlign w:val="bottom"/>
            <w:tcBorders>
              <w:top w:val="single" w:sz="8" w:color="CFF0FC"/>
            </w:tcBorders>
            <w:shd w:val="clear" w:color="auto" w:fill="CFF0FC"/>
          </w:tcPr>
          <w:p>
            <w:pPr>
              <w:spacing w:after="0"/>
              <w:rPr>
                <w:sz w:val="20"/>
                <w:szCs w:val="20"/>
                <w:color w:val="auto"/>
              </w:rPr>
            </w:pPr>
            <w:r>
              <w:rPr>
                <w:rFonts w:ascii="Arial" w:cs="Arial" w:eastAsia="Arial" w:hAnsi="Arial"/>
                <w:sz w:val="18"/>
                <w:szCs w:val="18"/>
                <w:b w:val="1"/>
                <w:bCs w:val="1"/>
                <w:color w:val="auto"/>
              </w:rPr>
              <w:t>Lots Owned</w:t>
            </w:r>
          </w:p>
        </w:tc>
        <w:tc>
          <w:tcPr>
            <w:tcW w:w="1040" w:type="dxa"/>
            <w:vAlign w:val="bottom"/>
            <w:tcBorders>
              <w:top w:val="single" w:sz="8" w:color="auto"/>
            </w:tcBorders>
            <w:shd w:val="clear" w:color="auto" w:fill="CFF0FC"/>
          </w:tcPr>
          <w:p>
            <w:pPr>
              <w:spacing w:after="0"/>
              <w:rPr>
                <w:sz w:val="19"/>
                <w:szCs w:val="19"/>
                <w:color w:val="auto"/>
              </w:rPr>
            </w:pPr>
          </w:p>
        </w:tc>
        <w:tc>
          <w:tcPr>
            <w:tcW w:w="180" w:type="dxa"/>
            <w:vAlign w:val="bottom"/>
            <w:tcBorders>
              <w:top w:val="single" w:sz="8" w:color="CFF0FC"/>
            </w:tcBorders>
            <w:shd w:val="clear" w:color="auto" w:fill="CFF0FC"/>
          </w:tcPr>
          <w:p>
            <w:pPr>
              <w:spacing w:after="0"/>
              <w:rPr>
                <w:sz w:val="19"/>
                <w:szCs w:val="19"/>
                <w:color w:val="auto"/>
              </w:rPr>
            </w:pPr>
          </w:p>
        </w:tc>
        <w:tc>
          <w:tcPr>
            <w:tcW w:w="320" w:type="dxa"/>
            <w:vAlign w:val="bottom"/>
            <w:tcBorders>
              <w:top w:val="single" w:sz="8" w:color="auto"/>
            </w:tcBorders>
            <w:shd w:val="clear" w:color="auto" w:fill="CFF0FC"/>
          </w:tcPr>
          <w:p>
            <w:pPr>
              <w:spacing w:after="0"/>
              <w:rPr>
                <w:sz w:val="19"/>
                <w:szCs w:val="19"/>
                <w:color w:val="auto"/>
              </w:rPr>
            </w:pPr>
          </w:p>
        </w:tc>
        <w:tc>
          <w:tcPr>
            <w:tcW w:w="720" w:type="dxa"/>
            <w:vAlign w:val="bottom"/>
            <w:tcBorders>
              <w:top w:val="single" w:sz="8" w:color="auto"/>
            </w:tcBorders>
            <w:shd w:val="clear" w:color="auto" w:fill="CFF0FC"/>
          </w:tcPr>
          <w:p>
            <w:pPr>
              <w:spacing w:after="0"/>
              <w:rPr>
                <w:sz w:val="19"/>
                <w:szCs w:val="19"/>
                <w:color w:val="auto"/>
              </w:rPr>
            </w:pPr>
          </w:p>
        </w:tc>
        <w:tc>
          <w:tcPr>
            <w:tcW w:w="180" w:type="dxa"/>
            <w:vAlign w:val="bottom"/>
            <w:tcBorders>
              <w:top w:val="single" w:sz="8" w:color="CFF0FC"/>
            </w:tcBorders>
            <w:shd w:val="clear" w:color="auto" w:fill="CFF0FC"/>
          </w:tcPr>
          <w:p>
            <w:pPr>
              <w:spacing w:after="0"/>
              <w:rPr>
                <w:sz w:val="19"/>
                <w:szCs w:val="19"/>
                <w:color w:val="auto"/>
              </w:rPr>
            </w:pPr>
          </w:p>
        </w:tc>
        <w:tc>
          <w:tcPr>
            <w:tcW w:w="1040" w:type="dxa"/>
            <w:vAlign w:val="bottom"/>
            <w:tcBorders>
              <w:top w:val="single" w:sz="8" w:color="auto"/>
            </w:tcBorders>
            <w:shd w:val="clear" w:color="auto" w:fill="CFF0FC"/>
          </w:tcPr>
          <w:p>
            <w:pPr>
              <w:spacing w:after="0"/>
              <w:rPr>
                <w:sz w:val="19"/>
                <w:szCs w:val="19"/>
                <w:color w:val="auto"/>
              </w:rPr>
            </w:pPr>
          </w:p>
        </w:tc>
        <w:tc>
          <w:tcPr>
            <w:tcW w:w="180" w:type="dxa"/>
            <w:vAlign w:val="bottom"/>
            <w:tcBorders>
              <w:top w:val="single" w:sz="8" w:color="CFF0FC"/>
            </w:tcBorders>
            <w:shd w:val="clear" w:color="auto" w:fill="CFF0FC"/>
          </w:tcPr>
          <w:p>
            <w:pPr>
              <w:spacing w:after="0"/>
              <w:rPr>
                <w:sz w:val="19"/>
                <w:szCs w:val="19"/>
                <w:color w:val="auto"/>
              </w:rPr>
            </w:pPr>
          </w:p>
        </w:tc>
        <w:tc>
          <w:tcPr>
            <w:tcW w:w="340" w:type="dxa"/>
            <w:vAlign w:val="bottom"/>
            <w:tcBorders>
              <w:top w:val="single" w:sz="8" w:color="auto"/>
            </w:tcBorders>
            <w:shd w:val="clear" w:color="auto" w:fill="CFF0FC"/>
          </w:tcPr>
          <w:p>
            <w:pPr>
              <w:spacing w:after="0"/>
              <w:rPr>
                <w:sz w:val="19"/>
                <w:szCs w:val="19"/>
                <w:color w:val="auto"/>
              </w:rPr>
            </w:pPr>
          </w:p>
        </w:tc>
        <w:tc>
          <w:tcPr>
            <w:tcW w:w="700" w:type="dxa"/>
            <w:vAlign w:val="bottom"/>
            <w:tcBorders>
              <w:top w:val="single" w:sz="8" w:color="auto"/>
            </w:tcBorders>
            <w:shd w:val="clear" w:color="auto" w:fill="CFF0FC"/>
          </w:tcPr>
          <w:p>
            <w:pPr>
              <w:spacing w:after="0"/>
              <w:rPr>
                <w:sz w:val="19"/>
                <w:szCs w:val="19"/>
                <w:color w:val="auto"/>
              </w:rPr>
            </w:pPr>
          </w:p>
        </w:tc>
        <w:tc>
          <w:tcPr>
            <w:tcW w:w="260" w:type="dxa"/>
            <w:vAlign w:val="bottom"/>
            <w:tcBorders>
              <w:top w:val="single" w:sz="8" w:color="CFF0FC"/>
            </w:tcBorders>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5320" w:type="dxa"/>
            <w:vAlign w:val="bottom"/>
          </w:tcPr>
          <w:p>
            <w:pPr>
              <w:ind w:left="240"/>
              <w:spacing w:after="0"/>
              <w:rPr>
                <w:sz w:val="20"/>
                <w:szCs w:val="20"/>
                <w:color w:val="auto"/>
              </w:rPr>
            </w:pPr>
            <w:r>
              <w:rPr>
                <w:rFonts w:ascii="Arial" w:cs="Arial" w:eastAsia="Arial" w:hAnsi="Arial"/>
                <w:sz w:val="18"/>
                <w:szCs w:val="18"/>
                <w:color w:val="auto"/>
              </w:rPr>
              <w:t>Maracay</w:t>
            </w:r>
          </w:p>
        </w:tc>
        <w:tc>
          <w:tcPr>
            <w:tcW w:w="1040" w:type="dxa"/>
            <w:vAlign w:val="bottom"/>
          </w:tcPr>
          <w:p>
            <w:pPr>
              <w:jc w:val="right"/>
              <w:spacing w:after="0"/>
              <w:rPr>
                <w:sz w:val="20"/>
                <w:szCs w:val="20"/>
                <w:color w:val="auto"/>
              </w:rPr>
            </w:pPr>
            <w:r>
              <w:rPr>
                <w:rFonts w:ascii="Arial" w:cs="Arial" w:eastAsia="Arial" w:hAnsi="Arial"/>
                <w:sz w:val="18"/>
                <w:szCs w:val="18"/>
                <w:color w:val="auto"/>
              </w:rPr>
              <w:t>1,249</w:t>
            </w:r>
          </w:p>
        </w:tc>
        <w:tc>
          <w:tcPr>
            <w:tcW w:w="18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720" w:type="dxa"/>
            <w:vAlign w:val="bottom"/>
          </w:tcPr>
          <w:p>
            <w:pPr>
              <w:jc w:val="right"/>
              <w:spacing w:after="0"/>
              <w:rPr>
                <w:sz w:val="20"/>
                <w:szCs w:val="20"/>
                <w:color w:val="auto"/>
              </w:rPr>
            </w:pPr>
            <w:r>
              <w:rPr>
                <w:rFonts w:ascii="Arial" w:cs="Arial" w:eastAsia="Arial" w:hAnsi="Arial"/>
                <w:sz w:val="18"/>
                <w:szCs w:val="18"/>
                <w:color w:val="auto"/>
              </w:rPr>
              <w:t>1,313</w:t>
            </w:r>
          </w:p>
        </w:tc>
        <w:tc>
          <w:tcPr>
            <w:tcW w:w="180" w:type="dxa"/>
            <w:vAlign w:val="bottom"/>
          </w:tcPr>
          <w:p>
            <w:pPr>
              <w:spacing w:after="0"/>
              <w:rPr>
                <w:sz w:val="19"/>
                <w:szCs w:val="19"/>
                <w:color w:val="auto"/>
              </w:rPr>
            </w:pPr>
          </w:p>
        </w:tc>
        <w:tc>
          <w:tcPr>
            <w:tcW w:w="1220" w:type="dxa"/>
            <w:vAlign w:val="bottom"/>
            <w:gridSpan w:val="2"/>
          </w:tcPr>
          <w:p>
            <w:pPr>
              <w:jc w:val="right"/>
              <w:ind w:right="120"/>
              <w:spacing w:after="0"/>
              <w:rPr>
                <w:sz w:val="20"/>
                <w:szCs w:val="20"/>
                <w:color w:val="auto"/>
              </w:rPr>
            </w:pPr>
            <w:r>
              <w:rPr>
                <w:rFonts w:ascii="Arial" w:cs="Arial" w:eastAsia="Arial" w:hAnsi="Arial"/>
                <w:sz w:val="18"/>
                <w:szCs w:val="18"/>
                <w:color w:val="auto"/>
              </w:rPr>
              <w:t>(64)</w:t>
            </w:r>
          </w:p>
        </w:tc>
        <w:tc>
          <w:tcPr>
            <w:tcW w:w="340" w:type="dxa"/>
            <w:vAlign w:val="bottom"/>
          </w:tcPr>
          <w:p>
            <w:pPr>
              <w:spacing w:after="0"/>
              <w:rPr>
                <w:sz w:val="19"/>
                <w:szCs w:val="19"/>
                <w:color w:val="auto"/>
              </w:rPr>
            </w:pPr>
          </w:p>
        </w:tc>
        <w:tc>
          <w:tcPr>
            <w:tcW w:w="960" w:type="dxa"/>
            <w:vAlign w:val="bottom"/>
            <w:gridSpan w:val="2"/>
          </w:tcPr>
          <w:p>
            <w:pPr>
              <w:jc w:val="right"/>
              <w:ind w:right="40"/>
              <w:spacing w:after="0"/>
              <w:rPr>
                <w:sz w:val="20"/>
                <w:szCs w:val="20"/>
                <w:color w:val="auto"/>
              </w:rPr>
            </w:pPr>
            <w:r>
              <w:rPr>
                <w:rFonts w:ascii="Arial" w:cs="Arial" w:eastAsia="Arial" w:hAnsi="Arial"/>
                <w:sz w:val="18"/>
                <w:szCs w:val="18"/>
                <w:color w:val="auto"/>
              </w:rPr>
              <w:t>(5)%</w:t>
            </w:r>
          </w:p>
        </w:tc>
        <w:tc>
          <w:tcPr>
            <w:tcW w:w="0" w:type="dxa"/>
            <w:vAlign w:val="bottom"/>
          </w:tcPr>
          <w:p>
            <w:pPr>
              <w:spacing w:after="0"/>
              <w:rPr>
                <w:sz w:val="1"/>
                <w:szCs w:val="1"/>
                <w:color w:val="auto"/>
              </w:rPr>
            </w:pPr>
          </w:p>
        </w:tc>
      </w:tr>
      <w:tr>
        <w:trPr>
          <w:trHeight w:val="230"/>
        </w:trPr>
        <w:tc>
          <w:tcPr>
            <w:tcW w:w="5320" w:type="dxa"/>
            <w:vAlign w:val="bottom"/>
            <w:shd w:val="clear" w:color="auto" w:fill="CFF0FC"/>
          </w:tcPr>
          <w:p>
            <w:pPr>
              <w:ind w:left="240"/>
              <w:spacing w:after="0"/>
              <w:rPr>
                <w:sz w:val="20"/>
                <w:szCs w:val="20"/>
                <w:color w:val="auto"/>
              </w:rPr>
            </w:pPr>
            <w:r>
              <w:rPr>
                <w:rFonts w:ascii="Arial" w:cs="Arial" w:eastAsia="Arial" w:hAnsi="Arial"/>
                <w:sz w:val="18"/>
                <w:szCs w:val="18"/>
                <w:color w:val="auto"/>
              </w:rPr>
              <w:t>Pardee</w:t>
            </w:r>
            <w:r>
              <w:rPr>
                <w:rFonts w:ascii="Arial" w:cs="Arial" w:eastAsia="Arial" w:hAnsi="Arial"/>
                <w:sz w:val="15"/>
                <w:szCs w:val="15"/>
                <w:color w:val="auto"/>
              </w:rPr>
              <w:t>(2)</w:t>
            </w:r>
          </w:p>
        </w:tc>
        <w:tc>
          <w:tcPr>
            <w:tcW w:w="10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17,263</w:t>
            </w:r>
          </w:p>
        </w:tc>
        <w:tc>
          <w:tcPr>
            <w:tcW w:w="180" w:type="dxa"/>
            <w:vAlign w:val="bottom"/>
            <w:shd w:val="clear" w:color="auto" w:fill="CFF0FC"/>
          </w:tcPr>
          <w:p>
            <w:pPr>
              <w:spacing w:after="0"/>
              <w:rPr>
                <w:sz w:val="19"/>
                <w:szCs w:val="19"/>
                <w:color w:val="auto"/>
              </w:rPr>
            </w:pPr>
          </w:p>
        </w:tc>
        <w:tc>
          <w:tcPr>
            <w:tcW w:w="320" w:type="dxa"/>
            <w:vAlign w:val="bottom"/>
            <w:shd w:val="clear" w:color="auto" w:fill="CFF0FC"/>
          </w:tcPr>
          <w:p>
            <w:pPr>
              <w:spacing w:after="0"/>
              <w:rPr>
                <w:sz w:val="19"/>
                <w:szCs w:val="19"/>
                <w:color w:val="auto"/>
              </w:rPr>
            </w:pPr>
          </w:p>
        </w:tc>
        <w:tc>
          <w:tcPr>
            <w:tcW w:w="7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17,925</w:t>
            </w:r>
          </w:p>
        </w:tc>
        <w:tc>
          <w:tcPr>
            <w:tcW w:w="180" w:type="dxa"/>
            <w:vAlign w:val="bottom"/>
            <w:shd w:val="clear" w:color="auto" w:fill="CFF0FC"/>
          </w:tcPr>
          <w:p>
            <w:pPr>
              <w:spacing w:after="0"/>
              <w:rPr>
                <w:sz w:val="19"/>
                <w:szCs w:val="19"/>
                <w:color w:val="auto"/>
              </w:rPr>
            </w:pPr>
          </w:p>
        </w:tc>
        <w:tc>
          <w:tcPr>
            <w:tcW w:w="1220" w:type="dxa"/>
            <w:vAlign w:val="bottom"/>
            <w:gridSpan w:val="2"/>
            <w:shd w:val="clear" w:color="auto" w:fill="CFF0FC"/>
          </w:tcPr>
          <w:p>
            <w:pPr>
              <w:jc w:val="right"/>
              <w:ind w:right="120"/>
              <w:spacing w:after="0"/>
              <w:rPr>
                <w:sz w:val="20"/>
                <w:szCs w:val="20"/>
                <w:color w:val="auto"/>
              </w:rPr>
            </w:pPr>
            <w:r>
              <w:rPr>
                <w:rFonts w:ascii="Arial" w:cs="Arial" w:eastAsia="Arial" w:hAnsi="Arial"/>
                <w:sz w:val="18"/>
                <w:szCs w:val="18"/>
                <w:color w:val="auto"/>
              </w:rPr>
              <w:t>(662)</w:t>
            </w:r>
          </w:p>
        </w:tc>
        <w:tc>
          <w:tcPr>
            <w:tcW w:w="340" w:type="dxa"/>
            <w:vAlign w:val="bottom"/>
            <w:shd w:val="clear" w:color="auto" w:fill="CFF0FC"/>
          </w:tcPr>
          <w:p>
            <w:pPr>
              <w:spacing w:after="0"/>
              <w:rPr>
                <w:sz w:val="19"/>
                <w:szCs w:val="19"/>
                <w:color w:val="auto"/>
              </w:rPr>
            </w:pPr>
          </w:p>
        </w:tc>
        <w:tc>
          <w:tcPr>
            <w:tcW w:w="960" w:type="dxa"/>
            <w:vAlign w:val="bottom"/>
            <w:gridSpan w:val="2"/>
            <w:shd w:val="clear" w:color="auto" w:fill="CFF0FC"/>
          </w:tcPr>
          <w:p>
            <w:pPr>
              <w:jc w:val="right"/>
              <w:ind w:right="40"/>
              <w:spacing w:after="0"/>
              <w:rPr>
                <w:sz w:val="20"/>
                <w:szCs w:val="20"/>
                <w:color w:val="auto"/>
              </w:rPr>
            </w:pPr>
            <w:r>
              <w:rPr>
                <w:rFonts w:ascii="Arial" w:cs="Arial" w:eastAsia="Arial" w:hAnsi="Arial"/>
                <w:sz w:val="18"/>
                <w:szCs w:val="18"/>
                <w:color w:val="auto"/>
              </w:rPr>
              <w:t>(4)%</w:t>
            </w:r>
          </w:p>
        </w:tc>
        <w:tc>
          <w:tcPr>
            <w:tcW w:w="0" w:type="dxa"/>
            <w:vAlign w:val="bottom"/>
          </w:tcPr>
          <w:p>
            <w:pPr>
              <w:spacing w:after="0"/>
              <w:rPr>
                <w:sz w:val="1"/>
                <w:szCs w:val="1"/>
                <w:color w:val="auto"/>
              </w:rPr>
            </w:pPr>
          </w:p>
        </w:tc>
      </w:tr>
      <w:tr>
        <w:trPr>
          <w:trHeight w:val="230"/>
        </w:trPr>
        <w:tc>
          <w:tcPr>
            <w:tcW w:w="5320" w:type="dxa"/>
            <w:vAlign w:val="bottom"/>
          </w:tcPr>
          <w:p>
            <w:pPr>
              <w:ind w:left="240"/>
              <w:spacing w:after="0"/>
              <w:rPr>
                <w:sz w:val="20"/>
                <w:szCs w:val="20"/>
                <w:color w:val="auto"/>
              </w:rPr>
            </w:pPr>
            <w:r>
              <w:rPr>
                <w:rFonts w:ascii="Arial" w:cs="Arial" w:eastAsia="Arial" w:hAnsi="Arial"/>
                <w:sz w:val="18"/>
                <w:szCs w:val="18"/>
                <w:color w:val="auto"/>
              </w:rPr>
              <w:t>Quadrant</w:t>
            </w:r>
          </w:p>
        </w:tc>
        <w:tc>
          <w:tcPr>
            <w:tcW w:w="1040" w:type="dxa"/>
            <w:vAlign w:val="bottom"/>
          </w:tcPr>
          <w:p>
            <w:pPr>
              <w:jc w:val="right"/>
              <w:spacing w:after="0"/>
              <w:rPr>
                <w:sz w:val="20"/>
                <w:szCs w:val="20"/>
                <w:color w:val="auto"/>
              </w:rPr>
            </w:pPr>
            <w:r>
              <w:rPr>
                <w:rFonts w:ascii="Arial" w:cs="Arial" w:eastAsia="Arial" w:hAnsi="Arial"/>
                <w:sz w:val="18"/>
                <w:szCs w:val="18"/>
                <w:color w:val="auto"/>
              </w:rPr>
              <w:t>938</w:t>
            </w:r>
          </w:p>
        </w:tc>
        <w:tc>
          <w:tcPr>
            <w:tcW w:w="18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720" w:type="dxa"/>
            <w:vAlign w:val="bottom"/>
          </w:tcPr>
          <w:p>
            <w:pPr>
              <w:jc w:val="right"/>
              <w:spacing w:after="0"/>
              <w:rPr>
                <w:sz w:val="20"/>
                <w:szCs w:val="20"/>
                <w:color w:val="auto"/>
              </w:rPr>
            </w:pPr>
            <w:r>
              <w:rPr>
                <w:rFonts w:ascii="Arial" w:cs="Arial" w:eastAsia="Arial" w:hAnsi="Arial"/>
                <w:sz w:val="18"/>
                <w:szCs w:val="18"/>
                <w:color w:val="auto"/>
              </w:rPr>
              <w:t>1,034</w:t>
            </w:r>
          </w:p>
        </w:tc>
        <w:tc>
          <w:tcPr>
            <w:tcW w:w="180" w:type="dxa"/>
            <w:vAlign w:val="bottom"/>
          </w:tcPr>
          <w:p>
            <w:pPr>
              <w:spacing w:after="0"/>
              <w:rPr>
                <w:sz w:val="19"/>
                <w:szCs w:val="19"/>
                <w:color w:val="auto"/>
              </w:rPr>
            </w:pPr>
          </w:p>
        </w:tc>
        <w:tc>
          <w:tcPr>
            <w:tcW w:w="1220" w:type="dxa"/>
            <w:vAlign w:val="bottom"/>
            <w:gridSpan w:val="2"/>
          </w:tcPr>
          <w:p>
            <w:pPr>
              <w:jc w:val="right"/>
              <w:ind w:right="120"/>
              <w:spacing w:after="0"/>
              <w:rPr>
                <w:sz w:val="20"/>
                <w:szCs w:val="20"/>
                <w:color w:val="auto"/>
              </w:rPr>
            </w:pPr>
            <w:r>
              <w:rPr>
                <w:rFonts w:ascii="Arial" w:cs="Arial" w:eastAsia="Arial" w:hAnsi="Arial"/>
                <w:sz w:val="18"/>
                <w:szCs w:val="18"/>
                <w:color w:val="auto"/>
              </w:rPr>
              <w:t>(96)</w:t>
            </w:r>
          </w:p>
        </w:tc>
        <w:tc>
          <w:tcPr>
            <w:tcW w:w="340" w:type="dxa"/>
            <w:vAlign w:val="bottom"/>
          </w:tcPr>
          <w:p>
            <w:pPr>
              <w:spacing w:after="0"/>
              <w:rPr>
                <w:sz w:val="19"/>
                <w:szCs w:val="19"/>
                <w:color w:val="auto"/>
              </w:rPr>
            </w:pPr>
          </w:p>
        </w:tc>
        <w:tc>
          <w:tcPr>
            <w:tcW w:w="960" w:type="dxa"/>
            <w:vAlign w:val="bottom"/>
            <w:gridSpan w:val="2"/>
          </w:tcPr>
          <w:p>
            <w:pPr>
              <w:jc w:val="right"/>
              <w:ind w:right="40"/>
              <w:spacing w:after="0"/>
              <w:rPr>
                <w:sz w:val="20"/>
                <w:szCs w:val="20"/>
                <w:color w:val="auto"/>
              </w:rPr>
            </w:pPr>
            <w:r>
              <w:rPr>
                <w:rFonts w:ascii="Arial" w:cs="Arial" w:eastAsia="Arial" w:hAnsi="Arial"/>
                <w:sz w:val="18"/>
                <w:szCs w:val="18"/>
                <w:color w:val="auto"/>
              </w:rPr>
              <w:t>(9)%</w:t>
            </w:r>
          </w:p>
        </w:tc>
        <w:tc>
          <w:tcPr>
            <w:tcW w:w="0" w:type="dxa"/>
            <w:vAlign w:val="bottom"/>
          </w:tcPr>
          <w:p>
            <w:pPr>
              <w:spacing w:after="0"/>
              <w:rPr>
                <w:sz w:val="1"/>
                <w:szCs w:val="1"/>
                <w:color w:val="auto"/>
              </w:rPr>
            </w:pPr>
          </w:p>
        </w:tc>
      </w:tr>
      <w:tr>
        <w:trPr>
          <w:trHeight w:val="230"/>
        </w:trPr>
        <w:tc>
          <w:tcPr>
            <w:tcW w:w="5320" w:type="dxa"/>
            <w:vAlign w:val="bottom"/>
            <w:shd w:val="clear" w:color="auto" w:fill="CFF0FC"/>
          </w:tcPr>
          <w:p>
            <w:pPr>
              <w:ind w:left="240"/>
              <w:spacing w:after="0"/>
              <w:rPr>
                <w:sz w:val="20"/>
                <w:szCs w:val="20"/>
                <w:color w:val="auto"/>
              </w:rPr>
            </w:pPr>
            <w:r>
              <w:rPr>
                <w:rFonts w:ascii="Arial" w:cs="Arial" w:eastAsia="Arial" w:hAnsi="Arial"/>
                <w:sz w:val="18"/>
                <w:szCs w:val="18"/>
                <w:color w:val="auto"/>
              </w:rPr>
              <w:t>Trendmaker</w:t>
            </w:r>
          </w:p>
        </w:tc>
        <w:tc>
          <w:tcPr>
            <w:tcW w:w="10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896</w:t>
            </w:r>
          </w:p>
        </w:tc>
        <w:tc>
          <w:tcPr>
            <w:tcW w:w="180" w:type="dxa"/>
            <w:vAlign w:val="bottom"/>
            <w:shd w:val="clear" w:color="auto" w:fill="CFF0FC"/>
          </w:tcPr>
          <w:p>
            <w:pPr>
              <w:spacing w:after="0"/>
              <w:rPr>
                <w:sz w:val="19"/>
                <w:szCs w:val="19"/>
                <w:color w:val="auto"/>
              </w:rPr>
            </w:pPr>
          </w:p>
        </w:tc>
        <w:tc>
          <w:tcPr>
            <w:tcW w:w="320" w:type="dxa"/>
            <w:vAlign w:val="bottom"/>
            <w:shd w:val="clear" w:color="auto" w:fill="CFF0FC"/>
          </w:tcPr>
          <w:p>
            <w:pPr>
              <w:spacing w:after="0"/>
              <w:rPr>
                <w:sz w:val="19"/>
                <w:szCs w:val="19"/>
                <w:color w:val="auto"/>
              </w:rPr>
            </w:pPr>
          </w:p>
        </w:tc>
        <w:tc>
          <w:tcPr>
            <w:tcW w:w="7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669</w:t>
            </w:r>
          </w:p>
        </w:tc>
        <w:tc>
          <w:tcPr>
            <w:tcW w:w="180" w:type="dxa"/>
            <w:vAlign w:val="bottom"/>
            <w:shd w:val="clear" w:color="auto" w:fill="CFF0FC"/>
          </w:tcPr>
          <w:p>
            <w:pPr>
              <w:spacing w:after="0"/>
              <w:rPr>
                <w:sz w:val="19"/>
                <w:szCs w:val="19"/>
                <w:color w:val="auto"/>
              </w:rPr>
            </w:pPr>
          </w:p>
        </w:tc>
        <w:tc>
          <w:tcPr>
            <w:tcW w:w="10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227</w:t>
            </w:r>
          </w:p>
        </w:tc>
        <w:tc>
          <w:tcPr>
            <w:tcW w:w="180" w:type="dxa"/>
            <w:vAlign w:val="bottom"/>
            <w:shd w:val="clear" w:color="auto" w:fill="CFF0FC"/>
          </w:tcPr>
          <w:p>
            <w:pPr>
              <w:spacing w:after="0"/>
              <w:rPr>
                <w:sz w:val="19"/>
                <w:szCs w:val="19"/>
                <w:color w:val="auto"/>
              </w:rPr>
            </w:pPr>
          </w:p>
        </w:tc>
        <w:tc>
          <w:tcPr>
            <w:tcW w:w="340" w:type="dxa"/>
            <w:vAlign w:val="bottom"/>
            <w:shd w:val="clear" w:color="auto" w:fill="CFF0FC"/>
          </w:tcPr>
          <w:p>
            <w:pPr>
              <w:spacing w:after="0"/>
              <w:rPr>
                <w:sz w:val="19"/>
                <w:szCs w:val="19"/>
                <w:color w:val="auto"/>
              </w:rPr>
            </w:pPr>
          </w:p>
        </w:tc>
        <w:tc>
          <w:tcPr>
            <w:tcW w:w="960" w:type="dxa"/>
            <w:vAlign w:val="bottom"/>
            <w:gridSpan w:val="2"/>
            <w:shd w:val="clear" w:color="auto" w:fill="CFF0FC"/>
          </w:tcPr>
          <w:p>
            <w:pPr>
              <w:jc w:val="right"/>
              <w:ind w:right="100"/>
              <w:spacing w:after="0"/>
              <w:rPr>
                <w:sz w:val="20"/>
                <w:szCs w:val="20"/>
                <w:color w:val="auto"/>
              </w:rPr>
            </w:pPr>
            <w:r>
              <w:rPr>
                <w:rFonts w:ascii="Arial" w:cs="Arial" w:eastAsia="Arial" w:hAnsi="Arial"/>
                <w:sz w:val="18"/>
                <w:szCs w:val="18"/>
                <w:color w:val="auto"/>
              </w:rPr>
              <w:t>34%</w:t>
            </w:r>
          </w:p>
        </w:tc>
        <w:tc>
          <w:tcPr>
            <w:tcW w:w="0" w:type="dxa"/>
            <w:vAlign w:val="bottom"/>
          </w:tcPr>
          <w:p>
            <w:pPr>
              <w:spacing w:after="0"/>
              <w:rPr>
                <w:sz w:val="1"/>
                <w:szCs w:val="1"/>
                <w:color w:val="auto"/>
              </w:rPr>
            </w:pPr>
          </w:p>
        </w:tc>
      </w:tr>
      <w:tr>
        <w:trPr>
          <w:trHeight w:val="230"/>
        </w:trPr>
        <w:tc>
          <w:tcPr>
            <w:tcW w:w="5320" w:type="dxa"/>
            <w:vAlign w:val="bottom"/>
          </w:tcPr>
          <w:p>
            <w:pPr>
              <w:ind w:left="240"/>
              <w:spacing w:after="0"/>
              <w:rPr>
                <w:sz w:val="20"/>
                <w:szCs w:val="20"/>
                <w:color w:val="auto"/>
              </w:rPr>
            </w:pPr>
            <w:r>
              <w:rPr>
                <w:rFonts w:ascii="Arial" w:cs="Arial" w:eastAsia="Arial" w:hAnsi="Arial"/>
                <w:sz w:val="18"/>
                <w:szCs w:val="18"/>
                <w:color w:val="auto"/>
              </w:rPr>
              <w:t>TRI Pointe</w:t>
            </w:r>
          </w:p>
        </w:tc>
        <w:tc>
          <w:tcPr>
            <w:tcW w:w="1040" w:type="dxa"/>
            <w:vAlign w:val="bottom"/>
          </w:tcPr>
          <w:p>
            <w:pPr>
              <w:jc w:val="right"/>
              <w:spacing w:after="0"/>
              <w:rPr>
                <w:sz w:val="20"/>
                <w:szCs w:val="20"/>
                <w:color w:val="auto"/>
              </w:rPr>
            </w:pPr>
            <w:r>
              <w:rPr>
                <w:rFonts w:ascii="Arial" w:cs="Arial" w:eastAsia="Arial" w:hAnsi="Arial"/>
                <w:sz w:val="18"/>
                <w:szCs w:val="18"/>
                <w:color w:val="auto"/>
              </w:rPr>
              <w:t>3,067</w:t>
            </w:r>
          </w:p>
        </w:tc>
        <w:tc>
          <w:tcPr>
            <w:tcW w:w="18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90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1040" w:type="dxa"/>
            <w:vAlign w:val="bottom"/>
          </w:tcPr>
          <w:p>
            <w:pPr>
              <w:jc w:val="right"/>
              <w:spacing w:after="0"/>
              <w:rPr>
                <w:sz w:val="20"/>
                <w:szCs w:val="20"/>
                <w:color w:val="auto"/>
              </w:rPr>
            </w:pPr>
            <w:r>
              <w:rPr>
                <w:rFonts w:ascii="Arial" w:cs="Arial" w:eastAsia="Arial" w:hAnsi="Arial"/>
                <w:sz w:val="18"/>
                <w:szCs w:val="18"/>
                <w:color w:val="auto"/>
              </w:rPr>
              <w:t>3,067</w:t>
            </w:r>
          </w:p>
        </w:tc>
        <w:tc>
          <w:tcPr>
            <w:tcW w:w="18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960" w:type="dxa"/>
            <w:vAlign w:val="bottom"/>
            <w:gridSpan w:val="2"/>
          </w:tcPr>
          <w:p>
            <w:pPr>
              <w:jc w:val="right"/>
              <w:ind w:right="280"/>
              <w:spacing w:after="0"/>
              <w:rPr>
                <w:sz w:val="20"/>
                <w:szCs w:val="20"/>
                <w:color w:val="auto"/>
              </w:rPr>
            </w:pPr>
            <w:r>
              <w:rPr>
                <w:rFonts w:ascii="Arial" w:cs="Arial" w:eastAsia="Arial" w:hAnsi="Arial"/>
                <w:sz w:val="18"/>
                <w:szCs w:val="18"/>
                <w:color w:val="auto"/>
              </w:rPr>
              <w:t>N/A</w:t>
            </w:r>
          </w:p>
        </w:tc>
        <w:tc>
          <w:tcPr>
            <w:tcW w:w="0" w:type="dxa"/>
            <w:vAlign w:val="bottom"/>
          </w:tcPr>
          <w:p>
            <w:pPr>
              <w:spacing w:after="0"/>
              <w:rPr>
                <w:sz w:val="1"/>
                <w:szCs w:val="1"/>
                <w:color w:val="auto"/>
              </w:rPr>
            </w:pPr>
          </w:p>
        </w:tc>
      </w:tr>
      <w:tr>
        <w:trPr>
          <w:trHeight w:val="230"/>
        </w:trPr>
        <w:tc>
          <w:tcPr>
            <w:tcW w:w="5320" w:type="dxa"/>
            <w:vAlign w:val="bottom"/>
            <w:shd w:val="clear" w:color="auto" w:fill="CFF0FC"/>
          </w:tcPr>
          <w:p>
            <w:pPr>
              <w:ind w:left="240"/>
              <w:spacing w:after="0"/>
              <w:rPr>
                <w:sz w:val="20"/>
                <w:szCs w:val="20"/>
                <w:color w:val="auto"/>
              </w:rPr>
            </w:pPr>
            <w:r>
              <w:rPr>
                <w:rFonts w:ascii="Arial" w:cs="Arial" w:eastAsia="Arial" w:hAnsi="Arial"/>
                <w:sz w:val="18"/>
                <w:szCs w:val="18"/>
                <w:color w:val="auto"/>
              </w:rPr>
              <w:t>Winchester</w:t>
            </w:r>
          </w:p>
        </w:tc>
        <w:tc>
          <w:tcPr>
            <w:tcW w:w="10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2,337</w:t>
            </w:r>
          </w:p>
        </w:tc>
        <w:tc>
          <w:tcPr>
            <w:tcW w:w="180" w:type="dxa"/>
            <w:vAlign w:val="bottom"/>
            <w:shd w:val="clear" w:color="auto" w:fill="CFF0FC"/>
          </w:tcPr>
          <w:p>
            <w:pPr>
              <w:spacing w:after="0"/>
              <w:rPr>
                <w:sz w:val="19"/>
                <w:szCs w:val="19"/>
                <w:color w:val="auto"/>
              </w:rPr>
            </w:pPr>
          </w:p>
        </w:tc>
        <w:tc>
          <w:tcPr>
            <w:tcW w:w="320" w:type="dxa"/>
            <w:vAlign w:val="bottom"/>
            <w:shd w:val="clear" w:color="auto" w:fill="CFF0FC"/>
          </w:tcPr>
          <w:p>
            <w:pPr>
              <w:spacing w:after="0"/>
              <w:rPr>
                <w:sz w:val="19"/>
                <w:szCs w:val="19"/>
                <w:color w:val="auto"/>
              </w:rPr>
            </w:pPr>
          </w:p>
        </w:tc>
        <w:tc>
          <w:tcPr>
            <w:tcW w:w="7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2,100</w:t>
            </w:r>
          </w:p>
        </w:tc>
        <w:tc>
          <w:tcPr>
            <w:tcW w:w="180" w:type="dxa"/>
            <w:vAlign w:val="bottom"/>
            <w:shd w:val="clear" w:color="auto" w:fill="CFF0FC"/>
          </w:tcPr>
          <w:p>
            <w:pPr>
              <w:spacing w:after="0"/>
              <w:rPr>
                <w:sz w:val="19"/>
                <w:szCs w:val="19"/>
                <w:color w:val="auto"/>
              </w:rPr>
            </w:pPr>
          </w:p>
        </w:tc>
        <w:tc>
          <w:tcPr>
            <w:tcW w:w="10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237</w:t>
            </w:r>
          </w:p>
        </w:tc>
        <w:tc>
          <w:tcPr>
            <w:tcW w:w="180" w:type="dxa"/>
            <w:vAlign w:val="bottom"/>
            <w:shd w:val="clear" w:color="auto" w:fill="CFF0FC"/>
          </w:tcPr>
          <w:p>
            <w:pPr>
              <w:spacing w:after="0"/>
              <w:rPr>
                <w:sz w:val="19"/>
                <w:szCs w:val="19"/>
                <w:color w:val="auto"/>
              </w:rPr>
            </w:pPr>
          </w:p>
        </w:tc>
        <w:tc>
          <w:tcPr>
            <w:tcW w:w="340" w:type="dxa"/>
            <w:vAlign w:val="bottom"/>
            <w:shd w:val="clear" w:color="auto" w:fill="CFF0FC"/>
          </w:tcPr>
          <w:p>
            <w:pPr>
              <w:spacing w:after="0"/>
              <w:rPr>
                <w:sz w:val="19"/>
                <w:szCs w:val="19"/>
                <w:color w:val="auto"/>
              </w:rPr>
            </w:pPr>
          </w:p>
        </w:tc>
        <w:tc>
          <w:tcPr>
            <w:tcW w:w="960" w:type="dxa"/>
            <w:vAlign w:val="bottom"/>
            <w:gridSpan w:val="2"/>
            <w:shd w:val="clear" w:color="auto" w:fill="CFF0FC"/>
          </w:tcPr>
          <w:p>
            <w:pPr>
              <w:jc w:val="right"/>
              <w:ind w:right="100"/>
              <w:spacing w:after="0"/>
              <w:rPr>
                <w:sz w:val="20"/>
                <w:szCs w:val="20"/>
                <w:color w:val="auto"/>
              </w:rPr>
            </w:pPr>
            <w:r>
              <w:rPr>
                <w:rFonts w:ascii="Arial" w:cs="Arial" w:eastAsia="Arial" w:hAnsi="Arial"/>
                <w:sz w:val="18"/>
                <w:szCs w:val="18"/>
                <w:color w:val="auto"/>
              </w:rPr>
              <w:t>11%</w:t>
            </w:r>
          </w:p>
        </w:tc>
        <w:tc>
          <w:tcPr>
            <w:tcW w:w="0" w:type="dxa"/>
            <w:vAlign w:val="bottom"/>
          </w:tcPr>
          <w:p>
            <w:pPr>
              <w:spacing w:after="0"/>
              <w:rPr>
                <w:sz w:val="1"/>
                <w:szCs w:val="1"/>
                <w:color w:val="auto"/>
              </w:rPr>
            </w:pPr>
          </w:p>
        </w:tc>
      </w:tr>
      <w:tr>
        <w:trPr>
          <w:trHeight w:val="20"/>
        </w:trPr>
        <w:tc>
          <w:tcPr>
            <w:tcW w:w="5320" w:type="dxa"/>
            <w:vAlign w:val="bottom"/>
            <w:vMerge w:val="restart"/>
          </w:tcPr>
          <w:p>
            <w:pPr>
              <w:ind w:left="500"/>
              <w:spacing w:after="0"/>
              <w:rPr>
                <w:sz w:val="20"/>
                <w:szCs w:val="20"/>
                <w:color w:val="auto"/>
              </w:rPr>
            </w:pPr>
            <w:r>
              <w:rPr>
                <w:rFonts w:ascii="Arial" w:cs="Arial" w:eastAsia="Arial" w:hAnsi="Arial"/>
                <w:sz w:val="18"/>
                <w:szCs w:val="18"/>
                <w:color w:val="auto"/>
              </w:rPr>
              <w:t>Total</w:t>
            </w:r>
          </w:p>
        </w:tc>
        <w:tc>
          <w:tcPr>
            <w:tcW w:w="1040" w:type="dxa"/>
            <w:vAlign w:val="bottom"/>
            <w:shd w:val="clear" w:color="auto" w:fill="000000"/>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320" w:type="dxa"/>
            <w:vAlign w:val="bottom"/>
            <w:shd w:val="clear" w:color="auto" w:fill="000000"/>
          </w:tcPr>
          <w:p>
            <w:pPr>
              <w:spacing w:after="0" w:line="20" w:lineRule="exact"/>
              <w:rPr>
                <w:sz w:val="1"/>
                <w:szCs w:val="1"/>
                <w:color w:val="auto"/>
              </w:rPr>
            </w:pPr>
          </w:p>
        </w:tc>
        <w:tc>
          <w:tcPr>
            <w:tcW w:w="720" w:type="dxa"/>
            <w:vAlign w:val="bottom"/>
            <w:shd w:val="clear" w:color="auto" w:fill="000000"/>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40" w:type="dxa"/>
            <w:vAlign w:val="bottom"/>
            <w:shd w:val="clear" w:color="auto" w:fill="000000"/>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340" w:type="dxa"/>
            <w:vAlign w:val="bottom"/>
            <w:shd w:val="clear" w:color="auto" w:fill="000000"/>
          </w:tcPr>
          <w:p>
            <w:pPr>
              <w:spacing w:after="0" w:line="20" w:lineRule="exact"/>
              <w:rPr>
                <w:sz w:val="1"/>
                <w:szCs w:val="1"/>
                <w:color w:val="auto"/>
              </w:rPr>
            </w:pPr>
          </w:p>
        </w:tc>
        <w:tc>
          <w:tcPr>
            <w:tcW w:w="700" w:type="dxa"/>
            <w:vAlign w:val="bottom"/>
            <w:shd w:val="clear" w:color="auto" w:fill="000000"/>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3"/>
        </w:trPr>
        <w:tc>
          <w:tcPr>
            <w:tcW w:w="5320" w:type="dxa"/>
            <w:vAlign w:val="bottom"/>
            <w:vMerge w:val="continue"/>
          </w:tcPr>
          <w:p>
            <w:pPr>
              <w:spacing w:after="0"/>
              <w:rPr>
                <w:sz w:val="19"/>
                <w:szCs w:val="19"/>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25,750</w:t>
            </w:r>
          </w:p>
        </w:tc>
        <w:tc>
          <w:tcPr>
            <w:tcW w:w="18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720" w:type="dxa"/>
            <w:vAlign w:val="bottom"/>
          </w:tcPr>
          <w:p>
            <w:pPr>
              <w:jc w:val="right"/>
              <w:spacing w:after="0"/>
              <w:rPr>
                <w:sz w:val="20"/>
                <w:szCs w:val="20"/>
                <w:color w:val="auto"/>
              </w:rPr>
            </w:pPr>
            <w:r>
              <w:rPr>
                <w:rFonts w:ascii="Arial" w:cs="Arial" w:eastAsia="Arial" w:hAnsi="Arial"/>
                <w:sz w:val="18"/>
                <w:szCs w:val="18"/>
                <w:color w:val="auto"/>
              </w:rPr>
              <w:t>23,041</w:t>
            </w:r>
          </w:p>
        </w:tc>
        <w:tc>
          <w:tcPr>
            <w:tcW w:w="180" w:type="dxa"/>
            <w:vAlign w:val="bottom"/>
          </w:tcPr>
          <w:p>
            <w:pPr>
              <w:spacing w:after="0"/>
              <w:rPr>
                <w:sz w:val="19"/>
                <w:szCs w:val="19"/>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2,709</w:t>
            </w:r>
          </w:p>
        </w:tc>
        <w:tc>
          <w:tcPr>
            <w:tcW w:w="18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960" w:type="dxa"/>
            <w:vAlign w:val="bottom"/>
            <w:gridSpan w:val="2"/>
          </w:tcPr>
          <w:p>
            <w:pPr>
              <w:jc w:val="right"/>
              <w:ind w:right="100"/>
              <w:spacing w:after="0"/>
              <w:rPr>
                <w:sz w:val="20"/>
                <w:szCs w:val="20"/>
                <w:color w:val="auto"/>
              </w:rPr>
            </w:pPr>
            <w:r>
              <w:rPr>
                <w:rFonts w:ascii="Arial" w:cs="Arial" w:eastAsia="Arial" w:hAnsi="Arial"/>
                <w:sz w:val="18"/>
                <w:szCs w:val="18"/>
                <w:color w:val="auto"/>
              </w:rPr>
              <w:t>12%</w:t>
            </w:r>
          </w:p>
        </w:tc>
        <w:tc>
          <w:tcPr>
            <w:tcW w:w="0" w:type="dxa"/>
            <w:vAlign w:val="bottom"/>
          </w:tcPr>
          <w:p>
            <w:pPr>
              <w:spacing w:after="0"/>
              <w:rPr>
                <w:sz w:val="1"/>
                <w:szCs w:val="1"/>
                <w:color w:val="auto"/>
              </w:rPr>
            </w:pPr>
          </w:p>
        </w:tc>
      </w:tr>
      <w:tr>
        <w:trPr>
          <w:trHeight w:val="223"/>
        </w:trPr>
        <w:tc>
          <w:tcPr>
            <w:tcW w:w="5320" w:type="dxa"/>
            <w:vAlign w:val="bottom"/>
            <w:tcBorders>
              <w:top w:val="single" w:sz="8" w:color="CFF0FC"/>
            </w:tcBorders>
            <w:shd w:val="clear" w:color="auto" w:fill="CFF0FC"/>
          </w:tcPr>
          <w:p>
            <w:pPr>
              <w:spacing w:after="0"/>
              <w:rPr>
                <w:sz w:val="20"/>
                <w:szCs w:val="20"/>
                <w:color w:val="auto"/>
              </w:rPr>
            </w:pPr>
            <w:r>
              <w:rPr>
                <w:rFonts w:ascii="Arial" w:cs="Arial" w:eastAsia="Arial" w:hAnsi="Arial"/>
                <w:sz w:val="18"/>
                <w:szCs w:val="18"/>
                <w:b w:val="1"/>
                <w:bCs w:val="1"/>
                <w:color w:val="auto"/>
              </w:rPr>
              <w:t>Lots Controlled</w:t>
            </w:r>
            <w:r>
              <w:rPr>
                <w:rFonts w:ascii="Arial" w:cs="Arial" w:eastAsia="Arial" w:hAnsi="Arial"/>
                <w:sz w:val="15"/>
                <w:szCs w:val="15"/>
                <w:b w:val="1"/>
                <w:bCs w:val="1"/>
                <w:color w:val="auto"/>
              </w:rPr>
              <w:t>(1)</w:t>
            </w:r>
          </w:p>
        </w:tc>
        <w:tc>
          <w:tcPr>
            <w:tcW w:w="1040" w:type="dxa"/>
            <w:vAlign w:val="bottom"/>
            <w:tcBorders>
              <w:top w:val="single" w:sz="8" w:color="auto"/>
            </w:tcBorders>
            <w:shd w:val="clear" w:color="auto" w:fill="CFF0FC"/>
          </w:tcPr>
          <w:p>
            <w:pPr>
              <w:spacing w:after="0"/>
              <w:rPr>
                <w:sz w:val="19"/>
                <w:szCs w:val="19"/>
                <w:color w:val="auto"/>
              </w:rPr>
            </w:pPr>
          </w:p>
        </w:tc>
        <w:tc>
          <w:tcPr>
            <w:tcW w:w="180" w:type="dxa"/>
            <w:vAlign w:val="bottom"/>
            <w:tcBorders>
              <w:top w:val="single" w:sz="8" w:color="CFF0FC"/>
            </w:tcBorders>
            <w:shd w:val="clear" w:color="auto" w:fill="CFF0FC"/>
          </w:tcPr>
          <w:p>
            <w:pPr>
              <w:spacing w:after="0"/>
              <w:rPr>
                <w:sz w:val="19"/>
                <w:szCs w:val="19"/>
                <w:color w:val="auto"/>
              </w:rPr>
            </w:pPr>
          </w:p>
        </w:tc>
        <w:tc>
          <w:tcPr>
            <w:tcW w:w="320" w:type="dxa"/>
            <w:vAlign w:val="bottom"/>
            <w:tcBorders>
              <w:top w:val="single" w:sz="8" w:color="auto"/>
            </w:tcBorders>
            <w:shd w:val="clear" w:color="auto" w:fill="CFF0FC"/>
          </w:tcPr>
          <w:p>
            <w:pPr>
              <w:spacing w:after="0"/>
              <w:rPr>
                <w:sz w:val="19"/>
                <w:szCs w:val="19"/>
                <w:color w:val="auto"/>
              </w:rPr>
            </w:pPr>
          </w:p>
        </w:tc>
        <w:tc>
          <w:tcPr>
            <w:tcW w:w="720" w:type="dxa"/>
            <w:vAlign w:val="bottom"/>
            <w:tcBorders>
              <w:top w:val="single" w:sz="8" w:color="auto"/>
            </w:tcBorders>
            <w:shd w:val="clear" w:color="auto" w:fill="CFF0FC"/>
          </w:tcPr>
          <w:p>
            <w:pPr>
              <w:spacing w:after="0"/>
              <w:rPr>
                <w:sz w:val="19"/>
                <w:szCs w:val="19"/>
                <w:color w:val="auto"/>
              </w:rPr>
            </w:pPr>
          </w:p>
        </w:tc>
        <w:tc>
          <w:tcPr>
            <w:tcW w:w="180" w:type="dxa"/>
            <w:vAlign w:val="bottom"/>
            <w:tcBorders>
              <w:top w:val="single" w:sz="8" w:color="CFF0FC"/>
            </w:tcBorders>
            <w:shd w:val="clear" w:color="auto" w:fill="CFF0FC"/>
          </w:tcPr>
          <w:p>
            <w:pPr>
              <w:spacing w:after="0"/>
              <w:rPr>
                <w:sz w:val="19"/>
                <w:szCs w:val="19"/>
                <w:color w:val="auto"/>
              </w:rPr>
            </w:pPr>
          </w:p>
        </w:tc>
        <w:tc>
          <w:tcPr>
            <w:tcW w:w="1040" w:type="dxa"/>
            <w:vAlign w:val="bottom"/>
            <w:tcBorders>
              <w:top w:val="single" w:sz="8" w:color="auto"/>
            </w:tcBorders>
            <w:shd w:val="clear" w:color="auto" w:fill="CFF0FC"/>
          </w:tcPr>
          <w:p>
            <w:pPr>
              <w:spacing w:after="0"/>
              <w:rPr>
                <w:sz w:val="19"/>
                <w:szCs w:val="19"/>
                <w:color w:val="auto"/>
              </w:rPr>
            </w:pPr>
          </w:p>
        </w:tc>
        <w:tc>
          <w:tcPr>
            <w:tcW w:w="180" w:type="dxa"/>
            <w:vAlign w:val="bottom"/>
            <w:tcBorders>
              <w:top w:val="single" w:sz="8" w:color="CFF0FC"/>
            </w:tcBorders>
            <w:shd w:val="clear" w:color="auto" w:fill="CFF0FC"/>
          </w:tcPr>
          <w:p>
            <w:pPr>
              <w:spacing w:after="0"/>
              <w:rPr>
                <w:sz w:val="19"/>
                <w:szCs w:val="19"/>
                <w:color w:val="auto"/>
              </w:rPr>
            </w:pPr>
          </w:p>
        </w:tc>
        <w:tc>
          <w:tcPr>
            <w:tcW w:w="340" w:type="dxa"/>
            <w:vAlign w:val="bottom"/>
            <w:tcBorders>
              <w:top w:val="single" w:sz="8" w:color="auto"/>
            </w:tcBorders>
            <w:shd w:val="clear" w:color="auto" w:fill="CFF0FC"/>
          </w:tcPr>
          <w:p>
            <w:pPr>
              <w:spacing w:after="0"/>
              <w:rPr>
                <w:sz w:val="19"/>
                <w:szCs w:val="19"/>
                <w:color w:val="auto"/>
              </w:rPr>
            </w:pPr>
          </w:p>
        </w:tc>
        <w:tc>
          <w:tcPr>
            <w:tcW w:w="700" w:type="dxa"/>
            <w:vAlign w:val="bottom"/>
            <w:tcBorders>
              <w:top w:val="single" w:sz="8" w:color="auto"/>
            </w:tcBorders>
            <w:shd w:val="clear" w:color="auto" w:fill="CFF0FC"/>
          </w:tcPr>
          <w:p>
            <w:pPr>
              <w:spacing w:after="0"/>
              <w:rPr>
                <w:sz w:val="19"/>
                <w:szCs w:val="19"/>
                <w:color w:val="auto"/>
              </w:rPr>
            </w:pPr>
          </w:p>
        </w:tc>
        <w:tc>
          <w:tcPr>
            <w:tcW w:w="260" w:type="dxa"/>
            <w:vAlign w:val="bottom"/>
            <w:tcBorders>
              <w:top w:val="single" w:sz="8" w:color="CFF0FC"/>
            </w:tcBorders>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5320" w:type="dxa"/>
            <w:vAlign w:val="bottom"/>
          </w:tcPr>
          <w:p>
            <w:pPr>
              <w:ind w:left="240"/>
              <w:spacing w:after="0"/>
              <w:rPr>
                <w:sz w:val="20"/>
                <w:szCs w:val="20"/>
                <w:color w:val="auto"/>
              </w:rPr>
            </w:pPr>
            <w:r>
              <w:rPr>
                <w:rFonts w:ascii="Arial" w:cs="Arial" w:eastAsia="Arial" w:hAnsi="Arial"/>
                <w:sz w:val="18"/>
                <w:szCs w:val="18"/>
                <w:color w:val="auto"/>
              </w:rPr>
              <w:t>Maracay</w:t>
            </w:r>
          </w:p>
        </w:tc>
        <w:tc>
          <w:tcPr>
            <w:tcW w:w="1040" w:type="dxa"/>
            <w:vAlign w:val="bottom"/>
          </w:tcPr>
          <w:p>
            <w:pPr>
              <w:jc w:val="right"/>
              <w:spacing w:after="0"/>
              <w:rPr>
                <w:sz w:val="20"/>
                <w:szCs w:val="20"/>
                <w:color w:val="auto"/>
              </w:rPr>
            </w:pPr>
            <w:r>
              <w:rPr>
                <w:rFonts w:ascii="Arial" w:cs="Arial" w:eastAsia="Arial" w:hAnsi="Arial"/>
                <w:sz w:val="18"/>
                <w:szCs w:val="18"/>
                <w:color w:val="auto"/>
              </w:rPr>
              <w:t>937</w:t>
            </w:r>
          </w:p>
        </w:tc>
        <w:tc>
          <w:tcPr>
            <w:tcW w:w="18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720" w:type="dxa"/>
            <w:vAlign w:val="bottom"/>
          </w:tcPr>
          <w:p>
            <w:pPr>
              <w:jc w:val="right"/>
              <w:spacing w:after="0"/>
              <w:rPr>
                <w:sz w:val="20"/>
                <w:szCs w:val="20"/>
                <w:color w:val="auto"/>
              </w:rPr>
            </w:pPr>
            <w:r>
              <w:rPr>
                <w:rFonts w:ascii="Arial" w:cs="Arial" w:eastAsia="Arial" w:hAnsi="Arial"/>
                <w:sz w:val="18"/>
                <w:szCs w:val="18"/>
                <w:color w:val="auto"/>
              </w:rPr>
              <w:t>1,232</w:t>
            </w:r>
          </w:p>
        </w:tc>
        <w:tc>
          <w:tcPr>
            <w:tcW w:w="180" w:type="dxa"/>
            <w:vAlign w:val="bottom"/>
          </w:tcPr>
          <w:p>
            <w:pPr>
              <w:spacing w:after="0"/>
              <w:rPr>
                <w:sz w:val="19"/>
                <w:szCs w:val="19"/>
                <w:color w:val="auto"/>
              </w:rPr>
            </w:pPr>
          </w:p>
        </w:tc>
        <w:tc>
          <w:tcPr>
            <w:tcW w:w="1220" w:type="dxa"/>
            <w:vAlign w:val="bottom"/>
            <w:gridSpan w:val="2"/>
          </w:tcPr>
          <w:p>
            <w:pPr>
              <w:jc w:val="right"/>
              <w:ind w:right="120"/>
              <w:spacing w:after="0"/>
              <w:rPr>
                <w:sz w:val="20"/>
                <w:szCs w:val="20"/>
                <w:color w:val="auto"/>
              </w:rPr>
            </w:pPr>
            <w:r>
              <w:rPr>
                <w:rFonts w:ascii="Arial" w:cs="Arial" w:eastAsia="Arial" w:hAnsi="Arial"/>
                <w:sz w:val="18"/>
                <w:szCs w:val="18"/>
                <w:color w:val="auto"/>
              </w:rPr>
              <w:t>(295)</w:t>
            </w:r>
          </w:p>
        </w:tc>
        <w:tc>
          <w:tcPr>
            <w:tcW w:w="340" w:type="dxa"/>
            <w:vAlign w:val="bottom"/>
          </w:tcPr>
          <w:p>
            <w:pPr>
              <w:spacing w:after="0"/>
              <w:rPr>
                <w:sz w:val="19"/>
                <w:szCs w:val="19"/>
                <w:color w:val="auto"/>
              </w:rPr>
            </w:pPr>
          </w:p>
        </w:tc>
        <w:tc>
          <w:tcPr>
            <w:tcW w:w="960" w:type="dxa"/>
            <w:vAlign w:val="bottom"/>
            <w:gridSpan w:val="2"/>
          </w:tcPr>
          <w:p>
            <w:pPr>
              <w:jc w:val="right"/>
              <w:ind w:right="40"/>
              <w:spacing w:after="0"/>
              <w:rPr>
                <w:sz w:val="20"/>
                <w:szCs w:val="20"/>
                <w:color w:val="auto"/>
              </w:rPr>
            </w:pPr>
            <w:r>
              <w:rPr>
                <w:rFonts w:ascii="Arial" w:cs="Arial" w:eastAsia="Arial" w:hAnsi="Arial"/>
                <w:sz w:val="18"/>
                <w:szCs w:val="18"/>
                <w:color w:val="auto"/>
              </w:rPr>
              <w:t>(24)%</w:t>
            </w:r>
          </w:p>
        </w:tc>
        <w:tc>
          <w:tcPr>
            <w:tcW w:w="0" w:type="dxa"/>
            <w:vAlign w:val="bottom"/>
          </w:tcPr>
          <w:p>
            <w:pPr>
              <w:spacing w:after="0"/>
              <w:rPr>
                <w:sz w:val="1"/>
                <w:szCs w:val="1"/>
                <w:color w:val="auto"/>
              </w:rPr>
            </w:pPr>
          </w:p>
        </w:tc>
      </w:tr>
      <w:tr>
        <w:trPr>
          <w:trHeight w:val="230"/>
        </w:trPr>
        <w:tc>
          <w:tcPr>
            <w:tcW w:w="5320" w:type="dxa"/>
            <w:vAlign w:val="bottom"/>
            <w:shd w:val="clear" w:color="auto" w:fill="CFF0FC"/>
          </w:tcPr>
          <w:p>
            <w:pPr>
              <w:ind w:left="240"/>
              <w:spacing w:after="0"/>
              <w:rPr>
                <w:sz w:val="20"/>
                <w:szCs w:val="20"/>
                <w:color w:val="auto"/>
              </w:rPr>
            </w:pPr>
            <w:r>
              <w:rPr>
                <w:rFonts w:ascii="Arial" w:cs="Arial" w:eastAsia="Arial" w:hAnsi="Arial"/>
                <w:sz w:val="18"/>
                <w:szCs w:val="18"/>
                <w:color w:val="auto"/>
              </w:rPr>
              <w:t>Pardee</w:t>
            </w:r>
            <w:r>
              <w:rPr>
                <w:rFonts w:ascii="Arial" w:cs="Arial" w:eastAsia="Arial" w:hAnsi="Arial"/>
                <w:sz w:val="15"/>
                <w:szCs w:val="15"/>
                <w:color w:val="auto"/>
              </w:rPr>
              <w:t>(2)</w:t>
            </w:r>
          </w:p>
        </w:tc>
        <w:tc>
          <w:tcPr>
            <w:tcW w:w="10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34</w:t>
            </w:r>
          </w:p>
        </w:tc>
        <w:tc>
          <w:tcPr>
            <w:tcW w:w="180" w:type="dxa"/>
            <w:vAlign w:val="bottom"/>
            <w:shd w:val="clear" w:color="auto" w:fill="CFF0FC"/>
          </w:tcPr>
          <w:p>
            <w:pPr>
              <w:spacing w:after="0"/>
              <w:rPr>
                <w:sz w:val="19"/>
                <w:szCs w:val="19"/>
                <w:color w:val="auto"/>
              </w:rPr>
            </w:pPr>
          </w:p>
        </w:tc>
        <w:tc>
          <w:tcPr>
            <w:tcW w:w="320" w:type="dxa"/>
            <w:vAlign w:val="bottom"/>
            <w:shd w:val="clear" w:color="auto" w:fill="CFF0FC"/>
          </w:tcPr>
          <w:p>
            <w:pPr>
              <w:spacing w:after="0"/>
              <w:rPr>
                <w:sz w:val="19"/>
                <w:szCs w:val="19"/>
                <w:color w:val="auto"/>
              </w:rPr>
            </w:pPr>
          </w:p>
        </w:tc>
        <w:tc>
          <w:tcPr>
            <w:tcW w:w="7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586</w:t>
            </w:r>
          </w:p>
        </w:tc>
        <w:tc>
          <w:tcPr>
            <w:tcW w:w="180" w:type="dxa"/>
            <w:vAlign w:val="bottom"/>
            <w:shd w:val="clear" w:color="auto" w:fill="CFF0FC"/>
          </w:tcPr>
          <w:p>
            <w:pPr>
              <w:spacing w:after="0"/>
              <w:rPr>
                <w:sz w:val="19"/>
                <w:szCs w:val="19"/>
                <w:color w:val="auto"/>
              </w:rPr>
            </w:pPr>
          </w:p>
        </w:tc>
        <w:tc>
          <w:tcPr>
            <w:tcW w:w="1220" w:type="dxa"/>
            <w:vAlign w:val="bottom"/>
            <w:gridSpan w:val="2"/>
            <w:shd w:val="clear" w:color="auto" w:fill="CFF0FC"/>
          </w:tcPr>
          <w:p>
            <w:pPr>
              <w:jc w:val="right"/>
              <w:ind w:right="120"/>
              <w:spacing w:after="0"/>
              <w:rPr>
                <w:sz w:val="20"/>
                <w:szCs w:val="20"/>
                <w:color w:val="auto"/>
              </w:rPr>
            </w:pPr>
            <w:r>
              <w:rPr>
                <w:rFonts w:ascii="Arial" w:cs="Arial" w:eastAsia="Arial" w:hAnsi="Arial"/>
                <w:sz w:val="18"/>
                <w:szCs w:val="18"/>
                <w:color w:val="auto"/>
              </w:rPr>
              <w:t>(552)</w:t>
            </w:r>
          </w:p>
        </w:tc>
        <w:tc>
          <w:tcPr>
            <w:tcW w:w="340" w:type="dxa"/>
            <w:vAlign w:val="bottom"/>
            <w:shd w:val="clear" w:color="auto" w:fill="CFF0FC"/>
          </w:tcPr>
          <w:p>
            <w:pPr>
              <w:spacing w:after="0"/>
              <w:rPr>
                <w:sz w:val="19"/>
                <w:szCs w:val="19"/>
                <w:color w:val="auto"/>
              </w:rPr>
            </w:pPr>
          </w:p>
        </w:tc>
        <w:tc>
          <w:tcPr>
            <w:tcW w:w="960" w:type="dxa"/>
            <w:vAlign w:val="bottom"/>
            <w:gridSpan w:val="2"/>
            <w:shd w:val="clear" w:color="auto" w:fill="CFF0FC"/>
          </w:tcPr>
          <w:p>
            <w:pPr>
              <w:jc w:val="right"/>
              <w:ind w:right="40"/>
              <w:spacing w:after="0"/>
              <w:rPr>
                <w:sz w:val="20"/>
                <w:szCs w:val="20"/>
                <w:color w:val="auto"/>
              </w:rPr>
            </w:pPr>
            <w:r>
              <w:rPr>
                <w:rFonts w:ascii="Arial" w:cs="Arial" w:eastAsia="Arial" w:hAnsi="Arial"/>
                <w:sz w:val="18"/>
                <w:szCs w:val="18"/>
                <w:color w:val="auto"/>
              </w:rPr>
              <w:t>(94)%</w:t>
            </w:r>
          </w:p>
        </w:tc>
        <w:tc>
          <w:tcPr>
            <w:tcW w:w="0" w:type="dxa"/>
            <w:vAlign w:val="bottom"/>
          </w:tcPr>
          <w:p>
            <w:pPr>
              <w:spacing w:after="0"/>
              <w:rPr>
                <w:sz w:val="1"/>
                <w:szCs w:val="1"/>
                <w:color w:val="auto"/>
              </w:rPr>
            </w:pPr>
          </w:p>
        </w:tc>
      </w:tr>
      <w:tr>
        <w:trPr>
          <w:trHeight w:val="230"/>
        </w:trPr>
        <w:tc>
          <w:tcPr>
            <w:tcW w:w="5320" w:type="dxa"/>
            <w:vAlign w:val="bottom"/>
          </w:tcPr>
          <w:p>
            <w:pPr>
              <w:ind w:left="240"/>
              <w:spacing w:after="0"/>
              <w:rPr>
                <w:sz w:val="20"/>
                <w:szCs w:val="20"/>
                <w:color w:val="auto"/>
              </w:rPr>
            </w:pPr>
            <w:r>
              <w:rPr>
                <w:rFonts w:ascii="Arial" w:cs="Arial" w:eastAsia="Arial" w:hAnsi="Arial"/>
                <w:sz w:val="18"/>
                <w:szCs w:val="18"/>
                <w:color w:val="auto"/>
              </w:rPr>
              <w:t>Quadrant</w:t>
            </w:r>
          </w:p>
        </w:tc>
        <w:tc>
          <w:tcPr>
            <w:tcW w:w="1040" w:type="dxa"/>
            <w:vAlign w:val="bottom"/>
          </w:tcPr>
          <w:p>
            <w:pPr>
              <w:jc w:val="right"/>
              <w:spacing w:after="0"/>
              <w:rPr>
                <w:sz w:val="20"/>
                <w:szCs w:val="20"/>
                <w:color w:val="auto"/>
              </w:rPr>
            </w:pPr>
            <w:r>
              <w:rPr>
                <w:rFonts w:ascii="Arial" w:cs="Arial" w:eastAsia="Arial" w:hAnsi="Arial"/>
                <w:sz w:val="18"/>
                <w:szCs w:val="18"/>
                <w:color w:val="auto"/>
              </w:rPr>
              <w:t>559</w:t>
            </w:r>
          </w:p>
        </w:tc>
        <w:tc>
          <w:tcPr>
            <w:tcW w:w="18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720" w:type="dxa"/>
            <w:vAlign w:val="bottom"/>
          </w:tcPr>
          <w:p>
            <w:pPr>
              <w:jc w:val="right"/>
              <w:spacing w:after="0"/>
              <w:rPr>
                <w:sz w:val="20"/>
                <w:szCs w:val="20"/>
                <w:color w:val="auto"/>
              </w:rPr>
            </w:pPr>
            <w:r>
              <w:rPr>
                <w:rFonts w:ascii="Arial" w:cs="Arial" w:eastAsia="Arial" w:hAnsi="Arial"/>
                <w:sz w:val="18"/>
                <w:szCs w:val="18"/>
                <w:color w:val="auto"/>
              </w:rPr>
              <w:t>316</w:t>
            </w:r>
          </w:p>
        </w:tc>
        <w:tc>
          <w:tcPr>
            <w:tcW w:w="180" w:type="dxa"/>
            <w:vAlign w:val="bottom"/>
          </w:tcPr>
          <w:p>
            <w:pPr>
              <w:spacing w:after="0"/>
              <w:rPr>
                <w:sz w:val="19"/>
                <w:szCs w:val="19"/>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243</w:t>
            </w:r>
          </w:p>
        </w:tc>
        <w:tc>
          <w:tcPr>
            <w:tcW w:w="18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960" w:type="dxa"/>
            <w:vAlign w:val="bottom"/>
            <w:gridSpan w:val="2"/>
          </w:tcPr>
          <w:p>
            <w:pPr>
              <w:jc w:val="right"/>
              <w:ind w:right="100"/>
              <w:spacing w:after="0"/>
              <w:rPr>
                <w:sz w:val="20"/>
                <w:szCs w:val="20"/>
                <w:color w:val="auto"/>
              </w:rPr>
            </w:pPr>
            <w:r>
              <w:rPr>
                <w:rFonts w:ascii="Arial" w:cs="Arial" w:eastAsia="Arial" w:hAnsi="Arial"/>
                <w:sz w:val="18"/>
                <w:szCs w:val="18"/>
                <w:color w:val="auto"/>
              </w:rPr>
              <w:t>77%</w:t>
            </w:r>
          </w:p>
        </w:tc>
        <w:tc>
          <w:tcPr>
            <w:tcW w:w="0" w:type="dxa"/>
            <w:vAlign w:val="bottom"/>
          </w:tcPr>
          <w:p>
            <w:pPr>
              <w:spacing w:after="0"/>
              <w:rPr>
                <w:sz w:val="1"/>
                <w:szCs w:val="1"/>
                <w:color w:val="auto"/>
              </w:rPr>
            </w:pPr>
          </w:p>
        </w:tc>
      </w:tr>
      <w:tr>
        <w:trPr>
          <w:trHeight w:val="230"/>
        </w:trPr>
        <w:tc>
          <w:tcPr>
            <w:tcW w:w="5320" w:type="dxa"/>
            <w:vAlign w:val="bottom"/>
            <w:shd w:val="clear" w:color="auto" w:fill="CFF0FC"/>
          </w:tcPr>
          <w:p>
            <w:pPr>
              <w:ind w:left="240"/>
              <w:spacing w:after="0"/>
              <w:rPr>
                <w:sz w:val="20"/>
                <w:szCs w:val="20"/>
                <w:color w:val="auto"/>
              </w:rPr>
            </w:pPr>
            <w:r>
              <w:rPr>
                <w:rFonts w:ascii="Arial" w:cs="Arial" w:eastAsia="Arial" w:hAnsi="Arial"/>
                <w:sz w:val="18"/>
                <w:szCs w:val="18"/>
                <w:color w:val="auto"/>
              </w:rPr>
              <w:t>Trendmaker</w:t>
            </w:r>
          </w:p>
        </w:tc>
        <w:tc>
          <w:tcPr>
            <w:tcW w:w="10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1,084</w:t>
            </w:r>
          </w:p>
        </w:tc>
        <w:tc>
          <w:tcPr>
            <w:tcW w:w="180" w:type="dxa"/>
            <w:vAlign w:val="bottom"/>
            <w:shd w:val="clear" w:color="auto" w:fill="CFF0FC"/>
          </w:tcPr>
          <w:p>
            <w:pPr>
              <w:spacing w:after="0"/>
              <w:rPr>
                <w:sz w:val="19"/>
                <w:szCs w:val="19"/>
                <w:color w:val="auto"/>
              </w:rPr>
            </w:pPr>
          </w:p>
        </w:tc>
        <w:tc>
          <w:tcPr>
            <w:tcW w:w="320" w:type="dxa"/>
            <w:vAlign w:val="bottom"/>
            <w:shd w:val="clear" w:color="auto" w:fill="CFF0FC"/>
          </w:tcPr>
          <w:p>
            <w:pPr>
              <w:spacing w:after="0"/>
              <w:rPr>
                <w:sz w:val="19"/>
                <w:szCs w:val="19"/>
                <w:color w:val="auto"/>
              </w:rPr>
            </w:pPr>
          </w:p>
        </w:tc>
        <w:tc>
          <w:tcPr>
            <w:tcW w:w="7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1,183</w:t>
            </w:r>
          </w:p>
        </w:tc>
        <w:tc>
          <w:tcPr>
            <w:tcW w:w="180" w:type="dxa"/>
            <w:vAlign w:val="bottom"/>
            <w:shd w:val="clear" w:color="auto" w:fill="CFF0FC"/>
          </w:tcPr>
          <w:p>
            <w:pPr>
              <w:spacing w:after="0"/>
              <w:rPr>
                <w:sz w:val="19"/>
                <w:szCs w:val="19"/>
                <w:color w:val="auto"/>
              </w:rPr>
            </w:pPr>
          </w:p>
        </w:tc>
        <w:tc>
          <w:tcPr>
            <w:tcW w:w="1220" w:type="dxa"/>
            <w:vAlign w:val="bottom"/>
            <w:gridSpan w:val="2"/>
            <w:shd w:val="clear" w:color="auto" w:fill="CFF0FC"/>
          </w:tcPr>
          <w:p>
            <w:pPr>
              <w:jc w:val="right"/>
              <w:ind w:right="120"/>
              <w:spacing w:after="0"/>
              <w:rPr>
                <w:sz w:val="20"/>
                <w:szCs w:val="20"/>
                <w:color w:val="auto"/>
              </w:rPr>
            </w:pPr>
            <w:r>
              <w:rPr>
                <w:rFonts w:ascii="Arial" w:cs="Arial" w:eastAsia="Arial" w:hAnsi="Arial"/>
                <w:sz w:val="18"/>
                <w:szCs w:val="18"/>
                <w:color w:val="auto"/>
              </w:rPr>
              <w:t>(99)</w:t>
            </w:r>
          </w:p>
        </w:tc>
        <w:tc>
          <w:tcPr>
            <w:tcW w:w="340" w:type="dxa"/>
            <w:vAlign w:val="bottom"/>
            <w:shd w:val="clear" w:color="auto" w:fill="CFF0FC"/>
          </w:tcPr>
          <w:p>
            <w:pPr>
              <w:spacing w:after="0"/>
              <w:rPr>
                <w:sz w:val="19"/>
                <w:szCs w:val="19"/>
                <w:color w:val="auto"/>
              </w:rPr>
            </w:pPr>
          </w:p>
        </w:tc>
        <w:tc>
          <w:tcPr>
            <w:tcW w:w="960" w:type="dxa"/>
            <w:vAlign w:val="bottom"/>
            <w:gridSpan w:val="2"/>
            <w:shd w:val="clear" w:color="auto" w:fill="CFF0FC"/>
          </w:tcPr>
          <w:p>
            <w:pPr>
              <w:jc w:val="right"/>
              <w:ind w:right="40"/>
              <w:spacing w:after="0"/>
              <w:rPr>
                <w:sz w:val="20"/>
                <w:szCs w:val="20"/>
                <w:color w:val="auto"/>
              </w:rPr>
            </w:pPr>
            <w:r>
              <w:rPr>
                <w:rFonts w:ascii="Arial" w:cs="Arial" w:eastAsia="Arial" w:hAnsi="Arial"/>
                <w:sz w:val="18"/>
                <w:szCs w:val="18"/>
                <w:color w:val="auto"/>
              </w:rPr>
              <w:t>(8)%</w:t>
            </w:r>
          </w:p>
        </w:tc>
        <w:tc>
          <w:tcPr>
            <w:tcW w:w="0" w:type="dxa"/>
            <w:vAlign w:val="bottom"/>
          </w:tcPr>
          <w:p>
            <w:pPr>
              <w:spacing w:after="0"/>
              <w:rPr>
                <w:sz w:val="1"/>
                <w:szCs w:val="1"/>
                <w:color w:val="auto"/>
              </w:rPr>
            </w:pPr>
          </w:p>
        </w:tc>
      </w:tr>
      <w:tr>
        <w:trPr>
          <w:trHeight w:val="230"/>
        </w:trPr>
        <w:tc>
          <w:tcPr>
            <w:tcW w:w="5320" w:type="dxa"/>
            <w:vAlign w:val="bottom"/>
          </w:tcPr>
          <w:p>
            <w:pPr>
              <w:ind w:left="240"/>
              <w:spacing w:after="0"/>
              <w:rPr>
                <w:sz w:val="20"/>
                <w:szCs w:val="20"/>
                <w:color w:val="auto"/>
              </w:rPr>
            </w:pPr>
            <w:r>
              <w:rPr>
                <w:rFonts w:ascii="Arial" w:cs="Arial" w:eastAsia="Arial" w:hAnsi="Arial"/>
                <w:sz w:val="18"/>
                <w:szCs w:val="18"/>
                <w:color w:val="auto"/>
              </w:rPr>
              <w:t>TRI Pointe</w:t>
            </w:r>
          </w:p>
        </w:tc>
        <w:tc>
          <w:tcPr>
            <w:tcW w:w="1040" w:type="dxa"/>
            <w:vAlign w:val="bottom"/>
          </w:tcPr>
          <w:p>
            <w:pPr>
              <w:jc w:val="right"/>
              <w:spacing w:after="0"/>
              <w:rPr>
                <w:sz w:val="20"/>
                <w:szCs w:val="20"/>
                <w:color w:val="auto"/>
              </w:rPr>
            </w:pPr>
            <w:r>
              <w:rPr>
                <w:rFonts w:ascii="Arial" w:cs="Arial" w:eastAsia="Arial" w:hAnsi="Arial"/>
                <w:sz w:val="18"/>
                <w:szCs w:val="18"/>
                <w:color w:val="auto"/>
              </w:rPr>
              <w:t>616</w:t>
            </w:r>
          </w:p>
        </w:tc>
        <w:tc>
          <w:tcPr>
            <w:tcW w:w="18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90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1040" w:type="dxa"/>
            <w:vAlign w:val="bottom"/>
          </w:tcPr>
          <w:p>
            <w:pPr>
              <w:jc w:val="right"/>
              <w:spacing w:after="0"/>
              <w:rPr>
                <w:sz w:val="20"/>
                <w:szCs w:val="20"/>
                <w:color w:val="auto"/>
              </w:rPr>
            </w:pPr>
            <w:r>
              <w:rPr>
                <w:rFonts w:ascii="Arial" w:cs="Arial" w:eastAsia="Arial" w:hAnsi="Arial"/>
                <w:sz w:val="18"/>
                <w:szCs w:val="18"/>
                <w:color w:val="auto"/>
              </w:rPr>
              <w:t>616</w:t>
            </w:r>
          </w:p>
        </w:tc>
        <w:tc>
          <w:tcPr>
            <w:tcW w:w="18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960" w:type="dxa"/>
            <w:vAlign w:val="bottom"/>
            <w:gridSpan w:val="2"/>
          </w:tcPr>
          <w:p>
            <w:pPr>
              <w:jc w:val="right"/>
              <w:ind w:right="280"/>
              <w:spacing w:after="0"/>
              <w:rPr>
                <w:sz w:val="20"/>
                <w:szCs w:val="20"/>
                <w:color w:val="auto"/>
              </w:rPr>
            </w:pPr>
            <w:r>
              <w:rPr>
                <w:rFonts w:ascii="Arial" w:cs="Arial" w:eastAsia="Arial" w:hAnsi="Arial"/>
                <w:sz w:val="18"/>
                <w:szCs w:val="18"/>
                <w:color w:val="auto"/>
              </w:rPr>
              <w:t>N/A</w:t>
            </w:r>
          </w:p>
        </w:tc>
        <w:tc>
          <w:tcPr>
            <w:tcW w:w="0" w:type="dxa"/>
            <w:vAlign w:val="bottom"/>
          </w:tcPr>
          <w:p>
            <w:pPr>
              <w:spacing w:after="0"/>
              <w:rPr>
                <w:sz w:val="1"/>
                <w:szCs w:val="1"/>
                <w:color w:val="auto"/>
              </w:rPr>
            </w:pPr>
          </w:p>
        </w:tc>
      </w:tr>
      <w:tr>
        <w:trPr>
          <w:trHeight w:val="230"/>
        </w:trPr>
        <w:tc>
          <w:tcPr>
            <w:tcW w:w="5320" w:type="dxa"/>
            <w:vAlign w:val="bottom"/>
            <w:shd w:val="clear" w:color="auto" w:fill="CFF0FC"/>
          </w:tcPr>
          <w:p>
            <w:pPr>
              <w:ind w:left="240"/>
              <w:spacing w:after="0"/>
              <w:rPr>
                <w:sz w:val="20"/>
                <w:szCs w:val="20"/>
                <w:color w:val="auto"/>
              </w:rPr>
            </w:pPr>
            <w:r>
              <w:rPr>
                <w:rFonts w:ascii="Arial" w:cs="Arial" w:eastAsia="Arial" w:hAnsi="Arial"/>
                <w:sz w:val="18"/>
                <w:szCs w:val="18"/>
                <w:color w:val="auto"/>
              </w:rPr>
              <w:t>Winchester</w:t>
            </w:r>
          </w:p>
        </w:tc>
        <w:tc>
          <w:tcPr>
            <w:tcW w:w="10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338</w:t>
            </w:r>
          </w:p>
        </w:tc>
        <w:tc>
          <w:tcPr>
            <w:tcW w:w="180" w:type="dxa"/>
            <w:vAlign w:val="bottom"/>
            <w:shd w:val="clear" w:color="auto" w:fill="CFF0FC"/>
          </w:tcPr>
          <w:p>
            <w:pPr>
              <w:spacing w:after="0"/>
              <w:rPr>
                <w:sz w:val="19"/>
                <w:szCs w:val="19"/>
                <w:color w:val="auto"/>
              </w:rPr>
            </w:pPr>
          </w:p>
        </w:tc>
        <w:tc>
          <w:tcPr>
            <w:tcW w:w="320" w:type="dxa"/>
            <w:vAlign w:val="bottom"/>
            <w:shd w:val="clear" w:color="auto" w:fill="CFF0FC"/>
          </w:tcPr>
          <w:p>
            <w:pPr>
              <w:spacing w:after="0"/>
              <w:rPr>
                <w:sz w:val="19"/>
                <w:szCs w:val="19"/>
                <w:color w:val="auto"/>
              </w:rPr>
            </w:pPr>
          </w:p>
        </w:tc>
        <w:tc>
          <w:tcPr>
            <w:tcW w:w="7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1,030</w:t>
            </w:r>
          </w:p>
        </w:tc>
        <w:tc>
          <w:tcPr>
            <w:tcW w:w="180" w:type="dxa"/>
            <w:vAlign w:val="bottom"/>
            <w:shd w:val="clear" w:color="auto" w:fill="CFF0FC"/>
          </w:tcPr>
          <w:p>
            <w:pPr>
              <w:spacing w:after="0"/>
              <w:rPr>
                <w:sz w:val="19"/>
                <w:szCs w:val="19"/>
                <w:color w:val="auto"/>
              </w:rPr>
            </w:pPr>
          </w:p>
        </w:tc>
        <w:tc>
          <w:tcPr>
            <w:tcW w:w="1220" w:type="dxa"/>
            <w:vAlign w:val="bottom"/>
            <w:gridSpan w:val="2"/>
            <w:shd w:val="clear" w:color="auto" w:fill="CFF0FC"/>
          </w:tcPr>
          <w:p>
            <w:pPr>
              <w:jc w:val="right"/>
              <w:ind w:right="120"/>
              <w:spacing w:after="0"/>
              <w:rPr>
                <w:sz w:val="20"/>
                <w:szCs w:val="20"/>
                <w:color w:val="auto"/>
              </w:rPr>
            </w:pPr>
            <w:r>
              <w:rPr>
                <w:rFonts w:ascii="Arial" w:cs="Arial" w:eastAsia="Arial" w:hAnsi="Arial"/>
                <w:sz w:val="18"/>
                <w:szCs w:val="18"/>
                <w:color w:val="auto"/>
              </w:rPr>
              <w:t>(692)</w:t>
            </w:r>
          </w:p>
        </w:tc>
        <w:tc>
          <w:tcPr>
            <w:tcW w:w="340" w:type="dxa"/>
            <w:vAlign w:val="bottom"/>
            <w:shd w:val="clear" w:color="auto" w:fill="CFF0FC"/>
          </w:tcPr>
          <w:p>
            <w:pPr>
              <w:spacing w:after="0"/>
              <w:rPr>
                <w:sz w:val="19"/>
                <w:szCs w:val="19"/>
                <w:color w:val="auto"/>
              </w:rPr>
            </w:pPr>
          </w:p>
        </w:tc>
        <w:tc>
          <w:tcPr>
            <w:tcW w:w="960" w:type="dxa"/>
            <w:vAlign w:val="bottom"/>
            <w:gridSpan w:val="2"/>
            <w:shd w:val="clear" w:color="auto" w:fill="CFF0FC"/>
          </w:tcPr>
          <w:p>
            <w:pPr>
              <w:jc w:val="right"/>
              <w:ind w:right="40"/>
              <w:spacing w:after="0"/>
              <w:rPr>
                <w:sz w:val="20"/>
                <w:szCs w:val="20"/>
                <w:color w:val="auto"/>
              </w:rPr>
            </w:pPr>
            <w:r>
              <w:rPr>
                <w:rFonts w:ascii="Arial" w:cs="Arial" w:eastAsia="Arial" w:hAnsi="Arial"/>
                <w:sz w:val="18"/>
                <w:szCs w:val="18"/>
                <w:color w:val="auto"/>
              </w:rPr>
              <w:t>(67)%</w:t>
            </w:r>
          </w:p>
        </w:tc>
        <w:tc>
          <w:tcPr>
            <w:tcW w:w="0" w:type="dxa"/>
            <w:vAlign w:val="bottom"/>
          </w:tcPr>
          <w:p>
            <w:pPr>
              <w:spacing w:after="0"/>
              <w:rPr>
                <w:sz w:val="1"/>
                <w:szCs w:val="1"/>
                <w:color w:val="auto"/>
              </w:rPr>
            </w:pPr>
          </w:p>
        </w:tc>
      </w:tr>
      <w:tr>
        <w:trPr>
          <w:trHeight w:val="20"/>
        </w:trPr>
        <w:tc>
          <w:tcPr>
            <w:tcW w:w="5320" w:type="dxa"/>
            <w:vAlign w:val="bottom"/>
            <w:vMerge w:val="restart"/>
          </w:tcPr>
          <w:p>
            <w:pPr>
              <w:ind w:left="500"/>
              <w:spacing w:after="0"/>
              <w:rPr>
                <w:sz w:val="20"/>
                <w:szCs w:val="20"/>
                <w:color w:val="auto"/>
              </w:rPr>
            </w:pPr>
            <w:r>
              <w:rPr>
                <w:rFonts w:ascii="Arial" w:cs="Arial" w:eastAsia="Arial" w:hAnsi="Arial"/>
                <w:sz w:val="18"/>
                <w:szCs w:val="18"/>
                <w:color w:val="auto"/>
              </w:rPr>
              <w:t>Total</w:t>
            </w:r>
          </w:p>
        </w:tc>
        <w:tc>
          <w:tcPr>
            <w:tcW w:w="1040" w:type="dxa"/>
            <w:vAlign w:val="bottom"/>
            <w:shd w:val="clear" w:color="auto" w:fill="000000"/>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320" w:type="dxa"/>
            <w:vAlign w:val="bottom"/>
            <w:shd w:val="clear" w:color="auto" w:fill="000000"/>
          </w:tcPr>
          <w:p>
            <w:pPr>
              <w:spacing w:after="0" w:line="20" w:lineRule="exact"/>
              <w:rPr>
                <w:sz w:val="1"/>
                <w:szCs w:val="1"/>
                <w:color w:val="auto"/>
              </w:rPr>
            </w:pPr>
          </w:p>
        </w:tc>
        <w:tc>
          <w:tcPr>
            <w:tcW w:w="720" w:type="dxa"/>
            <w:vAlign w:val="bottom"/>
            <w:shd w:val="clear" w:color="auto" w:fill="000000"/>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40" w:type="dxa"/>
            <w:vAlign w:val="bottom"/>
            <w:shd w:val="clear" w:color="auto" w:fill="000000"/>
          </w:tcPr>
          <w:p>
            <w:pPr>
              <w:spacing w:after="0" w:line="20" w:lineRule="exact"/>
              <w:rPr>
                <w:sz w:val="1"/>
                <w:szCs w:val="1"/>
                <w:color w:val="auto"/>
              </w:rPr>
            </w:pPr>
          </w:p>
        </w:tc>
        <w:tc>
          <w:tcPr>
            <w:tcW w:w="180" w:type="dxa"/>
            <w:vAlign w:val="bottom"/>
            <w:vMerge w:val="restart"/>
          </w:tcPr>
          <w:p>
            <w:pPr>
              <w:spacing w:after="0" w:line="20" w:lineRule="exact"/>
              <w:rPr>
                <w:sz w:val="1"/>
                <w:szCs w:val="1"/>
                <w:color w:val="auto"/>
              </w:rPr>
            </w:pPr>
          </w:p>
        </w:tc>
        <w:tc>
          <w:tcPr>
            <w:tcW w:w="340" w:type="dxa"/>
            <w:vAlign w:val="bottom"/>
            <w:shd w:val="clear" w:color="auto" w:fill="000000"/>
          </w:tcPr>
          <w:p>
            <w:pPr>
              <w:spacing w:after="0" w:line="20" w:lineRule="exact"/>
              <w:rPr>
                <w:sz w:val="1"/>
                <w:szCs w:val="1"/>
                <w:color w:val="auto"/>
              </w:rPr>
            </w:pPr>
          </w:p>
        </w:tc>
        <w:tc>
          <w:tcPr>
            <w:tcW w:w="700" w:type="dxa"/>
            <w:vAlign w:val="bottom"/>
            <w:shd w:val="clear" w:color="auto" w:fill="000000"/>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3"/>
        </w:trPr>
        <w:tc>
          <w:tcPr>
            <w:tcW w:w="5320" w:type="dxa"/>
            <w:vAlign w:val="bottom"/>
            <w:vMerge w:val="continue"/>
          </w:tcPr>
          <w:p>
            <w:pPr>
              <w:spacing w:after="0"/>
              <w:rPr>
                <w:sz w:val="19"/>
                <w:szCs w:val="19"/>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3,568</w:t>
            </w:r>
          </w:p>
        </w:tc>
        <w:tc>
          <w:tcPr>
            <w:tcW w:w="18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720" w:type="dxa"/>
            <w:vAlign w:val="bottom"/>
          </w:tcPr>
          <w:p>
            <w:pPr>
              <w:jc w:val="right"/>
              <w:spacing w:after="0"/>
              <w:rPr>
                <w:sz w:val="20"/>
                <w:szCs w:val="20"/>
                <w:color w:val="auto"/>
              </w:rPr>
            </w:pPr>
            <w:r>
              <w:rPr>
                <w:rFonts w:ascii="Arial" w:cs="Arial" w:eastAsia="Arial" w:hAnsi="Arial"/>
                <w:sz w:val="18"/>
                <w:szCs w:val="18"/>
                <w:color w:val="auto"/>
              </w:rPr>
              <w:t>4,347</w:t>
            </w:r>
          </w:p>
        </w:tc>
        <w:tc>
          <w:tcPr>
            <w:tcW w:w="180" w:type="dxa"/>
            <w:vAlign w:val="bottom"/>
          </w:tcPr>
          <w:p>
            <w:pPr>
              <w:spacing w:after="0"/>
              <w:rPr>
                <w:sz w:val="19"/>
                <w:szCs w:val="19"/>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(779)</w:t>
            </w:r>
          </w:p>
        </w:tc>
        <w:tc>
          <w:tcPr>
            <w:tcW w:w="180" w:type="dxa"/>
            <w:vAlign w:val="bottom"/>
            <w:vMerge w:val="continue"/>
          </w:tcPr>
          <w:p>
            <w:pPr>
              <w:spacing w:after="0"/>
              <w:rPr>
                <w:sz w:val="19"/>
                <w:szCs w:val="19"/>
                <w:color w:val="auto"/>
              </w:rPr>
            </w:pPr>
          </w:p>
        </w:tc>
        <w:tc>
          <w:tcPr>
            <w:tcW w:w="340" w:type="dxa"/>
            <w:vAlign w:val="bottom"/>
          </w:tcPr>
          <w:p>
            <w:pPr>
              <w:spacing w:after="0"/>
              <w:rPr>
                <w:sz w:val="19"/>
                <w:szCs w:val="19"/>
                <w:color w:val="auto"/>
              </w:rPr>
            </w:pPr>
          </w:p>
        </w:tc>
        <w:tc>
          <w:tcPr>
            <w:tcW w:w="960" w:type="dxa"/>
            <w:vAlign w:val="bottom"/>
            <w:gridSpan w:val="2"/>
          </w:tcPr>
          <w:p>
            <w:pPr>
              <w:jc w:val="right"/>
              <w:ind w:right="40"/>
              <w:spacing w:after="0"/>
              <w:rPr>
                <w:sz w:val="20"/>
                <w:szCs w:val="20"/>
                <w:color w:val="auto"/>
              </w:rPr>
            </w:pPr>
            <w:r>
              <w:rPr>
                <w:rFonts w:ascii="Arial" w:cs="Arial" w:eastAsia="Arial" w:hAnsi="Arial"/>
                <w:sz w:val="18"/>
                <w:szCs w:val="18"/>
                <w:color w:val="auto"/>
              </w:rPr>
              <w:t>(18)%</w:t>
            </w:r>
          </w:p>
        </w:tc>
        <w:tc>
          <w:tcPr>
            <w:tcW w:w="0" w:type="dxa"/>
            <w:vAlign w:val="bottom"/>
          </w:tcPr>
          <w:p>
            <w:pPr>
              <w:spacing w:after="0"/>
              <w:rPr>
                <w:sz w:val="1"/>
                <w:szCs w:val="1"/>
                <w:color w:val="auto"/>
              </w:rPr>
            </w:pPr>
          </w:p>
        </w:tc>
      </w:tr>
      <w:tr>
        <w:trPr>
          <w:trHeight w:val="20"/>
        </w:trPr>
        <w:tc>
          <w:tcPr>
            <w:tcW w:w="5320" w:type="dxa"/>
            <w:vAlign w:val="bottom"/>
            <w:vMerge w:val="restart"/>
            <w:shd w:val="clear" w:color="auto" w:fill="CFF0FC"/>
          </w:tcPr>
          <w:p>
            <w:pPr>
              <w:spacing w:after="0"/>
              <w:rPr>
                <w:sz w:val="20"/>
                <w:szCs w:val="20"/>
                <w:color w:val="auto"/>
              </w:rPr>
            </w:pPr>
            <w:r>
              <w:rPr>
                <w:rFonts w:ascii="Arial" w:cs="Arial" w:eastAsia="Arial" w:hAnsi="Arial"/>
                <w:sz w:val="18"/>
                <w:szCs w:val="18"/>
                <w:b w:val="1"/>
                <w:bCs w:val="1"/>
                <w:color w:val="auto"/>
              </w:rPr>
              <w:t>Total Lots Owned or Controlled</w:t>
            </w:r>
            <w:r>
              <w:rPr>
                <w:rFonts w:ascii="Arial" w:cs="Arial" w:eastAsia="Arial" w:hAnsi="Arial"/>
                <w:sz w:val="15"/>
                <w:szCs w:val="15"/>
                <w:b w:val="1"/>
                <w:bCs w:val="1"/>
                <w:color w:val="auto"/>
              </w:rPr>
              <w:t>(1)</w:t>
            </w:r>
          </w:p>
        </w:tc>
        <w:tc>
          <w:tcPr>
            <w:tcW w:w="1040" w:type="dxa"/>
            <w:vAlign w:val="bottom"/>
            <w:shd w:val="clear" w:color="auto" w:fill="000000"/>
          </w:tcPr>
          <w:p>
            <w:pPr>
              <w:spacing w:after="0" w:line="20" w:lineRule="exact"/>
              <w:rPr>
                <w:sz w:val="1"/>
                <w:szCs w:val="1"/>
                <w:color w:val="auto"/>
              </w:rPr>
            </w:pPr>
          </w:p>
        </w:tc>
        <w:tc>
          <w:tcPr>
            <w:tcW w:w="180" w:type="dxa"/>
            <w:vAlign w:val="bottom"/>
            <w:shd w:val="clear" w:color="auto" w:fill="CFF0FC"/>
          </w:tcPr>
          <w:p>
            <w:pPr>
              <w:spacing w:after="0" w:line="20" w:lineRule="exact"/>
              <w:rPr>
                <w:sz w:val="1"/>
                <w:szCs w:val="1"/>
                <w:color w:val="auto"/>
              </w:rPr>
            </w:pPr>
          </w:p>
        </w:tc>
        <w:tc>
          <w:tcPr>
            <w:tcW w:w="320" w:type="dxa"/>
            <w:vAlign w:val="bottom"/>
            <w:shd w:val="clear" w:color="auto" w:fill="000000"/>
          </w:tcPr>
          <w:p>
            <w:pPr>
              <w:spacing w:after="0" w:line="20" w:lineRule="exact"/>
              <w:rPr>
                <w:sz w:val="1"/>
                <w:szCs w:val="1"/>
                <w:color w:val="auto"/>
              </w:rPr>
            </w:pPr>
          </w:p>
        </w:tc>
        <w:tc>
          <w:tcPr>
            <w:tcW w:w="720" w:type="dxa"/>
            <w:vAlign w:val="bottom"/>
            <w:shd w:val="clear" w:color="auto" w:fill="000000"/>
          </w:tcPr>
          <w:p>
            <w:pPr>
              <w:spacing w:after="0" w:line="20" w:lineRule="exact"/>
              <w:rPr>
                <w:sz w:val="1"/>
                <w:szCs w:val="1"/>
                <w:color w:val="auto"/>
              </w:rPr>
            </w:pPr>
          </w:p>
        </w:tc>
        <w:tc>
          <w:tcPr>
            <w:tcW w:w="180" w:type="dxa"/>
            <w:vAlign w:val="bottom"/>
            <w:shd w:val="clear" w:color="auto" w:fill="CFF0FC"/>
          </w:tcPr>
          <w:p>
            <w:pPr>
              <w:spacing w:after="0" w:line="20" w:lineRule="exact"/>
              <w:rPr>
                <w:sz w:val="1"/>
                <w:szCs w:val="1"/>
                <w:color w:val="auto"/>
              </w:rPr>
            </w:pPr>
          </w:p>
        </w:tc>
        <w:tc>
          <w:tcPr>
            <w:tcW w:w="1040" w:type="dxa"/>
            <w:vAlign w:val="bottom"/>
            <w:shd w:val="clear" w:color="auto" w:fill="000000"/>
          </w:tcPr>
          <w:p>
            <w:pPr>
              <w:spacing w:after="0" w:line="20" w:lineRule="exact"/>
              <w:rPr>
                <w:sz w:val="1"/>
                <w:szCs w:val="1"/>
                <w:color w:val="auto"/>
              </w:rPr>
            </w:pPr>
          </w:p>
        </w:tc>
        <w:tc>
          <w:tcPr>
            <w:tcW w:w="180" w:type="dxa"/>
            <w:vAlign w:val="bottom"/>
            <w:shd w:val="clear" w:color="auto" w:fill="CFF0FC"/>
          </w:tcPr>
          <w:p>
            <w:pPr>
              <w:spacing w:after="0" w:line="20" w:lineRule="exact"/>
              <w:rPr>
                <w:sz w:val="1"/>
                <w:szCs w:val="1"/>
                <w:color w:val="auto"/>
              </w:rPr>
            </w:pPr>
          </w:p>
        </w:tc>
        <w:tc>
          <w:tcPr>
            <w:tcW w:w="340" w:type="dxa"/>
            <w:vAlign w:val="bottom"/>
            <w:shd w:val="clear" w:color="auto" w:fill="000000"/>
          </w:tcPr>
          <w:p>
            <w:pPr>
              <w:spacing w:after="0" w:line="20" w:lineRule="exact"/>
              <w:rPr>
                <w:sz w:val="1"/>
                <w:szCs w:val="1"/>
                <w:color w:val="auto"/>
              </w:rPr>
            </w:pPr>
          </w:p>
        </w:tc>
        <w:tc>
          <w:tcPr>
            <w:tcW w:w="700" w:type="dxa"/>
            <w:vAlign w:val="bottom"/>
            <w:shd w:val="clear" w:color="auto" w:fill="000000"/>
          </w:tcPr>
          <w:p>
            <w:pPr>
              <w:spacing w:after="0" w:line="20" w:lineRule="exact"/>
              <w:rPr>
                <w:sz w:val="1"/>
                <w:szCs w:val="1"/>
                <w:color w:val="auto"/>
              </w:rPr>
            </w:pPr>
          </w:p>
        </w:tc>
        <w:tc>
          <w:tcPr>
            <w:tcW w:w="260" w:type="dxa"/>
            <w:vAlign w:val="bottom"/>
            <w:shd w:val="clear" w:color="auto" w:fill="CFF0FC"/>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3"/>
        </w:trPr>
        <w:tc>
          <w:tcPr>
            <w:tcW w:w="5320" w:type="dxa"/>
            <w:vAlign w:val="bottom"/>
            <w:vMerge w:val="continue"/>
            <w:shd w:val="clear" w:color="auto" w:fill="CFF0FC"/>
          </w:tcPr>
          <w:p>
            <w:pPr>
              <w:spacing w:after="0"/>
              <w:rPr>
                <w:sz w:val="19"/>
                <w:szCs w:val="19"/>
                <w:color w:val="auto"/>
              </w:rPr>
            </w:pPr>
          </w:p>
        </w:tc>
        <w:tc>
          <w:tcPr>
            <w:tcW w:w="10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29,318</w:t>
            </w:r>
          </w:p>
        </w:tc>
        <w:tc>
          <w:tcPr>
            <w:tcW w:w="180" w:type="dxa"/>
            <w:vAlign w:val="bottom"/>
            <w:shd w:val="clear" w:color="auto" w:fill="CFF0FC"/>
          </w:tcPr>
          <w:p>
            <w:pPr>
              <w:spacing w:after="0"/>
              <w:rPr>
                <w:sz w:val="19"/>
                <w:szCs w:val="19"/>
                <w:color w:val="auto"/>
              </w:rPr>
            </w:pPr>
          </w:p>
        </w:tc>
        <w:tc>
          <w:tcPr>
            <w:tcW w:w="320" w:type="dxa"/>
            <w:vAlign w:val="bottom"/>
            <w:shd w:val="clear" w:color="auto" w:fill="CFF0FC"/>
          </w:tcPr>
          <w:p>
            <w:pPr>
              <w:spacing w:after="0"/>
              <w:rPr>
                <w:sz w:val="19"/>
                <w:szCs w:val="19"/>
                <w:color w:val="auto"/>
              </w:rPr>
            </w:pPr>
          </w:p>
        </w:tc>
        <w:tc>
          <w:tcPr>
            <w:tcW w:w="7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27,388</w:t>
            </w:r>
          </w:p>
        </w:tc>
        <w:tc>
          <w:tcPr>
            <w:tcW w:w="180" w:type="dxa"/>
            <w:vAlign w:val="bottom"/>
            <w:shd w:val="clear" w:color="auto" w:fill="CFF0FC"/>
          </w:tcPr>
          <w:p>
            <w:pPr>
              <w:spacing w:after="0"/>
              <w:rPr>
                <w:sz w:val="19"/>
                <w:szCs w:val="19"/>
                <w:color w:val="auto"/>
              </w:rPr>
            </w:pPr>
          </w:p>
        </w:tc>
        <w:tc>
          <w:tcPr>
            <w:tcW w:w="10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1,930</w:t>
            </w:r>
          </w:p>
        </w:tc>
        <w:tc>
          <w:tcPr>
            <w:tcW w:w="180" w:type="dxa"/>
            <w:vAlign w:val="bottom"/>
            <w:shd w:val="clear" w:color="auto" w:fill="CFF0FC"/>
          </w:tcPr>
          <w:p>
            <w:pPr>
              <w:spacing w:after="0"/>
              <w:rPr>
                <w:sz w:val="19"/>
                <w:szCs w:val="19"/>
                <w:color w:val="auto"/>
              </w:rPr>
            </w:pPr>
          </w:p>
        </w:tc>
        <w:tc>
          <w:tcPr>
            <w:tcW w:w="340" w:type="dxa"/>
            <w:vAlign w:val="bottom"/>
            <w:shd w:val="clear" w:color="auto" w:fill="CFF0FC"/>
          </w:tcPr>
          <w:p>
            <w:pPr>
              <w:spacing w:after="0"/>
              <w:rPr>
                <w:sz w:val="19"/>
                <w:szCs w:val="19"/>
                <w:color w:val="auto"/>
              </w:rPr>
            </w:pPr>
          </w:p>
        </w:tc>
        <w:tc>
          <w:tcPr>
            <w:tcW w:w="960" w:type="dxa"/>
            <w:vAlign w:val="bottom"/>
            <w:gridSpan w:val="2"/>
            <w:shd w:val="clear" w:color="auto" w:fill="CFF0FC"/>
          </w:tcPr>
          <w:p>
            <w:pPr>
              <w:jc w:val="right"/>
              <w:ind w:right="100"/>
              <w:spacing w:after="0"/>
              <w:rPr>
                <w:sz w:val="20"/>
                <w:szCs w:val="20"/>
                <w:color w:val="auto"/>
              </w:rPr>
            </w:pPr>
            <w:r>
              <w:rPr>
                <w:rFonts w:ascii="Arial" w:cs="Arial" w:eastAsia="Arial" w:hAnsi="Arial"/>
                <w:sz w:val="18"/>
                <w:szCs w:val="18"/>
                <w:color w:val="auto"/>
              </w:rPr>
              <w:t>7%</w:t>
            </w:r>
          </w:p>
        </w:tc>
        <w:tc>
          <w:tcPr>
            <w:tcW w:w="0" w:type="dxa"/>
            <w:vAlign w:val="bottom"/>
          </w:tcPr>
          <w:p>
            <w:pPr>
              <w:spacing w:after="0"/>
              <w:rPr>
                <w:sz w:val="1"/>
                <w:szCs w:val="1"/>
                <w:color w:val="auto"/>
              </w:rPr>
            </w:pPr>
          </w:p>
        </w:tc>
      </w:tr>
      <w:tr>
        <w:trPr>
          <w:trHeight w:val="20"/>
        </w:trPr>
        <w:tc>
          <w:tcPr>
            <w:tcW w:w="5320" w:type="dxa"/>
            <w:vAlign w:val="bottom"/>
            <w:tcBorders>
              <w:top w:val="single" w:sz="8" w:color="CFF0FC"/>
            </w:tcBorders>
          </w:tcPr>
          <w:p>
            <w:pPr>
              <w:spacing w:after="0" w:line="20" w:lineRule="exact"/>
              <w:rPr>
                <w:sz w:val="1"/>
                <w:szCs w:val="1"/>
                <w:color w:val="auto"/>
              </w:rPr>
            </w:pPr>
          </w:p>
        </w:tc>
        <w:tc>
          <w:tcPr>
            <w:tcW w:w="104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Borders>
              <w:top w:val="single" w:sz="8" w:color="CFF0FC"/>
            </w:tcBorders>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Borders>
              <w:top w:val="single" w:sz="8" w:color="CFF0FC"/>
            </w:tcBorders>
          </w:tcPr>
          <w:p>
            <w:pPr>
              <w:spacing w:after="0" w:line="20" w:lineRule="exact"/>
              <w:rPr>
                <w:sz w:val="1"/>
                <w:szCs w:val="1"/>
                <w:color w:val="auto"/>
              </w:rPr>
            </w:pPr>
          </w:p>
        </w:tc>
        <w:tc>
          <w:tcPr>
            <w:tcW w:w="104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Borders>
              <w:top w:val="single" w:sz="8" w:color="CFF0FC"/>
            </w:tcBorders>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Borders>
              <w:top w:val="single" w:sz="8" w:color="CFF0F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77" w:lineRule="exact"/>
        <w:rPr>
          <w:sz w:val="20"/>
          <w:szCs w:val="20"/>
          <w:color w:val="auto"/>
        </w:rPr>
      </w:pPr>
    </w:p>
    <w:p>
      <w:pPr>
        <w:ind w:left="840" w:hanging="356"/>
        <w:spacing w:after="0"/>
        <w:tabs>
          <w:tab w:leader="none" w:pos="840" w:val="left"/>
        </w:tabs>
        <w:numPr>
          <w:ilvl w:val="0"/>
          <w:numId w:val="25"/>
        </w:numPr>
        <w:rPr>
          <w:rFonts w:ascii="Arial" w:cs="Arial" w:eastAsia="Arial" w:hAnsi="Arial"/>
          <w:sz w:val="28"/>
          <w:szCs w:val="28"/>
          <w:color w:val="auto"/>
          <w:vertAlign w:val="superscript"/>
        </w:rPr>
      </w:pPr>
      <w:r>
        <w:rPr>
          <w:rFonts w:ascii="Arial" w:cs="Arial" w:eastAsia="Arial" w:hAnsi="Arial"/>
          <w:sz w:val="16"/>
          <w:szCs w:val="16"/>
          <w:color w:val="auto"/>
        </w:rPr>
        <w:t>As of March 31, 2015 and 2014, lots controlled included lots that were under land option contracts or purchase contracts.</w:t>
      </w:r>
    </w:p>
    <w:p>
      <w:pPr>
        <w:spacing w:after="0" w:line="10" w:lineRule="exact"/>
        <w:rPr>
          <w:rFonts w:ascii="Arial" w:cs="Arial" w:eastAsia="Arial" w:hAnsi="Arial"/>
          <w:sz w:val="28"/>
          <w:szCs w:val="28"/>
          <w:color w:val="auto"/>
          <w:vertAlign w:val="superscript"/>
        </w:rPr>
      </w:pPr>
    </w:p>
    <w:p>
      <w:pPr>
        <w:ind w:left="840" w:hanging="356"/>
        <w:spacing w:after="0" w:line="182" w:lineRule="auto"/>
        <w:tabs>
          <w:tab w:leader="none" w:pos="840" w:val="left"/>
        </w:tabs>
        <w:numPr>
          <w:ilvl w:val="0"/>
          <w:numId w:val="25"/>
        </w:numPr>
        <w:rPr>
          <w:rFonts w:ascii="Arial" w:cs="Arial" w:eastAsia="Arial" w:hAnsi="Arial"/>
          <w:sz w:val="22"/>
          <w:szCs w:val="22"/>
          <w:color w:val="auto"/>
          <w:vertAlign w:val="superscript"/>
        </w:rPr>
      </w:pPr>
      <w:r>
        <w:rPr>
          <w:rFonts w:ascii="Arial" w:cs="Arial" w:eastAsia="Arial" w:hAnsi="Arial"/>
          <w:sz w:val="14"/>
          <w:szCs w:val="14"/>
          <w:color w:val="auto"/>
        </w:rPr>
        <w:t>As of March 31, 2014, excludes 10,686 lots owned and 56,413 lots controlled that were excluded assets per the Transaction Agreement.</w:t>
      </w:r>
    </w:p>
    <w:p>
      <w:pPr>
        <w:spacing w:after="0" w:line="35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Liquidity and Capital Resources</w:t>
      </w:r>
    </w:p>
    <w:p>
      <w:pPr>
        <w:spacing w:after="0" w:line="121" w:lineRule="exact"/>
        <w:rPr>
          <w:sz w:val="20"/>
          <w:szCs w:val="20"/>
          <w:color w:val="auto"/>
        </w:rPr>
      </w:pPr>
    </w:p>
    <w:p>
      <w:pPr>
        <w:ind w:left="260"/>
        <w:spacing w:after="0"/>
        <w:rPr>
          <w:sz w:val="20"/>
          <w:szCs w:val="20"/>
          <w:color w:val="auto"/>
        </w:rPr>
      </w:pPr>
      <w:r>
        <w:rPr>
          <w:rFonts w:ascii="Arial" w:cs="Arial" w:eastAsia="Arial" w:hAnsi="Arial"/>
          <w:sz w:val="18"/>
          <w:szCs w:val="18"/>
          <w:b w:val="1"/>
          <w:bCs w:val="1"/>
          <w:i w:val="1"/>
          <w:iCs w:val="1"/>
          <w:color w:val="auto"/>
        </w:rPr>
        <w:t>Overview</w:t>
      </w:r>
    </w:p>
    <w:p>
      <w:pPr>
        <w:spacing w:after="0" w:line="117" w:lineRule="exact"/>
        <w:rPr>
          <w:sz w:val="20"/>
          <w:szCs w:val="20"/>
          <w:color w:val="auto"/>
        </w:rPr>
      </w:pPr>
    </w:p>
    <w:p>
      <w:pPr>
        <w:ind w:right="100" w:firstLine="518"/>
        <w:spacing w:after="0" w:line="257" w:lineRule="auto"/>
        <w:rPr>
          <w:sz w:val="20"/>
          <w:szCs w:val="20"/>
          <w:color w:val="auto"/>
        </w:rPr>
      </w:pPr>
      <w:r>
        <w:rPr>
          <w:rFonts w:ascii="Arial" w:cs="Arial" w:eastAsia="Arial" w:hAnsi="Arial"/>
          <w:sz w:val="18"/>
          <w:szCs w:val="18"/>
          <w:color w:val="auto"/>
        </w:rPr>
        <w:t>Our principal uses of capital for the three months ended March 31, 2015 were operating expenses, land purchases, land development and home construction. We used funds generated by our operations and available borrowings to meet our short-term working capital requirements. We remain focused on generating positive margins in our homebuilding operations and acquiring desirable land positions in order to maintain a strong balance sheet and keep us poised for growth. As of March 31, 2015, we had $106.6 million of cash and cash equivalents. We believe we have sufficient cash and sources of financing for at least the next twelve months.</w:t>
      </w:r>
    </w:p>
    <w:p>
      <w:pPr>
        <w:sectPr>
          <w:pgSz w:w="11900" w:h="16838" w:orient="portrait"/>
          <w:cols w:equalWidth="0" w:num="1">
            <w:col w:w="11400"/>
          </w:cols>
          <w:pgMar w:left="240" w:top="463" w:right="259" w:bottom="1440" w:gutter="0" w:footer="0" w:header="0"/>
        </w:sectPr>
      </w:pPr>
    </w:p>
    <w:p>
      <w:pPr>
        <w:spacing w:after="0" w:line="200" w:lineRule="exact"/>
        <w:rPr>
          <w:sz w:val="20"/>
          <w:szCs w:val="20"/>
          <w:color w:val="auto"/>
        </w:rPr>
      </w:pPr>
    </w:p>
    <w:p>
      <w:pPr>
        <w:spacing w:after="0" w:line="231" w:lineRule="exact"/>
        <w:rPr>
          <w:sz w:val="20"/>
          <w:szCs w:val="20"/>
          <w:color w:val="auto"/>
        </w:rPr>
      </w:pPr>
    </w:p>
    <w:p>
      <w:pPr>
        <w:jc w:val="center"/>
        <w:ind w:right="-19"/>
        <w:spacing w:after="0"/>
        <w:rPr>
          <w:sz w:val="20"/>
          <w:szCs w:val="20"/>
          <w:color w:val="auto"/>
        </w:rPr>
      </w:pPr>
      <w:r>
        <w:rPr>
          <w:rFonts w:ascii="Arial" w:cs="Arial" w:eastAsia="Arial" w:hAnsi="Arial"/>
          <w:sz w:val="16"/>
          <w:szCs w:val="16"/>
          <w:color w:val="auto"/>
        </w:rPr>
        <w:t>- 33 -</w:t>
      </w:r>
    </w:p>
    <w:p>
      <w:pPr>
        <w:sectPr>
          <w:pgSz w:w="11900" w:h="16838" w:orient="portrait"/>
          <w:cols w:equalWidth="0" w:num="1">
            <w:col w:w="11400"/>
          </w:cols>
          <w:pgMar w:left="240" w:top="463" w:right="259" w:bottom="1440" w:gutter="0" w:footer="0" w:header="0"/>
          <w:type w:val="continuous"/>
        </w:sectPr>
      </w:pPr>
    </w:p>
    <w:bookmarkStart w:id="33" w:name="page34"/>
    <w:bookmarkEnd w:id="33"/>
    <w:p>
      <w:pPr>
        <w:ind w:right="60" w:firstLine="518"/>
        <w:spacing w:after="0" w:line="302" w:lineRule="auto"/>
        <w:rPr>
          <w:sz w:val="20"/>
          <w:szCs w:val="20"/>
          <w:color w:val="auto"/>
        </w:rPr>
      </w:pPr>
      <w:r>
        <w:rPr>
          <w:rFonts w:ascii="Arial" w:cs="Arial" w:eastAsia="Arial" w:hAnsi="Arial"/>
          <w:sz w:val="16"/>
          <w:szCs w:val="16"/>
          <w:color w:val="auto"/>
        </w:rPr>
        <w:t>Our board of directors will consider a number of factors when evaluating our level of indebtedness and when making decisions regarding the incurrence of new indebtedness, including the purchase price of assets to be acquired with debt financing, the estimated market value of our assets and the ability of particular assets, and our company as a whole, to generate cash flow to cover the expected debt service. Our charter does not contain a limitation on the amount of debt we may incur and our board of directors may change our target debt levels at any time without the approval of our stockholders.</w:t>
      </w:r>
    </w:p>
    <w:p>
      <w:pPr>
        <w:spacing w:after="0" w:line="262" w:lineRule="exact"/>
        <w:rPr>
          <w:sz w:val="20"/>
          <w:szCs w:val="20"/>
          <w:color w:val="auto"/>
        </w:rPr>
      </w:pPr>
    </w:p>
    <w:p>
      <w:pPr>
        <w:ind w:left="260"/>
        <w:spacing w:after="0"/>
        <w:rPr>
          <w:sz w:val="20"/>
          <w:szCs w:val="20"/>
          <w:color w:val="auto"/>
        </w:rPr>
      </w:pPr>
      <w:r>
        <w:rPr>
          <w:rFonts w:ascii="Arial" w:cs="Arial" w:eastAsia="Arial" w:hAnsi="Arial"/>
          <w:sz w:val="18"/>
          <w:szCs w:val="18"/>
          <w:b w:val="1"/>
          <w:bCs w:val="1"/>
          <w:i w:val="1"/>
          <w:iCs w:val="1"/>
          <w:color w:val="auto"/>
        </w:rPr>
        <w:t>Assumption of Senior Notes</w:t>
      </w:r>
    </w:p>
    <w:p>
      <w:pPr>
        <w:spacing w:after="0" w:line="117" w:lineRule="exact"/>
        <w:rPr>
          <w:sz w:val="20"/>
          <w:szCs w:val="20"/>
          <w:color w:val="auto"/>
        </w:rPr>
      </w:pPr>
    </w:p>
    <w:p>
      <w:pPr>
        <w:ind w:right="60" w:firstLine="518"/>
        <w:spacing w:after="0" w:line="289" w:lineRule="auto"/>
        <w:rPr>
          <w:sz w:val="20"/>
          <w:szCs w:val="20"/>
          <w:color w:val="auto"/>
        </w:rPr>
      </w:pPr>
      <w:r>
        <w:rPr>
          <w:rFonts w:ascii="Arial" w:cs="Arial" w:eastAsia="Arial" w:hAnsi="Arial"/>
          <w:sz w:val="16"/>
          <w:szCs w:val="16"/>
          <w:color w:val="auto"/>
        </w:rPr>
        <w:t>On the Closing Date, TRI Pointe assumed WRECO’s obligations as issuer of $450 million aggregate principal amount of its 4.375% Senior Notes due 2019 (“2019 Notes”) and $450 million aggregate principal amount of its 5.875% Senior Notes due 2024 (“2024 Notes” and together with the 2019 Notes, the “Senior Notes”). The 2019 Notes were issued at 98.89% of their aggregate principal amount and the 2024 Notes were issued at 98.15% of their aggregate principal amount. The net proceeds of $861.3 million, after debt issuance costs and discounts, from the offering were deposited into two separate escrow accounts following the closing of the offering on June 13, 2014. Upon release of the escrowed funds on the Closing Date, and prior to the consummation of the Merger, WRECO paid $743.7 million in cash to the former direct parent entity of WRECO, which cash was retained by Weyerhaeuser and its subsidiaries (other than WRECO and its subsidiaries). The payment consisted of the $739 million Payment Amount (as defined in the Transaction Agreement) as well as $4.7 million in payment of all unpaid interest on the debt payable to Weyerhaeuser that accrued from November 3, 2013 to the Closing Date. The remaining $117.6 million of proceeds was retained by TRI Pointe and used for general corporate purposes.</w:t>
      </w:r>
    </w:p>
    <w:p>
      <w:pPr>
        <w:spacing w:after="0" w:line="167" w:lineRule="exact"/>
        <w:rPr>
          <w:sz w:val="20"/>
          <w:szCs w:val="20"/>
          <w:color w:val="auto"/>
        </w:rPr>
      </w:pPr>
    </w:p>
    <w:p>
      <w:pPr>
        <w:jc w:val="both"/>
        <w:ind w:right="160" w:firstLine="518"/>
        <w:spacing w:after="0" w:line="312" w:lineRule="auto"/>
        <w:rPr>
          <w:sz w:val="20"/>
          <w:szCs w:val="20"/>
          <w:color w:val="auto"/>
        </w:rPr>
      </w:pPr>
      <w:r>
        <w:rPr>
          <w:rFonts w:ascii="Arial" w:cs="Arial" w:eastAsia="Arial" w:hAnsi="Arial"/>
          <w:sz w:val="16"/>
          <w:szCs w:val="16"/>
          <w:color w:val="auto"/>
        </w:rPr>
        <w:t>The 2019 Notes and 2024 Notes mature on June 15, 2019 and June 15, 2024, respectively. Interest is payable semiannually in arrears on June 15 and December 15. As of March 31, 2015, no principal has been paid on the Senior Notes, and there was $22.9 million of capitalized debt financing costs related to the Senior Notes, included in other assets on our consolidated balance sheet. These costs will amortize over the respective lives of the Senior Notes.</w:t>
      </w:r>
    </w:p>
    <w:p>
      <w:pPr>
        <w:spacing w:after="0" w:line="255" w:lineRule="exact"/>
        <w:rPr>
          <w:sz w:val="20"/>
          <w:szCs w:val="20"/>
          <w:color w:val="auto"/>
        </w:rPr>
      </w:pPr>
    </w:p>
    <w:p>
      <w:pPr>
        <w:ind w:left="260"/>
        <w:spacing w:after="0"/>
        <w:rPr>
          <w:sz w:val="20"/>
          <w:szCs w:val="20"/>
          <w:color w:val="auto"/>
        </w:rPr>
      </w:pPr>
      <w:r>
        <w:rPr>
          <w:rFonts w:ascii="Arial" w:cs="Arial" w:eastAsia="Arial" w:hAnsi="Arial"/>
          <w:sz w:val="18"/>
          <w:szCs w:val="18"/>
          <w:b w:val="1"/>
          <w:bCs w:val="1"/>
          <w:i w:val="1"/>
          <w:iCs w:val="1"/>
          <w:color w:val="auto"/>
        </w:rPr>
        <w:t>Unsecured Revolving Credit Facility</w:t>
      </w:r>
    </w:p>
    <w:p>
      <w:pPr>
        <w:spacing w:after="0" w:line="117" w:lineRule="exact"/>
        <w:rPr>
          <w:sz w:val="20"/>
          <w:szCs w:val="20"/>
          <w:color w:val="auto"/>
        </w:rPr>
      </w:pPr>
    </w:p>
    <w:p>
      <w:pPr>
        <w:ind w:right="40" w:firstLine="518"/>
        <w:spacing w:after="0" w:line="272" w:lineRule="auto"/>
        <w:rPr>
          <w:sz w:val="20"/>
          <w:szCs w:val="20"/>
          <w:color w:val="auto"/>
        </w:rPr>
      </w:pPr>
      <w:r>
        <w:rPr>
          <w:rFonts w:ascii="Arial" w:cs="Arial" w:eastAsia="Arial" w:hAnsi="Arial"/>
          <w:sz w:val="17"/>
          <w:szCs w:val="17"/>
          <w:color w:val="auto"/>
        </w:rPr>
        <w:t>In June 2014, the Company entered into an unsecured $425 million revolving credit facility (the “Credit Facility”) with various lenders, with one lender serving as the administrative agent for the Facility. The Credit Facility matures on July 1, 2018, and contains a sublimit of $75 million for letters of credit. The Company may borrow under the Credit Facility in the ordinary course of business to fund its operations, including its land development and homebuilding activities. Borrowings under the Credit Facility will be governed by, among other things, a borrowing base. The Credit Facility contains customary affirmative and negative covenants, including financial covenants relating to consolidated tangible net worth, leverage, and liquidity or interest coverage. Interest rates on borrowings will be based on either a daily Eurocurrency base rate or a Eurocurrency rate, in either case, plus a spread ranging from 2.15% to 2.85% depending on the Company’s leverage ratio.</w:t>
      </w:r>
    </w:p>
    <w:p>
      <w:pPr>
        <w:spacing w:after="0" w:line="178" w:lineRule="exact"/>
        <w:rPr>
          <w:sz w:val="20"/>
          <w:szCs w:val="20"/>
          <w:color w:val="auto"/>
        </w:rPr>
      </w:pPr>
    </w:p>
    <w:p>
      <w:pPr>
        <w:ind w:firstLine="518"/>
        <w:spacing w:after="0" w:line="259" w:lineRule="auto"/>
        <w:rPr>
          <w:sz w:val="20"/>
          <w:szCs w:val="20"/>
          <w:color w:val="auto"/>
        </w:rPr>
      </w:pPr>
      <w:r>
        <w:rPr>
          <w:rFonts w:ascii="Arial" w:cs="Arial" w:eastAsia="Arial" w:hAnsi="Arial"/>
          <w:sz w:val="18"/>
          <w:szCs w:val="18"/>
          <w:color w:val="auto"/>
        </w:rPr>
        <w:t>As of March 31, 2015 the outstanding balance under the Credit Facility was $309.4 million with an interest rate of 2.73% per annum and $103.8 million of availability after considering the borrowing base provisions and outstanding letters of credit. At March 31, 2015 we had outstanding letters of credit of $ 11.8 million. These letters of credit were issued to secure various financial obligations. We believe it is not probable that any outstanding letters of credit will be drawn upon.</w:t>
      </w:r>
    </w:p>
    <w:p>
      <w:pPr>
        <w:spacing w:after="0" w:line="295" w:lineRule="exact"/>
        <w:rPr>
          <w:sz w:val="20"/>
          <w:szCs w:val="20"/>
          <w:color w:val="auto"/>
        </w:rPr>
      </w:pPr>
    </w:p>
    <w:p>
      <w:pPr>
        <w:ind w:left="260"/>
        <w:spacing w:after="0"/>
        <w:rPr>
          <w:sz w:val="20"/>
          <w:szCs w:val="20"/>
          <w:color w:val="auto"/>
        </w:rPr>
      </w:pPr>
      <w:r>
        <w:rPr>
          <w:rFonts w:ascii="Arial" w:cs="Arial" w:eastAsia="Arial" w:hAnsi="Arial"/>
          <w:sz w:val="18"/>
          <w:szCs w:val="18"/>
          <w:b w:val="1"/>
          <w:bCs w:val="1"/>
          <w:i w:val="1"/>
          <w:iCs w:val="1"/>
          <w:color w:val="auto"/>
        </w:rPr>
        <w:t>Seller Financed Loan</w:t>
      </w:r>
    </w:p>
    <w:p>
      <w:pPr>
        <w:spacing w:after="0" w:line="117" w:lineRule="exact"/>
        <w:rPr>
          <w:sz w:val="20"/>
          <w:szCs w:val="20"/>
          <w:color w:val="auto"/>
        </w:rPr>
      </w:pPr>
    </w:p>
    <w:p>
      <w:pPr>
        <w:ind w:left="520"/>
        <w:spacing w:after="0"/>
        <w:rPr>
          <w:sz w:val="20"/>
          <w:szCs w:val="20"/>
          <w:color w:val="auto"/>
        </w:rPr>
      </w:pPr>
      <w:r>
        <w:rPr>
          <w:rFonts w:ascii="Arial" w:cs="Arial" w:eastAsia="Arial" w:hAnsi="Arial"/>
          <w:sz w:val="18"/>
          <w:szCs w:val="18"/>
          <w:color w:val="auto"/>
        </w:rPr>
        <w:t>As of March 31, 2015, the Company had $12.7 million outstanding related to seller financed loans to acquire lots for the construction of</w:t>
      </w:r>
    </w:p>
    <w:p>
      <w:pPr>
        <w:spacing w:after="0" w:line="23" w:lineRule="exact"/>
        <w:rPr>
          <w:sz w:val="20"/>
          <w:szCs w:val="20"/>
          <w:color w:val="auto"/>
        </w:rPr>
      </w:pPr>
    </w:p>
    <w:p>
      <w:pPr>
        <w:ind w:right="20"/>
        <w:spacing w:after="0" w:line="255" w:lineRule="auto"/>
        <w:rPr>
          <w:sz w:val="20"/>
          <w:szCs w:val="20"/>
          <w:color w:val="auto"/>
        </w:rPr>
      </w:pPr>
      <w:r>
        <w:rPr>
          <w:rFonts w:ascii="Arial" w:cs="Arial" w:eastAsia="Arial" w:hAnsi="Arial"/>
          <w:sz w:val="18"/>
          <w:szCs w:val="18"/>
          <w:color w:val="auto"/>
        </w:rPr>
        <w:t>homes. Principal and interest payments on these loans are due at various maturity dates, including at the time individual homes associated with the acquired land are delivered. The seller financed loans will accrue interest at a weighted average rate of 6.95% per annum, with interest calculated on a daily basis. Any remaining unpaid balance on these loans is due in May 2016.</w:t>
      </w:r>
    </w:p>
    <w:p>
      <w:pPr>
        <w:spacing w:after="0" w:line="200" w:lineRule="exact"/>
        <w:rPr>
          <w:sz w:val="20"/>
          <w:szCs w:val="20"/>
          <w:color w:val="auto"/>
        </w:rPr>
      </w:pPr>
    </w:p>
    <w:p>
      <w:pPr>
        <w:spacing w:after="0" w:line="23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- 34 -</w:t>
      </w:r>
    </w:p>
    <w:p>
      <w:pPr>
        <w:sectPr>
          <w:pgSz w:w="11900" w:h="16838" w:orient="portrait"/>
          <w:cols w:equalWidth="0" w:num="1">
            <w:col w:w="11420"/>
          </w:cols>
          <w:pgMar w:left="240" w:top="355" w:right="239" w:bottom="1440" w:gutter="0" w:footer="0" w:header="0"/>
        </w:sectPr>
      </w:pPr>
    </w:p>
    <w:bookmarkStart w:id="34" w:name="page35"/>
    <w:bookmarkEnd w:id="34"/>
    <w:p>
      <w:pPr>
        <w:ind w:left="260"/>
        <w:spacing w:after="0"/>
        <w:rPr>
          <w:sz w:val="20"/>
          <w:szCs w:val="20"/>
          <w:color w:val="auto"/>
        </w:rPr>
      </w:pPr>
      <w:r>
        <w:rPr>
          <w:rFonts w:ascii="Arial" w:cs="Arial" w:eastAsia="Arial" w:hAnsi="Arial"/>
          <w:sz w:val="18"/>
          <w:szCs w:val="18"/>
          <w:b w:val="1"/>
          <w:bCs w:val="1"/>
          <w:i w:val="1"/>
          <w:iCs w:val="1"/>
          <w:color w:val="auto"/>
        </w:rPr>
        <w:t>Covenant Compliance</w:t>
      </w:r>
    </w:p>
    <w:p>
      <w:pPr>
        <w:spacing w:after="0" w:line="117" w:lineRule="exact"/>
        <w:rPr>
          <w:sz w:val="20"/>
          <w:szCs w:val="20"/>
          <w:color w:val="auto"/>
        </w:rPr>
      </w:pPr>
    </w:p>
    <w:p>
      <w:pPr>
        <w:ind w:right="180" w:firstLine="518"/>
        <w:spacing w:after="0" w:line="277" w:lineRule="auto"/>
        <w:rPr>
          <w:sz w:val="20"/>
          <w:szCs w:val="20"/>
          <w:color w:val="auto"/>
        </w:rPr>
      </w:pPr>
      <w:r>
        <w:rPr>
          <w:rFonts w:ascii="Arial" w:cs="Arial" w:eastAsia="Arial" w:hAnsi="Arial"/>
          <w:sz w:val="18"/>
          <w:szCs w:val="18"/>
          <w:color w:val="auto"/>
        </w:rPr>
        <w:t>Under our Credit Facility, we are required to comply with certain financial covenants, including, but not limited to, those set forth in the table below (dollars in thousands):</w:t>
      </w:r>
    </w:p>
    <w:p>
      <w:pPr>
        <w:spacing w:after="0" w:line="213" w:lineRule="exact"/>
        <w:rPr>
          <w:sz w:val="20"/>
          <w:szCs w:val="20"/>
          <w:color w:val="auto"/>
        </w:rPr>
      </w:pPr>
    </w:p>
    <w:tbl>
      <w:tblPr>
        <w:tblLayout w:type="fixed"/>
        <w:tblInd w:w="1720" w:type="dxa"/>
        <w:tblCellMar>
          <w:top w:w="0" w:type="dxa"/>
          <w:left w:w="0" w:type="dxa"/>
          <w:bottom w:w="0" w:type="dxa"/>
          <w:right w:w="0" w:type="dxa"/>
        </w:tblCellMar>
      </w:tblPr>
      <w:tr>
        <w:trPr>
          <w:trHeight w:val="162"/>
        </w:trPr>
        <w:tc>
          <w:tcPr>
            <w:tcW w:w="548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080" w:type="dxa"/>
            <w:vAlign w:val="bottom"/>
            <w:gridSpan w:val="2"/>
          </w:tcPr>
          <w:p>
            <w:pPr>
              <w:jc w:val="center"/>
              <w:ind w:right="180"/>
              <w:spacing w:after="0"/>
              <w:rPr>
                <w:sz w:val="20"/>
                <w:szCs w:val="20"/>
                <w:color w:val="auto"/>
              </w:rPr>
            </w:pPr>
            <w:r>
              <w:rPr>
                <w:rFonts w:ascii="Arial" w:cs="Arial" w:eastAsia="Arial" w:hAnsi="Arial"/>
                <w:sz w:val="14"/>
                <w:szCs w:val="14"/>
                <w:b w:val="1"/>
                <w:bCs w:val="1"/>
                <w:color w:val="auto"/>
                <w:w w:val="84"/>
              </w:rPr>
              <w:t>Covenant</w:t>
            </w:r>
          </w:p>
        </w:tc>
      </w:tr>
      <w:tr>
        <w:trPr>
          <w:trHeight w:val="162"/>
        </w:trPr>
        <w:tc>
          <w:tcPr>
            <w:tcW w:w="5480" w:type="dxa"/>
            <w:vAlign w:val="bottom"/>
          </w:tcPr>
          <w:p>
            <w:pPr>
              <w:spacing w:after="0"/>
              <w:rPr>
                <w:sz w:val="14"/>
                <w:szCs w:val="14"/>
                <w:color w:val="auto"/>
              </w:rPr>
            </w:pPr>
          </w:p>
        </w:tc>
        <w:tc>
          <w:tcPr>
            <w:tcW w:w="132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w w:val="87"/>
              </w:rPr>
              <w:t>Actual at</w:t>
            </w:r>
          </w:p>
        </w:tc>
        <w:tc>
          <w:tcPr>
            <w:tcW w:w="100" w:type="dxa"/>
            <w:vAlign w:val="bottom"/>
          </w:tcPr>
          <w:p>
            <w:pPr>
              <w:spacing w:after="0"/>
              <w:rPr>
                <w:sz w:val="14"/>
                <w:szCs w:val="14"/>
                <w:color w:val="auto"/>
              </w:rPr>
            </w:pPr>
          </w:p>
        </w:tc>
        <w:tc>
          <w:tcPr>
            <w:tcW w:w="1080" w:type="dxa"/>
            <w:vAlign w:val="bottom"/>
            <w:gridSpan w:val="2"/>
          </w:tcPr>
          <w:p>
            <w:pPr>
              <w:jc w:val="center"/>
              <w:ind w:right="180"/>
              <w:spacing w:after="0"/>
              <w:rPr>
                <w:sz w:val="20"/>
                <w:szCs w:val="20"/>
                <w:color w:val="auto"/>
              </w:rPr>
            </w:pPr>
            <w:r>
              <w:rPr>
                <w:rFonts w:ascii="Arial" w:cs="Arial" w:eastAsia="Arial" w:hAnsi="Arial"/>
                <w:sz w:val="14"/>
                <w:szCs w:val="14"/>
                <w:b w:val="1"/>
                <w:bCs w:val="1"/>
                <w:color w:val="auto"/>
                <w:w w:val="88"/>
              </w:rPr>
              <w:t>Requirement at</w:t>
            </w:r>
          </w:p>
        </w:tc>
      </w:tr>
      <w:tr>
        <w:trPr>
          <w:trHeight w:val="162"/>
        </w:trPr>
        <w:tc>
          <w:tcPr>
            <w:tcW w:w="5480" w:type="dxa"/>
            <w:vAlign w:val="bottom"/>
          </w:tcPr>
          <w:p>
            <w:pPr>
              <w:spacing w:after="0"/>
              <w:rPr>
                <w:sz w:val="14"/>
                <w:szCs w:val="14"/>
                <w:color w:val="auto"/>
              </w:rPr>
            </w:pPr>
          </w:p>
        </w:tc>
        <w:tc>
          <w:tcPr>
            <w:tcW w:w="132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w w:val="92"/>
              </w:rPr>
              <w:t>March 31,</w:t>
            </w:r>
          </w:p>
        </w:tc>
        <w:tc>
          <w:tcPr>
            <w:tcW w:w="100" w:type="dxa"/>
            <w:vAlign w:val="bottom"/>
          </w:tcPr>
          <w:p>
            <w:pPr>
              <w:spacing w:after="0"/>
              <w:rPr>
                <w:sz w:val="14"/>
                <w:szCs w:val="14"/>
                <w:color w:val="auto"/>
              </w:rPr>
            </w:pPr>
          </w:p>
        </w:tc>
        <w:tc>
          <w:tcPr>
            <w:tcW w:w="1080" w:type="dxa"/>
            <w:vAlign w:val="bottom"/>
            <w:gridSpan w:val="2"/>
          </w:tcPr>
          <w:p>
            <w:pPr>
              <w:jc w:val="center"/>
              <w:ind w:right="180"/>
              <w:spacing w:after="0"/>
              <w:rPr>
                <w:sz w:val="20"/>
                <w:szCs w:val="20"/>
                <w:color w:val="auto"/>
              </w:rPr>
            </w:pPr>
            <w:r>
              <w:rPr>
                <w:rFonts w:ascii="Arial" w:cs="Arial" w:eastAsia="Arial" w:hAnsi="Arial"/>
                <w:sz w:val="14"/>
                <w:szCs w:val="14"/>
                <w:b w:val="1"/>
                <w:bCs w:val="1"/>
                <w:color w:val="auto"/>
                <w:w w:val="89"/>
              </w:rPr>
              <w:t>March 31,</w:t>
            </w:r>
          </w:p>
        </w:tc>
      </w:tr>
      <w:tr>
        <w:trPr>
          <w:trHeight w:val="161"/>
        </w:trPr>
        <w:tc>
          <w:tcPr>
            <w:tcW w:w="5480" w:type="dxa"/>
            <w:vAlign w:val="bottom"/>
            <w:tcBorders>
              <w:bottom w:val="single" w:sz="8" w:color="CFF0FC"/>
            </w:tcBorders>
          </w:tcPr>
          <w:p>
            <w:pPr>
              <w:spacing w:after="0"/>
              <w:rPr>
                <w:sz w:val="20"/>
                <w:szCs w:val="20"/>
                <w:color w:val="auto"/>
              </w:rPr>
            </w:pPr>
            <w:r>
              <w:rPr>
                <w:rFonts w:ascii="Arial" w:cs="Arial" w:eastAsia="Arial" w:hAnsi="Arial"/>
                <w:sz w:val="14"/>
                <w:szCs w:val="14"/>
                <w:b w:val="1"/>
                <w:bCs w:val="1"/>
                <w:color w:val="auto"/>
              </w:rPr>
              <w:t>Financial Covenants</w:t>
            </w:r>
          </w:p>
        </w:tc>
        <w:tc>
          <w:tcPr>
            <w:tcW w:w="108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9"/>
              </w:rPr>
              <w:t>2015</w:t>
            </w:r>
          </w:p>
        </w:tc>
        <w:tc>
          <w:tcPr>
            <w:tcW w:w="240" w:type="dxa"/>
            <w:vAlign w:val="bottom"/>
            <w:tcBorders>
              <w:bottom w:val="single" w:sz="8" w:color="CFF0FC"/>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1000" w:type="dxa"/>
            <w:vAlign w:val="bottom"/>
            <w:tcBorders>
              <w:bottom w:val="single" w:sz="8" w:color="auto"/>
            </w:tcBorders>
          </w:tcPr>
          <w:p>
            <w:pPr>
              <w:jc w:val="center"/>
              <w:ind w:right="23"/>
              <w:spacing w:after="0"/>
              <w:rPr>
                <w:sz w:val="20"/>
                <w:szCs w:val="20"/>
                <w:color w:val="auto"/>
              </w:rPr>
            </w:pPr>
            <w:r>
              <w:rPr>
                <w:rFonts w:ascii="Arial" w:cs="Arial" w:eastAsia="Arial" w:hAnsi="Arial"/>
                <w:sz w:val="14"/>
                <w:szCs w:val="14"/>
                <w:b w:val="1"/>
                <w:bCs w:val="1"/>
                <w:color w:val="auto"/>
                <w:w w:val="83"/>
              </w:rPr>
              <w:t>2015</w:t>
            </w:r>
          </w:p>
        </w:tc>
        <w:tc>
          <w:tcPr>
            <w:tcW w:w="80" w:type="dxa"/>
            <w:vAlign w:val="bottom"/>
            <w:tcBorders>
              <w:bottom w:val="single" w:sz="8" w:color="CFF0FC"/>
            </w:tcBorders>
          </w:tcPr>
          <w:p>
            <w:pPr>
              <w:spacing w:after="0"/>
              <w:rPr>
                <w:sz w:val="14"/>
                <w:szCs w:val="14"/>
                <w:color w:val="auto"/>
              </w:rPr>
            </w:pPr>
          </w:p>
        </w:tc>
      </w:tr>
      <w:tr>
        <w:trPr>
          <w:trHeight w:val="223"/>
        </w:trPr>
        <w:tc>
          <w:tcPr>
            <w:tcW w:w="5480" w:type="dxa"/>
            <w:vAlign w:val="bottom"/>
            <w:shd w:val="clear" w:color="auto" w:fill="CFF0FC"/>
          </w:tcPr>
          <w:p>
            <w:pPr>
              <w:spacing w:after="0"/>
              <w:rPr>
                <w:sz w:val="20"/>
                <w:szCs w:val="20"/>
                <w:color w:val="auto"/>
              </w:rPr>
            </w:pPr>
            <w:r>
              <w:rPr>
                <w:rFonts w:ascii="Arial" w:cs="Arial" w:eastAsia="Arial" w:hAnsi="Arial"/>
                <w:sz w:val="18"/>
                <w:szCs w:val="18"/>
                <w:color w:val="auto"/>
              </w:rPr>
              <w:t>Consolidated Tangible Net Worth</w:t>
            </w:r>
          </w:p>
        </w:tc>
        <w:tc>
          <w:tcPr>
            <w:tcW w:w="10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   1,308,173</w:t>
            </w:r>
          </w:p>
        </w:tc>
        <w:tc>
          <w:tcPr>
            <w:tcW w:w="240" w:type="dxa"/>
            <w:vAlign w:val="bottom"/>
            <w:shd w:val="clear" w:color="auto" w:fill="CFF0FC"/>
          </w:tcPr>
          <w:p>
            <w:pPr>
              <w:spacing w:after="0"/>
              <w:rPr>
                <w:sz w:val="19"/>
                <w:szCs w:val="19"/>
                <w:color w:val="auto"/>
              </w:rPr>
            </w:pPr>
          </w:p>
        </w:tc>
        <w:tc>
          <w:tcPr>
            <w:tcW w:w="100" w:type="dxa"/>
            <w:vAlign w:val="bottom"/>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10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883,844</w:t>
            </w:r>
          </w:p>
        </w:tc>
        <w:tc>
          <w:tcPr>
            <w:tcW w:w="80" w:type="dxa"/>
            <w:vAlign w:val="bottom"/>
            <w:shd w:val="clear" w:color="auto" w:fill="CFF0FC"/>
          </w:tcPr>
          <w:p>
            <w:pPr>
              <w:spacing w:after="0"/>
              <w:rPr>
                <w:sz w:val="19"/>
                <w:szCs w:val="19"/>
                <w:color w:val="auto"/>
              </w:rPr>
            </w:pPr>
          </w:p>
        </w:tc>
      </w:tr>
      <w:tr>
        <w:trPr>
          <w:trHeight w:val="215"/>
        </w:trPr>
        <w:tc>
          <w:tcPr>
            <w:tcW w:w="5480" w:type="dxa"/>
            <w:vAlign w:val="bottom"/>
          </w:tcPr>
          <w:p>
            <w:pPr>
              <w:ind w:left="240"/>
              <w:spacing w:after="0"/>
              <w:rPr>
                <w:sz w:val="20"/>
                <w:szCs w:val="20"/>
                <w:color w:val="auto"/>
              </w:rPr>
            </w:pPr>
            <w:r>
              <w:rPr>
                <w:rFonts w:ascii="Arial" w:cs="Arial" w:eastAsia="Arial" w:hAnsi="Arial"/>
                <w:sz w:val="18"/>
                <w:szCs w:val="18"/>
                <w:color w:val="auto"/>
              </w:rPr>
              <w:t>(Not less than $850.0 million plus 50% of net income and</w:t>
            </w:r>
          </w:p>
        </w:tc>
        <w:tc>
          <w:tcPr>
            <w:tcW w:w="10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80" w:type="dxa"/>
            <w:vAlign w:val="bottom"/>
          </w:tcPr>
          <w:p>
            <w:pPr>
              <w:spacing w:after="0"/>
              <w:rPr>
                <w:sz w:val="18"/>
                <w:szCs w:val="18"/>
                <w:color w:val="auto"/>
              </w:rPr>
            </w:pPr>
          </w:p>
        </w:tc>
      </w:tr>
      <w:tr>
        <w:trPr>
          <w:trHeight w:val="216"/>
        </w:trPr>
        <w:tc>
          <w:tcPr>
            <w:tcW w:w="5480" w:type="dxa"/>
            <w:vAlign w:val="bottom"/>
          </w:tcPr>
          <w:p>
            <w:pPr>
              <w:ind w:left="380"/>
              <w:spacing w:after="0"/>
              <w:rPr>
                <w:sz w:val="20"/>
                <w:szCs w:val="20"/>
                <w:color w:val="auto"/>
              </w:rPr>
            </w:pPr>
            <w:r>
              <w:rPr>
                <w:rFonts w:ascii="Arial" w:cs="Arial" w:eastAsia="Arial" w:hAnsi="Arial"/>
                <w:sz w:val="18"/>
                <w:szCs w:val="18"/>
                <w:color w:val="auto"/>
              </w:rPr>
              <w:t>50% of the net proceeds from equity offerings after</w:t>
            </w:r>
          </w:p>
        </w:tc>
        <w:tc>
          <w:tcPr>
            <w:tcW w:w="10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80" w:type="dxa"/>
            <w:vAlign w:val="bottom"/>
          </w:tcPr>
          <w:p>
            <w:pPr>
              <w:spacing w:after="0"/>
              <w:rPr>
                <w:sz w:val="18"/>
                <w:szCs w:val="18"/>
                <w:color w:val="auto"/>
              </w:rPr>
            </w:pPr>
          </w:p>
        </w:tc>
      </w:tr>
      <w:tr>
        <w:trPr>
          <w:trHeight w:val="230"/>
        </w:trPr>
        <w:tc>
          <w:tcPr>
            <w:tcW w:w="5480" w:type="dxa"/>
            <w:vAlign w:val="bottom"/>
          </w:tcPr>
          <w:p>
            <w:pPr>
              <w:ind w:left="380"/>
              <w:spacing w:after="0"/>
              <w:rPr>
                <w:sz w:val="20"/>
                <w:szCs w:val="20"/>
                <w:color w:val="auto"/>
              </w:rPr>
            </w:pPr>
            <w:r>
              <w:rPr>
                <w:rFonts w:ascii="Arial" w:cs="Arial" w:eastAsia="Arial" w:hAnsi="Arial"/>
                <w:sz w:val="18"/>
                <w:szCs w:val="18"/>
                <w:color w:val="auto"/>
              </w:rPr>
              <w:t>June 30, 2014)</w:t>
            </w:r>
          </w:p>
        </w:tc>
        <w:tc>
          <w:tcPr>
            <w:tcW w:w="108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000" w:type="dxa"/>
            <w:vAlign w:val="bottom"/>
          </w:tcPr>
          <w:p>
            <w:pPr>
              <w:spacing w:after="0"/>
              <w:rPr>
                <w:sz w:val="20"/>
                <w:szCs w:val="20"/>
                <w:color w:val="auto"/>
              </w:rPr>
            </w:pPr>
          </w:p>
        </w:tc>
        <w:tc>
          <w:tcPr>
            <w:tcW w:w="80" w:type="dxa"/>
            <w:vAlign w:val="bottom"/>
          </w:tcPr>
          <w:p>
            <w:pPr>
              <w:spacing w:after="0"/>
              <w:rPr>
                <w:sz w:val="20"/>
                <w:szCs w:val="20"/>
                <w:color w:val="auto"/>
              </w:rPr>
            </w:pPr>
          </w:p>
        </w:tc>
      </w:tr>
      <w:tr>
        <w:trPr>
          <w:trHeight w:val="230"/>
        </w:trPr>
        <w:tc>
          <w:tcPr>
            <w:tcW w:w="5480" w:type="dxa"/>
            <w:vAlign w:val="bottom"/>
            <w:shd w:val="clear" w:color="auto" w:fill="CFF0FC"/>
          </w:tcPr>
          <w:p>
            <w:pPr>
              <w:spacing w:after="0"/>
              <w:rPr>
                <w:sz w:val="20"/>
                <w:szCs w:val="20"/>
                <w:color w:val="auto"/>
              </w:rPr>
            </w:pPr>
            <w:r>
              <w:rPr>
                <w:rFonts w:ascii="Arial" w:cs="Arial" w:eastAsia="Arial" w:hAnsi="Arial"/>
                <w:sz w:val="18"/>
                <w:szCs w:val="18"/>
                <w:color w:val="auto"/>
              </w:rPr>
              <w:t>Leverage Test</w:t>
            </w:r>
          </w:p>
        </w:tc>
        <w:tc>
          <w:tcPr>
            <w:tcW w:w="1320" w:type="dxa"/>
            <w:vAlign w:val="bottom"/>
            <w:gridSpan w:val="2"/>
            <w:shd w:val="clear" w:color="auto" w:fill="CFF0FC"/>
          </w:tcPr>
          <w:p>
            <w:pPr>
              <w:jc w:val="right"/>
              <w:ind w:right="80"/>
              <w:spacing w:after="0"/>
              <w:rPr>
                <w:sz w:val="20"/>
                <w:szCs w:val="20"/>
                <w:color w:val="auto"/>
              </w:rPr>
            </w:pPr>
            <w:r>
              <w:rPr>
                <w:rFonts w:ascii="Arial" w:cs="Arial" w:eastAsia="Arial" w:hAnsi="Arial"/>
                <w:sz w:val="18"/>
                <w:szCs w:val="18"/>
                <w:color w:val="auto"/>
              </w:rPr>
              <w:t>46%</w:t>
            </w:r>
          </w:p>
        </w:tc>
        <w:tc>
          <w:tcPr>
            <w:tcW w:w="100" w:type="dxa"/>
            <w:vAlign w:val="bottom"/>
            <w:shd w:val="clear" w:color="auto" w:fill="CFF0FC"/>
          </w:tcPr>
          <w:p>
            <w:pPr>
              <w:spacing w:after="0"/>
              <w:rPr>
                <w:sz w:val="19"/>
                <w:szCs w:val="19"/>
                <w:color w:val="auto"/>
              </w:rPr>
            </w:pPr>
          </w:p>
        </w:tc>
        <w:tc>
          <w:tcPr>
            <w:tcW w:w="10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&lt;55%</w:t>
            </w:r>
          </w:p>
        </w:tc>
        <w:tc>
          <w:tcPr>
            <w:tcW w:w="80" w:type="dxa"/>
            <w:vAlign w:val="bottom"/>
            <w:shd w:val="clear" w:color="auto" w:fill="CFF0FC"/>
          </w:tcPr>
          <w:p>
            <w:pPr>
              <w:spacing w:after="0"/>
              <w:rPr>
                <w:sz w:val="19"/>
                <w:szCs w:val="19"/>
                <w:color w:val="auto"/>
              </w:rPr>
            </w:pPr>
          </w:p>
        </w:tc>
      </w:tr>
      <w:tr>
        <w:trPr>
          <w:trHeight w:val="230"/>
        </w:trPr>
        <w:tc>
          <w:tcPr>
            <w:tcW w:w="5480" w:type="dxa"/>
            <w:vAlign w:val="bottom"/>
          </w:tcPr>
          <w:p>
            <w:pPr>
              <w:ind w:left="240"/>
              <w:spacing w:after="0"/>
              <w:rPr>
                <w:sz w:val="20"/>
                <w:szCs w:val="20"/>
                <w:color w:val="auto"/>
              </w:rPr>
            </w:pPr>
            <w:r>
              <w:rPr>
                <w:rFonts w:ascii="Arial" w:cs="Arial" w:eastAsia="Arial" w:hAnsi="Arial"/>
                <w:sz w:val="18"/>
                <w:szCs w:val="18"/>
                <w:color w:val="auto"/>
              </w:rPr>
              <w:t>(Not to exceed 55%)</w:t>
            </w:r>
          </w:p>
        </w:tc>
        <w:tc>
          <w:tcPr>
            <w:tcW w:w="108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00" w:type="dxa"/>
            <w:vAlign w:val="bottom"/>
          </w:tcPr>
          <w:p>
            <w:pPr>
              <w:spacing w:after="0"/>
              <w:rPr>
                <w:sz w:val="19"/>
                <w:szCs w:val="19"/>
                <w:color w:val="auto"/>
              </w:rPr>
            </w:pPr>
          </w:p>
        </w:tc>
        <w:tc>
          <w:tcPr>
            <w:tcW w:w="80" w:type="dxa"/>
            <w:vAlign w:val="bottom"/>
          </w:tcPr>
          <w:p>
            <w:pPr>
              <w:spacing w:after="0"/>
              <w:rPr>
                <w:sz w:val="19"/>
                <w:szCs w:val="19"/>
                <w:color w:val="auto"/>
              </w:rPr>
            </w:pPr>
          </w:p>
        </w:tc>
      </w:tr>
      <w:tr>
        <w:trPr>
          <w:trHeight w:val="230"/>
        </w:trPr>
        <w:tc>
          <w:tcPr>
            <w:tcW w:w="5480" w:type="dxa"/>
            <w:vAlign w:val="bottom"/>
            <w:shd w:val="clear" w:color="auto" w:fill="CFF0FC"/>
          </w:tcPr>
          <w:p>
            <w:pPr>
              <w:spacing w:after="0"/>
              <w:rPr>
                <w:sz w:val="20"/>
                <w:szCs w:val="20"/>
                <w:color w:val="auto"/>
              </w:rPr>
            </w:pPr>
            <w:r>
              <w:rPr>
                <w:rFonts w:ascii="Arial" w:cs="Arial" w:eastAsia="Arial" w:hAnsi="Arial"/>
                <w:sz w:val="18"/>
                <w:szCs w:val="18"/>
                <w:color w:val="auto"/>
              </w:rPr>
              <w:t>Interest Coverage Test</w:t>
            </w:r>
          </w:p>
        </w:tc>
        <w:tc>
          <w:tcPr>
            <w:tcW w:w="10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4.99</w:t>
            </w:r>
          </w:p>
        </w:tc>
        <w:tc>
          <w:tcPr>
            <w:tcW w:w="24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0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&gt;1.5</w:t>
            </w:r>
          </w:p>
        </w:tc>
        <w:tc>
          <w:tcPr>
            <w:tcW w:w="80" w:type="dxa"/>
            <w:vAlign w:val="bottom"/>
            <w:shd w:val="clear" w:color="auto" w:fill="CFF0FC"/>
          </w:tcPr>
          <w:p>
            <w:pPr>
              <w:spacing w:after="0"/>
              <w:rPr>
                <w:sz w:val="19"/>
                <w:szCs w:val="19"/>
                <w:color w:val="auto"/>
              </w:rPr>
            </w:pPr>
          </w:p>
        </w:tc>
      </w:tr>
      <w:tr>
        <w:trPr>
          <w:trHeight w:val="230"/>
        </w:trPr>
        <w:tc>
          <w:tcPr>
            <w:tcW w:w="5480" w:type="dxa"/>
            <w:vAlign w:val="bottom"/>
          </w:tcPr>
          <w:p>
            <w:pPr>
              <w:ind w:left="240"/>
              <w:spacing w:after="0"/>
              <w:rPr>
                <w:sz w:val="20"/>
                <w:szCs w:val="20"/>
                <w:color w:val="auto"/>
              </w:rPr>
            </w:pPr>
            <w:r>
              <w:rPr>
                <w:rFonts w:ascii="Arial" w:cs="Arial" w:eastAsia="Arial" w:hAnsi="Arial"/>
                <w:sz w:val="18"/>
                <w:szCs w:val="18"/>
                <w:color w:val="auto"/>
              </w:rPr>
              <w:t>(Not less than 1.5:1.0)</w:t>
            </w:r>
          </w:p>
        </w:tc>
        <w:tc>
          <w:tcPr>
            <w:tcW w:w="108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000" w:type="dxa"/>
            <w:vAlign w:val="bottom"/>
          </w:tcPr>
          <w:p>
            <w:pPr>
              <w:spacing w:after="0"/>
              <w:rPr>
                <w:sz w:val="20"/>
                <w:szCs w:val="20"/>
                <w:color w:val="auto"/>
              </w:rPr>
            </w:pPr>
          </w:p>
        </w:tc>
        <w:tc>
          <w:tcPr>
            <w:tcW w:w="80" w:type="dxa"/>
            <w:vAlign w:val="bottom"/>
          </w:tcPr>
          <w:p>
            <w:pPr>
              <w:spacing w:after="0"/>
              <w:rPr>
                <w:sz w:val="20"/>
                <w:szCs w:val="20"/>
                <w:color w:val="auto"/>
              </w:rPr>
            </w:pPr>
          </w:p>
        </w:tc>
      </w:tr>
    </w:tbl>
    <w:p>
      <w:pPr>
        <w:spacing w:after="0" w:line="201" w:lineRule="exact"/>
        <w:rPr>
          <w:sz w:val="20"/>
          <w:szCs w:val="20"/>
          <w:color w:val="auto"/>
        </w:rPr>
      </w:pPr>
    </w:p>
    <w:p>
      <w:pPr>
        <w:ind w:left="520"/>
        <w:spacing w:after="0"/>
        <w:rPr>
          <w:sz w:val="20"/>
          <w:szCs w:val="20"/>
          <w:color w:val="auto"/>
        </w:rPr>
      </w:pPr>
      <w:r>
        <w:rPr>
          <w:rFonts w:ascii="Arial" w:cs="Arial" w:eastAsia="Arial" w:hAnsi="Arial"/>
          <w:sz w:val="18"/>
          <w:szCs w:val="18"/>
          <w:color w:val="auto"/>
        </w:rPr>
        <w:t>As of March 31, 2015 we were in compliance with all of these financial covenants.</w:t>
      </w:r>
    </w:p>
    <w:p>
      <w:pPr>
        <w:spacing w:after="0" w:line="333" w:lineRule="exact"/>
        <w:rPr>
          <w:sz w:val="20"/>
          <w:szCs w:val="20"/>
          <w:color w:val="auto"/>
        </w:rPr>
      </w:pPr>
    </w:p>
    <w:p>
      <w:pPr>
        <w:ind w:left="260"/>
        <w:spacing w:after="0"/>
        <w:rPr>
          <w:sz w:val="20"/>
          <w:szCs w:val="20"/>
          <w:color w:val="auto"/>
        </w:rPr>
      </w:pPr>
      <w:r>
        <w:rPr>
          <w:rFonts w:ascii="Arial" w:cs="Arial" w:eastAsia="Arial" w:hAnsi="Arial"/>
          <w:sz w:val="18"/>
          <w:szCs w:val="18"/>
          <w:b w:val="1"/>
          <w:bCs w:val="1"/>
          <w:i w:val="1"/>
          <w:iCs w:val="1"/>
          <w:color w:val="auto"/>
        </w:rPr>
        <w:t>Leverage Ratios</w:t>
      </w:r>
    </w:p>
    <w:p>
      <w:pPr>
        <w:spacing w:after="0" w:line="117" w:lineRule="exact"/>
        <w:rPr>
          <w:sz w:val="20"/>
          <w:szCs w:val="20"/>
          <w:color w:val="auto"/>
        </w:rPr>
      </w:pPr>
    </w:p>
    <w:p>
      <w:pPr>
        <w:ind w:right="260" w:firstLine="518"/>
        <w:spacing w:after="0" w:line="308" w:lineRule="auto"/>
        <w:rPr>
          <w:sz w:val="20"/>
          <w:szCs w:val="20"/>
          <w:color w:val="auto"/>
        </w:rPr>
      </w:pPr>
      <w:r>
        <w:rPr>
          <w:rFonts w:ascii="Arial" w:cs="Arial" w:eastAsia="Arial" w:hAnsi="Arial"/>
          <w:sz w:val="17"/>
          <w:szCs w:val="17"/>
          <w:color w:val="auto"/>
        </w:rPr>
        <w:t>We believe that our leverage ratios provide useful information to the users of our financial statements regarding our financial position and cash and debt management. The ratio of debt-to-capital and the ratio of net debt-to-capital are calculated as follows (dollars in thousands):</w:t>
      </w:r>
    </w:p>
    <w:p>
      <w:pPr>
        <w:spacing w:after="0" w:line="246" w:lineRule="exact"/>
        <w:rPr>
          <w:sz w:val="20"/>
          <w:szCs w:val="20"/>
          <w:color w:val="auto"/>
        </w:rPr>
      </w:pPr>
    </w:p>
    <w:tbl>
      <w:tblPr>
        <w:tblLayout w:type="fixed"/>
        <w:tblInd w:w="1720" w:type="dxa"/>
        <w:tblCellMar>
          <w:top w:w="0" w:type="dxa"/>
          <w:left w:w="0" w:type="dxa"/>
          <w:bottom w:w="0" w:type="dxa"/>
          <w:right w:w="0" w:type="dxa"/>
        </w:tblCellMar>
      </w:tblPr>
      <w:tr>
        <w:trPr>
          <w:trHeight w:val="162"/>
        </w:trPr>
        <w:tc>
          <w:tcPr>
            <w:tcW w:w="20" w:type="dxa"/>
            <w:vAlign w:val="bottom"/>
          </w:tcPr>
          <w:p>
            <w:pPr>
              <w:spacing w:after="0"/>
              <w:rPr>
                <w:sz w:val="14"/>
                <w:szCs w:val="14"/>
                <w:color w:val="auto"/>
              </w:rPr>
            </w:pPr>
          </w:p>
        </w:tc>
        <w:tc>
          <w:tcPr>
            <w:tcW w:w="4000" w:type="dxa"/>
            <w:vAlign w:val="bottom"/>
          </w:tcPr>
          <w:p>
            <w:pPr>
              <w:spacing w:after="0"/>
              <w:rPr>
                <w:sz w:val="14"/>
                <w:szCs w:val="14"/>
                <w:color w:val="auto"/>
              </w:rPr>
            </w:pPr>
          </w:p>
        </w:tc>
        <w:tc>
          <w:tcPr>
            <w:tcW w:w="14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120" w:type="dxa"/>
            <w:vAlign w:val="bottom"/>
            <w:gridSpan w:val="2"/>
          </w:tcPr>
          <w:p>
            <w:pPr>
              <w:jc w:val="right"/>
              <w:ind w:right="420"/>
              <w:spacing w:after="0"/>
              <w:rPr>
                <w:sz w:val="20"/>
                <w:szCs w:val="20"/>
                <w:color w:val="auto"/>
              </w:rPr>
            </w:pPr>
            <w:r>
              <w:rPr>
                <w:rFonts w:ascii="Arial" w:cs="Arial" w:eastAsia="Arial" w:hAnsi="Arial"/>
                <w:sz w:val="14"/>
                <w:szCs w:val="14"/>
                <w:b w:val="1"/>
                <w:bCs w:val="1"/>
                <w:color w:val="auto"/>
              </w:rPr>
              <w:t>March 31,</w:t>
            </w:r>
          </w:p>
        </w:tc>
        <w:tc>
          <w:tcPr>
            <w:tcW w:w="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160" w:type="dxa"/>
            <w:vAlign w:val="bottom"/>
            <w:gridSpan w:val="2"/>
          </w:tcPr>
          <w:p>
            <w:pPr>
              <w:jc w:val="right"/>
              <w:ind w:right="300"/>
              <w:spacing w:after="0"/>
              <w:rPr>
                <w:sz w:val="20"/>
                <w:szCs w:val="20"/>
                <w:color w:val="auto"/>
              </w:rPr>
            </w:pPr>
            <w:r>
              <w:rPr>
                <w:rFonts w:ascii="Arial" w:cs="Arial" w:eastAsia="Arial" w:hAnsi="Arial"/>
                <w:sz w:val="14"/>
                <w:szCs w:val="14"/>
                <w:b w:val="1"/>
                <w:bCs w:val="1"/>
                <w:color w:val="auto"/>
                <w:w w:val="92"/>
              </w:rPr>
              <w:t>December 31,</w:t>
            </w: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4000" w:type="dxa"/>
            <w:vAlign w:val="bottom"/>
            <w:tcBorders>
              <w:bottom w:val="single" w:sz="8" w:color="CFF0FC"/>
            </w:tcBorders>
          </w:tcPr>
          <w:p>
            <w:pPr>
              <w:spacing w:after="0"/>
              <w:rPr>
                <w:sz w:val="14"/>
                <w:szCs w:val="14"/>
                <w:color w:val="auto"/>
              </w:rPr>
            </w:pPr>
          </w:p>
        </w:tc>
        <w:tc>
          <w:tcPr>
            <w:tcW w:w="1400" w:type="dxa"/>
            <w:vAlign w:val="bottom"/>
            <w:tcBorders>
              <w:bottom w:val="single" w:sz="8" w:color="CFF0FC"/>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920" w:type="dxa"/>
            <w:vAlign w:val="bottom"/>
            <w:tcBorders>
              <w:bottom w:val="single" w:sz="8" w:color="auto"/>
            </w:tcBorders>
          </w:tcPr>
          <w:p>
            <w:pPr>
              <w:jc w:val="right"/>
              <w:ind w:right="313"/>
              <w:spacing w:after="0"/>
              <w:rPr>
                <w:sz w:val="20"/>
                <w:szCs w:val="20"/>
                <w:color w:val="auto"/>
              </w:rPr>
            </w:pPr>
            <w:r>
              <w:rPr>
                <w:rFonts w:ascii="Arial" w:cs="Arial" w:eastAsia="Arial" w:hAnsi="Arial"/>
                <w:sz w:val="14"/>
                <w:szCs w:val="14"/>
                <w:b w:val="1"/>
                <w:bCs w:val="1"/>
                <w:color w:val="auto"/>
              </w:rPr>
              <w:t>2015</w:t>
            </w:r>
          </w:p>
        </w:tc>
        <w:tc>
          <w:tcPr>
            <w:tcW w:w="200" w:type="dxa"/>
            <w:vAlign w:val="bottom"/>
            <w:tcBorders>
              <w:bottom w:val="single" w:sz="8" w:color="CFF0FC"/>
            </w:tcBorders>
          </w:tcPr>
          <w:p>
            <w:pPr>
              <w:spacing w:after="0"/>
              <w:rPr>
                <w:sz w:val="14"/>
                <w:szCs w:val="14"/>
                <w:color w:val="auto"/>
              </w:rPr>
            </w:pPr>
          </w:p>
        </w:tc>
        <w:tc>
          <w:tcPr>
            <w:tcW w:w="40" w:type="dxa"/>
            <w:vAlign w:val="bottom"/>
            <w:tcBorders>
              <w:bottom w:val="single" w:sz="8" w:color="CFF0FC"/>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980" w:type="dxa"/>
            <w:vAlign w:val="bottom"/>
            <w:tcBorders>
              <w:bottom w:val="single" w:sz="8" w:color="auto"/>
            </w:tcBorders>
          </w:tcPr>
          <w:p>
            <w:pPr>
              <w:jc w:val="right"/>
              <w:ind w:right="313"/>
              <w:spacing w:after="0"/>
              <w:rPr>
                <w:sz w:val="20"/>
                <w:szCs w:val="20"/>
                <w:color w:val="auto"/>
              </w:rPr>
            </w:pPr>
            <w:r>
              <w:rPr>
                <w:rFonts w:ascii="Arial" w:cs="Arial" w:eastAsia="Arial" w:hAnsi="Arial"/>
                <w:sz w:val="14"/>
                <w:szCs w:val="14"/>
                <w:b w:val="1"/>
                <w:bCs w:val="1"/>
                <w:color w:val="auto"/>
              </w:rPr>
              <w:t>2014</w:t>
            </w:r>
          </w:p>
        </w:tc>
        <w:tc>
          <w:tcPr>
            <w:tcW w:w="180" w:type="dxa"/>
            <w:vAlign w:val="bottom"/>
            <w:tcBorders>
              <w:bottom w:val="single" w:sz="8" w:color="CFF0FC"/>
            </w:tcBorders>
          </w:tcPr>
          <w:p>
            <w:pPr>
              <w:spacing w:after="0"/>
              <w:rPr>
                <w:sz w:val="14"/>
                <w:szCs w:val="14"/>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4000" w:type="dxa"/>
            <w:vAlign w:val="bottom"/>
            <w:shd w:val="clear" w:color="auto" w:fill="CFF0FC"/>
          </w:tcPr>
          <w:p>
            <w:pPr>
              <w:spacing w:after="0"/>
              <w:rPr>
                <w:sz w:val="20"/>
                <w:szCs w:val="20"/>
                <w:color w:val="auto"/>
              </w:rPr>
            </w:pPr>
            <w:r>
              <w:rPr>
                <w:rFonts w:ascii="Arial" w:cs="Arial" w:eastAsia="Arial" w:hAnsi="Arial"/>
                <w:sz w:val="18"/>
                <w:szCs w:val="18"/>
                <w:color w:val="auto"/>
              </w:rPr>
              <w:t>Notes payable and other borrowings</w:t>
            </w:r>
          </w:p>
        </w:tc>
        <w:tc>
          <w:tcPr>
            <w:tcW w:w="1400" w:type="dxa"/>
            <w:vAlign w:val="bottom"/>
            <w:shd w:val="clear" w:color="auto" w:fill="CFF0FC"/>
          </w:tcPr>
          <w:p>
            <w:pPr>
              <w:spacing w:after="0"/>
              <w:rPr>
                <w:sz w:val="19"/>
                <w:szCs w:val="19"/>
                <w:color w:val="auto"/>
              </w:rPr>
            </w:pPr>
          </w:p>
        </w:tc>
        <w:tc>
          <w:tcPr>
            <w:tcW w:w="140" w:type="dxa"/>
            <w:vAlign w:val="bottom"/>
            <w:shd w:val="clear" w:color="auto" w:fill="CFF0FC"/>
          </w:tcPr>
          <w:p>
            <w:pPr>
              <w:jc w:val="right"/>
              <w:spacing w:after="0"/>
              <w:rPr>
                <w:sz w:val="20"/>
                <w:szCs w:val="20"/>
                <w:color w:val="auto"/>
              </w:rPr>
            </w:pPr>
            <w:r>
              <w:rPr>
                <w:rFonts w:ascii="Arial" w:cs="Arial" w:eastAsia="Arial" w:hAnsi="Arial"/>
                <w:sz w:val="15"/>
                <w:szCs w:val="15"/>
                <w:color w:val="auto"/>
                <w:w w:val="71"/>
              </w:rPr>
              <w:t>$</w:t>
            </w:r>
          </w:p>
        </w:tc>
        <w:tc>
          <w:tcPr>
            <w:tcW w:w="9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322,142</w:t>
            </w:r>
          </w:p>
        </w:tc>
        <w:tc>
          <w:tcPr>
            <w:tcW w:w="200" w:type="dxa"/>
            <w:vAlign w:val="bottom"/>
            <w:shd w:val="clear" w:color="auto" w:fill="CFF0FC"/>
          </w:tcPr>
          <w:p>
            <w:pPr>
              <w:spacing w:after="0"/>
              <w:rPr>
                <w:sz w:val="19"/>
                <w:szCs w:val="19"/>
                <w:color w:val="auto"/>
              </w:rPr>
            </w:pPr>
          </w:p>
        </w:tc>
        <w:tc>
          <w:tcPr>
            <w:tcW w:w="40" w:type="dxa"/>
            <w:vAlign w:val="bottom"/>
            <w:shd w:val="clear" w:color="auto" w:fill="CFF0FC"/>
          </w:tcPr>
          <w:p>
            <w:pPr>
              <w:spacing w:after="0"/>
              <w:rPr>
                <w:sz w:val="19"/>
                <w:szCs w:val="19"/>
                <w:color w:val="auto"/>
              </w:rPr>
            </w:pPr>
          </w:p>
        </w:tc>
        <w:tc>
          <w:tcPr>
            <w:tcW w:w="100" w:type="dxa"/>
            <w:vAlign w:val="bottom"/>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9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274,677</w:t>
            </w:r>
          </w:p>
        </w:tc>
        <w:tc>
          <w:tcPr>
            <w:tcW w:w="18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4000" w:type="dxa"/>
            <w:vAlign w:val="bottom"/>
            <w:tcBorders>
              <w:bottom w:val="single" w:sz="8" w:color="CFF0FC"/>
            </w:tcBorders>
          </w:tcPr>
          <w:p>
            <w:pPr>
              <w:spacing w:after="0"/>
              <w:rPr>
                <w:sz w:val="20"/>
                <w:szCs w:val="20"/>
                <w:color w:val="auto"/>
              </w:rPr>
            </w:pPr>
            <w:r>
              <w:rPr>
                <w:rFonts w:ascii="Arial" w:cs="Arial" w:eastAsia="Arial" w:hAnsi="Arial"/>
                <w:sz w:val="18"/>
                <w:szCs w:val="18"/>
                <w:color w:val="auto"/>
              </w:rPr>
              <w:t>Senior Notes</w:t>
            </w:r>
          </w:p>
        </w:tc>
        <w:tc>
          <w:tcPr>
            <w:tcW w:w="1400" w:type="dxa"/>
            <w:vAlign w:val="bottom"/>
            <w:tcBorders>
              <w:bottom w:val="single" w:sz="8" w:color="CFF0FC"/>
            </w:tcBorders>
          </w:tcPr>
          <w:p>
            <w:pPr>
              <w:spacing w:after="0"/>
              <w:rPr>
                <w:sz w:val="19"/>
                <w:szCs w:val="19"/>
                <w:color w:val="auto"/>
              </w:rPr>
            </w:pPr>
          </w:p>
        </w:tc>
        <w:tc>
          <w:tcPr>
            <w:tcW w:w="140" w:type="dxa"/>
            <w:vAlign w:val="bottom"/>
            <w:tcBorders>
              <w:bottom w:val="single" w:sz="8" w:color="auto"/>
            </w:tcBorders>
          </w:tcPr>
          <w:p>
            <w:pPr>
              <w:spacing w:after="0"/>
              <w:rPr>
                <w:sz w:val="19"/>
                <w:szCs w:val="19"/>
                <w:color w:val="auto"/>
              </w:rPr>
            </w:pP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887,882</w:t>
            </w:r>
          </w:p>
        </w:tc>
        <w:tc>
          <w:tcPr>
            <w:tcW w:w="200" w:type="dxa"/>
            <w:vAlign w:val="bottom"/>
            <w:tcBorders>
              <w:bottom w:val="single" w:sz="8" w:color="CFF0FC"/>
            </w:tcBorders>
          </w:tcPr>
          <w:p>
            <w:pPr>
              <w:spacing w:after="0"/>
              <w:rPr>
                <w:sz w:val="19"/>
                <w:szCs w:val="19"/>
                <w:color w:val="auto"/>
              </w:rPr>
            </w:pPr>
          </w:p>
        </w:tc>
        <w:tc>
          <w:tcPr>
            <w:tcW w:w="40" w:type="dxa"/>
            <w:vAlign w:val="bottom"/>
            <w:tcBorders>
              <w:bottom w:val="single" w:sz="8" w:color="CFF0FC"/>
            </w:tcBorders>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9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887,502</w:t>
            </w:r>
          </w:p>
        </w:tc>
        <w:tc>
          <w:tcPr>
            <w:tcW w:w="180" w:type="dxa"/>
            <w:vAlign w:val="bottom"/>
            <w:tcBorders>
              <w:bottom w:val="single" w:sz="8" w:color="CFF0FC"/>
            </w:tcBorders>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4000" w:type="dxa"/>
            <w:vAlign w:val="bottom"/>
            <w:shd w:val="clear" w:color="auto" w:fill="CFF0FC"/>
          </w:tcPr>
          <w:p>
            <w:pPr>
              <w:ind w:left="220"/>
              <w:spacing w:after="0"/>
              <w:rPr>
                <w:sz w:val="20"/>
                <w:szCs w:val="20"/>
                <w:color w:val="auto"/>
              </w:rPr>
            </w:pPr>
            <w:r>
              <w:rPr>
                <w:rFonts w:ascii="Arial" w:cs="Arial" w:eastAsia="Arial" w:hAnsi="Arial"/>
                <w:sz w:val="18"/>
                <w:szCs w:val="18"/>
                <w:color w:val="auto"/>
              </w:rPr>
              <w:t>Total debt</w:t>
            </w:r>
          </w:p>
        </w:tc>
        <w:tc>
          <w:tcPr>
            <w:tcW w:w="1400" w:type="dxa"/>
            <w:vAlign w:val="bottom"/>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9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1,210,024</w:t>
            </w:r>
          </w:p>
        </w:tc>
        <w:tc>
          <w:tcPr>
            <w:tcW w:w="200" w:type="dxa"/>
            <w:vAlign w:val="bottom"/>
            <w:shd w:val="clear" w:color="auto" w:fill="CFF0FC"/>
          </w:tcPr>
          <w:p>
            <w:pPr>
              <w:spacing w:after="0"/>
              <w:rPr>
                <w:sz w:val="19"/>
                <w:szCs w:val="19"/>
                <w:color w:val="auto"/>
              </w:rPr>
            </w:pPr>
          </w:p>
        </w:tc>
        <w:tc>
          <w:tcPr>
            <w:tcW w:w="4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9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1,162,179</w:t>
            </w:r>
          </w:p>
        </w:tc>
        <w:tc>
          <w:tcPr>
            <w:tcW w:w="18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4000" w:type="dxa"/>
            <w:vAlign w:val="bottom"/>
            <w:tcBorders>
              <w:bottom w:val="single" w:sz="8" w:color="CFF0FC"/>
            </w:tcBorders>
          </w:tcPr>
          <w:p>
            <w:pPr>
              <w:spacing w:after="0"/>
              <w:rPr>
                <w:sz w:val="20"/>
                <w:szCs w:val="20"/>
                <w:color w:val="auto"/>
              </w:rPr>
            </w:pPr>
            <w:r>
              <w:rPr>
                <w:rFonts w:ascii="Arial" w:cs="Arial" w:eastAsia="Arial" w:hAnsi="Arial"/>
                <w:sz w:val="18"/>
                <w:szCs w:val="18"/>
                <w:color w:val="auto"/>
              </w:rPr>
              <w:t>Stockholders' equity</w:t>
            </w:r>
          </w:p>
        </w:tc>
        <w:tc>
          <w:tcPr>
            <w:tcW w:w="1400" w:type="dxa"/>
            <w:vAlign w:val="bottom"/>
            <w:tcBorders>
              <w:bottom w:val="single" w:sz="8" w:color="CFF0FC"/>
            </w:tcBorders>
          </w:tcPr>
          <w:p>
            <w:pPr>
              <w:spacing w:after="0"/>
              <w:rPr>
                <w:sz w:val="19"/>
                <w:szCs w:val="19"/>
                <w:color w:val="auto"/>
              </w:rPr>
            </w:pPr>
          </w:p>
        </w:tc>
        <w:tc>
          <w:tcPr>
            <w:tcW w:w="140" w:type="dxa"/>
            <w:vAlign w:val="bottom"/>
            <w:tcBorders>
              <w:bottom w:val="single" w:sz="8" w:color="auto"/>
            </w:tcBorders>
          </w:tcPr>
          <w:p>
            <w:pPr>
              <w:spacing w:after="0"/>
              <w:rPr>
                <w:sz w:val="19"/>
                <w:szCs w:val="19"/>
                <w:color w:val="auto"/>
              </w:rPr>
            </w:pP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1,470,602</w:t>
            </w:r>
          </w:p>
        </w:tc>
        <w:tc>
          <w:tcPr>
            <w:tcW w:w="200" w:type="dxa"/>
            <w:vAlign w:val="bottom"/>
            <w:tcBorders>
              <w:bottom w:val="single" w:sz="8" w:color="CFF0FC"/>
            </w:tcBorders>
          </w:tcPr>
          <w:p>
            <w:pPr>
              <w:spacing w:after="0"/>
              <w:rPr>
                <w:sz w:val="19"/>
                <w:szCs w:val="19"/>
                <w:color w:val="auto"/>
              </w:rPr>
            </w:pPr>
          </w:p>
        </w:tc>
        <w:tc>
          <w:tcPr>
            <w:tcW w:w="40" w:type="dxa"/>
            <w:vAlign w:val="bottom"/>
            <w:tcBorders>
              <w:bottom w:val="single" w:sz="8" w:color="CFF0FC"/>
            </w:tcBorders>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9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1,454,180</w:t>
            </w:r>
          </w:p>
        </w:tc>
        <w:tc>
          <w:tcPr>
            <w:tcW w:w="180" w:type="dxa"/>
            <w:vAlign w:val="bottom"/>
            <w:tcBorders>
              <w:bottom w:val="single" w:sz="8" w:color="CFF0FC"/>
            </w:tcBorders>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4000" w:type="dxa"/>
            <w:vAlign w:val="bottom"/>
            <w:tcBorders>
              <w:bottom w:val="single" w:sz="8" w:color="CFF0FC"/>
            </w:tcBorders>
            <w:shd w:val="clear" w:color="auto" w:fill="CFF0FC"/>
          </w:tcPr>
          <w:p>
            <w:pPr>
              <w:ind w:left="220"/>
              <w:spacing w:after="0"/>
              <w:rPr>
                <w:sz w:val="20"/>
                <w:szCs w:val="20"/>
                <w:color w:val="auto"/>
              </w:rPr>
            </w:pPr>
            <w:r>
              <w:rPr>
                <w:rFonts w:ascii="Arial" w:cs="Arial" w:eastAsia="Arial" w:hAnsi="Arial"/>
                <w:sz w:val="18"/>
                <w:szCs w:val="18"/>
                <w:color w:val="auto"/>
              </w:rPr>
              <w:t>Total capital</w:t>
            </w:r>
          </w:p>
        </w:tc>
        <w:tc>
          <w:tcPr>
            <w:tcW w:w="1400" w:type="dxa"/>
            <w:vAlign w:val="bottom"/>
            <w:tcBorders>
              <w:bottom w:val="single" w:sz="8" w:color="CFF0FC"/>
            </w:tcBorders>
            <w:shd w:val="clear" w:color="auto" w:fill="CFF0FC"/>
          </w:tcPr>
          <w:p>
            <w:pPr>
              <w:spacing w:after="0"/>
              <w:rPr>
                <w:sz w:val="19"/>
                <w:szCs w:val="19"/>
                <w:color w:val="auto"/>
              </w:rPr>
            </w:pPr>
          </w:p>
        </w:tc>
        <w:tc>
          <w:tcPr>
            <w:tcW w:w="14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5"/>
                <w:szCs w:val="15"/>
                <w:color w:val="auto"/>
                <w:w w:val="71"/>
              </w:rPr>
              <w:t>$</w:t>
            </w:r>
          </w:p>
        </w:tc>
        <w:tc>
          <w:tcPr>
            <w:tcW w:w="9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2,680,626</w:t>
            </w:r>
          </w:p>
        </w:tc>
        <w:tc>
          <w:tcPr>
            <w:tcW w:w="200" w:type="dxa"/>
            <w:vAlign w:val="bottom"/>
            <w:tcBorders>
              <w:bottom w:val="single" w:sz="8" w:color="CFF0FC"/>
            </w:tcBorders>
            <w:shd w:val="clear" w:color="auto" w:fill="CFF0FC"/>
          </w:tcPr>
          <w:p>
            <w:pPr>
              <w:spacing w:after="0"/>
              <w:rPr>
                <w:sz w:val="19"/>
                <w:szCs w:val="19"/>
                <w:color w:val="auto"/>
              </w:rPr>
            </w:pPr>
          </w:p>
        </w:tc>
        <w:tc>
          <w:tcPr>
            <w:tcW w:w="40" w:type="dxa"/>
            <w:vAlign w:val="bottom"/>
            <w:tcBorders>
              <w:bottom w:val="single" w:sz="8" w:color="CFF0FC"/>
            </w:tcBorders>
            <w:shd w:val="clear" w:color="auto" w:fill="CFF0FC"/>
          </w:tcPr>
          <w:p>
            <w:pPr>
              <w:spacing w:after="0"/>
              <w:rPr>
                <w:sz w:val="19"/>
                <w:szCs w:val="19"/>
                <w:color w:val="auto"/>
              </w:rPr>
            </w:pPr>
          </w:p>
        </w:tc>
        <w:tc>
          <w:tcPr>
            <w:tcW w:w="10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98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2,616,359</w:t>
            </w:r>
          </w:p>
        </w:tc>
        <w:tc>
          <w:tcPr>
            <w:tcW w:w="180" w:type="dxa"/>
            <w:vAlign w:val="bottom"/>
            <w:tcBorders>
              <w:bottom w:val="single" w:sz="8" w:color="CFF0FC"/>
            </w:tcBorders>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4020" w:type="dxa"/>
            <w:vAlign w:val="bottom"/>
            <w:gridSpan w:val="2"/>
            <w:vMerge w:val="restart"/>
          </w:tcPr>
          <w:p>
            <w:pPr>
              <w:spacing w:after="0"/>
              <w:rPr>
                <w:sz w:val="20"/>
                <w:szCs w:val="20"/>
                <w:color w:val="auto"/>
              </w:rPr>
            </w:pPr>
            <w:r>
              <w:rPr>
                <w:rFonts w:ascii="Arial" w:cs="Arial" w:eastAsia="Arial" w:hAnsi="Arial"/>
                <w:sz w:val="18"/>
                <w:szCs w:val="18"/>
                <w:color w:val="auto"/>
              </w:rPr>
              <w:t>Ratio of debt-to-capital</w:t>
            </w:r>
            <w:r>
              <w:rPr>
                <w:rFonts w:ascii="Arial" w:cs="Arial" w:eastAsia="Arial" w:hAnsi="Arial"/>
                <w:sz w:val="15"/>
                <w:szCs w:val="15"/>
                <w:color w:val="auto"/>
              </w:rPr>
              <w:t>(1)</w:t>
            </w:r>
          </w:p>
        </w:tc>
        <w:tc>
          <w:tcPr>
            <w:tcW w:w="14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4020" w:type="dxa"/>
            <w:vAlign w:val="bottom"/>
            <w:gridSpan w:val="2"/>
            <w:vMerge w:val="continue"/>
          </w:tcPr>
          <w:p>
            <w:pPr>
              <w:spacing w:after="0"/>
              <w:rPr>
                <w:sz w:val="18"/>
                <w:szCs w:val="18"/>
                <w:color w:val="auto"/>
              </w:rPr>
            </w:pPr>
          </w:p>
        </w:tc>
        <w:tc>
          <w:tcPr>
            <w:tcW w:w="14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120" w:type="dxa"/>
            <w:vAlign w:val="bottom"/>
            <w:gridSpan w:val="2"/>
          </w:tcPr>
          <w:p>
            <w:pPr>
              <w:jc w:val="right"/>
              <w:ind w:right="40"/>
              <w:spacing w:after="0"/>
              <w:rPr>
                <w:sz w:val="20"/>
                <w:szCs w:val="20"/>
                <w:color w:val="auto"/>
              </w:rPr>
            </w:pPr>
            <w:r>
              <w:rPr>
                <w:rFonts w:ascii="Arial" w:cs="Arial" w:eastAsia="Arial" w:hAnsi="Arial"/>
                <w:sz w:val="18"/>
                <w:szCs w:val="18"/>
                <w:color w:val="auto"/>
              </w:rPr>
              <w:t>45.1%</w:t>
            </w:r>
          </w:p>
        </w:tc>
        <w:tc>
          <w:tcPr>
            <w:tcW w:w="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60" w:type="dxa"/>
            <w:vAlign w:val="bottom"/>
            <w:gridSpan w:val="2"/>
          </w:tcPr>
          <w:p>
            <w:pPr>
              <w:jc w:val="right"/>
              <w:ind w:right="40"/>
              <w:spacing w:after="0"/>
              <w:rPr>
                <w:sz w:val="20"/>
                <w:szCs w:val="20"/>
                <w:color w:val="auto"/>
              </w:rPr>
            </w:pPr>
            <w:r>
              <w:rPr>
                <w:rFonts w:ascii="Arial" w:cs="Arial" w:eastAsia="Arial" w:hAnsi="Arial"/>
                <w:sz w:val="18"/>
                <w:szCs w:val="18"/>
                <w:color w:val="auto"/>
              </w:rPr>
              <w:t>44.4%</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000" w:type="dxa"/>
            <w:vAlign w:val="bottom"/>
          </w:tcPr>
          <w:p>
            <w:pPr>
              <w:spacing w:after="0" w:line="20" w:lineRule="exact"/>
              <w:rPr>
                <w:sz w:val="1"/>
                <w:szCs w:val="1"/>
                <w:color w:val="auto"/>
              </w:rPr>
            </w:pPr>
          </w:p>
        </w:tc>
        <w:tc>
          <w:tcPr>
            <w:tcW w:w="140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vMerge w:val="restart"/>
          </w:tcPr>
          <w:p>
            <w:pPr>
              <w:spacing w:after="0"/>
              <w:rPr>
                <w:sz w:val="18"/>
                <w:szCs w:val="18"/>
                <w:color w:val="auto"/>
              </w:rPr>
            </w:pPr>
          </w:p>
        </w:tc>
        <w:tc>
          <w:tcPr>
            <w:tcW w:w="4000" w:type="dxa"/>
            <w:vAlign w:val="bottom"/>
          </w:tcPr>
          <w:p>
            <w:pPr>
              <w:spacing w:after="0"/>
              <w:rPr>
                <w:sz w:val="18"/>
                <w:szCs w:val="18"/>
                <w:color w:val="auto"/>
              </w:rPr>
            </w:pPr>
          </w:p>
        </w:tc>
        <w:tc>
          <w:tcPr>
            <w:tcW w:w="14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20" w:type="dxa"/>
            <w:vAlign w:val="bottom"/>
            <w:vMerge w:val="continue"/>
          </w:tcPr>
          <w:p>
            <w:pPr>
              <w:spacing w:after="0"/>
              <w:rPr>
                <w:sz w:val="19"/>
                <w:szCs w:val="19"/>
                <w:color w:val="auto"/>
              </w:rPr>
            </w:pPr>
          </w:p>
        </w:tc>
        <w:tc>
          <w:tcPr>
            <w:tcW w:w="4000" w:type="dxa"/>
            <w:vAlign w:val="bottom"/>
            <w:shd w:val="clear" w:color="auto" w:fill="CFF0FC"/>
          </w:tcPr>
          <w:p>
            <w:pPr>
              <w:spacing w:after="0"/>
              <w:rPr>
                <w:sz w:val="20"/>
                <w:szCs w:val="20"/>
                <w:color w:val="auto"/>
              </w:rPr>
            </w:pPr>
            <w:r>
              <w:rPr>
                <w:rFonts w:ascii="Arial" w:cs="Arial" w:eastAsia="Arial" w:hAnsi="Arial"/>
                <w:sz w:val="18"/>
                <w:szCs w:val="18"/>
                <w:color w:val="auto"/>
              </w:rPr>
              <w:t>Total debt</w:t>
            </w:r>
          </w:p>
        </w:tc>
        <w:tc>
          <w:tcPr>
            <w:tcW w:w="1540" w:type="dxa"/>
            <w:vAlign w:val="bottom"/>
            <w:gridSpan w:val="2"/>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9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1,210,024</w:t>
            </w:r>
          </w:p>
        </w:tc>
        <w:tc>
          <w:tcPr>
            <w:tcW w:w="200" w:type="dxa"/>
            <w:vAlign w:val="bottom"/>
            <w:shd w:val="clear" w:color="auto" w:fill="CFF0FC"/>
          </w:tcPr>
          <w:p>
            <w:pPr>
              <w:spacing w:after="0"/>
              <w:rPr>
                <w:sz w:val="19"/>
                <w:szCs w:val="19"/>
                <w:color w:val="auto"/>
              </w:rPr>
            </w:pPr>
          </w:p>
        </w:tc>
        <w:tc>
          <w:tcPr>
            <w:tcW w:w="140" w:type="dxa"/>
            <w:vAlign w:val="bottom"/>
            <w:gridSpan w:val="2"/>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9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1,162,179</w:t>
            </w:r>
          </w:p>
        </w:tc>
        <w:tc>
          <w:tcPr>
            <w:tcW w:w="18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4000" w:type="dxa"/>
            <w:vAlign w:val="bottom"/>
          </w:tcPr>
          <w:p>
            <w:pPr>
              <w:spacing w:after="0"/>
              <w:rPr>
                <w:sz w:val="20"/>
                <w:szCs w:val="20"/>
                <w:color w:val="auto"/>
              </w:rPr>
            </w:pPr>
            <w:r>
              <w:rPr>
                <w:rFonts w:ascii="Arial" w:cs="Arial" w:eastAsia="Arial" w:hAnsi="Arial"/>
                <w:sz w:val="18"/>
                <w:szCs w:val="18"/>
                <w:color w:val="auto"/>
              </w:rPr>
              <w:t>Less: Cash and cash equivalents</w:t>
            </w:r>
          </w:p>
        </w:tc>
        <w:tc>
          <w:tcPr>
            <w:tcW w:w="14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120" w:type="dxa"/>
            <w:vAlign w:val="bottom"/>
            <w:gridSpan w:val="2"/>
          </w:tcPr>
          <w:p>
            <w:pPr>
              <w:jc w:val="right"/>
              <w:ind w:right="140"/>
              <w:spacing w:after="0"/>
              <w:rPr>
                <w:sz w:val="20"/>
                <w:szCs w:val="20"/>
                <w:color w:val="auto"/>
              </w:rPr>
            </w:pPr>
            <w:r>
              <w:rPr>
                <w:rFonts w:ascii="Arial" w:cs="Arial" w:eastAsia="Arial" w:hAnsi="Arial"/>
                <w:sz w:val="18"/>
                <w:szCs w:val="18"/>
                <w:color w:val="auto"/>
              </w:rPr>
              <w:t>(106,573)</w:t>
            </w:r>
          </w:p>
        </w:tc>
        <w:tc>
          <w:tcPr>
            <w:tcW w:w="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160" w:type="dxa"/>
            <w:vAlign w:val="bottom"/>
            <w:gridSpan w:val="2"/>
          </w:tcPr>
          <w:p>
            <w:pPr>
              <w:jc w:val="right"/>
              <w:ind w:right="120"/>
              <w:spacing w:after="0"/>
              <w:rPr>
                <w:sz w:val="20"/>
                <w:szCs w:val="20"/>
                <w:color w:val="auto"/>
              </w:rPr>
            </w:pPr>
            <w:r>
              <w:rPr>
                <w:rFonts w:ascii="Arial" w:cs="Arial" w:eastAsia="Arial" w:hAnsi="Arial"/>
                <w:sz w:val="18"/>
                <w:szCs w:val="18"/>
                <w:color w:val="auto"/>
              </w:rPr>
              <w:t>(170,629)</w:t>
            </w: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4000" w:type="dxa"/>
            <w:vAlign w:val="bottom"/>
            <w:tcBorders>
              <w:top w:val="single" w:sz="8" w:color="CFF0FC"/>
            </w:tcBorders>
            <w:shd w:val="clear" w:color="auto" w:fill="CFF0FC"/>
          </w:tcPr>
          <w:p>
            <w:pPr>
              <w:ind w:left="220"/>
              <w:spacing w:after="0"/>
              <w:rPr>
                <w:sz w:val="20"/>
                <w:szCs w:val="20"/>
                <w:color w:val="auto"/>
              </w:rPr>
            </w:pPr>
            <w:r>
              <w:rPr>
                <w:rFonts w:ascii="Arial" w:cs="Arial" w:eastAsia="Arial" w:hAnsi="Arial"/>
                <w:sz w:val="18"/>
                <w:szCs w:val="18"/>
                <w:color w:val="auto"/>
              </w:rPr>
              <w:t>Net debt</w:t>
            </w:r>
          </w:p>
        </w:tc>
        <w:tc>
          <w:tcPr>
            <w:tcW w:w="1400" w:type="dxa"/>
            <w:vAlign w:val="bottom"/>
            <w:tcBorders>
              <w:top w:val="single" w:sz="8" w:color="CFF0FC"/>
            </w:tcBorders>
            <w:shd w:val="clear" w:color="auto" w:fill="CFF0FC"/>
          </w:tcPr>
          <w:p>
            <w:pPr>
              <w:spacing w:after="0"/>
              <w:rPr>
                <w:sz w:val="19"/>
                <w:szCs w:val="19"/>
                <w:color w:val="auto"/>
              </w:rPr>
            </w:pPr>
          </w:p>
        </w:tc>
        <w:tc>
          <w:tcPr>
            <w:tcW w:w="140" w:type="dxa"/>
            <w:vAlign w:val="bottom"/>
            <w:tcBorders>
              <w:top w:val="single" w:sz="8" w:color="auto"/>
            </w:tcBorders>
            <w:shd w:val="clear" w:color="auto" w:fill="CFF0FC"/>
          </w:tcPr>
          <w:p>
            <w:pPr>
              <w:spacing w:after="0"/>
              <w:rPr>
                <w:sz w:val="19"/>
                <w:szCs w:val="19"/>
                <w:color w:val="auto"/>
              </w:rPr>
            </w:pPr>
          </w:p>
        </w:tc>
        <w:tc>
          <w:tcPr>
            <w:tcW w:w="92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1,103,451</w:t>
            </w:r>
          </w:p>
        </w:tc>
        <w:tc>
          <w:tcPr>
            <w:tcW w:w="200" w:type="dxa"/>
            <w:vAlign w:val="bottom"/>
            <w:tcBorders>
              <w:top w:val="single" w:sz="8" w:color="CFF0FC"/>
            </w:tcBorders>
            <w:shd w:val="clear" w:color="auto" w:fill="CFF0FC"/>
          </w:tcPr>
          <w:p>
            <w:pPr>
              <w:spacing w:after="0"/>
              <w:rPr>
                <w:sz w:val="19"/>
                <w:szCs w:val="19"/>
                <w:color w:val="auto"/>
              </w:rPr>
            </w:pPr>
          </w:p>
        </w:tc>
        <w:tc>
          <w:tcPr>
            <w:tcW w:w="40" w:type="dxa"/>
            <w:vAlign w:val="bottom"/>
            <w:tcBorders>
              <w:top w:val="single" w:sz="8" w:color="CFF0FC"/>
            </w:tcBorders>
            <w:shd w:val="clear" w:color="auto" w:fill="CFF0FC"/>
          </w:tcPr>
          <w:p>
            <w:pPr>
              <w:spacing w:after="0"/>
              <w:rPr>
                <w:sz w:val="19"/>
                <w:szCs w:val="19"/>
                <w:color w:val="auto"/>
              </w:rPr>
            </w:pPr>
          </w:p>
        </w:tc>
        <w:tc>
          <w:tcPr>
            <w:tcW w:w="100" w:type="dxa"/>
            <w:vAlign w:val="bottom"/>
            <w:tcBorders>
              <w:top w:val="single" w:sz="8" w:color="auto"/>
            </w:tcBorders>
            <w:shd w:val="clear" w:color="auto" w:fill="CFF0FC"/>
          </w:tcPr>
          <w:p>
            <w:pPr>
              <w:spacing w:after="0"/>
              <w:rPr>
                <w:sz w:val="19"/>
                <w:szCs w:val="19"/>
                <w:color w:val="auto"/>
              </w:rPr>
            </w:pPr>
          </w:p>
        </w:tc>
        <w:tc>
          <w:tcPr>
            <w:tcW w:w="98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991,550</w:t>
            </w:r>
          </w:p>
        </w:tc>
        <w:tc>
          <w:tcPr>
            <w:tcW w:w="180" w:type="dxa"/>
            <w:vAlign w:val="bottom"/>
            <w:tcBorders>
              <w:top w:val="single" w:sz="8" w:color="CFF0FC"/>
            </w:tcBorders>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4000" w:type="dxa"/>
            <w:vAlign w:val="bottom"/>
            <w:tcBorders>
              <w:bottom w:val="single" w:sz="8" w:color="CFF0FC"/>
            </w:tcBorders>
          </w:tcPr>
          <w:p>
            <w:pPr>
              <w:spacing w:after="0"/>
              <w:rPr>
                <w:sz w:val="20"/>
                <w:szCs w:val="20"/>
                <w:color w:val="auto"/>
              </w:rPr>
            </w:pPr>
            <w:r>
              <w:rPr>
                <w:rFonts w:ascii="Arial" w:cs="Arial" w:eastAsia="Arial" w:hAnsi="Arial"/>
                <w:sz w:val="18"/>
                <w:szCs w:val="18"/>
                <w:color w:val="auto"/>
              </w:rPr>
              <w:t>Stockholders' equity</w:t>
            </w:r>
          </w:p>
        </w:tc>
        <w:tc>
          <w:tcPr>
            <w:tcW w:w="1400" w:type="dxa"/>
            <w:vAlign w:val="bottom"/>
            <w:tcBorders>
              <w:bottom w:val="single" w:sz="8" w:color="CFF0FC"/>
            </w:tcBorders>
          </w:tcPr>
          <w:p>
            <w:pPr>
              <w:spacing w:after="0"/>
              <w:rPr>
                <w:sz w:val="19"/>
                <w:szCs w:val="19"/>
                <w:color w:val="auto"/>
              </w:rPr>
            </w:pPr>
          </w:p>
        </w:tc>
        <w:tc>
          <w:tcPr>
            <w:tcW w:w="140" w:type="dxa"/>
            <w:vAlign w:val="bottom"/>
            <w:tcBorders>
              <w:bottom w:val="single" w:sz="8" w:color="auto"/>
            </w:tcBorders>
          </w:tcPr>
          <w:p>
            <w:pPr>
              <w:spacing w:after="0"/>
              <w:rPr>
                <w:sz w:val="19"/>
                <w:szCs w:val="19"/>
                <w:color w:val="auto"/>
              </w:rPr>
            </w:pP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1,470,602</w:t>
            </w:r>
          </w:p>
        </w:tc>
        <w:tc>
          <w:tcPr>
            <w:tcW w:w="200" w:type="dxa"/>
            <w:vAlign w:val="bottom"/>
            <w:tcBorders>
              <w:bottom w:val="single" w:sz="8" w:color="CFF0FC"/>
            </w:tcBorders>
          </w:tcPr>
          <w:p>
            <w:pPr>
              <w:spacing w:after="0"/>
              <w:rPr>
                <w:sz w:val="19"/>
                <w:szCs w:val="19"/>
                <w:color w:val="auto"/>
              </w:rPr>
            </w:pPr>
          </w:p>
        </w:tc>
        <w:tc>
          <w:tcPr>
            <w:tcW w:w="40" w:type="dxa"/>
            <w:vAlign w:val="bottom"/>
            <w:tcBorders>
              <w:bottom w:val="single" w:sz="8" w:color="CFF0FC"/>
            </w:tcBorders>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9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1,454,180</w:t>
            </w:r>
          </w:p>
        </w:tc>
        <w:tc>
          <w:tcPr>
            <w:tcW w:w="180" w:type="dxa"/>
            <w:vAlign w:val="bottom"/>
            <w:tcBorders>
              <w:bottom w:val="single" w:sz="8" w:color="CFF0FC"/>
            </w:tcBorders>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4000" w:type="dxa"/>
            <w:vAlign w:val="bottom"/>
            <w:tcBorders>
              <w:bottom w:val="single" w:sz="8" w:color="CFF0FC"/>
            </w:tcBorders>
            <w:shd w:val="clear" w:color="auto" w:fill="CFF0FC"/>
          </w:tcPr>
          <w:p>
            <w:pPr>
              <w:ind w:left="220"/>
              <w:spacing w:after="0"/>
              <w:rPr>
                <w:sz w:val="20"/>
                <w:szCs w:val="20"/>
                <w:color w:val="auto"/>
              </w:rPr>
            </w:pPr>
            <w:r>
              <w:rPr>
                <w:rFonts w:ascii="Arial" w:cs="Arial" w:eastAsia="Arial" w:hAnsi="Arial"/>
                <w:sz w:val="18"/>
                <w:szCs w:val="18"/>
                <w:color w:val="auto"/>
              </w:rPr>
              <w:t>Total capital</w:t>
            </w:r>
          </w:p>
        </w:tc>
        <w:tc>
          <w:tcPr>
            <w:tcW w:w="1400" w:type="dxa"/>
            <w:vAlign w:val="bottom"/>
            <w:tcBorders>
              <w:bottom w:val="single" w:sz="8" w:color="CFF0FC"/>
            </w:tcBorders>
            <w:shd w:val="clear" w:color="auto" w:fill="CFF0FC"/>
          </w:tcPr>
          <w:p>
            <w:pPr>
              <w:spacing w:after="0"/>
              <w:rPr>
                <w:sz w:val="19"/>
                <w:szCs w:val="19"/>
                <w:color w:val="auto"/>
              </w:rPr>
            </w:pPr>
          </w:p>
        </w:tc>
        <w:tc>
          <w:tcPr>
            <w:tcW w:w="14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5"/>
                <w:szCs w:val="15"/>
                <w:color w:val="auto"/>
                <w:w w:val="71"/>
              </w:rPr>
              <w:t>$</w:t>
            </w:r>
          </w:p>
        </w:tc>
        <w:tc>
          <w:tcPr>
            <w:tcW w:w="9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2,574,053</w:t>
            </w:r>
          </w:p>
        </w:tc>
        <w:tc>
          <w:tcPr>
            <w:tcW w:w="200" w:type="dxa"/>
            <w:vAlign w:val="bottom"/>
            <w:tcBorders>
              <w:bottom w:val="single" w:sz="8" w:color="CFF0FC"/>
            </w:tcBorders>
            <w:shd w:val="clear" w:color="auto" w:fill="CFF0FC"/>
          </w:tcPr>
          <w:p>
            <w:pPr>
              <w:spacing w:after="0"/>
              <w:rPr>
                <w:sz w:val="19"/>
                <w:szCs w:val="19"/>
                <w:color w:val="auto"/>
              </w:rPr>
            </w:pPr>
          </w:p>
        </w:tc>
        <w:tc>
          <w:tcPr>
            <w:tcW w:w="40" w:type="dxa"/>
            <w:vAlign w:val="bottom"/>
            <w:tcBorders>
              <w:bottom w:val="single" w:sz="8" w:color="CFF0FC"/>
            </w:tcBorders>
            <w:shd w:val="clear" w:color="auto" w:fill="CFF0FC"/>
          </w:tcPr>
          <w:p>
            <w:pPr>
              <w:spacing w:after="0"/>
              <w:rPr>
                <w:sz w:val="19"/>
                <w:szCs w:val="19"/>
                <w:color w:val="auto"/>
              </w:rPr>
            </w:pPr>
          </w:p>
        </w:tc>
        <w:tc>
          <w:tcPr>
            <w:tcW w:w="10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98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2,445,730</w:t>
            </w:r>
          </w:p>
        </w:tc>
        <w:tc>
          <w:tcPr>
            <w:tcW w:w="180" w:type="dxa"/>
            <w:vAlign w:val="bottom"/>
            <w:tcBorders>
              <w:bottom w:val="single" w:sz="8" w:color="CFF0FC"/>
            </w:tcBorders>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4020" w:type="dxa"/>
            <w:vAlign w:val="bottom"/>
            <w:gridSpan w:val="2"/>
            <w:vMerge w:val="restart"/>
          </w:tcPr>
          <w:p>
            <w:pPr>
              <w:spacing w:after="0"/>
              <w:rPr>
                <w:sz w:val="20"/>
                <w:szCs w:val="20"/>
                <w:color w:val="auto"/>
              </w:rPr>
            </w:pPr>
            <w:r>
              <w:rPr>
                <w:rFonts w:ascii="Arial" w:cs="Arial" w:eastAsia="Arial" w:hAnsi="Arial"/>
                <w:sz w:val="18"/>
                <w:szCs w:val="18"/>
                <w:color w:val="auto"/>
              </w:rPr>
              <w:t>Ratio of net debt-to-capital</w:t>
            </w:r>
            <w:r>
              <w:rPr>
                <w:rFonts w:ascii="Arial" w:cs="Arial" w:eastAsia="Arial" w:hAnsi="Arial"/>
                <w:sz w:val="15"/>
                <w:szCs w:val="15"/>
                <w:color w:val="auto"/>
              </w:rPr>
              <w:t>(2)</w:t>
            </w:r>
          </w:p>
        </w:tc>
        <w:tc>
          <w:tcPr>
            <w:tcW w:w="14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4020" w:type="dxa"/>
            <w:vAlign w:val="bottom"/>
            <w:gridSpan w:val="2"/>
            <w:vMerge w:val="continue"/>
          </w:tcPr>
          <w:p>
            <w:pPr>
              <w:spacing w:after="0"/>
              <w:rPr>
                <w:sz w:val="18"/>
                <w:szCs w:val="18"/>
                <w:color w:val="auto"/>
              </w:rPr>
            </w:pPr>
          </w:p>
        </w:tc>
        <w:tc>
          <w:tcPr>
            <w:tcW w:w="14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120" w:type="dxa"/>
            <w:vAlign w:val="bottom"/>
            <w:gridSpan w:val="2"/>
          </w:tcPr>
          <w:p>
            <w:pPr>
              <w:jc w:val="right"/>
              <w:ind w:right="40"/>
              <w:spacing w:after="0"/>
              <w:rPr>
                <w:sz w:val="20"/>
                <w:szCs w:val="20"/>
                <w:color w:val="auto"/>
              </w:rPr>
            </w:pPr>
            <w:r>
              <w:rPr>
                <w:rFonts w:ascii="Arial" w:cs="Arial" w:eastAsia="Arial" w:hAnsi="Arial"/>
                <w:sz w:val="18"/>
                <w:szCs w:val="18"/>
                <w:color w:val="auto"/>
              </w:rPr>
              <w:t>42.9%</w:t>
            </w:r>
          </w:p>
        </w:tc>
        <w:tc>
          <w:tcPr>
            <w:tcW w:w="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60" w:type="dxa"/>
            <w:vAlign w:val="bottom"/>
            <w:gridSpan w:val="2"/>
          </w:tcPr>
          <w:p>
            <w:pPr>
              <w:jc w:val="right"/>
              <w:ind w:right="40"/>
              <w:spacing w:after="0"/>
              <w:rPr>
                <w:sz w:val="20"/>
                <w:szCs w:val="20"/>
                <w:color w:val="auto"/>
              </w:rPr>
            </w:pPr>
            <w:r>
              <w:rPr>
                <w:rFonts w:ascii="Arial" w:cs="Arial" w:eastAsia="Arial" w:hAnsi="Arial"/>
                <w:sz w:val="18"/>
                <w:szCs w:val="18"/>
                <w:color w:val="auto"/>
              </w:rPr>
              <w:t>40.5%</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000" w:type="dxa"/>
            <w:vAlign w:val="bottom"/>
          </w:tcPr>
          <w:p>
            <w:pPr>
              <w:spacing w:after="0" w:line="20" w:lineRule="exact"/>
              <w:rPr>
                <w:sz w:val="1"/>
                <w:szCs w:val="1"/>
                <w:color w:val="auto"/>
              </w:rPr>
            </w:pPr>
          </w:p>
        </w:tc>
        <w:tc>
          <w:tcPr>
            <w:tcW w:w="140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2" w:lineRule="exact"/>
        <w:rPr>
          <w:sz w:val="20"/>
          <w:szCs w:val="20"/>
          <w:color w:val="auto"/>
        </w:rPr>
      </w:pPr>
    </w:p>
    <w:p>
      <w:pPr>
        <w:ind w:left="540" w:hanging="532"/>
        <w:spacing w:after="0"/>
        <w:tabs>
          <w:tab w:leader="none" w:pos="540" w:val="left"/>
        </w:tabs>
        <w:numPr>
          <w:ilvl w:val="0"/>
          <w:numId w:val="26"/>
        </w:numPr>
        <w:rPr>
          <w:rFonts w:ascii="Arial" w:cs="Arial" w:eastAsia="Arial" w:hAnsi="Arial"/>
          <w:sz w:val="15"/>
          <w:szCs w:val="15"/>
          <w:color w:val="auto"/>
        </w:rPr>
      </w:pPr>
      <w:r>
        <w:rPr>
          <w:rFonts w:ascii="Arial" w:cs="Arial" w:eastAsia="Arial" w:hAnsi="Arial"/>
          <w:sz w:val="18"/>
          <w:szCs w:val="18"/>
          <w:color w:val="auto"/>
        </w:rPr>
        <w:t>The ratio of debt-to-capital is computed as the quotient obtained by dividing debt by the sum of total debt plus equity.</w:t>
      </w:r>
    </w:p>
    <w:p>
      <w:pPr>
        <w:spacing w:after="0" w:line="23" w:lineRule="exact"/>
        <w:rPr>
          <w:rFonts w:ascii="Arial" w:cs="Arial" w:eastAsia="Arial" w:hAnsi="Arial"/>
          <w:sz w:val="15"/>
          <w:szCs w:val="15"/>
          <w:color w:val="auto"/>
        </w:rPr>
      </w:pPr>
    </w:p>
    <w:p>
      <w:pPr>
        <w:ind w:left="540" w:hanging="532"/>
        <w:spacing w:after="0" w:line="273" w:lineRule="auto"/>
        <w:tabs>
          <w:tab w:leader="none" w:pos="540" w:val="left"/>
        </w:tabs>
        <w:numPr>
          <w:ilvl w:val="0"/>
          <w:numId w:val="26"/>
        </w:numPr>
        <w:rPr>
          <w:rFonts w:ascii="Arial" w:cs="Arial" w:eastAsia="Arial" w:hAnsi="Arial"/>
          <w:sz w:val="14"/>
          <w:szCs w:val="14"/>
          <w:color w:val="auto"/>
        </w:rPr>
      </w:pPr>
      <w:r>
        <w:rPr>
          <w:rFonts w:ascii="Arial" w:cs="Arial" w:eastAsia="Arial" w:hAnsi="Arial"/>
          <w:sz w:val="17"/>
          <w:szCs w:val="17"/>
          <w:color w:val="auto"/>
        </w:rPr>
        <w:t>The ratio of net debt-to-capital is computed as the quotient obtained by dividing net debt (which is debt less cash and cash equivalents) by the sum of net debt plus equity. The most directly comparable GAAP financial measure is the ratio of debt-to-capital. We believe the ratio of net debt-to-capital is a relevant financial measure for investors to understand the leverage employed in our operations and as an indicator of our ability to obtain financing. See the table above reconciling this non-GAAP financial measure to the ratio of debt-to-capital.</w:t>
      </w:r>
    </w:p>
    <w:p>
      <w:pPr>
        <w:spacing w:after="0" w:line="200" w:lineRule="exact"/>
        <w:rPr>
          <w:rFonts w:ascii="Arial" w:cs="Arial" w:eastAsia="Arial" w:hAnsi="Arial"/>
          <w:sz w:val="14"/>
          <w:szCs w:val="14"/>
          <w:color w:val="auto"/>
        </w:rPr>
      </w:pPr>
    </w:p>
    <w:p>
      <w:pPr>
        <w:spacing w:after="0" w:line="219" w:lineRule="exact"/>
        <w:rPr>
          <w:rFonts w:ascii="Arial" w:cs="Arial" w:eastAsia="Arial" w:hAnsi="Arial"/>
          <w:sz w:val="14"/>
          <w:szCs w:val="14"/>
          <w:color w:val="auto"/>
        </w:rPr>
      </w:pPr>
    </w:p>
    <w:p>
      <w:pPr>
        <w:ind w:left="5620" w:hanging="101"/>
        <w:spacing w:after="0"/>
        <w:tabs>
          <w:tab w:leader="none" w:pos="5620" w:val="left"/>
        </w:tabs>
        <w:numPr>
          <w:ilvl w:val="1"/>
          <w:numId w:val="26"/>
        </w:numPr>
        <w:rPr>
          <w:rFonts w:ascii="Arial" w:cs="Arial" w:eastAsia="Arial" w:hAnsi="Arial"/>
          <w:sz w:val="18"/>
          <w:szCs w:val="18"/>
          <w:color w:val="auto"/>
        </w:rPr>
      </w:pPr>
      <w:r>
        <w:rPr>
          <w:rFonts w:ascii="Arial" w:cs="Arial" w:eastAsia="Arial" w:hAnsi="Arial"/>
          <w:sz w:val="18"/>
          <w:szCs w:val="18"/>
          <w:color w:val="auto"/>
        </w:rPr>
        <w:t>35 -</w:t>
      </w:r>
    </w:p>
    <w:p>
      <w:pPr>
        <w:sectPr>
          <w:pgSz w:w="11900" w:h="16838" w:orient="portrait"/>
          <w:cols w:equalWidth="0" w:num="1">
            <w:col w:w="11380"/>
          </w:cols>
          <w:pgMar w:left="240" w:top="463" w:right="279" w:bottom="1440" w:gutter="0" w:footer="0" w:header="0"/>
        </w:sectPr>
      </w:pPr>
    </w:p>
    <w:bookmarkStart w:id="35" w:name="page36"/>
    <w:bookmarkEnd w:id="35"/>
    <w:p>
      <w:pPr>
        <w:ind w:left="260"/>
        <w:spacing w:after="0"/>
        <w:rPr>
          <w:sz w:val="20"/>
          <w:szCs w:val="20"/>
          <w:color w:val="auto"/>
        </w:rPr>
      </w:pPr>
      <w:r>
        <w:rPr>
          <w:rFonts w:ascii="Arial" w:cs="Arial" w:eastAsia="Arial" w:hAnsi="Arial"/>
          <w:sz w:val="18"/>
          <w:szCs w:val="18"/>
          <w:b w:val="1"/>
          <w:bCs w:val="1"/>
          <w:i w:val="1"/>
          <w:iCs w:val="1"/>
          <w:color w:val="auto"/>
        </w:rPr>
        <w:t>Cash Flows—Three Months Ended March 31, 2015 Compared to Three Months Ended March 31, 2014</w:t>
      </w:r>
    </w:p>
    <w:p>
      <w:pPr>
        <w:spacing w:after="0" w:line="117" w:lineRule="exact"/>
        <w:rPr>
          <w:sz w:val="20"/>
          <w:szCs w:val="20"/>
          <w:color w:val="auto"/>
        </w:rPr>
      </w:pPr>
    </w:p>
    <w:p>
      <w:pPr>
        <w:ind w:left="520"/>
        <w:spacing w:after="0"/>
        <w:rPr>
          <w:sz w:val="20"/>
          <w:szCs w:val="20"/>
          <w:color w:val="auto"/>
        </w:rPr>
      </w:pPr>
      <w:r>
        <w:rPr>
          <w:rFonts w:ascii="Arial" w:cs="Arial" w:eastAsia="Arial" w:hAnsi="Arial"/>
          <w:sz w:val="16"/>
          <w:szCs w:val="16"/>
          <w:color w:val="auto"/>
        </w:rPr>
        <w:t>For the three months ended March 31, 2015 as compared to the three months ended March 31, 2014, the comparison of cash flows is as follows:</w:t>
      </w:r>
    </w:p>
    <w:p>
      <w:pPr>
        <w:spacing w:after="0" w:line="140" w:lineRule="exact"/>
        <w:rPr>
          <w:sz w:val="20"/>
          <w:szCs w:val="20"/>
          <w:color w:val="auto"/>
        </w:rPr>
      </w:pPr>
    </w:p>
    <w:p>
      <w:pPr>
        <w:ind w:left="1020" w:right="120" w:hanging="494"/>
        <w:spacing w:after="0" w:line="255" w:lineRule="auto"/>
        <w:tabs>
          <w:tab w:leader="none" w:pos="1020" w:val="left"/>
        </w:tabs>
        <w:numPr>
          <w:ilvl w:val="0"/>
          <w:numId w:val="27"/>
        </w:numPr>
        <w:rPr>
          <w:rFonts w:ascii="Arial" w:cs="Arial" w:eastAsia="Arial" w:hAnsi="Arial"/>
          <w:sz w:val="18"/>
          <w:szCs w:val="18"/>
          <w:color w:val="auto"/>
        </w:rPr>
      </w:pPr>
      <w:r>
        <w:rPr>
          <w:rFonts w:ascii="Arial" w:cs="Arial" w:eastAsia="Arial" w:hAnsi="Arial"/>
          <w:sz w:val="18"/>
          <w:szCs w:val="18"/>
          <w:color w:val="auto"/>
        </w:rPr>
        <w:t>Net cash used in operating activities increased by $83.1 million to $108.3 million for the three months ended March 31, 2015 from a use of $25.2 million for the three months ended March 31, 2014. The change was primarily comprised of (i) an increase in real estate inventories of $127.3 million in 2015 compared to an increase of $67.9 million in 2014, and (ii) an increase in receivables of $2.9 million in the current year period compared to collection of receivables of $25.0 million in the prior year period. Other offsetting activity included offsetting swings in accounts payable and accrued expenses and other liabilities, with a net impact of cash used of $6.5 million in the current year period compared to cash used of $10.4 million in the prior year period.</w:t>
      </w:r>
    </w:p>
    <w:p>
      <w:pPr>
        <w:spacing w:after="0" w:line="85" w:lineRule="exact"/>
        <w:rPr>
          <w:rFonts w:ascii="Arial" w:cs="Arial" w:eastAsia="Arial" w:hAnsi="Arial"/>
          <w:sz w:val="18"/>
          <w:szCs w:val="18"/>
          <w:color w:val="auto"/>
        </w:rPr>
      </w:pPr>
    </w:p>
    <w:p>
      <w:pPr>
        <w:ind w:left="1020" w:right="100" w:hanging="494"/>
        <w:spacing w:after="0" w:line="264" w:lineRule="auto"/>
        <w:tabs>
          <w:tab w:leader="none" w:pos="1020" w:val="left"/>
        </w:tabs>
        <w:numPr>
          <w:ilvl w:val="0"/>
          <w:numId w:val="27"/>
        </w:numPr>
        <w:rPr>
          <w:rFonts w:ascii="Arial" w:cs="Arial" w:eastAsia="Arial" w:hAnsi="Arial"/>
          <w:sz w:val="18"/>
          <w:szCs w:val="18"/>
          <w:color w:val="auto"/>
        </w:rPr>
      </w:pPr>
      <w:r>
        <w:rPr>
          <w:rFonts w:ascii="Arial" w:cs="Arial" w:eastAsia="Arial" w:hAnsi="Arial"/>
          <w:sz w:val="18"/>
          <w:szCs w:val="18"/>
          <w:color w:val="auto"/>
        </w:rPr>
        <w:t>Net cash used in investing activities was $1.4 million for the three month period ending March 31, 2015 compared to $2.1 million of cash used for the same prior year period. Cash used by investing activities for the prior year period was primarily due to purchases of property and equipment.</w:t>
      </w:r>
    </w:p>
    <w:p>
      <w:pPr>
        <w:spacing w:after="0" w:line="73" w:lineRule="exact"/>
        <w:rPr>
          <w:rFonts w:ascii="Arial" w:cs="Arial" w:eastAsia="Arial" w:hAnsi="Arial"/>
          <w:sz w:val="18"/>
          <w:szCs w:val="18"/>
          <w:color w:val="auto"/>
        </w:rPr>
      </w:pPr>
    </w:p>
    <w:p>
      <w:pPr>
        <w:ind w:left="1020" w:right="200" w:hanging="494"/>
        <w:spacing w:after="0" w:line="277" w:lineRule="auto"/>
        <w:tabs>
          <w:tab w:leader="none" w:pos="1020" w:val="left"/>
        </w:tabs>
        <w:numPr>
          <w:ilvl w:val="0"/>
          <w:numId w:val="27"/>
        </w:numPr>
        <w:rPr>
          <w:rFonts w:ascii="Arial" w:cs="Arial" w:eastAsia="Arial" w:hAnsi="Arial"/>
          <w:sz w:val="18"/>
          <w:szCs w:val="18"/>
          <w:color w:val="auto"/>
        </w:rPr>
      </w:pPr>
      <w:r>
        <w:rPr>
          <w:rFonts w:ascii="Arial" w:cs="Arial" w:eastAsia="Arial" w:hAnsi="Arial"/>
          <w:sz w:val="18"/>
          <w:szCs w:val="18"/>
          <w:color w:val="auto"/>
        </w:rPr>
        <w:t>Net cash provided by financing activities increased to $45.6 million for the three month period ending March 31, 2015 from $26.1 million for the same period in the prior year. The change was primarily a result of borrowings from notes payable.</w:t>
      </w:r>
    </w:p>
    <w:p>
      <w:pPr>
        <w:spacing w:after="0" w:line="170" w:lineRule="exact"/>
        <w:rPr>
          <w:sz w:val="20"/>
          <w:szCs w:val="20"/>
          <w:color w:val="auto"/>
        </w:rPr>
      </w:pPr>
    </w:p>
    <w:p>
      <w:pPr>
        <w:ind w:left="520"/>
        <w:spacing w:after="0"/>
        <w:rPr>
          <w:sz w:val="20"/>
          <w:szCs w:val="20"/>
          <w:color w:val="auto"/>
        </w:rPr>
      </w:pPr>
      <w:r>
        <w:rPr>
          <w:rFonts w:ascii="Arial" w:cs="Arial" w:eastAsia="Arial" w:hAnsi="Arial"/>
          <w:sz w:val="18"/>
          <w:szCs w:val="18"/>
          <w:color w:val="auto"/>
        </w:rPr>
        <w:t>As of March 31, 2015, our cash and cash equivalents balance was $106.6 million.</w:t>
      </w:r>
    </w:p>
    <w:p>
      <w:pPr>
        <w:spacing w:after="0" w:line="32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Off-Balance Sheet Arrangements and Contractual Obligations</w:t>
      </w:r>
    </w:p>
    <w:p>
      <w:pPr>
        <w:spacing w:after="0" w:line="121" w:lineRule="exact"/>
        <w:rPr>
          <w:sz w:val="20"/>
          <w:szCs w:val="20"/>
          <w:color w:val="auto"/>
        </w:rPr>
      </w:pPr>
    </w:p>
    <w:p>
      <w:pPr>
        <w:ind w:right="60" w:firstLine="518"/>
        <w:spacing w:after="0" w:line="289" w:lineRule="auto"/>
        <w:rPr>
          <w:sz w:val="20"/>
          <w:szCs w:val="20"/>
          <w:color w:val="auto"/>
        </w:rPr>
      </w:pPr>
      <w:r>
        <w:rPr>
          <w:rFonts w:ascii="Arial" w:cs="Arial" w:eastAsia="Arial" w:hAnsi="Arial"/>
          <w:sz w:val="16"/>
          <w:szCs w:val="16"/>
          <w:color w:val="auto"/>
        </w:rPr>
        <w:t>In the ordinary course of business, we enter into land option contracts in order to procure lots for the construction of our homes. We are subject to customary obligations associated with entering into contracts for the purchase of land and improved lots. These purchase contracts typically require a cash deposit and the purchase of properties under these contracts is generally contingent upon satisfaction of certain requirements by the sellers, including obtaining applicable property and development entitlements. We also utilize option contracts with land sellers as a method of acquiring land in staged takedowns, to help us manage the financial and market risk associated with land holdings, and to reduce the use of funds from our corporate financing sources. Option contracts generally require a non-refundable deposit for the right to acquire lots over a specified period of time at pre-determined prices. We generally have the right, at our discretion, to terminate our obligations under both purchase contracts and option contracts by forfeiting our cash deposit with no further financial responsibility to the land seller. As of March 31, 2015, we had $42.2 million of cash deposits, the majority of which are non-refundable, pertaining to land option contracts and purchase contracts with an aggregate remaining purchase price of $392.6 million (net of deposits).</w:t>
      </w:r>
    </w:p>
    <w:p>
      <w:pPr>
        <w:spacing w:after="0" w:line="167" w:lineRule="exact"/>
        <w:rPr>
          <w:sz w:val="20"/>
          <w:szCs w:val="20"/>
          <w:color w:val="auto"/>
        </w:rPr>
      </w:pPr>
    </w:p>
    <w:p>
      <w:pPr>
        <w:ind w:right="80" w:firstLine="518"/>
        <w:spacing w:after="0" w:line="286" w:lineRule="auto"/>
        <w:rPr>
          <w:sz w:val="20"/>
          <w:szCs w:val="20"/>
          <w:color w:val="auto"/>
        </w:rPr>
      </w:pPr>
      <w:r>
        <w:rPr>
          <w:rFonts w:ascii="Arial" w:cs="Arial" w:eastAsia="Arial" w:hAnsi="Arial"/>
          <w:sz w:val="17"/>
          <w:szCs w:val="17"/>
          <w:color w:val="auto"/>
        </w:rPr>
        <w:t>Our utilization of land option contracts is dependent on, among other things, the availability of land sellers willing to enter into option takedown arrangements, the availability of capital to finance the development of optioned lots, general housing market conditions, and local market dynamics. Options may be more difficult to procure from land sellers in strong housing markets and are more prevalent in certain geographic regions.</w:t>
      </w:r>
    </w:p>
    <w:p>
      <w:pPr>
        <w:spacing w:after="0" w:line="166" w:lineRule="exact"/>
        <w:rPr>
          <w:sz w:val="20"/>
          <w:szCs w:val="20"/>
          <w:color w:val="auto"/>
        </w:rPr>
      </w:pPr>
    </w:p>
    <w:p>
      <w:pPr>
        <w:ind w:right="60" w:firstLine="518"/>
        <w:spacing w:after="0" w:line="277" w:lineRule="auto"/>
        <w:rPr>
          <w:sz w:val="20"/>
          <w:szCs w:val="20"/>
          <w:color w:val="auto"/>
        </w:rPr>
      </w:pPr>
      <w:r>
        <w:rPr>
          <w:rFonts w:ascii="Arial" w:cs="Arial" w:eastAsia="Arial" w:hAnsi="Arial"/>
          <w:sz w:val="18"/>
          <w:szCs w:val="18"/>
          <w:color w:val="auto"/>
        </w:rPr>
        <w:t>As of March 31, 2015, we had $103.8 million of availability under our Credit Facility after considering the borrowing base provisions and outstanding letters of credit.</w:t>
      </w:r>
    </w:p>
    <w:p>
      <w:pPr>
        <w:spacing w:after="0" w:line="27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Inflation</w:t>
      </w:r>
    </w:p>
    <w:p>
      <w:pPr>
        <w:spacing w:after="0" w:line="121" w:lineRule="exact"/>
        <w:rPr>
          <w:sz w:val="20"/>
          <w:szCs w:val="20"/>
          <w:color w:val="auto"/>
        </w:rPr>
      </w:pPr>
    </w:p>
    <w:p>
      <w:pPr>
        <w:ind w:firstLine="518"/>
        <w:spacing w:after="0" w:line="259" w:lineRule="auto"/>
        <w:rPr>
          <w:sz w:val="20"/>
          <w:szCs w:val="20"/>
          <w:color w:val="auto"/>
        </w:rPr>
      </w:pPr>
      <w:r>
        <w:rPr>
          <w:rFonts w:ascii="Arial" w:cs="Arial" w:eastAsia="Arial" w:hAnsi="Arial"/>
          <w:sz w:val="18"/>
          <w:szCs w:val="18"/>
          <w:color w:val="auto"/>
        </w:rPr>
        <w:t>Our operations can be adversely impacted by inflation, primarily from higher land, financing, labor, material and construction costs. In addition, inflation can lead to higher mortgage rates, which can significantly affect the affordability of mortgage financing to homebuyers. While we attempt to pass on cost increases to customers through increased prices, when weak housing market conditions exist, we are often unable to offset cost increases with higher selling prices.</w:t>
      </w:r>
    </w:p>
    <w:p>
      <w:pPr>
        <w:spacing w:after="0" w:line="29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Seasonality</w:t>
      </w:r>
    </w:p>
    <w:p>
      <w:pPr>
        <w:spacing w:after="0" w:line="121" w:lineRule="exact"/>
        <w:rPr>
          <w:sz w:val="20"/>
          <w:szCs w:val="20"/>
          <w:color w:val="auto"/>
        </w:rPr>
      </w:pPr>
    </w:p>
    <w:p>
      <w:pPr>
        <w:ind w:right="240" w:firstLine="518"/>
        <w:spacing w:after="0" w:line="255" w:lineRule="auto"/>
        <w:rPr>
          <w:sz w:val="20"/>
          <w:szCs w:val="20"/>
          <w:color w:val="auto"/>
        </w:rPr>
      </w:pPr>
      <w:r>
        <w:rPr>
          <w:rFonts w:ascii="Arial" w:cs="Arial" w:eastAsia="Arial" w:hAnsi="Arial"/>
          <w:sz w:val="18"/>
          <w:szCs w:val="18"/>
          <w:color w:val="auto"/>
        </w:rPr>
        <w:t>Historically, the homebuilding industry experiences seasonal fluctuations in quarterly operating results and capital requirements. We typically experience the highest new home order activity in spring and summer, although this activity is also highly dependent on the number of active selling communities, timing of new community openings and other market factors. Since it typically takes four to six months to construct a new home, we deliver more homes in the second half of the year as spring and summer home orders convert to home deliveries. Because of this seasonality, home starts, construction costs and related cash outflows have historically been highest in the second and third quarters, and the majority of cash receipts from home deliveries occur during the second half of</w:t>
      </w:r>
    </w:p>
    <w:p>
      <w:pPr>
        <w:spacing w:after="0" w:line="200" w:lineRule="exact"/>
        <w:rPr>
          <w:sz w:val="20"/>
          <w:szCs w:val="20"/>
          <w:color w:val="auto"/>
        </w:rPr>
      </w:pPr>
    </w:p>
    <w:p>
      <w:pPr>
        <w:spacing w:after="0" w:line="23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- 36 -</w:t>
      </w:r>
    </w:p>
    <w:p>
      <w:pPr>
        <w:sectPr>
          <w:pgSz w:w="11900" w:h="16838" w:orient="portrait"/>
          <w:cols w:equalWidth="0" w:num="1">
            <w:col w:w="11420"/>
          </w:cols>
          <w:pgMar w:left="240" w:top="463" w:right="239" w:bottom="1440" w:gutter="0" w:footer="0" w:header="0"/>
        </w:sectPr>
      </w:pPr>
    </w:p>
    <w:bookmarkStart w:id="36" w:name="page37"/>
    <w:bookmarkEnd w:id="36"/>
    <w:p>
      <w:pPr>
        <w:spacing w:after="0"/>
        <w:rPr>
          <w:sz w:val="20"/>
          <w:szCs w:val="20"/>
          <w:color w:val="auto"/>
        </w:rPr>
      </w:pPr>
      <w:r>
        <w:rPr>
          <w:rFonts w:ascii="Arial" w:cs="Arial" w:eastAsia="Arial" w:hAnsi="Arial"/>
          <w:sz w:val="18"/>
          <w:szCs w:val="18"/>
          <w:color w:val="auto"/>
        </w:rPr>
        <w:t>the year. We expect this seasonal pattern to continue over the long-term, although it may be affected by volatility in the homebuilding industry.</w:t>
      </w:r>
    </w:p>
    <w:p>
      <w:pPr>
        <w:spacing w:after="0" w:line="200" w:lineRule="exact"/>
        <w:rPr>
          <w:sz w:val="20"/>
          <w:szCs w:val="20"/>
          <w:color w:val="auto"/>
        </w:rPr>
      </w:pPr>
    </w:p>
    <w:p>
      <w:pPr>
        <w:spacing w:after="0" w:line="21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Description of Projects and Communities under Development</w:t>
      </w:r>
    </w:p>
    <w:p>
      <w:pPr>
        <w:spacing w:after="0" w:line="121" w:lineRule="exact"/>
        <w:rPr>
          <w:sz w:val="20"/>
          <w:szCs w:val="20"/>
          <w:color w:val="auto"/>
        </w:rPr>
      </w:pPr>
    </w:p>
    <w:p>
      <w:pPr>
        <w:ind w:right="340" w:firstLine="518"/>
        <w:spacing w:after="0" w:line="277" w:lineRule="auto"/>
        <w:rPr>
          <w:sz w:val="20"/>
          <w:szCs w:val="20"/>
          <w:color w:val="auto"/>
        </w:rPr>
      </w:pPr>
      <w:r>
        <w:rPr>
          <w:rFonts w:ascii="Arial" w:cs="Arial" w:eastAsia="Arial" w:hAnsi="Arial"/>
          <w:sz w:val="18"/>
          <w:szCs w:val="18"/>
          <w:color w:val="auto"/>
        </w:rPr>
        <w:t>The following table presents project information relating to each of our markets as of March 31, 2015 and includes information on current projects under development where we are building and selling homes.</w:t>
      </w:r>
    </w:p>
    <w:p>
      <w:pPr>
        <w:spacing w:after="0" w:line="27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Maracay</w:t>
      </w:r>
    </w:p>
    <w:p>
      <w:pPr>
        <w:spacing w:after="0" w:line="240" w:lineRule="exact"/>
        <w:rPr>
          <w:sz w:val="20"/>
          <w:szCs w:val="20"/>
          <w:color w:val="auto"/>
        </w:rPr>
      </w:pPr>
    </w:p>
    <w:tbl>
      <w:tblPr>
        <w:tblLayout w:type="fixed"/>
        <w:tblInd w:w="0" w:type="dxa"/>
        <w:tblCellMar>
          <w:top w:w="0" w:type="dxa"/>
          <w:left w:w="0" w:type="dxa"/>
          <w:bottom w:w="0" w:type="dxa"/>
          <w:right w:w="0" w:type="dxa"/>
        </w:tblCellMar>
      </w:tblPr>
      <w:tr>
        <w:trPr>
          <w:trHeight w:val="162"/>
        </w:trPr>
        <w:tc>
          <w:tcPr>
            <w:tcW w:w="1220" w:type="dxa"/>
            <w:vAlign w:val="bottom"/>
          </w:tcPr>
          <w:p>
            <w:pPr>
              <w:spacing w:after="0"/>
              <w:rPr>
                <w:sz w:val="14"/>
                <w:szCs w:val="14"/>
                <w:color w:val="auto"/>
              </w:rPr>
            </w:pPr>
          </w:p>
        </w:tc>
        <w:tc>
          <w:tcPr>
            <w:tcW w:w="300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08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w w:val="90"/>
              </w:rPr>
              <w:t>Cumulative</w:t>
            </w:r>
          </w:p>
        </w:tc>
        <w:tc>
          <w:tcPr>
            <w:tcW w:w="7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980" w:type="dxa"/>
            <w:vAlign w:val="bottom"/>
          </w:tcPr>
          <w:p>
            <w:pPr>
              <w:jc w:val="center"/>
              <w:spacing w:after="0"/>
              <w:rPr>
                <w:sz w:val="20"/>
                <w:szCs w:val="20"/>
                <w:color w:val="auto"/>
              </w:rPr>
            </w:pPr>
            <w:r>
              <w:rPr>
                <w:rFonts w:ascii="Arial" w:cs="Arial" w:eastAsia="Arial" w:hAnsi="Arial"/>
                <w:sz w:val="14"/>
                <w:szCs w:val="14"/>
                <w:b w:val="1"/>
                <w:bCs w:val="1"/>
                <w:color w:val="auto"/>
                <w:w w:val="86"/>
              </w:rPr>
              <w:t>Homes Delivered</w:t>
            </w:r>
          </w:p>
        </w:tc>
        <w:tc>
          <w:tcPr>
            <w:tcW w:w="22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1220" w:type="dxa"/>
            <w:vAlign w:val="bottom"/>
          </w:tcPr>
          <w:p>
            <w:pPr>
              <w:spacing w:after="0"/>
              <w:rPr>
                <w:sz w:val="14"/>
                <w:szCs w:val="14"/>
                <w:color w:val="auto"/>
              </w:rPr>
            </w:pPr>
          </w:p>
        </w:tc>
        <w:tc>
          <w:tcPr>
            <w:tcW w:w="300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08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w w:val="85"/>
              </w:rPr>
              <w:t>Homes</w:t>
            </w:r>
          </w:p>
        </w:tc>
        <w:tc>
          <w:tcPr>
            <w:tcW w:w="100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w w:val="81"/>
              </w:rPr>
              <w:t>Lots</w:t>
            </w:r>
          </w:p>
        </w:tc>
        <w:tc>
          <w:tcPr>
            <w:tcW w:w="7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980" w:type="dxa"/>
            <w:vAlign w:val="bottom"/>
          </w:tcPr>
          <w:p>
            <w:pPr>
              <w:jc w:val="center"/>
              <w:spacing w:after="0"/>
              <w:rPr>
                <w:sz w:val="20"/>
                <w:szCs w:val="20"/>
                <w:color w:val="auto"/>
              </w:rPr>
            </w:pPr>
            <w:r>
              <w:rPr>
                <w:rFonts w:ascii="Arial" w:cs="Arial" w:eastAsia="Arial" w:hAnsi="Arial"/>
                <w:sz w:val="14"/>
                <w:szCs w:val="14"/>
                <w:b w:val="1"/>
                <w:bCs w:val="1"/>
                <w:color w:val="auto"/>
                <w:w w:val="88"/>
              </w:rPr>
              <w:t>for the Three</w:t>
            </w:r>
          </w:p>
        </w:tc>
        <w:tc>
          <w:tcPr>
            <w:tcW w:w="22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1220" w:type="dxa"/>
            <w:vAlign w:val="bottom"/>
          </w:tcPr>
          <w:p>
            <w:pPr>
              <w:spacing w:after="0"/>
              <w:rPr>
                <w:sz w:val="14"/>
                <w:szCs w:val="14"/>
                <w:color w:val="auto"/>
              </w:rPr>
            </w:pPr>
          </w:p>
        </w:tc>
        <w:tc>
          <w:tcPr>
            <w:tcW w:w="3000" w:type="dxa"/>
            <w:vAlign w:val="bottom"/>
          </w:tcPr>
          <w:p>
            <w:pPr>
              <w:spacing w:after="0"/>
              <w:rPr>
                <w:sz w:val="14"/>
                <w:szCs w:val="14"/>
                <w:color w:val="auto"/>
              </w:rPr>
            </w:pPr>
          </w:p>
        </w:tc>
        <w:tc>
          <w:tcPr>
            <w:tcW w:w="1020" w:type="dxa"/>
            <w:vAlign w:val="bottom"/>
            <w:gridSpan w:val="2"/>
          </w:tcPr>
          <w:p>
            <w:pPr>
              <w:jc w:val="center"/>
              <w:ind w:right="120"/>
              <w:spacing w:after="0"/>
              <w:rPr>
                <w:sz w:val="20"/>
                <w:szCs w:val="20"/>
                <w:color w:val="auto"/>
              </w:rPr>
            </w:pPr>
            <w:r>
              <w:rPr>
                <w:rFonts w:ascii="Arial" w:cs="Arial" w:eastAsia="Arial" w:hAnsi="Arial"/>
                <w:sz w:val="14"/>
                <w:szCs w:val="14"/>
                <w:b w:val="1"/>
                <w:bCs w:val="1"/>
                <w:color w:val="auto"/>
                <w:w w:val="88"/>
              </w:rPr>
              <w:t>Year of</w:t>
            </w:r>
          </w:p>
        </w:tc>
        <w:tc>
          <w:tcPr>
            <w:tcW w:w="100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w w:val="83"/>
              </w:rPr>
              <w:t>Total</w:t>
            </w:r>
          </w:p>
        </w:tc>
        <w:tc>
          <w:tcPr>
            <w:tcW w:w="108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w w:val="84"/>
              </w:rPr>
              <w:t>Delivered as of</w:t>
            </w:r>
          </w:p>
        </w:tc>
        <w:tc>
          <w:tcPr>
            <w:tcW w:w="100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w w:val="86"/>
              </w:rPr>
              <w:t>Owned as of</w:t>
            </w:r>
          </w:p>
        </w:tc>
        <w:tc>
          <w:tcPr>
            <w:tcW w:w="100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w w:val="83"/>
              </w:rPr>
              <w:t>Backlog as of</w:t>
            </w:r>
          </w:p>
        </w:tc>
        <w:tc>
          <w:tcPr>
            <w:tcW w:w="980" w:type="dxa"/>
            <w:vAlign w:val="bottom"/>
          </w:tcPr>
          <w:p>
            <w:pPr>
              <w:jc w:val="center"/>
              <w:spacing w:after="0"/>
              <w:rPr>
                <w:sz w:val="20"/>
                <w:szCs w:val="20"/>
                <w:color w:val="auto"/>
              </w:rPr>
            </w:pPr>
            <w:r>
              <w:rPr>
                <w:rFonts w:ascii="Arial" w:cs="Arial" w:eastAsia="Arial" w:hAnsi="Arial"/>
                <w:sz w:val="14"/>
                <w:szCs w:val="14"/>
                <w:b w:val="1"/>
                <w:bCs w:val="1"/>
                <w:color w:val="auto"/>
                <w:w w:val="87"/>
              </w:rPr>
              <w:t>Months Ended</w:t>
            </w:r>
          </w:p>
        </w:tc>
        <w:tc>
          <w:tcPr>
            <w:tcW w:w="220" w:type="dxa"/>
            <w:vAlign w:val="bottom"/>
          </w:tcPr>
          <w:p>
            <w:pPr>
              <w:spacing w:after="0"/>
              <w:rPr>
                <w:sz w:val="14"/>
                <w:szCs w:val="14"/>
                <w:color w:val="auto"/>
              </w:rPr>
            </w:pPr>
          </w:p>
        </w:tc>
        <w:tc>
          <w:tcPr>
            <w:tcW w:w="900" w:type="dxa"/>
            <w:vAlign w:val="bottom"/>
          </w:tcPr>
          <w:p>
            <w:pPr>
              <w:jc w:val="center"/>
              <w:spacing w:after="0"/>
              <w:rPr>
                <w:sz w:val="20"/>
                <w:szCs w:val="20"/>
                <w:color w:val="auto"/>
              </w:rPr>
            </w:pPr>
            <w:r>
              <w:rPr>
                <w:rFonts w:ascii="Arial" w:cs="Arial" w:eastAsia="Arial" w:hAnsi="Arial"/>
                <w:sz w:val="14"/>
                <w:szCs w:val="14"/>
                <w:b w:val="1"/>
                <w:bCs w:val="1"/>
                <w:color w:val="auto"/>
                <w:w w:val="85"/>
              </w:rPr>
              <w:t>Sales Price</w:t>
            </w:r>
          </w:p>
        </w:tc>
        <w:tc>
          <w:tcPr>
            <w:tcW w:w="0" w:type="dxa"/>
            <w:vAlign w:val="bottom"/>
          </w:tcPr>
          <w:p>
            <w:pPr>
              <w:spacing w:after="0"/>
              <w:rPr>
                <w:sz w:val="1"/>
                <w:szCs w:val="1"/>
                <w:color w:val="auto"/>
              </w:rPr>
            </w:pPr>
          </w:p>
        </w:tc>
      </w:tr>
      <w:tr>
        <w:trPr>
          <w:trHeight w:val="162"/>
        </w:trPr>
        <w:tc>
          <w:tcPr>
            <w:tcW w:w="1220" w:type="dxa"/>
            <w:vAlign w:val="bottom"/>
          </w:tcPr>
          <w:p>
            <w:pPr>
              <w:spacing w:after="0"/>
              <w:rPr>
                <w:sz w:val="14"/>
                <w:szCs w:val="14"/>
                <w:color w:val="auto"/>
              </w:rPr>
            </w:pPr>
          </w:p>
        </w:tc>
        <w:tc>
          <w:tcPr>
            <w:tcW w:w="3000" w:type="dxa"/>
            <w:vAlign w:val="bottom"/>
          </w:tcPr>
          <w:p>
            <w:pPr>
              <w:spacing w:after="0"/>
              <w:rPr>
                <w:sz w:val="14"/>
                <w:szCs w:val="14"/>
                <w:color w:val="auto"/>
              </w:rPr>
            </w:pPr>
          </w:p>
        </w:tc>
        <w:tc>
          <w:tcPr>
            <w:tcW w:w="1020" w:type="dxa"/>
            <w:vAlign w:val="bottom"/>
            <w:gridSpan w:val="2"/>
          </w:tcPr>
          <w:p>
            <w:pPr>
              <w:jc w:val="center"/>
              <w:ind w:right="140"/>
              <w:spacing w:after="0"/>
              <w:rPr>
                <w:sz w:val="20"/>
                <w:szCs w:val="20"/>
                <w:color w:val="auto"/>
              </w:rPr>
            </w:pPr>
            <w:r>
              <w:rPr>
                <w:rFonts w:ascii="Arial" w:cs="Arial" w:eastAsia="Arial" w:hAnsi="Arial"/>
                <w:sz w:val="14"/>
                <w:szCs w:val="14"/>
                <w:b w:val="1"/>
                <w:bCs w:val="1"/>
                <w:color w:val="auto"/>
                <w:w w:val="92"/>
              </w:rPr>
              <w:t>First</w:t>
            </w:r>
          </w:p>
        </w:tc>
        <w:tc>
          <w:tcPr>
            <w:tcW w:w="100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w w:val="91"/>
              </w:rPr>
              <w:t>Number of</w:t>
            </w:r>
          </w:p>
        </w:tc>
        <w:tc>
          <w:tcPr>
            <w:tcW w:w="108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w w:val="92"/>
              </w:rPr>
              <w:t>March 31,</w:t>
            </w:r>
          </w:p>
        </w:tc>
        <w:tc>
          <w:tcPr>
            <w:tcW w:w="100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w w:val="92"/>
              </w:rPr>
              <w:t>March 31,</w:t>
            </w:r>
          </w:p>
        </w:tc>
        <w:tc>
          <w:tcPr>
            <w:tcW w:w="100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w w:val="92"/>
              </w:rPr>
              <w:t>March 31,</w:t>
            </w:r>
          </w:p>
        </w:tc>
        <w:tc>
          <w:tcPr>
            <w:tcW w:w="980" w:type="dxa"/>
            <w:vAlign w:val="bottom"/>
          </w:tcPr>
          <w:p>
            <w:pPr>
              <w:jc w:val="center"/>
              <w:spacing w:after="0"/>
              <w:rPr>
                <w:sz w:val="20"/>
                <w:szCs w:val="20"/>
                <w:color w:val="auto"/>
              </w:rPr>
            </w:pPr>
            <w:r>
              <w:rPr>
                <w:rFonts w:ascii="Arial" w:cs="Arial" w:eastAsia="Arial" w:hAnsi="Arial"/>
                <w:sz w:val="14"/>
                <w:szCs w:val="14"/>
                <w:b w:val="1"/>
                <w:bCs w:val="1"/>
                <w:color w:val="auto"/>
                <w:w w:val="92"/>
              </w:rPr>
              <w:t>March 31,</w:t>
            </w:r>
          </w:p>
        </w:tc>
        <w:tc>
          <w:tcPr>
            <w:tcW w:w="220" w:type="dxa"/>
            <w:vAlign w:val="bottom"/>
          </w:tcPr>
          <w:p>
            <w:pPr>
              <w:spacing w:after="0"/>
              <w:rPr>
                <w:sz w:val="14"/>
                <w:szCs w:val="14"/>
                <w:color w:val="auto"/>
              </w:rPr>
            </w:pPr>
          </w:p>
        </w:tc>
        <w:tc>
          <w:tcPr>
            <w:tcW w:w="900" w:type="dxa"/>
            <w:vAlign w:val="bottom"/>
          </w:tcPr>
          <w:p>
            <w:pPr>
              <w:jc w:val="center"/>
              <w:spacing w:after="0"/>
              <w:rPr>
                <w:sz w:val="20"/>
                <w:szCs w:val="20"/>
                <w:color w:val="auto"/>
              </w:rPr>
            </w:pPr>
            <w:r>
              <w:rPr>
                <w:rFonts w:ascii="Arial" w:cs="Arial" w:eastAsia="Arial" w:hAnsi="Arial"/>
                <w:sz w:val="14"/>
                <w:szCs w:val="14"/>
                <w:b w:val="1"/>
                <w:bCs w:val="1"/>
                <w:color w:val="auto"/>
                <w:w w:val="84"/>
              </w:rPr>
              <w:t>Range</w:t>
            </w:r>
          </w:p>
        </w:tc>
        <w:tc>
          <w:tcPr>
            <w:tcW w:w="0" w:type="dxa"/>
            <w:vAlign w:val="bottom"/>
          </w:tcPr>
          <w:p>
            <w:pPr>
              <w:spacing w:after="0"/>
              <w:rPr>
                <w:sz w:val="1"/>
                <w:szCs w:val="1"/>
                <w:color w:val="auto"/>
              </w:rPr>
            </w:pPr>
          </w:p>
        </w:tc>
      </w:tr>
      <w:tr>
        <w:trPr>
          <w:trHeight w:val="155"/>
        </w:trPr>
        <w:tc>
          <w:tcPr>
            <w:tcW w:w="4220" w:type="dxa"/>
            <w:vAlign w:val="bottom"/>
            <w:gridSpan w:val="2"/>
            <w:vMerge w:val="restart"/>
          </w:tcPr>
          <w:p>
            <w:pPr>
              <w:spacing w:after="0"/>
              <w:rPr>
                <w:sz w:val="20"/>
                <w:szCs w:val="20"/>
                <w:color w:val="auto"/>
              </w:rPr>
            </w:pPr>
            <w:r>
              <w:rPr>
                <w:rFonts w:ascii="Arial" w:cs="Arial" w:eastAsia="Arial" w:hAnsi="Arial"/>
                <w:sz w:val="14"/>
                <w:szCs w:val="14"/>
                <w:b w:val="1"/>
                <w:bCs w:val="1"/>
                <w:color w:val="auto"/>
              </w:rPr>
              <w:t>County, Project, City</w:t>
            </w:r>
          </w:p>
        </w:tc>
        <w:tc>
          <w:tcPr>
            <w:tcW w:w="1020" w:type="dxa"/>
            <w:vAlign w:val="bottom"/>
            <w:gridSpan w:val="2"/>
            <w:vMerge w:val="restart"/>
          </w:tcPr>
          <w:p>
            <w:pPr>
              <w:jc w:val="center"/>
              <w:ind w:right="120"/>
              <w:spacing w:after="0"/>
              <w:rPr>
                <w:sz w:val="20"/>
                <w:szCs w:val="20"/>
                <w:color w:val="auto"/>
              </w:rPr>
            </w:pPr>
            <w:r>
              <w:rPr>
                <w:rFonts w:ascii="Arial" w:cs="Arial" w:eastAsia="Arial" w:hAnsi="Arial"/>
                <w:sz w:val="14"/>
                <w:szCs w:val="14"/>
                <w:b w:val="1"/>
                <w:bCs w:val="1"/>
                <w:color w:val="auto"/>
                <w:w w:val="91"/>
              </w:rPr>
              <w:t>Delivery</w:t>
            </w:r>
            <w:r>
              <w:rPr>
                <w:rFonts w:ascii="Arial" w:cs="Arial" w:eastAsia="Arial" w:hAnsi="Arial"/>
                <w:sz w:val="11"/>
                <w:szCs w:val="11"/>
                <w:b w:val="1"/>
                <w:bCs w:val="1"/>
                <w:color w:val="auto"/>
                <w:w w:val="91"/>
              </w:rPr>
              <w:t>(1)</w:t>
            </w:r>
          </w:p>
        </w:tc>
        <w:tc>
          <w:tcPr>
            <w:tcW w:w="1000" w:type="dxa"/>
            <w:vAlign w:val="bottom"/>
            <w:gridSpan w:val="2"/>
            <w:vMerge w:val="restart"/>
          </w:tcPr>
          <w:p>
            <w:pPr>
              <w:jc w:val="center"/>
              <w:ind w:right="240"/>
              <w:spacing w:after="0"/>
              <w:rPr>
                <w:sz w:val="20"/>
                <w:szCs w:val="20"/>
                <w:color w:val="auto"/>
              </w:rPr>
            </w:pPr>
            <w:r>
              <w:rPr>
                <w:rFonts w:ascii="Arial" w:cs="Arial" w:eastAsia="Arial" w:hAnsi="Arial"/>
                <w:sz w:val="14"/>
                <w:szCs w:val="14"/>
                <w:b w:val="1"/>
                <w:bCs w:val="1"/>
                <w:color w:val="auto"/>
                <w:w w:val="92"/>
              </w:rPr>
              <w:t>Lots</w:t>
            </w:r>
            <w:r>
              <w:rPr>
                <w:rFonts w:ascii="Arial" w:cs="Arial" w:eastAsia="Arial" w:hAnsi="Arial"/>
                <w:sz w:val="11"/>
                <w:szCs w:val="11"/>
                <w:b w:val="1"/>
                <w:bCs w:val="1"/>
                <w:color w:val="auto"/>
                <w:w w:val="92"/>
              </w:rPr>
              <w:t>(2)</w:t>
            </w:r>
          </w:p>
        </w:tc>
        <w:tc>
          <w:tcPr>
            <w:tcW w:w="86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89"/>
              </w:rPr>
              <w:t>2015</w:t>
            </w:r>
          </w:p>
        </w:tc>
        <w:tc>
          <w:tcPr>
            <w:tcW w:w="220" w:type="dxa"/>
            <w:vAlign w:val="bottom"/>
          </w:tcPr>
          <w:p>
            <w:pPr>
              <w:spacing w:after="0"/>
              <w:rPr>
                <w:sz w:val="13"/>
                <w:szCs w:val="13"/>
                <w:color w:val="auto"/>
              </w:rPr>
            </w:pPr>
          </w:p>
        </w:tc>
        <w:tc>
          <w:tcPr>
            <w:tcW w:w="78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89"/>
              </w:rPr>
              <w:t>2015</w:t>
            </w:r>
            <w:r>
              <w:rPr>
                <w:rFonts w:ascii="Arial" w:cs="Arial" w:eastAsia="Arial" w:hAnsi="Arial"/>
                <w:sz w:val="11"/>
                <w:szCs w:val="11"/>
                <w:b w:val="1"/>
                <w:bCs w:val="1"/>
                <w:color w:val="auto"/>
                <w:w w:val="89"/>
              </w:rPr>
              <w:t>(3)</w:t>
            </w:r>
          </w:p>
        </w:tc>
        <w:tc>
          <w:tcPr>
            <w:tcW w:w="220" w:type="dxa"/>
            <w:vAlign w:val="bottom"/>
          </w:tcPr>
          <w:p>
            <w:pPr>
              <w:spacing w:after="0"/>
              <w:rPr>
                <w:sz w:val="13"/>
                <w:szCs w:val="13"/>
                <w:color w:val="auto"/>
              </w:rPr>
            </w:pPr>
          </w:p>
        </w:tc>
        <w:tc>
          <w:tcPr>
            <w:tcW w:w="78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92"/>
              </w:rPr>
              <w:t>2015</w:t>
            </w:r>
            <w:r>
              <w:rPr>
                <w:rFonts w:ascii="Arial" w:cs="Arial" w:eastAsia="Arial" w:hAnsi="Arial"/>
                <w:sz w:val="11"/>
                <w:szCs w:val="11"/>
                <w:b w:val="1"/>
                <w:bCs w:val="1"/>
                <w:color w:val="auto"/>
                <w:w w:val="92"/>
              </w:rPr>
              <w:t>(4)(5)</w:t>
            </w:r>
          </w:p>
        </w:tc>
        <w:tc>
          <w:tcPr>
            <w:tcW w:w="220" w:type="dxa"/>
            <w:vAlign w:val="bottom"/>
          </w:tcPr>
          <w:p>
            <w:pPr>
              <w:spacing w:after="0"/>
              <w:rPr>
                <w:sz w:val="13"/>
                <w:szCs w:val="13"/>
                <w:color w:val="auto"/>
              </w:rPr>
            </w:pPr>
          </w:p>
        </w:tc>
        <w:tc>
          <w:tcPr>
            <w:tcW w:w="98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89"/>
              </w:rPr>
              <w:t>2015</w:t>
            </w:r>
          </w:p>
        </w:tc>
        <w:tc>
          <w:tcPr>
            <w:tcW w:w="220" w:type="dxa"/>
            <w:vAlign w:val="bottom"/>
          </w:tcPr>
          <w:p>
            <w:pPr>
              <w:spacing w:after="0"/>
              <w:rPr>
                <w:sz w:val="13"/>
                <w:szCs w:val="13"/>
                <w:color w:val="auto"/>
              </w:rPr>
            </w:pPr>
          </w:p>
        </w:tc>
        <w:tc>
          <w:tcPr>
            <w:tcW w:w="900" w:type="dxa"/>
            <w:vAlign w:val="bottom"/>
          </w:tcPr>
          <w:p>
            <w:pPr>
              <w:jc w:val="center"/>
              <w:spacing w:after="0" w:line="155" w:lineRule="exact"/>
              <w:rPr>
                <w:sz w:val="20"/>
                <w:szCs w:val="20"/>
                <w:color w:val="auto"/>
              </w:rPr>
            </w:pPr>
            <w:r>
              <w:rPr>
                <w:rFonts w:ascii="Arial" w:cs="Arial" w:eastAsia="Arial" w:hAnsi="Arial"/>
                <w:sz w:val="14"/>
                <w:szCs w:val="14"/>
                <w:b w:val="1"/>
                <w:bCs w:val="1"/>
                <w:color w:val="auto"/>
                <w:w w:val="87"/>
              </w:rPr>
              <w:t>(in thousands)</w:t>
            </w:r>
          </w:p>
        </w:tc>
        <w:tc>
          <w:tcPr>
            <w:tcW w:w="0" w:type="dxa"/>
            <w:vAlign w:val="bottom"/>
          </w:tcPr>
          <w:p>
            <w:pPr>
              <w:spacing w:after="0"/>
              <w:rPr>
                <w:sz w:val="1"/>
                <w:szCs w:val="1"/>
                <w:color w:val="auto"/>
              </w:rPr>
            </w:pPr>
          </w:p>
        </w:tc>
      </w:tr>
      <w:tr>
        <w:trPr>
          <w:trHeight w:val="148"/>
        </w:trPr>
        <w:tc>
          <w:tcPr>
            <w:tcW w:w="4220" w:type="dxa"/>
            <w:vAlign w:val="bottom"/>
            <w:gridSpan w:val="2"/>
            <w:vMerge w:val="continue"/>
          </w:tcPr>
          <w:p>
            <w:pPr>
              <w:spacing w:after="0"/>
              <w:rPr>
                <w:sz w:val="12"/>
                <w:szCs w:val="12"/>
                <w:color w:val="auto"/>
              </w:rPr>
            </w:pPr>
          </w:p>
        </w:tc>
        <w:tc>
          <w:tcPr>
            <w:tcW w:w="1020" w:type="dxa"/>
            <w:vAlign w:val="bottom"/>
            <w:gridSpan w:val="2"/>
            <w:vMerge w:val="continue"/>
          </w:tcPr>
          <w:p>
            <w:pPr>
              <w:spacing w:after="0"/>
              <w:rPr>
                <w:sz w:val="12"/>
                <w:szCs w:val="12"/>
                <w:color w:val="auto"/>
              </w:rPr>
            </w:pPr>
          </w:p>
        </w:tc>
        <w:tc>
          <w:tcPr>
            <w:tcW w:w="1000" w:type="dxa"/>
            <w:vAlign w:val="bottom"/>
            <w:gridSpan w:val="2"/>
            <w:vMerge w:val="continue"/>
          </w:tcPr>
          <w:p>
            <w:pPr>
              <w:spacing w:after="0"/>
              <w:rPr>
                <w:sz w:val="12"/>
                <w:szCs w:val="12"/>
                <w:color w:val="auto"/>
              </w:rPr>
            </w:pPr>
          </w:p>
        </w:tc>
        <w:tc>
          <w:tcPr>
            <w:tcW w:w="860" w:type="dxa"/>
            <w:vAlign w:val="bottom"/>
            <w:vMerge w:val="continue"/>
          </w:tcPr>
          <w:p>
            <w:pPr>
              <w:spacing w:after="0"/>
              <w:rPr>
                <w:sz w:val="12"/>
                <w:szCs w:val="12"/>
                <w:color w:val="auto"/>
              </w:rPr>
            </w:pPr>
          </w:p>
        </w:tc>
        <w:tc>
          <w:tcPr>
            <w:tcW w:w="220" w:type="dxa"/>
            <w:vAlign w:val="bottom"/>
          </w:tcPr>
          <w:p>
            <w:pPr>
              <w:spacing w:after="0"/>
              <w:rPr>
                <w:sz w:val="12"/>
                <w:szCs w:val="12"/>
                <w:color w:val="auto"/>
              </w:rPr>
            </w:pPr>
          </w:p>
        </w:tc>
        <w:tc>
          <w:tcPr>
            <w:tcW w:w="780" w:type="dxa"/>
            <w:vAlign w:val="bottom"/>
            <w:vMerge w:val="continue"/>
          </w:tcPr>
          <w:p>
            <w:pPr>
              <w:spacing w:after="0"/>
              <w:rPr>
                <w:sz w:val="12"/>
                <w:szCs w:val="12"/>
                <w:color w:val="auto"/>
              </w:rPr>
            </w:pPr>
          </w:p>
        </w:tc>
        <w:tc>
          <w:tcPr>
            <w:tcW w:w="220" w:type="dxa"/>
            <w:vAlign w:val="bottom"/>
          </w:tcPr>
          <w:p>
            <w:pPr>
              <w:spacing w:after="0"/>
              <w:rPr>
                <w:sz w:val="12"/>
                <w:szCs w:val="12"/>
                <w:color w:val="auto"/>
              </w:rPr>
            </w:pPr>
          </w:p>
        </w:tc>
        <w:tc>
          <w:tcPr>
            <w:tcW w:w="780" w:type="dxa"/>
            <w:vAlign w:val="bottom"/>
            <w:vMerge w:val="continue"/>
          </w:tcPr>
          <w:p>
            <w:pPr>
              <w:spacing w:after="0"/>
              <w:rPr>
                <w:sz w:val="12"/>
                <w:szCs w:val="12"/>
                <w:color w:val="auto"/>
              </w:rPr>
            </w:pPr>
          </w:p>
        </w:tc>
        <w:tc>
          <w:tcPr>
            <w:tcW w:w="220" w:type="dxa"/>
            <w:vAlign w:val="bottom"/>
          </w:tcPr>
          <w:p>
            <w:pPr>
              <w:spacing w:after="0"/>
              <w:rPr>
                <w:sz w:val="12"/>
                <w:szCs w:val="12"/>
                <w:color w:val="auto"/>
              </w:rPr>
            </w:pPr>
          </w:p>
        </w:tc>
        <w:tc>
          <w:tcPr>
            <w:tcW w:w="980" w:type="dxa"/>
            <w:vAlign w:val="bottom"/>
            <w:vMerge w:val="continue"/>
          </w:tcPr>
          <w:p>
            <w:pPr>
              <w:spacing w:after="0"/>
              <w:rPr>
                <w:sz w:val="12"/>
                <w:szCs w:val="12"/>
                <w:color w:val="auto"/>
              </w:rPr>
            </w:pPr>
          </w:p>
        </w:tc>
        <w:tc>
          <w:tcPr>
            <w:tcW w:w="1120" w:type="dxa"/>
            <w:vAlign w:val="bottom"/>
            <w:gridSpan w:val="2"/>
          </w:tcPr>
          <w:p>
            <w:pPr>
              <w:jc w:val="center"/>
              <w:ind w:left="133"/>
              <w:spacing w:after="0"/>
              <w:rPr>
                <w:sz w:val="20"/>
                <w:szCs w:val="20"/>
                <w:color w:val="auto"/>
              </w:rPr>
            </w:pPr>
            <w:r>
              <w:rPr>
                <w:rFonts w:ascii="Arial" w:cs="Arial" w:eastAsia="Arial" w:hAnsi="Arial"/>
                <w:sz w:val="11"/>
                <w:szCs w:val="11"/>
                <w:b w:val="1"/>
                <w:bCs w:val="1"/>
                <w:color w:val="auto"/>
                <w:w w:val="88"/>
              </w:rPr>
              <w:t>(6)</w:t>
            </w:r>
          </w:p>
        </w:tc>
        <w:tc>
          <w:tcPr>
            <w:tcW w:w="0" w:type="dxa"/>
            <w:vAlign w:val="bottom"/>
          </w:tcPr>
          <w:p>
            <w:pPr>
              <w:spacing w:after="0"/>
              <w:rPr>
                <w:sz w:val="1"/>
                <w:szCs w:val="1"/>
                <w:color w:val="auto"/>
              </w:rPr>
            </w:pPr>
          </w:p>
        </w:tc>
      </w:tr>
      <w:tr>
        <w:trPr>
          <w:trHeight w:val="149"/>
        </w:trPr>
        <w:tc>
          <w:tcPr>
            <w:tcW w:w="1220" w:type="dxa"/>
            <w:vAlign w:val="bottom"/>
            <w:tcBorders>
              <w:top w:val="single" w:sz="8" w:color="auto"/>
            </w:tcBorders>
            <w:shd w:val="clear" w:color="auto" w:fill="CFF0FC"/>
          </w:tcPr>
          <w:p>
            <w:pPr>
              <w:spacing w:after="0" w:line="149" w:lineRule="exact"/>
              <w:rPr>
                <w:sz w:val="20"/>
                <w:szCs w:val="20"/>
                <w:color w:val="auto"/>
              </w:rPr>
            </w:pPr>
            <w:r>
              <w:rPr>
                <w:rFonts w:ascii="Arial" w:cs="Arial" w:eastAsia="Arial" w:hAnsi="Arial"/>
                <w:sz w:val="14"/>
                <w:szCs w:val="14"/>
                <w:b w:val="1"/>
                <w:bCs w:val="1"/>
                <w:color w:val="auto"/>
              </w:rPr>
              <w:t>Phoenix, Arizona</w:t>
            </w:r>
          </w:p>
        </w:tc>
        <w:tc>
          <w:tcPr>
            <w:tcW w:w="3000" w:type="dxa"/>
            <w:vAlign w:val="bottom"/>
            <w:tcBorders>
              <w:top w:val="single" w:sz="8" w:color="CFF0FC"/>
            </w:tcBorders>
            <w:shd w:val="clear" w:color="auto" w:fill="CFF0FC"/>
          </w:tcPr>
          <w:p>
            <w:pPr>
              <w:spacing w:after="0"/>
              <w:rPr>
                <w:sz w:val="12"/>
                <w:szCs w:val="12"/>
                <w:color w:val="auto"/>
              </w:rPr>
            </w:pPr>
          </w:p>
        </w:tc>
        <w:tc>
          <w:tcPr>
            <w:tcW w:w="900" w:type="dxa"/>
            <w:vAlign w:val="bottom"/>
            <w:tcBorders>
              <w:top w:val="single" w:sz="8" w:color="auto"/>
            </w:tcBorders>
            <w:shd w:val="clear" w:color="auto" w:fill="CFF0FC"/>
          </w:tcPr>
          <w:p>
            <w:pPr>
              <w:spacing w:after="0"/>
              <w:rPr>
                <w:sz w:val="12"/>
                <w:szCs w:val="12"/>
                <w:color w:val="auto"/>
              </w:rPr>
            </w:pPr>
          </w:p>
        </w:tc>
        <w:tc>
          <w:tcPr>
            <w:tcW w:w="120" w:type="dxa"/>
            <w:vAlign w:val="bottom"/>
            <w:tcBorders>
              <w:top w:val="single" w:sz="8" w:color="CFF0FC"/>
            </w:tcBorders>
            <w:shd w:val="clear" w:color="auto" w:fill="CFF0FC"/>
          </w:tcPr>
          <w:p>
            <w:pPr>
              <w:spacing w:after="0"/>
              <w:rPr>
                <w:sz w:val="12"/>
                <w:szCs w:val="12"/>
                <w:color w:val="auto"/>
              </w:rPr>
            </w:pPr>
          </w:p>
        </w:tc>
        <w:tc>
          <w:tcPr>
            <w:tcW w:w="780" w:type="dxa"/>
            <w:vAlign w:val="bottom"/>
            <w:tcBorders>
              <w:top w:val="single" w:sz="8" w:color="auto"/>
            </w:tcBorders>
            <w:shd w:val="clear" w:color="auto" w:fill="CFF0FC"/>
          </w:tcPr>
          <w:p>
            <w:pPr>
              <w:spacing w:after="0"/>
              <w:rPr>
                <w:sz w:val="12"/>
                <w:szCs w:val="12"/>
                <w:color w:val="auto"/>
              </w:rPr>
            </w:pPr>
          </w:p>
        </w:tc>
        <w:tc>
          <w:tcPr>
            <w:tcW w:w="220" w:type="dxa"/>
            <w:vAlign w:val="bottom"/>
            <w:tcBorders>
              <w:top w:val="single" w:sz="8" w:color="CFF0FC"/>
            </w:tcBorders>
            <w:shd w:val="clear" w:color="auto" w:fill="CFF0FC"/>
          </w:tcPr>
          <w:p>
            <w:pPr>
              <w:spacing w:after="0"/>
              <w:rPr>
                <w:sz w:val="12"/>
                <w:szCs w:val="12"/>
                <w:color w:val="auto"/>
              </w:rPr>
            </w:pPr>
          </w:p>
        </w:tc>
        <w:tc>
          <w:tcPr>
            <w:tcW w:w="860" w:type="dxa"/>
            <w:vAlign w:val="bottom"/>
            <w:tcBorders>
              <w:top w:val="single" w:sz="8" w:color="auto"/>
            </w:tcBorders>
            <w:shd w:val="clear" w:color="auto" w:fill="CFF0FC"/>
          </w:tcPr>
          <w:p>
            <w:pPr>
              <w:spacing w:after="0"/>
              <w:rPr>
                <w:sz w:val="12"/>
                <w:szCs w:val="12"/>
                <w:color w:val="auto"/>
              </w:rPr>
            </w:pPr>
          </w:p>
        </w:tc>
        <w:tc>
          <w:tcPr>
            <w:tcW w:w="220" w:type="dxa"/>
            <w:vAlign w:val="bottom"/>
            <w:tcBorders>
              <w:top w:val="single" w:sz="8" w:color="CFF0FC"/>
            </w:tcBorders>
            <w:shd w:val="clear" w:color="auto" w:fill="CFF0FC"/>
          </w:tcPr>
          <w:p>
            <w:pPr>
              <w:spacing w:after="0"/>
              <w:rPr>
                <w:sz w:val="12"/>
                <w:szCs w:val="12"/>
                <w:color w:val="auto"/>
              </w:rPr>
            </w:pPr>
          </w:p>
        </w:tc>
        <w:tc>
          <w:tcPr>
            <w:tcW w:w="780" w:type="dxa"/>
            <w:vAlign w:val="bottom"/>
            <w:tcBorders>
              <w:top w:val="single" w:sz="8" w:color="auto"/>
            </w:tcBorders>
            <w:shd w:val="clear" w:color="auto" w:fill="CFF0FC"/>
          </w:tcPr>
          <w:p>
            <w:pPr>
              <w:spacing w:after="0"/>
              <w:rPr>
                <w:sz w:val="12"/>
                <w:szCs w:val="12"/>
                <w:color w:val="auto"/>
              </w:rPr>
            </w:pPr>
          </w:p>
        </w:tc>
        <w:tc>
          <w:tcPr>
            <w:tcW w:w="220" w:type="dxa"/>
            <w:vAlign w:val="bottom"/>
            <w:tcBorders>
              <w:top w:val="single" w:sz="8" w:color="CFF0FC"/>
            </w:tcBorders>
            <w:shd w:val="clear" w:color="auto" w:fill="CFF0FC"/>
          </w:tcPr>
          <w:p>
            <w:pPr>
              <w:spacing w:after="0"/>
              <w:rPr>
                <w:sz w:val="12"/>
                <w:szCs w:val="12"/>
                <w:color w:val="auto"/>
              </w:rPr>
            </w:pPr>
          </w:p>
        </w:tc>
        <w:tc>
          <w:tcPr>
            <w:tcW w:w="780" w:type="dxa"/>
            <w:vAlign w:val="bottom"/>
            <w:tcBorders>
              <w:top w:val="single" w:sz="8" w:color="auto"/>
            </w:tcBorders>
            <w:shd w:val="clear" w:color="auto" w:fill="CFF0FC"/>
          </w:tcPr>
          <w:p>
            <w:pPr>
              <w:spacing w:after="0"/>
              <w:rPr>
                <w:sz w:val="12"/>
                <w:szCs w:val="12"/>
                <w:color w:val="auto"/>
              </w:rPr>
            </w:pPr>
          </w:p>
        </w:tc>
        <w:tc>
          <w:tcPr>
            <w:tcW w:w="220" w:type="dxa"/>
            <w:vAlign w:val="bottom"/>
            <w:tcBorders>
              <w:top w:val="single" w:sz="8" w:color="CFF0FC"/>
            </w:tcBorders>
            <w:shd w:val="clear" w:color="auto" w:fill="CFF0FC"/>
          </w:tcPr>
          <w:p>
            <w:pPr>
              <w:spacing w:after="0"/>
              <w:rPr>
                <w:sz w:val="12"/>
                <w:szCs w:val="12"/>
                <w:color w:val="auto"/>
              </w:rPr>
            </w:pPr>
          </w:p>
        </w:tc>
        <w:tc>
          <w:tcPr>
            <w:tcW w:w="980" w:type="dxa"/>
            <w:vAlign w:val="bottom"/>
            <w:tcBorders>
              <w:top w:val="single" w:sz="8" w:color="auto"/>
            </w:tcBorders>
            <w:shd w:val="clear" w:color="auto" w:fill="CFF0FC"/>
          </w:tcPr>
          <w:p>
            <w:pPr>
              <w:spacing w:after="0"/>
              <w:rPr>
                <w:sz w:val="12"/>
                <w:szCs w:val="12"/>
                <w:color w:val="auto"/>
              </w:rPr>
            </w:pPr>
          </w:p>
        </w:tc>
        <w:tc>
          <w:tcPr>
            <w:tcW w:w="220" w:type="dxa"/>
            <w:vAlign w:val="bottom"/>
            <w:tcBorders>
              <w:top w:val="single" w:sz="8" w:color="CFF0FC"/>
            </w:tcBorders>
            <w:shd w:val="clear" w:color="auto" w:fill="CFF0FC"/>
          </w:tcPr>
          <w:p>
            <w:pPr>
              <w:spacing w:after="0"/>
              <w:rPr>
                <w:sz w:val="12"/>
                <w:szCs w:val="12"/>
                <w:color w:val="auto"/>
              </w:rPr>
            </w:pPr>
          </w:p>
        </w:tc>
        <w:tc>
          <w:tcPr>
            <w:tcW w:w="900" w:type="dxa"/>
            <w:vAlign w:val="bottom"/>
            <w:tcBorders>
              <w:top w:val="single" w:sz="8" w:color="auto"/>
            </w:tcBorders>
            <w:shd w:val="clear" w:color="auto" w:fill="CFF0FC"/>
          </w:tcPr>
          <w:p>
            <w:pPr>
              <w:spacing w:after="0"/>
              <w:rPr>
                <w:sz w:val="12"/>
                <w:szCs w:val="12"/>
                <w:color w:val="auto"/>
              </w:rPr>
            </w:pPr>
          </w:p>
        </w:tc>
        <w:tc>
          <w:tcPr>
            <w:tcW w:w="0" w:type="dxa"/>
            <w:vAlign w:val="bottom"/>
          </w:tcPr>
          <w:p>
            <w:pPr>
              <w:spacing w:after="0"/>
              <w:rPr>
                <w:sz w:val="1"/>
                <w:szCs w:val="1"/>
                <w:color w:val="auto"/>
              </w:rPr>
            </w:pPr>
          </w:p>
        </w:tc>
      </w:tr>
      <w:tr>
        <w:trPr>
          <w:trHeight w:val="162"/>
        </w:trPr>
        <w:tc>
          <w:tcPr>
            <w:tcW w:w="4220" w:type="dxa"/>
            <w:vAlign w:val="bottom"/>
            <w:gridSpan w:val="2"/>
          </w:tcPr>
          <w:p>
            <w:pPr>
              <w:spacing w:after="0"/>
              <w:rPr>
                <w:sz w:val="20"/>
                <w:szCs w:val="20"/>
                <w:color w:val="auto"/>
              </w:rPr>
            </w:pPr>
            <w:r>
              <w:rPr>
                <w:rFonts w:ascii="Arial" w:cs="Arial" w:eastAsia="Arial" w:hAnsi="Arial"/>
                <w:sz w:val="14"/>
                <w:szCs w:val="14"/>
                <w:color w:val="auto"/>
              </w:rPr>
              <w:t>Town of Buckeye:</w:t>
            </w:r>
          </w:p>
        </w:tc>
        <w:tc>
          <w:tcPr>
            <w:tcW w:w="9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4220" w:type="dxa"/>
            <w:vAlign w:val="bottom"/>
            <w:gridSpan w:val="2"/>
            <w:shd w:val="clear" w:color="auto" w:fill="CFF0FC"/>
          </w:tcPr>
          <w:p>
            <w:pPr>
              <w:ind w:left="260"/>
              <w:spacing w:after="0"/>
              <w:rPr>
                <w:sz w:val="20"/>
                <w:szCs w:val="20"/>
                <w:color w:val="auto"/>
              </w:rPr>
            </w:pPr>
            <w:r>
              <w:rPr>
                <w:rFonts w:ascii="Arial" w:cs="Arial" w:eastAsia="Arial" w:hAnsi="Arial"/>
                <w:sz w:val="14"/>
                <w:szCs w:val="14"/>
                <w:color w:val="auto"/>
              </w:rPr>
              <w:t>Verrado Tilden</w:t>
            </w:r>
          </w:p>
        </w:tc>
        <w:tc>
          <w:tcPr>
            <w:tcW w:w="900" w:type="dxa"/>
            <w:vAlign w:val="bottom"/>
            <w:shd w:val="clear" w:color="auto" w:fill="CFF0FC"/>
          </w:tcPr>
          <w:p>
            <w:pPr>
              <w:jc w:val="center"/>
              <w:spacing w:after="0"/>
              <w:rPr>
                <w:sz w:val="20"/>
                <w:szCs w:val="20"/>
                <w:color w:val="auto"/>
              </w:rPr>
            </w:pPr>
            <w:r>
              <w:rPr>
                <w:rFonts w:ascii="Arial" w:cs="Arial" w:eastAsia="Arial" w:hAnsi="Arial"/>
                <w:sz w:val="14"/>
                <w:szCs w:val="14"/>
                <w:color w:val="auto"/>
                <w:w w:val="83"/>
              </w:rPr>
              <w:t>2012</w:t>
            </w:r>
          </w:p>
        </w:tc>
        <w:tc>
          <w:tcPr>
            <w:tcW w:w="120" w:type="dxa"/>
            <w:vAlign w:val="bottom"/>
            <w:shd w:val="clear" w:color="auto" w:fill="CFF0FC"/>
          </w:tcPr>
          <w:p>
            <w:pPr>
              <w:spacing w:after="0"/>
              <w:rPr>
                <w:sz w:val="14"/>
                <w:szCs w:val="14"/>
                <w:color w:val="auto"/>
              </w:rPr>
            </w:pPr>
          </w:p>
        </w:tc>
        <w:tc>
          <w:tcPr>
            <w:tcW w:w="7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102</w:t>
            </w:r>
          </w:p>
        </w:tc>
        <w:tc>
          <w:tcPr>
            <w:tcW w:w="220" w:type="dxa"/>
            <w:vAlign w:val="bottom"/>
            <w:shd w:val="clear" w:color="auto" w:fill="CFF0FC"/>
          </w:tcPr>
          <w:p>
            <w:pPr>
              <w:spacing w:after="0"/>
              <w:rPr>
                <w:sz w:val="14"/>
                <w:szCs w:val="14"/>
                <w:color w:val="auto"/>
              </w:rPr>
            </w:pPr>
          </w:p>
        </w:tc>
        <w:tc>
          <w:tcPr>
            <w:tcW w:w="860" w:type="dxa"/>
            <w:vAlign w:val="bottom"/>
            <w:shd w:val="clear" w:color="auto" w:fill="CFF0FC"/>
          </w:tcPr>
          <w:p>
            <w:pPr>
              <w:jc w:val="right"/>
              <w:spacing w:after="0"/>
              <w:rPr>
                <w:sz w:val="20"/>
                <w:szCs w:val="20"/>
                <w:color w:val="auto"/>
              </w:rPr>
            </w:pPr>
            <w:r>
              <w:rPr>
                <w:rFonts w:ascii="Arial" w:cs="Arial" w:eastAsia="Arial" w:hAnsi="Arial"/>
                <w:sz w:val="14"/>
                <w:szCs w:val="14"/>
                <w:color w:val="auto"/>
              </w:rPr>
              <w:t>76</w:t>
            </w:r>
          </w:p>
        </w:tc>
        <w:tc>
          <w:tcPr>
            <w:tcW w:w="220" w:type="dxa"/>
            <w:vAlign w:val="bottom"/>
            <w:shd w:val="clear" w:color="auto" w:fill="CFF0FC"/>
          </w:tcPr>
          <w:p>
            <w:pPr>
              <w:spacing w:after="0"/>
              <w:rPr>
                <w:sz w:val="14"/>
                <w:szCs w:val="14"/>
                <w:color w:val="auto"/>
              </w:rPr>
            </w:pPr>
          </w:p>
        </w:tc>
        <w:tc>
          <w:tcPr>
            <w:tcW w:w="7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26</w:t>
            </w:r>
          </w:p>
        </w:tc>
        <w:tc>
          <w:tcPr>
            <w:tcW w:w="220" w:type="dxa"/>
            <w:vAlign w:val="bottom"/>
            <w:shd w:val="clear" w:color="auto" w:fill="CFF0FC"/>
          </w:tcPr>
          <w:p>
            <w:pPr>
              <w:spacing w:after="0"/>
              <w:rPr>
                <w:sz w:val="14"/>
                <w:szCs w:val="14"/>
                <w:color w:val="auto"/>
              </w:rPr>
            </w:pPr>
          </w:p>
        </w:tc>
        <w:tc>
          <w:tcPr>
            <w:tcW w:w="7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11</w:t>
            </w:r>
          </w:p>
        </w:tc>
        <w:tc>
          <w:tcPr>
            <w:tcW w:w="220" w:type="dxa"/>
            <w:vAlign w:val="bottom"/>
            <w:shd w:val="clear" w:color="auto" w:fill="CFF0FC"/>
          </w:tcPr>
          <w:p>
            <w:pPr>
              <w:spacing w:after="0"/>
              <w:rPr>
                <w:sz w:val="14"/>
                <w:szCs w:val="14"/>
                <w:color w:val="auto"/>
              </w:rPr>
            </w:pPr>
          </w:p>
        </w:tc>
        <w:tc>
          <w:tcPr>
            <w:tcW w:w="9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3</w:t>
            </w:r>
          </w:p>
        </w:tc>
        <w:tc>
          <w:tcPr>
            <w:tcW w:w="1120" w:type="dxa"/>
            <w:vAlign w:val="bottom"/>
            <w:gridSpan w:val="2"/>
            <w:shd w:val="clear" w:color="auto" w:fill="CFF0FC"/>
          </w:tcPr>
          <w:p>
            <w:pPr>
              <w:jc w:val="center"/>
              <w:ind w:left="133"/>
              <w:spacing w:after="0"/>
              <w:rPr>
                <w:sz w:val="20"/>
                <w:szCs w:val="20"/>
                <w:color w:val="auto"/>
              </w:rPr>
            </w:pPr>
            <w:r>
              <w:rPr>
                <w:rFonts w:ascii="Arial" w:cs="Arial" w:eastAsia="Arial" w:hAnsi="Arial"/>
                <w:sz w:val="14"/>
                <w:szCs w:val="14"/>
                <w:color w:val="auto"/>
                <w:w w:val="89"/>
              </w:rPr>
              <w:t>$239 - 304</w:t>
            </w:r>
          </w:p>
        </w:tc>
        <w:tc>
          <w:tcPr>
            <w:tcW w:w="0" w:type="dxa"/>
            <w:vAlign w:val="bottom"/>
          </w:tcPr>
          <w:p>
            <w:pPr>
              <w:spacing w:after="0"/>
              <w:rPr>
                <w:sz w:val="1"/>
                <w:szCs w:val="1"/>
                <w:color w:val="auto"/>
              </w:rPr>
            </w:pPr>
          </w:p>
        </w:tc>
      </w:tr>
      <w:tr>
        <w:trPr>
          <w:trHeight w:val="162"/>
        </w:trPr>
        <w:tc>
          <w:tcPr>
            <w:tcW w:w="4220" w:type="dxa"/>
            <w:vAlign w:val="bottom"/>
            <w:gridSpan w:val="2"/>
          </w:tcPr>
          <w:p>
            <w:pPr>
              <w:ind w:left="260"/>
              <w:spacing w:after="0"/>
              <w:rPr>
                <w:sz w:val="20"/>
                <w:szCs w:val="20"/>
                <w:color w:val="auto"/>
              </w:rPr>
            </w:pPr>
            <w:r>
              <w:rPr>
                <w:rFonts w:ascii="Arial" w:cs="Arial" w:eastAsia="Arial" w:hAnsi="Arial"/>
                <w:sz w:val="14"/>
                <w:szCs w:val="14"/>
                <w:color w:val="auto"/>
              </w:rPr>
              <w:t>Verrado Palisades</w:t>
            </w:r>
          </w:p>
        </w:tc>
        <w:tc>
          <w:tcPr>
            <w:tcW w:w="900" w:type="dxa"/>
            <w:vAlign w:val="bottom"/>
          </w:tcPr>
          <w:p>
            <w:pPr>
              <w:jc w:val="center"/>
              <w:spacing w:after="0"/>
              <w:rPr>
                <w:sz w:val="20"/>
                <w:szCs w:val="20"/>
                <w:color w:val="auto"/>
              </w:rPr>
            </w:pPr>
            <w:r>
              <w:rPr>
                <w:rFonts w:ascii="Arial" w:cs="Arial" w:eastAsia="Arial" w:hAnsi="Arial"/>
                <w:sz w:val="14"/>
                <w:szCs w:val="14"/>
                <w:color w:val="auto"/>
                <w:w w:val="83"/>
              </w:rPr>
              <w:t>2015</w:t>
            </w:r>
          </w:p>
        </w:tc>
        <w:tc>
          <w:tcPr>
            <w:tcW w:w="120" w:type="dxa"/>
            <w:vAlign w:val="bottom"/>
          </w:tcPr>
          <w:p>
            <w:pPr>
              <w:spacing w:after="0"/>
              <w:rPr>
                <w:sz w:val="14"/>
                <w:szCs w:val="14"/>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63</w:t>
            </w:r>
          </w:p>
        </w:tc>
        <w:tc>
          <w:tcPr>
            <w:tcW w:w="220" w:type="dxa"/>
            <w:vAlign w:val="bottom"/>
          </w:tcPr>
          <w:p>
            <w:pPr>
              <w:spacing w:after="0"/>
              <w:rPr>
                <w:sz w:val="14"/>
                <w:szCs w:val="14"/>
                <w:color w:val="auto"/>
              </w:rPr>
            </w:pPr>
          </w:p>
        </w:tc>
        <w:tc>
          <w:tcPr>
            <w:tcW w:w="860" w:type="dxa"/>
            <w:vAlign w:val="bottom"/>
          </w:tcPr>
          <w:p>
            <w:pPr>
              <w:jc w:val="right"/>
              <w:spacing w:after="0"/>
              <w:rPr>
                <w:sz w:val="20"/>
                <w:szCs w:val="20"/>
                <w:color w:val="auto"/>
              </w:rPr>
            </w:pPr>
            <w:r>
              <w:rPr>
                <w:rFonts w:ascii="Arial" w:cs="Arial" w:eastAsia="Arial" w:hAnsi="Arial"/>
                <w:sz w:val="14"/>
                <w:szCs w:val="14"/>
                <w:color w:val="auto"/>
              </w:rPr>
              <w:t>3</w:t>
            </w:r>
          </w:p>
        </w:tc>
        <w:tc>
          <w:tcPr>
            <w:tcW w:w="220" w:type="dxa"/>
            <w:vAlign w:val="bottom"/>
          </w:tcPr>
          <w:p>
            <w:pPr>
              <w:spacing w:after="0"/>
              <w:rPr>
                <w:sz w:val="14"/>
                <w:szCs w:val="14"/>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60</w:t>
            </w:r>
          </w:p>
        </w:tc>
        <w:tc>
          <w:tcPr>
            <w:tcW w:w="220" w:type="dxa"/>
            <w:vAlign w:val="bottom"/>
          </w:tcPr>
          <w:p>
            <w:pPr>
              <w:spacing w:after="0"/>
              <w:rPr>
                <w:sz w:val="14"/>
                <w:szCs w:val="14"/>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9</w:t>
            </w:r>
          </w:p>
        </w:tc>
        <w:tc>
          <w:tcPr>
            <w:tcW w:w="220" w:type="dxa"/>
            <w:vAlign w:val="bottom"/>
          </w:tcPr>
          <w:p>
            <w:pPr>
              <w:spacing w:after="0"/>
              <w:rPr>
                <w:sz w:val="14"/>
                <w:szCs w:val="14"/>
                <w:color w:val="auto"/>
              </w:rPr>
            </w:pPr>
          </w:p>
        </w:tc>
        <w:tc>
          <w:tcPr>
            <w:tcW w:w="980" w:type="dxa"/>
            <w:vAlign w:val="bottom"/>
          </w:tcPr>
          <w:p>
            <w:pPr>
              <w:jc w:val="right"/>
              <w:spacing w:after="0"/>
              <w:rPr>
                <w:sz w:val="20"/>
                <w:szCs w:val="20"/>
                <w:color w:val="auto"/>
              </w:rPr>
            </w:pPr>
            <w:r>
              <w:rPr>
                <w:rFonts w:ascii="Arial" w:cs="Arial" w:eastAsia="Arial" w:hAnsi="Arial"/>
                <w:sz w:val="14"/>
                <w:szCs w:val="14"/>
                <w:color w:val="auto"/>
              </w:rPr>
              <w:t>3</w:t>
            </w:r>
          </w:p>
        </w:tc>
        <w:tc>
          <w:tcPr>
            <w:tcW w:w="1120" w:type="dxa"/>
            <w:vAlign w:val="bottom"/>
            <w:gridSpan w:val="2"/>
          </w:tcPr>
          <w:p>
            <w:pPr>
              <w:jc w:val="center"/>
              <w:ind w:left="133"/>
              <w:spacing w:after="0"/>
              <w:rPr>
                <w:sz w:val="20"/>
                <w:szCs w:val="20"/>
                <w:color w:val="auto"/>
              </w:rPr>
            </w:pPr>
            <w:r>
              <w:rPr>
                <w:rFonts w:ascii="Arial" w:cs="Arial" w:eastAsia="Arial" w:hAnsi="Arial"/>
                <w:sz w:val="14"/>
                <w:szCs w:val="14"/>
                <w:color w:val="auto"/>
                <w:w w:val="89"/>
              </w:rPr>
              <w:t>$305 - 378</w:t>
            </w:r>
          </w:p>
        </w:tc>
        <w:tc>
          <w:tcPr>
            <w:tcW w:w="0" w:type="dxa"/>
            <w:vAlign w:val="bottom"/>
          </w:tcPr>
          <w:p>
            <w:pPr>
              <w:spacing w:after="0"/>
              <w:rPr>
                <w:sz w:val="1"/>
                <w:szCs w:val="1"/>
                <w:color w:val="auto"/>
              </w:rPr>
            </w:pPr>
          </w:p>
        </w:tc>
      </w:tr>
      <w:tr>
        <w:trPr>
          <w:trHeight w:val="162"/>
        </w:trPr>
        <w:tc>
          <w:tcPr>
            <w:tcW w:w="4220" w:type="dxa"/>
            <w:vAlign w:val="bottom"/>
            <w:gridSpan w:val="2"/>
            <w:shd w:val="clear" w:color="auto" w:fill="CFF0FC"/>
          </w:tcPr>
          <w:p>
            <w:pPr>
              <w:ind w:left="260"/>
              <w:spacing w:after="0"/>
              <w:rPr>
                <w:sz w:val="20"/>
                <w:szCs w:val="20"/>
                <w:color w:val="auto"/>
              </w:rPr>
            </w:pPr>
            <w:r>
              <w:rPr>
                <w:rFonts w:ascii="Arial" w:cs="Arial" w:eastAsia="Arial" w:hAnsi="Arial"/>
                <w:sz w:val="14"/>
                <w:szCs w:val="14"/>
                <w:color w:val="auto"/>
              </w:rPr>
              <w:t>Verrado Victory</w:t>
            </w:r>
          </w:p>
        </w:tc>
        <w:tc>
          <w:tcPr>
            <w:tcW w:w="900" w:type="dxa"/>
            <w:vAlign w:val="bottom"/>
            <w:shd w:val="clear" w:color="auto" w:fill="CFF0FC"/>
          </w:tcPr>
          <w:p>
            <w:pPr>
              <w:jc w:val="center"/>
              <w:spacing w:after="0"/>
              <w:rPr>
                <w:sz w:val="20"/>
                <w:szCs w:val="20"/>
                <w:color w:val="auto"/>
              </w:rPr>
            </w:pPr>
            <w:r>
              <w:rPr>
                <w:rFonts w:ascii="Arial" w:cs="Arial" w:eastAsia="Arial" w:hAnsi="Arial"/>
                <w:sz w:val="14"/>
                <w:szCs w:val="14"/>
                <w:color w:val="auto"/>
                <w:w w:val="83"/>
              </w:rPr>
              <w:t>2015</w:t>
            </w:r>
          </w:p>
        </w:tc>
        <w:tc>
          <w:tcPr>
            <w:tcW w:w="120" w:type="dxa"/>
            <w:vAlign w:val="bottom"/>
            <w:shd w:val="clear" w:color="auto" w:fill="CFF0FC"/>
          </w:tcPr>
          <w:p>
            <w:pPr>
              <w:spacing w:after="0"/>
              <w:rPr>
                <w:sz w:val="14"/>
                <w:szCs w:val="14"/>
                <w:color w:val="auto"/>
              </w:rPr>
            </w:pPr>
          </w:p>
        </w:tc>
        <w:tc>
          <w:tcPr>
            <w:tcW w:w="7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98</w:t>
            </w:r>
          </w:p>
        </w:tc>
        <w:tc>
          <w:tcPr>
            <w:tcW w:w="220" w:type="dxa"/>
            <w:vAlign w:val="bottom"/>
            <w:shd w:val="clear" w:color="auto" w:fill="CFF0FC"/>
          </w:tcPr>
          <w:p>
            <w:pPr>
              <w:spacing w:after="0"/>
              <w:rPr>
                <w:sz w:val="14"/>
                <w:szCs w:val="14"/>
                <w:color w:val="auto"/>
              </w:rPr>
            </w:pPr>
          </w:p>
        </w:tc>
        <w:tc>
          <w:tcPr>
            <w:tcW w:w="860" w:type="dxa"/>
            <w:vAlign w:val="bottom"/>
            <w:shd w:val="clear" w:color="auto" w:fill="CFF0FC"/>
          </w:tcPr>
          <w:p>
            <w:pPr>
              <w:jc w:val="right"/>
              <w:spacing w:after="0"/>
              <w:rPr>
                <w:sz w:val="20"/>
                <w:szCs w:val="20"/>
                <w:color w:val="auto"/>
              </w:rPr>
            </w:pPr>
            <w:r>
              <w:rPr>
                <w:rFonts w:ascii="Arial" w:cs="Arial" w:eastAsia="Arial" w:hAnsi="Arial"/>
                <w:sz w:val="14"/>
                <w:szCs w:val="14"/>
                <w:color w:val="auto"/>
              </w:rPr>
              <w:t>-</w:t>
            </w:r>
          </w:p>
        </w:tc>
        <w:tc>
          <w:tcPr>
            <w:tcW w:w="220" w:type="dxa"/>
            <w:vAlign w:val="bottom"/>
            <w:shd w:val="clear" w:color="auto" w:fill="CFF0FC"/>
          </w:tcPr>
          <w:p>
            <w:pPr>
              <w:spacing w:after="0"/>
              <w:rPr>
                <w:sz w:val="14"/>
                <w:szCs w:val="14"/>
                <w:color w:val="auto"/>
              </w:rPr>
            </w:pPr>
          </w:p>
        </w:tc>
        <w:tc>
          <w:tcPr>
            <w:tcW w:w="7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98</w:t>
            </w:r>
          </w:p>
        </w:tc>
        <w:tc>
          <w:tcPr>
            <w:tcW w:w="220" w:type="dxa"/>
            <w:vAlign w:val="bottom"/>
            <w:shd w:val="clear" w:color="auto" w:fill="CFF0FC"/>
          </w:tcPr>
          <w:p>
            <w:pPr>
              <w:spacing w:after="0"/>
              <w:rPr>
                <w:sz w:val="14"/>
                <w:szCs w:val="14"/>
                <w:color w:val="auto"/>
              </w:rPr>
            </w:pPr>
          </w:p>
        </w:tc>
        <w:tc>
          <w:tcPr>
            <w:tcW w:w="7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10</w:t>
            </w:r>
          </w:p>
        </w:tc>
        <w:tc>
          <w:tcPr>
            <w:tcW w:w="220" w:type="dxa"/>
            <w:vAlign w:val="bottom"/>
            <w:shd w:val="clear" w:color="auto" w:fill="CFF0FC"/>
          </w:tcPr>
          <w:p>
            <w:pPr>
              <w:spacing w:after="0"/>
              <w:rPr>
                <w:sz w:val="14"/>
                <w:szCs w:val="14"/>
                <w:color w:val="auto"/>
              </w:rPr>
            </w:pPr>
          </w:p>
        </w:tc>
        <w:tc>
          <w:tcPr>
            <w:tcW w:w="9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w:t>
            </w:r>
          </w:p>
        </w:tc>
        <w:tc>
          <w:tcPr>
            <w:tcW w:w="1120" w:type="dxa"/>
            <w:vAlign w:val="bottom"/>
            <w:gridSpan w:val="2"/>
            <w:shd w:val="clear" w:color="auto" w:fill="CFF0FC"/>
          </w:tcPr>
          <w:p>
            <w:pPr>
              <w:jc w:val="center"/>
              <w:ind w:left="133"/>
              <w:spacing w:after="0"/>
              <w:rPr>
                <w:sz w:val="20"/>
                <w:szCs w:val="20"/>
                <w:color w:val="auto"/>
              </w:rPr>
            </w:pPr>
            <w:r>
              <w:rPr>
                <w:rFonts w:ascii="Arial" w:cs="Arial" w:eastAsia="Arial" w:hAnsi="Arial"/>
                <w:sz w:val="14"/>
                <w:szCs w:val="14"/>
                <w:color w:val="auto"/>
                <w:w w:val="89"/>
              </w:rPr>
              <w:t>$368 - 371</w:t>
            </w:r>
          </w:p>
        </w:tc>
        <w:tc>
          <w:tcPr>
            <w:tcW w:w="0" w:type="dxa"/>
            <w:vAlign w:val="bottom"/>
          </w:tcPr>
          <w:p>
            <w:pPr>
              <w:spacing w:after="0"/>
              <w:rPr>
                <w:sz w:val="1"/>
                <w:szCs w:val="1"/>
                <w:color w:val="auto"/>
              </w:rPr>
            </w:pPr>
          </w:p>
        </w:tc>
      </w:tr>
      <w:tr>
        <w:trPr>
          <w:trHeight w:val="162"/>
        </w:trPr>
        <w:tc>
          <w:tcPr>
            <w:tcW w:w="4220" w:type="dxa"/>
            <w:vAlign w:val="bottom"/>
            <w:gridSpan w:val="2"/>
          </w:tcPr>
          <w:p>
            <w:pPr>
              <w:spacing w:after="0"/>
              <w:rPr>
                <w:sz w:val="20"/>
                <w:szCs w:val="20"/>
                <w:color w:val="auto"/>
              </w:rPr>
            </w:pPr>
            <w:r>
              <w:rPr>
                <w:rFonts w:ascii="Arial" w:cs="Arial" w:eastAsia="Arial" w:hAnsi="Arial"/>
                <w:sz w:val="14"/>
                <w:szCs w:val="14"/>
                <w:color w:val="auto"/>
              </w:rPr>
              <w:t>City of Chandler:</w:t>
            </w:r>
          </w:p>
        </w:tc>
        <w:tc>
          <w:tcPr>
            <w:tcW w:w="9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4220" w:type="dxa"/>
            <w:vAlign w:val="bottom"/>
            <w:gridSpan w:val="2"/>
            <w:shd w:val="clear" w:color="auto" w:fill="CFF0FC"/>
          </w:tcPr>
          <w:p>
            <w:pPr>
              <w:ind w:left="260"/>
              <w:spacing w:after="0"/>
              <w:rPr>
                <w:sz w:val="20"/>
                <w:szCs w:val="20"/>
                <w:color w:val="auto"/>
              </w:rPr>
            </w:pPr>
            <w:r>
              <w:rPr>
                <w:rFonts w:ascii="Arial" w:cs="Arial" w:eastAsia="Arial" w:hAnsi="Arial"/>
                <w:sz w:val="14"/>
                <w:szCs w:val="14"/>
                <w:color w:val="auto"/>
              </w:rPr>
              <w:t>Artesian Ranch</w:t>
            </w:r>
          </w:p>
        </w:tc>
        <w:tc>
          <w:tcPr>
            <w:tcW w:w="900" w:type="dxa"/>
            <w:vAlign w:val="bottom"/>
            <w:shd w:val="clear" w:color="auto" w:fill="CFF0FC"/>
          </w:tcPr>
          <w:p>
            <w:pPr>
              <w:jc w:val="center"/>
              <w:spacing w:after="0"/>
              <w:rPr>
                <w:sz w:val="20"/>
                <w:szCs w:val="20"/>
                <w:color w:val="auto"/>
              </w:rPr>
            </w:pPr>
            <w:r>
              <w:rPr>
                <w:rFonts w:ascii="Arial" w:cs="Arial" w:eastAsia="Arial" w:hAnsi="Arial"/>
                <w:sz w:val="14"/>
                <w:szCs w:val="14"/>
                <w:color w:val="auto"/>
                <w:w w:val="83"/>
              </w:rPr>
              <w:t>2013</w:t>
            </w:r>
          </w:p>
        </w:tc>
        <w:tc>
          <w:tcPr>
            <w:tcW w:w="120" w:type="dxa"/>
            <w:vAlign w:val="bottom"/>
            <w:shd w:val="clear" w:color="auto" w:fill="CFF0FC"/>
          </w:tcPr>
          <w:p>
            <w:pPr>
              <w:spacing w:after="0"/>
              <w:rPr>
                <w:sz w:val="14"/>
                <w:szCs w:val="14"/>
                <w:color w:val="auto"/>
              </w:rPr>
            </w:pPr>
          </w:p>
        </w:tc>
        <w:tc>
          <w:tcPr>
            <w:tcW w:w="7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90</w:t>
            </w:r>
          </w:p>
        </w:tc>
        <w:tc>
          <w:tcPr>
            <w:tcW w:w="220" w:type="dxa"/>
            <w:vAlign w:val="bottom"/>
            <w:shd w:val="clear" w:color="auto" w:fill="CFF0FC"/>
          </w:tcPr>
          <w:p>
            <w:pPr>
              <w:spacing w:after="0"/>
              <w:rPr>
                <w:sz w:val="14"/>
                <w:szCs w:val="14"/>
                <w:color w:val="auto"/>
              </w:rPr>
            </w:pPr>
          </w:p>
        </w:tc>
        <w:tc>
          <w:tcPr>
            <w:tcW w:w="860" w:type="dxa"/>
            <w:vAlign w:val="bottom"/>
            <w:shd w:val="clear" w:color="auto" w:fill="CFF0FC"/>
          </w:tcPr>
          <w:p>
            <w:pPr>
              <w:jc w:val="right"/>
              <w:spacing w:after="0"/>
              <w:rPr>
                <w:sz w:val="20"/>
                <w:szCs w:val="20"/>
                <w:color w:val="auto"/>
              </w:rPr>
            </w:pPr>
            <w:r>
              <w:rPr>
                <w:rFonts w:ascii="Arial" w:cs="Arial" w:eastAsia="Arial" w:hAnsi="Arial"/>
                <w:sz w:val="14"/>
                <w:szCs w:val="14"/>
                <w:color w:val="auto"/>
              </w:rPr>
              <w:t>37</w:t>
            </w:r>
          </w:p>
        </w:tc>
        <w:tc>
          <w:tcPr>
            <w:tcW w:w="220" w:type="dxa"/>
            <w:vAlign w:val="bottom"/>
            <w:shd w:val="clear" w:color="auto" w:fill="CFF0FC"/>
          </w:tcPr>
          <w:p>
            <w:pPr>
              <w:spacing w:after="0"/>
              <w:rPr>
                <w:sz w:val="14"/>
                <w:szCs w:val="14"/>
                <w:color w:val="auto"/>
              </w:rPr>
            </w:pPr>
          </w:p>
        </w:tc>
        <w:tc>
          <w:tcPr>
            <w:tcW w:w="7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53</w:t>
            </w:r>
          </w:p>
        </w:tc>
        <w:tc>
          <w:tcPr>
            <w:tcW w:w="220" w:type="dxa"/>
            <w:vAlign w:val="bottom"/>
            <w:shd w:val="clear" w:color="auto" w:fill="CFF0FC"/>
          </w:tcPr>
          <w:p>
            <w:pPr>
              <w:spacing w:after="0"/>
              <w:rPr>
                <w:sz w:val="14"/>
                <w:szCs w:val="14"/>
                <w:color w:val="auto"/>
              </w:rPr>
            </w:pPr>
          </w:p>
        </w:tc>
        <w:tc>
          <w:tcPr>
            <w:tcW w:w="7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8</w:t>
            </w:r>
          </w:p>
        </w:tc>
        <w:tc>
          <w:tcPr>
            <w:tcW w:w="220" w:type="dxa"/>
            <w:vAlign w:val="bottom"/>
            <w:shd w:val="clear" w:color="auto" w:fill="CFF0FC"/>
          </w:tcPr>
          <w:p>
            <w:pPr>
              <w:spacing w:after="0"/>
              <w:rPr>
                <w:sz w:val="14"/>
                <w:szCs w:val="14"/>
                <w:color w:val="auto"/>
              </w:rPr>
            </w:pPr>
          </w:p>
        </w:tc>
        <w:tc>
          <w:tcPr>
            <w:tcW w:w="9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7</w:t>
            </w:r>
          </w:p>
        </w:tc>
        <w:tc>
          <w:tcPr>
            <w:tcW w:w="1120" w:type="dxa"/>
            <w:vAlign w:val="bottom"/>
            <w:gridSpan w:val="2"/>
            <w:shd w:val="clear" w:color="auto" w:fill="CFF0FC"/>
          </w:tcPr>
          <w:p>
            <w:pPr>
              <w:jc w:val="center"/>
              <w:ind w:left="133"/>
              <w:spacing w:after="0"/>
              <w:rPr>
                <w:sz w:val="20"/>
                <w:szCs w:val="20"/>
                <w:color w:val="auto"/>
              </w:rPr>
            </w:pPr>
            <w:r>
              <w:rPr>
                <w:rFonts w:ascii="Arial" w:cs="Arial" w:eastAsia="Arial" w:hAnsi="Arial"/>
                <w:sz w:val="14"/>
                <w:szCs w:val="14"/>
                <w:color w:val="auto"/>
                <w:w w:val="89"/>
              </w:rPr>
              <w:t>$329 - 385</w:t>
            </w:r>
          </w:p>
        </w:tc>
        <w:tc>
          <w:tcPr>
            <w:tcW w:w="0" w:type="dxa"/>
            <w:vAlign w:val="bottom"/>
          </w:tcPr>
          <w:p>
            <w:pPr>
              <w:spacing w:after="0"/>
              <w:rPr>
                <w:sz w:val="1"/>
                <w:szCs w:val="1"/>
                <w:color w:val="auto"/>
              </w:rPr>
            </w:pPr>
          </w:p>
        </w:tc>
      </w:tr>
      <w:tr>
        <w:trPr>
          <w:trHeight w:val="162"/>
        </w:trPr>
        <w:tc>
          <w:tcPr>
            <w:tcW w:w="4220" w:type="dxa"/>
            <w:vAlign w:val="bottom"/>
            <w:gridSpan w:val="2"/>
          </w:tcPr>
          <w:p>
            <w:pPr>
              <w:ind w:left="260"/>
              <w:spacing w:after="0"/>
              <w:rPr>
                <w:sz w:val="20"/>
                <w:szCs w:val="20"/>
                <w:color w:val="auto"/>
              </w:rPr>
            </w:pPr>
            <w:r>
              <w:rPr>
                <w:rFonts w:ascii="Arial" w:cs="Arial" w:eastAsia="Arial" w:hAnsi="Arial"/>
                <w:sz w:val="14"/>
                <w:szCs w:val="14"/>
                <w:color w:val="auto"/>
              </w:rPr>
              <w:t>Vaquero Ranch</w:t>
            </w:r>
          </w:p>
        </w:tc>
        <w:tc>
          <w:tcPr>
            <w:tcW w:w="900" w:type="dxa"/>
            <w:vAlign w:val="bottom"/>
          </w:tcPr>
          <w:p>
            <w:pPr>
              <w:jc w:val="center"/>
              <w:spacing w:after="0"/>
              <w:rPr>
                <w:sz w:val="20"/>
                <w:szCs w:val="20"/>
                <w:color w:val="auto"/>
              </w:rPr>
            </w:pPr>
            <w:r>
              <w:rPr>
                <w:rFonts w:ascii="Arial" w:cs="Arial" w:eastAsia="Arial" w:hAnsi="Arial"/>
                <w:sz w:val="14"/>
                <w:szCs w:val="14"/>
                <w:color w:val="auto"/>
                <w:w w:val="83"/>
              </w:rPr>
              <w:t>2013</w:t>
            </w:r>
          </w:p>
        </w:tc>
        <w:tc>
          <w:tcPr>
            <w:tcW w:w="120" w:type="dxa"/>
            <w:vAlign w:val="bottom"/>
          </w:tcPr>
          <w:p>
            <w:pPr>
              <w:spacing w:after="0"/>
              <w:rPr>
                <w:sz w:val="14"/>
                <w:szCs w:val="14"/>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74</w:t>
            </w:r>
          </w:p>
        </w:tc>
        <w:tc>
          <w:tcPr>
            <w:tcW w:w="220" w:type="dxa"/>
            <w:vAlign w:val="bottom"/>
          </w:tcPr>
          <w:p>
            <w:pPr>
              <w:spacing w:after="0"/>
              <w:rPr>
                <w:sz w:val="14"/>
                <w:szCs w:val="14"/>
                <w:color w:val="auto"/>
              </w:rPr>
            </w:pPr>
          </w:p>
        </w:tc>
        <w:tc>
          <w:tcPr>
            <w:tcW w:w="860" w:type="dxa"/>
            <w:vAlign w:val="bottom"/>
          </w:tcPr>
          <w:p>
            <w:pPr>
              <w:jc w:val="right"/>
              <w:spacing w:after="0"/>
              <w:rPr>
                <w:sz w:val="20"/>
                <w:szCs w:val="20"/>
                <w:color w:val="auto"/>
              </w:rPr>
            </w:pPr>
            <w:r>
              <w:rPr>
                <w:rFonts w:ascii="Arial" w:cs="Arial" w:eastAsia="Arial" w:hAnsi="Arial"/>
                <w:sz w:val="14"/>
                <w:szCs w:val="14"/>
                <w:color w:val="auto"/>
              </w:rPr>
              <w:t>43</w:t>
            </w:r>
          </w:p>
        </w:tc>
        <w:tc>
          <w:tcPr>
            <w:tcW w:w="220" w:type="dxa"/>
            <w:vAlign w:val="bottom"/>
          </w:tcPr>
          <w:p>
            <w:pPr>
              <w:spacing w:after="0"/>
              <w:rPr>
                <w:sz w:val="14"/>
                <w:szCs w:val="14"/>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31</w:t>
            </w:r>
          </w:p>
        </w:tc>
        <w:tc>
          <w:tcPr>
            <w:tcW w:w="220" w:type="dxa"/>
            <w:vAlign w:val="bottom"/>
          </w:tcPr>
          <w:p>
            <w:pPr>
              <w:spacing w:after="0"/>
              <w:rPr>
                <w:sz w:val="14"/>
                <w:szCs w:val="14"/>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13</w:t>
            </w:r>
          </w:p>
        </w:tc>
        <w:tc>
          <w:tcPr>
            <w:tcW w:w="220" w:type="dxa"/>
            <w:vAlign w:val="bottom"/>
          </w:tcPr>
          <w:p>
            <w:pPr>
              <w:spacing w:after="0"/>
              <w:rPr>
                <w:sz w:val="14"/>
                <w:szCs w:val="14"/>
                <w:color w:val="auto"/>
              </w:rPr>
            </w:pPr>
          </w:p>
        </w:tc>
        <w:tc>
          <w:tcPr>
            <w:tcW w:w="980" w:type="dxa"/>
            <w:vAlign w:val="bottom"/>
          </w:tcPr>
          <w:p>
            <w:pPr>
              <w:jc w:val="right"/>
              <w:spacing w:after="0"/>
              <w:rPr>
                <w:sz w:val="20"/>
                <w:szCs w:val="20"/>
                <w:color w:val="auto"/>
              </w:rPr>
            </w:pPr>
            <w:r>
              <w:rPr>
                <w:rFonts w:ascii="Arial" w:cs="Arial" w:eastAsia="Arial" w:hAnsi="Arial"/>
                <w:sz w:val="14"/>
                <w:szCs w:val="14"/>
                <w:color w:val="auto"/>
              </w:rPr>
              <w:t>5</w:t>
            </w:r>
          </w:p>
        </w:tc>
        <w:tc>
          <w:tcPr>
            <w:tcW w:w="1120" w:type="dxa"/>
            <w:vAlign w:val="bottom"/>
            <w:gridSpan w:val="2"/>
          </w:tcPr>
          <w:p>
            <w:pPr>
              <w:jc w:val="center"/>
              <w:ind w:left="133"/>
              <w:spacing w:after="0"/>
              <w:rPr>
                <w:sz w:val="20"/>
                <w:szCs w:val="20"/>
                <w:color w:val="auto"/>
              </w:rPr>
            </w:pPr>
            <w:r>
              <w:rPr>
                <w:rFonts w:ascii="Arial" w:cs="Arial" w:eastAsia="Arial" w:hAnsi="Arial"/>
                <w:sz w:val="14"/>
                <w:szCs w:val="14"/>
                <w:color w:val="auto"/>
                <w:w w:val="89"/>
              </w:rPr>
              <w:t>$293 - 368</w:t>
            </w:r>
          </w:p>
        </w:tc>
        <w:tc>
          <w:tcPr>
            <w:tcW w:w="0" w:type="dxa"/>
            <w:vAlign w:val="bottom"/>
          </w:tcPr>
          <w:p>
            <w:pPr>
              <w:spacing w:after="0"/>
              <w:rPr>
                <w:sz w:val="1"/>
                <w:szCs w:val="1"/>
                <w:color w:val="auto"/>
              </w:rPr>
            </w:pPr>
          </w:p>
        </w:tc>
      </w:tr>
      <w:tr>
        <w:trPr>
          <w:trHeight w:val="162"/>
        </w:trPr>
        <w:tc>
          <w:tcPr>
            <w:tcW w:w="4220" w:type="dxa"/>
            <w:vAlign w:val="bottom"/>
            <w:gridSpan w:val="2"/>
            <w:shd w:val="clear" w:color="auto" w:fill="CFF0FC"/>
          </w:tcPr>
          <w:p>
            <w:pPr>
              <w:ind w:left="260"/>
              <w:spacing w:after="0"/>
              <w:rPr>
                <w:sz w:val="20"/>
                <w:szCs w:val="20"/>
                <w:color w:val="auto"/>
              </w:rPr>
            </w:pPr>
            <w:r>
              <w:rPr>
                <w:rFonts w:ascii="Arial" w:cs="Arial" w:eastAsia="Arial" w:hAnsi="Arial"/>
                <w:sz w:val="14"/>
                <w:szCs w:val="14"/>
                <w:color w:val="auto"/>
              </w:rPr>
              <w:t>Maracay at Layton Lakes</w:t>
            </w:r>
          </w:p>
        </w:tc>
        <w:tc>
          <w:tcPr>
            <w:tcW w:w="900" w:type="dxa"/>
            <w:vAlign w:val="bottom"/>
            <w:shd w:val="clear" w:color="auto" w:fill="CFF0FC"/>
          </w:tcPr>
          <w:p>
            <w:pPr>
              <w:jc w:val="center"/>
              <w:spacing w:after="0"/>
              <w:rPr>
                <w:sz w:val="20"/>
                <w:szCs w:val="20"/>
                <w:color w:val="auto"/>
              </w:rPr>
            </w:pPr>
            <w:r>
              <w:rPr>
                <w:rFonts w:ascii="Arial" w:cs="Arial" w:eastAsia="Arial" w:hAnsi="Arial"/>
                <w:sz w:val="14"/>
                <w:szCs w:val="14"/>
                <w:color w:val="auto"/>
                <w:w w:val="83"/>
              </w:rPr>
              <w:t>2015</w:t>
            </w:r>
          </w:p>
        </w:tc>
        <w:tc>
          <w:tcPr>
            <w:tcW w:w="120" w:type="dxa"/>
            <w:vAlign w:val="bottom"/>
            <w:shd w:val="clear" w:color="auto" w:fill="CFF0FC"/>
          </w:tcPr>
          <w:p>
            <w:pPr>
              <w:spacing w:after="0"/>
              <w:rPr>
                <w:sz w:val="14"/>
                <w:szCs w:val="14"/>
                <w:color w:val="auto"/>
              </w:rPr>
            </w:pPr>
          </w:p>
        </w:tc>
        <w:tc>
          <w:tcPr>
            <w:tcW w:w="7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47</w:t>
            </w:r>
          </w:p>
        </w:tc>
        <w:tc>
          <w:tcPr>
            <w:tcW w:w="220" w:type="dxa"/>
            <w:vAlign w:val="bottom"/>
            <w:shd w:val="clear" w:color="auto" w:fill="CFF0FC"/>
          </w:tcPr>
          <w:p>
            <w:pPr>
              <w:spacing w:after="0"/>
              <w:rPr>
                <w:sz w:val="14"/>
                <w:szCs w:val="14"/>
                <w:color w:val="auto"/>
              </w:rPr>
            </w:pPr>
          </w:p>
        </w:tc>
        <w:tc>
          <w:tcPr>
            <w:tcW w:w="860" w:type="dxa"/>
            <w:vAlign w:val="bottom"/>
            <w:shd w:val="clear" w:color="auto" w:fill="CFF0FC"/>
          </w:tcPr>
          <w:p>
            <w:pPr>
              <w:jc w:val="right"/>
              <w:spacing w:after="0"/>
              <w:rPr>
                <w:sz w:val="20"/>
                <w:szCs w:val="20"/>
                <w:color w:val="auto"/>
              </w:rPr>
            </w:pPr>
            <w:r>
              <w:rPr>
                <w:rFonts w:ascii="Arial" w:cs="Arial" w:eastAsia="Arial" w:hAnsi="Arial"/>
                <w:sz w:val="14"/>
                <w:szCs w:val="14"/>
                <w:color w:val="auto"/>
              </w:rPr>
              <w:t>-</w:t>
            </w:r>
          </w:p>
        </w:tc>
        <w:tc>
          <w:tcPr>
            <w:tcW w:w="220" w:type="dxa"/>
            <w:vAlign w:val="bottom"/>
            <w:shd w:val="clear" w:color="auto" w:fill="CFF0FC"/>
          </w:tcPr>
          <w:p>
            <w:pPr>
              <w:spacing w:after="0"/>
              <w:rPr>
                <w:sz w:val="14"/>
                <w:szCs w:val="14"/>
                <w:color w:val="auto"/>
              </w:rPr>
            </w:pPr>
          </w:p>
        </w:tc>
        <w:tc>
          <w:tcPr>
            <w:tcW w:w="7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47</w:t>
            </w:r>
          </w:p>
        </w:tc>
        <w:tc>
          <w:tcPr>
            <w:tcW w:w="220" w:type="dxa"/>
            <w:vAlign w:val="bottom"/>
            <w:shd w:val="clear" w:color="auto" w:fill="CFF0FC"/>
          </w:tcPr>
          <w:p>
            <w:pPr>
              <w:spacing w:after="0"/>
              <w:rPr>
                <w:sz w:val="14"/>
                <w:szCs w:val="14"/>
                <w:color w:val="auto"/>
              </w:rPr>
            </w:pPr>
          </w:p>
        </w:tc>
        <w:tc>
          <w:tcPr>
            <w:tcW w:w="7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w:t>
            </w:r>
          </w:p>
        </w:tc>
        <w:tc>
          <w:tcPr>
            <w:tcW w:w="220" w:type="dxa"/>
            <w:vAlign w:val="bottom"/>
            <w:shd w:val="clear" w:color="auto" w:fill="CFF0FC"/>
          </w:tcPr>
          <w:p>
            <w:pPr>
              <w:spacing w:after="0"/>
              <w:rPr>
                <w:sz w:val="14"/>
                <w:szCs w:val="14"/>
                <w:color w:val="auto"/>
              </w:rPr>
            </w:pPr>
          </w:p>
        </w:tc>
        <w:tc>
          <w:tcPr>
            <w:tcW w:w="9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w:t>
            </w:r>
          </w:p>
        </w:tc>
        <w:tc>
          <w:tcPr>
            <w:tcW w:w="1120" w:type="dxa"/>
            <w:vAlign w:val="bottom"/>
            <w:gridSpan w:val="2"/>
            <w:shd w:val="clear" w:color="auto" w:fill="CFF0FC"/>
          </w:tcPr>
          <w:p>
            <w:pPr>
              <w:jc w:val="center"/>
              <w:ind w:left="133"/>
              <w:spacing w:after="0"/>
              <w:rPr>
                <w:sz w:val="20"/>
                <w:szCs w:val="20"/>
                <w:color w:val="auto"/>
              </w:rPr>
            </w:pPr>
            <w:r>
              <w:rPr>
                <w:rFonts w:ascii="Arial" w:cs="Arial" w:eastAsia="Arial" w:hAnsi="Arial"/>
                <w:sz w:val="14"/>
                <w:szCs w:val="14"/>
                <w:color w:val="auto"/>
                <w:w w:val="89"/>
              </w:rPr>
              <w:t>$459 - 499</w:t>
            </w:r>
          </w:p>
        </w:tc>
        <w:tc>
          <w:tcPr>
            <w:tcW w:w="0" w:type="dxa"/>
            <w:vAlign w:val="bottom"/>
          </w:tcPr>
          <w:p>
            <w:pPr>
              <w:spacing w:after="0"/>
              <w:rPr>
                <w:sz w:val="1"/>
                <w:szCs w:val="1"/>
                <w:color w:val="auto"/>
              </w:rPr>
            </w:pPr>
          </w:p>
        </w:tc>
      </w:tr>
      <w:tr>
        <w:trPr>
          <w:trHeight w:val="162"/>
        </w:trPr>
        <w:tc>
          <w:tcPr>
            <w:tcW w:w="4220" w:type="dxa"/>
            <w:vAlign w:val="bottom"/>
            <w:gridSpan w:val="2"/>
          </w:tcPr>
          <w:p>
            <w:pPr>
              <w:ind w:left="260"/>
              <w:spacing w:after="0"/>
              <w:rPr>
                <w:sz w:val="20"/>
                <w:szCs w:val="20"/>
                <w:color w:val="auto"/>
              </w:rPr>
            </w:pPr>
            <w:r>
              <w:rPr>
                <w:rFonts w:ascii="Arial" w:cs="Arial" w:eastAsia="Arial" w:hAnsi="Arial"/>
                <w:sz w:val="14"/>
                <w:szCs w:val="14"/>
                <w:color w:val="auto"/>
              </w:rPr>
              <w:t>Sendera Place</w:t>
            </w:r>
          </w:p>
        </w:tc>
        <w:tc>
          <w:tcPr>
            <w:tcW w:w="900" w:type="dxa"/>
            <w:vAlign w:val="bottom"/>
          </w:tcPr>
          <w:p>
            <w:pPr>
              <w:jc w:val="center"/>
              <w:spacing w:after="0"/>
              <w:rPr>
                <w:sz w:val="20"/>
                <w:szCs w:val="20"/>
                <w:color w:val="auto"/>
              </w:rPr>
            </w:pPr>
            <w:r>
              <w:rPr>
                <w:rFonts w:ascii="Arial" w:cs="Arial" w:eastAsia="Arial" w:hAnsi="Arial"/>
                <w:sz w:val="14"/>
                <w:szCs w:val="14"/>
                <w:color w:val="auto"/>
                <w:w w:val="83"/>
              </w:rPr>
              <w:t>2015</w:t>
            </w:r>
          </w:p>
        </w:tc>
        <w:tc>
          <w:tcPr>
            <w:tcW w:w="120" w:type="dxa"/>
            <w:vAlign w:val="bottom"/>
          </w:tcPr>
          <w:p>
            <w:pPr>
              <w:spacing w:after="0"/>
              <w:rPr>
                <w:sz w:val="14"/>
                <w:szCs w:val="14"/>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6</w:t>
            </w:r>
          </w:p>
        </w:tc>
        <w:tc>
          <w:tcPr>
            <w:tcW w:w="220" w:type="dxa"/>
            <w:vAlign w:val="bottom"/>
          </w:tcPr>
          <w:p>
            <w:pPr>
              <w:spacing w:after="0"/>
              <w:rPr>
                <w:sz w:val="14"/>
                <w:szCs w:val="14"/>
                <w:color w:val="auto"/>
              </w:rPr>
            </w:pPr>
          </w:p>
        </w:tc>
        <w:tc>
          <w:tcPr>
            <w:tcW w:w="860" w:type="dxa"/>
            <w:vAlign w:val="bottom"/>
          </w:tcPr>
          <w:p>
            <w:pPr>
              <w:jc w:val="right"/>
              <w:spacing w:after="0"/>
              <w:rPr>
                <w:sz w:val="20"/>
                <w:szCs w:val="20"/>
                <w:color w:val="auto"/>
              </w:rPr>
            </w:pPr>
            <w:r>
              <w:rPr>
                <w:rFonts w:ascii="Arial" w:cs="Arial" w:eastAsia="Arial" w:hAnsi="Arial"/>
                <w:sz w:val="14"/>
                <w:szCs w:val="14"/>
                <w:color w:val="auto"/>
              </w:rPr>
              <w:t>-</w:t>
            </w:r>
          </w:p>
        </w:tc>
        <w:tc>
          <w:tcPr>
            <w:tcW w:w="220" w:type="dxa"/>
            <w:vAlign w:val="bottom"/>
          </w:tcPr>
          <w:p>
            <w:pPr>
              <w:spacing w:after="0"/>
              <w:rPr>
                <w:sz w:val="14"/>
                <w:szCs w:val="14"/>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6</w:t>
            </w:r>
          </w:p>
        </w:tc>
        <w:tc>
          <w:tcPr>
            <w:tcW w:w="220" w:type="dxa"/>
            <w:vAlign w:val="bottom"/>
          </w:tcPr>
          <w:p>
            <w:pPr>
              <w:spacing w:after="0"/>
              <w:rPr>
                <w:sz w:val="14"/>
                <w:szCs w:val="14"/>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5</w:t>
            </w:r>
          </w:p>
        </w:tc>
        <w:tc>
          <w:tcPr>
            <w:tcW w:w="220" w:type="dxa"/>
            <w:vAlign w:val="bottom"/>
          </w:tcPr>
          <w:p>
            <w:pPr>
              <w:spacing w:after="0"/>
              <w:rPr>
                <w:sz w:val="14"/>
                <w:szCs w:val="14"/>
                <w:color w:val="auto"/>
              </w:rPr>
            </w:pPr>
          </w:p>
        </w:tc>
        <w:tc>
          <w:tcPr>
            <w:tcW w:w="980" w:type="dxa"/>
            <w:vAlign w:val="bottom"/>
          </w:tcPr>
          <w:p>
            <w:pPr>
              <w:jc w:val="right"/>
              <w:spacing w:after="0"/>
              <w:rPr>
                <w:sz w:val="20"/>
                <w:szCs w:val="20"/>
                <w:color w:val="auto"/>
              </w:rPr>
            </w:pPr>
            <w:r>
              <w:rPr>
                <w:rFonts w:ascii="Arial" w:cs="Arial" w:eastAsia="Arial" w:hAnsi="Arial"/>
                <w:sz w:val="14"/>
                <w:szCs w:val="14"/>
                <w:color w:val="auto"/>
              </w:rPr>
              <w:t>-</w:t>
            </w:r>
          </w:p>
        </w:tc>
        <w:tc>
          <w:tcPr>
            <w:tcW w:w="1120" w:type="dxa"/>
            <w:vAlign w:val="bottom"/>
            <w:gridSpan w:val="2"/>
          </w:tcPr>
          <w:p>
            <w:pPr>
              <w:jc w:val="center"/>
              <w:ind w:left="133"/>
              <w:spacing w:after="0"/>
              <w:rPr>
                <w:sz w:val="20"/>
                <w:szCs w:val="20"/>
                <w:color w:val="auto"/>
              </w:rPr>
            </w:pPr>
            <w:r>
              <w:rPr>
                <w:rFonts w:ascii="Arial" w:cs="Arial" w:eastAsia="Arial" w:hAnsi="Arial"/>
                <w:sz w:val="14"/>
                <w:szCs w:val="14"/>
                <w:color w:val="auto"/>
                <w:w w:val="89"/>
              </w:rPr>
              <w:t>$266 - 303</w:t>
            </w:r>
          </w:p>
        </w:tc>
        <w:tc>
          <w:tcPr>
            <w:tcW w:w="0" w:type="dxa"/>
            <w:vAlign w:val="bottom"/>
          </w:tcPr>
          <w:p>
            <w:pPr>
              <w:spacing w:after="0"/>
              <w:rPr>
                <w:sz w:val="1"/>
                <w:szCs w:val="1"/>
                <w:color w:val="auto"/>
              </w:rPr>
            </w:pPr>
          </w:p>
        </w:tc>
      </w:tr>
      <w:tr>
        <w:trPr>
          <w:trHeight w:val="162"/>
        </w:trPr>
        <w:tc>
          <w:tcPr>
            <w:tcW w:w="4220" w:type="dxa"/>
            <w:vAlign w:val="bottom"/>
            <w:gridSpan w:val="2"/>
            <w:shd w:val="clear" w:color="auto" w:fill="CFF0FC"/>
          </w:tcPr>
          <w:p>
            <w:pPr>
              <w:spacing w:after="0"/>
              <w:rPr>
                <w:sz w:val="20"/>
                <w:szCs w:val="20"/>
                <w:color w:val="auto"/>
              </w:rPr>
            </w:pPr>
            <w:r>
              <w:rPr>
                <w:rFonts w:ascii="Arial" w:cs="Arial" w:eastAsia="Arial" w:hAnsi="Arial"/>
                <w:sz w:val="14"/>
                <w:szCs w:val="14"/>
                <w:color w:val="auto"/>
              </w:rPr>
              <w:t>Town of Gilbert:</w:t>
            </w:r>
          </w:p>
        </w:tc>
        <w:tc>
          <w:tcPr>
            <w:tcW w:w="900" w:type="dxa"/>
            <w:vAlign w:val="bottom"/>
            <w:shd w:val="clear" w:color="auto" w:fill="CFF0FC"/>
          </w:tcPr>
          <w:p>
            <w:pPr>
              <w:spacing w:after="0"/>
              <w:rPr>
                <w:sz w:val="14"/>
                <w:szCs w:val="14"/>
                <w:color w:val="auto"/>
              </w:rPr>
            </w:pPr>
          </w:p>
        </w:tc>
        <w:tc>
          <w:tcPr>
            <w:tcW w:w="120" w:type="dxa"/>
            <w:vAlign w:val="bottom"/>
            <w:shd w:val="clear" w:color="auto" w:fill="CFF0FC"/>
          </w:tcPr>
          <w:p>
            <w:pPr>
              <w:spacing w:after="0"/>
              <w:rPr>
                <w:sz w:val="14"/>
                <w:szCs w:val="14"/>
                <w:color w:val="auto"/>
              </w:rPr>
            </w:pPr>
          </w:p>
        </w:tc>
        <w:tc>
          <w:tcPr>
            <w:tcW w:w="780" w:type="dxa"/>
            <w:vAlign w:val="bottom"/>
            <w:shd w:val="clear" w:color="auto" w:fill="CFF0FC"/>
          </w:tcPr>
          <w:p>
            <w:pPr>
              <w:spacing w:after="0"/>
              <w:rPr>
                <w:sz w:val="14"/>
                <w:szCs w:val="14"/>
                <w:color w:val="auto"/>
              </w:rPr>
            </w:pPr>
          </w:p>
        </w:tc>
        <w:tc>
          <w:tcPr>
            <w:tcW w:w="220" w:type="dxa"/>
            <w:vAlign w:val="bottom"/>
            <w:shd w:val="clear" w:color="auto" w:fill="CFF0FC"/>
          </w:tcPr>
          <w:p>
            <w:pPr>
              <w:spacing w:after="0"/>
              <w:rPr>
                <w:sz w:val="14"/>
                <w:szCs w:val="14"/>
                <w:color w:val="auto"/>
              </w:rPr>
            </w:pPr>
          </w:p>
        </w:tc>
        <w:tc>
          <w:tcPr>
            <w:tcW w:w="860" w:type="dxa"/>
            <w:vAlign w:val="bottom"/>
            <w:shd w:val="clear" w:color="auto" w:fill="CFF0FC"/>
          </w:tcPr>
          <w:p>
            <w:pPr>
              <w:spacing w:after="0"/>
              <w:rPr>
                <w:sz w:val="14"/>
                <w:szCs w:val="14"/>
                <w:color w:val="auto"/>
              </w:rPr>
            </w:pPr>
          </w:p>
        </w:tc>
        <w:tc>
          <w:tcPr>
            <w:tcW w:w="220" w:type="dxa"/>
            <w:vAlign w:val="bottom"/>
            <w:shd w:val="clear" w:color="auto" w:fill="CFF0FC"/>
          </w:tcPr>
          <w:p>
            <w:pPr>
              <w:spacing w:after="0"/>
              <w:rPr>
                <w:sz w:val="14"/>
                <w:szCs w:val="14"/>
                <w:color w:val="auto"/>
              </w:rPr>
            </w:pPr>
          </w:p>
        </w:tc>
        <w:tc>
          <w:tcPr>
            <w:tcW w:w="780" w:type="dxa"/>
            <w:vAlign w:val="bottom"/>
            <w:shd w:val="clear" w:color="auto" w:fill="CFF0FC"/>
          </w:tcPr>
          <w:p>
            <w:pPr>
              <w:spacing w:after="0"/>
              <w:rPr>
                <w:sz w:val="14"/>
                <w:szCs w:val="14"/>
                <w:color w:val="auto"/>
              </w:rPr>
            </w:pPr>
          </w:p>
        </w:tc>
        <w:tc>
          <w:tcPr>
            <w:tcW w:w="220" w:type="dxa"/>
            <w:vAlign w:val="bottom"/>
            <w:shd w:val="clear" w:color="auto" w:fill="CFF0FC"/>
          </w:tcPr>
          <w:p>
            <w:pPr>
              <w:spacing w:after="0"/>
              <w:rPr>
                <w:sz w:val="14"/>
                <w:szCs w:val="14"/>
                <w:color w:val="auto"/>
              </w:rPr>
            </w:pPr>
          </w:p>
        </w:tc>
        <w:tc>
          <w:tcPr>
            <w:tcW w:w="780" w:type="dxa"/>
            <w:vAlign w:val="bottom"/>
            <w:shd w:val="clear" w:color="auto" w:fill="CFF0FC"/>
          </w:tcPr>
          <w:p>
            <w:pPr>
              <w:spacing w:after="0"/>
              <w:rPr>
                <w:sz w:val="14"/>
                <w:szCs w:val="14"/>
                <w:color w:val="auto"/>
              </w:rPr>
            </w:pPr>
          </w:p>
        </w:tc>
        <w:tc>
          <w:tcPr>
            <w:tcW w:w="220" w:type="dxa"/>
            <w:vAlign w:val="bottom"/>
            <w:shd w:val="clear" w:color="auto" w:fill="CFF0FC"/>
          </w:tcPr>
          <w:p>
            <w:pPr>
              <w:spacing w:after="0"/>
              <w:rPr>
                <w:sz w:val="14"/>
                <w:szCs w:val="14"/>
                <w:color w:val="auto"/>
              </w:rPr>
            </w:pPr>
          </w:p>
        </w:tc>
        <w:tc>
          <w:tcPr>
            <w:tcW w:w="980" w:type="dxa"/>
            <w:vAlign w:val="bottom"/>
            <w:shd w:val="clear" w:color="auto" w:fill="CFF0FC"/>
          </w:tcPr>
          <w:p>
            <w:pPr>
              <w:spacing w:after="0"/>
              <w:rPr>
                <w:sz w:val="14"/>
                <w:szCs w:val="14"/>
                <w:color w:val="auto"/>
              </w:rPr>
            </w:pPr>
          </w:p>
        </w:tc>
        <w:tc>
          <w:tcPr>
            <w:tcW w:w="220" w:type="dxa"/>
            <w:vAlign w:val="bottom"/>
            <w:shd w:val="clear" w:color="auto" w:fill="CFF0FC"/>
          </w:tcPr>
          <w:p>
            <w:pPr>
              <w:spacing w:after="0"/>
              <w:rPr>
                <w:sz w:val="14"/>
                <w:szCs w:val="14"/>
                <w:color w:val="auto"/>
              </w:rPr>
            </w:pPr>
          </w:p>
        </w:tc>
        <w:tc>
          <w:tcPr>
            <w:tcW w:w="900" w:type="dxa"/>
            <w:vAlign w:val="bottom"/>
            <w:shd w:val="clear" w:color="auto" w:fill="CFF0FC"/>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4220" w:type="dxa"/>
            <w:vAlign w:val="bottom"/>
            <w:gridSpan w:val="2"/>
          </w:tcPr>
          <w:p>
            <w:pPr>
              <w:ind w:left="260"/>
              <w:spacing w:after="0"/>
              <w:rPr>
                <w:sz w:val="20"/>
                <w:szCs w:val="20"/>
                <w:color w:val="auto"/>
              </w:rPr>
            </w:pPr>
            <w:r>
              <w:rPr>
                <w:rFonts w:ascii="Arial" w:cs="Arial" w:eastAsia="Arial" w:hAnsi="Arial"/>
                <w:sz w:val="14"/>
                <w:szCs w:val="14"/>
                <w:color w:val="auto"/>
              </w:rPr>
              <w:t>Arch Crossing at Bridges of Gilbert</w:t>
            </w:r>
          </w:p>
        </w:tc>
        <w:tc>
          <w:tcPr>
            <w:tcW w:w="900" w:type="dxa"/>
            <w:vAlign w:val="bottom"/>
          </w:tcPr>
          <w:p>
            <w:pPr>
              <w:jc w:val="center"/>
              <w:spacing w:after="0"/>
              <w:rPr>
                <w:sz w:val="20"/>
                <w:szCs w:val="20"/>
                <w:color w:val="auto"/>
              </w:rPr>
            </w:pPr>
            <w:r>
              <w:rPr>
                <w:rFonts w:ascii="Arial" w:cs="Arial" w:eastAsia="Arial" w:hAnsi="Arial"/>
                <w:sz w:val="14"/>
                <w:szCs w:val="14"/>
                <w:color w:val="auto"/>
                <w:w w:val="83"/>
              </w:rPr>
              <w:t>2014</w:t>
            </w:r>
          </w:p>
        </w:tc>
        <w:tc>
          <w:tcPr>
            <w:tcW w:w="120" w:type="dxa"/>
            <w:vAlign w:val="bottom"/>
          </w:tcPr>
          <w:p>
            <w:pPr>
              <w:spacing w:after="0"/>
              <w:rPr>
                <w:sz w:val="14"/>
                <w:szCs w:val="14"/>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67</w:t>
            </w:r>
          </w:p>
        </w:tc>
        <w:tc>
          <w:tcPr>
            <w:tcW w:w="220" w:type="dxa"/>
            <w:vAlign w:val="bottom"/>
          </w:tcPr>
          <w:p>
            <w:pPr>
              <w:spacing w:after="0"/>
              <w:rPr>
                <w:sz w:val="14"/>
                <w:szCs w:val="14"/>
                <w:color w:val="auto"/>
              </w:rPr>
            </w:pPr>
          </w:p>
        </w:tc>
        <w:tc>
          <w:tcPr>
            <w:tcW w:w="860" w:type="dxa"/>
            <w:vAlign w:val="bottom"/>
          </w:tcPr>
          <w:p>
            <w:pPr>
              <w:jc w:val="right"/>
              <w:spacing w:after="0"/>
              <w:rPr>
                <w:sz w:val="20"/>
                <w:szCs w:val="20"/>
                <w:color w:val="auto"/>
              </w:rPr>
            </w:pPr>
            <w:r>
              <w:rPr>
                <w:rFonts w:ascii="Arial" w:cs="Arial" w:eastAsia="Arial" w:hAnsi="Arial"/>
                <w:sz w:val="14"/>
                <w:szCs w:val="14"/>
                <w:color w:val="auto"/>
              </w:rPr>
              <w:t>29</w:t>
            </w:r>
          </w:p>
        </w:tc>
        <w:tc>
          <w:tcPr>
            <w:tcW w:w="220" w:type="dxa"/>
            <w:vAlign w:val="bottom"/>
          </w:tcPr>
          <w:p>
            <w:pPr>
              <w:spacing w:after="0"/>
              <w:rPr>
                <w:sz w:val="14"/>
                <w:szCs w:val="14"/>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38</w:t>
            </w:r>
          </w:p>
        </w:tc>
        <w:tc>
          <w:tcPr>
            <w:tcW w:w="220" w:type="dxa"/>
            <w:vAlign w:val="bottom"/>
          </w:tcPr>
          <w:p>
            <w:pPr>
              <w:spacing w:after="0"/>
              <w:rPr>
                <w:sz w:val="14"/>
                <w:szCs w:val="14"/>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10</w:t>
            </w:r>
          </w:p>
        </w:tc>
        <w:tc>
          <w:tcPr>
            <w:tcW w:w="220" w:type="dxa"/>
            <w:vAlign w:val="bottom"/>
          </w:tcPr>
          <w:p>
            <w:pPr>
              <w:spacing w:after="0"/>
              <w:rPr>
                <w:sz w:val="14"/>
                <w:szCs w:val="14"/>
                <w:color w:val="auto"/>
              </w:rPr>
            </w:pPr>
          </w:p>
        </w:tc>
        <w:tc>
          <w:tcPr>
            <w:tcW w:w="980" w:type="dxa"/>
            <w:vAlign w:val="bottom"/>
          </w:tcPr>
          <w:p>
            <w:pPr>
              <w:jc w:val="right"/>
              <w:spacing w:after="0"/>
              <w:rPr>
                <w:sz w:val="20"/>
                <w:szCs w:val="20"/>
                <w:color w:val="auto"/>
              </w:rPr>
            </w:pPr>
            <w:r>
              <w:rPr>
                <w:rFonts w:ascii="Arial" w:cs="Arial" w:eastAsia="Arial" w:hAnsi="Arial"/>
                <w:sz w:val="14"/>
                <w:szCs w:val="14"/>
                <w:color w:val="auto"/>
              </w:rPr>
              <w:t>8</w:t>
            </w:r>
          </w:p>
        </w:tc>
        <w:tc>
          <w:tcPr>
            <w:tcW w:w="1120" w:type="dxa"/>
            <w:vAlign w:val="bottom"/>
            <w:gridSpan w:val="2"/>
          </w:tcPr>
          <w:p>
            <w:pPr>
              <w:jc w:val="center"/>
              <w:ind w:left="133"/>
              <w:spacing w:after="0"/>
              <w:rPr>
                <w:sz w:val="20"/>
                <w:szCs w:val="20"/>
                <w:color w:val="auto"/>
              </w:rPr>
            </w:pPr>
            <w:r>
              <w:rPr>
                <w:rFonts w:ascii="Arial" w:cs="Arial" w:eastAsia="Arial" w:hAnsi="Arial"/>
                <w:sz w:val="14"/>
                <w:szCs w:val="14"/>
                <w:color w:val="auto"/>
                <w:w w:val="89"/>
              </w:rPr>
              <w:t>$275 - 335</w:t>
            </w:r>
          </w:p>
        </w:tc>
        <w:tc>
          <w:tcPr>
            <w:tcW w:w="0" w:type="dxa"/>
            <w:vAlign w:val="bottom"/>
          </w:tcPr>
          <w:p>
            <w:pPr>
              <w:spacing w:after="0"/>
              <w:rPr>
                <w:sz w:val="1"/>
                <w:szCs w:val="1"/>
                <w:color w:val="auto"/>
              </w:rPr>
            </w:pPr>
          </w:p>
        </w:tc>
      </w:tr>
      <w:tr>
        <w:trPr>
          <w:trHeight w:val="162"/>
        </w:trPr>
        <w:tc>
          <w:tcPr>
            <w:tcW w:w="4220" w:type="dxa"/>
            <w:vAlign w:val="bottom"/>
            <w:gridSpan w:val="2"/>
            <w:shd w:val="clear" w:color="auto" w:fill="CFF0FC"/>
          </w:tcPr>
          <w:p>
            <w:pPr>
              <w:ind w:left="260"/>
              <w:spacing w:after="0"/>
              <w:rPr>
                <w:sz w:val="20"/>
                <w:szCs w:val="20"/>
                <w:color w:val="auto"/>
              </w:rPr>
            </w:pPr>
            <w:r>
              <w:rPr>
                <w:rFonts w:ascii="Arial" w:cs="Arial" w:eastAsia="Arial" w:hAnsi="Arial"/>
                <w:sz w:val="14"/>
                <w:szCs w:val="14"/>
                <w:color w:val="auto"/>
              </w:rPr>
              <w:t>Trestle Place at Bridges of Gilbert</w:t>
            </w:r>
          </w:p>
        </w:tc>
        <w:tc>
          <w:tcPr>
            <w:tcW w:w="900" w:type="dxa"/>
            <w:vAlign w:val="bottom"/>
            <w:shd w:val="clear" w:color="auto" w:fill="CFF0FC"/>
          </w:tcPr>
          <w:p>
            <w:pPr>
              <w:jc w:val="center"/>
              <w:spacing w:after="0"/>
              <w:rPr>
                <w:sz w:val="20"/>
                <w:szCs w:val="20"/>
                <w:color w:val="auto"/>
              </w:rPr>
            </w:pPr>
            <w:r>
              <w:rPr>
                <w:rFonts w:ascii="Arial" w:cs="Arial" w:eastAsia="Arial" w:hAnsi="Arial"/>
                <w:sz w:val="14"/>
                <w:szCs w:val="14"/>
                <w:color w:val="auto"/>
                <w:w w:val="83"/>
              </w:rPr>
              <w:t>2014</w:t>
            </w:r>
          </w:p>
        </w:tc>
        <w:tc>
          <w:tcPr>
            <w:tcW w:w="120" w:type="dxa"/>
            <w:vAlign w:val="bottom"/>
            <w:shd w:val="clear" w:color="auto" w:fill="CFF0FC"/>
          </w:tcPr>
          <w:p>
            <w:pPr>
              <w:spacing w:after="0"/>
              <w:rPr>
                <w:sz w:val="14"/>
                <w:szCs w:val="14"/>
                <w:color w:val="auto"/>
              </w:rPr>
            </w:pPr>
          </w:p>
        </w:tc>
        <w:tc>
          <w:tcPr>
            <w:tcW w:w="7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63</w:t>
            </w:r>
          </w:p>
        </w:tc>
        <w:tc>
          <w:tcPr>
            <w:tcW w:w="220" w:type="dxa"/>
            <w:vAlign w:val="bottom"/>
            <w:shd w:val="clear" w:color="auto" w:fill="CFF0FC"/>
          </w:tcPr>
          <w:p>
            <w:pPr>
              <w:spacing w:after="0"/>
              <w:rPr>
                <w:sz w:val="14"/>
                <w:szCs w:val="14"/>
                <w:color w:val="auto"/>
              </w:rPr>
            </w:pPr>
          </w:p>
        </w:tc>
        <w:tc>
          <w:tcPr>
            <w:tcW w:w="860" w:type="dxa"/>
            <w:vAlign w:val="bottom"/>
            <w:shd w:val="clear" w:color="auto" w:fill="CFF0FC"/>
          </w:tcPr>
          <w:p>
            <w:pPr>
              <w:jc w:val="right"/>
              <w:spacing w:after="0"/>
              <w:rPr>
                <w:sz w:val="20"/>
                <w:szCs w:val="20"/>
                <w:color w:val="auto"/>
              </w:rPr>
            </w:pPr>
            <w:r>
              <w:rPr>
                <w:rFonts w:ascii="Arial" w:cs="Arial" w:eastAsia="Arial" w:hAnsi="Arial"/>
                <w:sz w:val="14"/>
                <w:szCs w:val="14"/>
                <w:color w:val="auto"/>
              </w:rPr>
              <w:t>34</w:t>
            </w:r>
          </w:p>
        </w:tc>
        <w:tc>
          <w:tcPr>
            <w:tcW w:w="220" w:type="dxa"/>
            <w:vAlign w:val="bottom"/>
            <w:shd w:val="clear" w:color="auto" w:fill="CFF0FC"/>
          </w:tcPr>
          <w:p>
            <w:pPr>
              <w:spacing w:after="0"/>
              <w:rPr>
                <w:sz w:val="14"/>
                <w:szCs w:val="14"/>
                <w:color w:val="auto"/>
              </w:rPr>
            </w:pPr>
          </w:p>
        </w:tc>
        <w:tc>
          <w:tcPr>
            <w:tcW w:w="7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29</w:t>
            </w:r>
          </w:p>
        </w:tc>
        <w:tc>
          <w:tcPr>
            <w:tcW w:w="220" w:type="dxa"/>
            <w:vAlign w:val="bottom"/>
            <w:shd w:val="clear" w:color="auto" w:fill="CFF0FC"/>
          </w:tcPr>
          <w:p>
            <w:pPr>
              <w:spacing w:after="0"/>
              <w:rPr>
                <w:sz w:val="14"/>
                <w:szCs w:val="14"/>
                <w:color w:val="auto"/>
              </w:rPr>
            </w:pPr>
          </w:p>
        </w:tc>
        <w:tc>
          <w:tcPr>
            <w:tcW w:w="7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15</w:t>
            </w:r>
          </w:p>
        </w:tc>
        <w:tc>
          <w:tcPr>
            <w:tcW w:w="220" w:type="dxa"/>
            <w:vAlign w:val="bottom"/>
            <w:shd w:val="clear" w:color="auto" w:fill="CFF0FC"/>
          </w:tcPr>
          <w:p>
            <w:pPr>
              <w:spacing w:after="0"/>
              <w:rPr>
                <w:sz w:val="14"/>
                <w:szCs w:val="14"/>
                <w:color w:val="auto"/>
              </w:rPr>
            </w:pPr>
          </w:p>
        </w:tc>
        <w:tc>
          <w:tcPr>
            <w:tcW w:w="9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6</w:t>
            </w:r>
          </w:p>
        </w:tc>
        <w:tc>
          <w:tcPr>
            <w:tcW w:w="1120" w:type="dxa"/>
            <w:vAlign w:val="bottom"/>
            <w:gridSpan w:val="2"/>
            <w:shd w:val="clear" w:color="auto" w:fill="CFF0FC"/>
          </w:tcPr>
          <w:p>
            <w:pPr>
              <w:jc w:val="center"/>
              <w:ind w:left="153"/>
              <w:spacing w:after="0"/>
              <w:rPr>
                <w:sz w:val="20"/>
                <w:szCs w:val="20"/>
                <w:color w:val="auto"/>
              </w:rPr>
            </w:pPr>
            <w:r>
              <w:rPr>
                <w:rFonts w:ascii="Arial" w:cs="Arial" w:eastAsia="Arial" w:hAnsi="Arial"/>
                <w:sz w:val="14"/>
                <w:szCs w:val="14"/>
                <w:color w:val="auto"/>
                <w:w w:val="86"/>
              </w:rPr>
              <w:t>$331 - 411</w:t>
            </w:r>
          </w:p>
        </w:tc>
        <w:tc>
          <w:tcPr>
            <w:tcW w:w="0" w:type="dxa"/>
            <w:vAlign w:val="bottom"/>
          </w:tcPr>
          <w:p>
            <w:pPr>
              <w:spacing w:after="0"/>
              <w:rPr>
                <w:sz w:val="1"/>
                <w:szCs w:val="1"/>
                <w:color w:val="auto"/>
              </w:rPr>
            </w:pPr>
          </w:p>
        </w:tc>
      </w:tr>
      <w:tr>
        <w:trPr>
          <w:trHeight w:val="162"/>
        </w:trPr>
        <w:tc>
          <w:tcPr>
            <w:tcW w:w="4220" w:type="dxa"/>
            <w:vAlign w:val="bottom"/>
            <w:gridSpan w:val="2"/>
          </w:tcPr>
          <w:p>
            <w:pPr>
              <w:ind w:left="260"/>
              <w:spacing w:after="0"/>
              <w:rPr>
                <w:sz w:val="20"/>
                <w:szCs w:val="20"/>
                <w:color w:val="auto"/>
              </w:rPr>
            </w:pPr>
            <w:r>
              <w:rPr>
                <w:rFonts w:ascii="Arial" w:cs="Arial" w:eastAsia="Arial" w:hAnsi="Arial"/>
                <w:sz w:val="14"/>
                <w:szCs w:val="14"/>
                <w:color w:val="auto"/>
              </w:rPr>
              <w:t>Warner Groves B - 5500's</w:t>
            </w:r>
          </w:p>
        </w:tc>
        <w:tc>
          <w:tcPr>
            <w:tcW w:w="900" w:type="dxa"/>
            <w:vAlign w:val="bottom"/>
          </w:tcPr>
          <w:p>
            <w:pPr>
              <w:jc w:val="center"/>
              <w:spacing w:after="0"/>
              <w:rPr>
                <w:sz w:val="20"/>
                <w:szCs w:val="20"/>
                <w:color w:val="auto"/>
              </w:rPr>
            </w:pPr>
            <w:r>
              <w:rPr>
                <w:rFonts w:ascii="Arial" w:cs="Arial" w:eastAsia="Arial" w:hAnsi="Arial"/>
                <w:sz w:val="14"/>
                <w:szCs w:val="14"/>
                <w:color w:val="auto"/>
                <w:w w:val="83"/>
              </w:rPr>
              <w:t>2016</w:t>
            </w:r>
          </w:p>
        </w:tc>
        <w:tc>
          <w:tcPr>
            <w:tcW w:w="120" w:type="dxa"/>
            <w:vAlign w:val="bottom"/>
          </w:tcPr>
          <w:p>
            <w:pPr>
              <w:spacing w:after="0"/>
              <w:rPr>
                <w:sz w:val="14"/>
                <w:szCs w:val="14"/>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66</w:t>
            </w:r>
          </w:p>
        </w:tc>
        <w:tc>
          <w:tcPr>
            <w:tcW w:w="220" w:type="dxa"/>
            <w:vAlign w:val="bottom"/>
          </w:tcPr>
          <w:p>
            <w:pPr>
              <w:spacing w:after="0"/>
              <w:rPr>
                <w:sz w:val="14"/>
                <w:szCs w:val="14"/>
                <w:color w:val="auto"/>
              </w:rPr>
            </w:pPr>
          </w:p>
        </w:tc>
        <w:tc>
          <w:tcPr>
            <w:tcW w:w="860" w:type="dxa"/>
            <w:vAlign w:val="bottom"/>
          </w:tcPr>
          <w:p>
            <w:pPr>
              <w:jc w:val="right"/>
              <w:spacing w:after="0"/>
              <w:rPr>
                <w:sz w:val="20"/>
                <w:szCs w:val="20"/>
                <w:color w:val="auto"/>
              </w:rPr>
            </w:pPr>
            <w:r>
              <w:rPr>
                <w:rFonts w:ascii="Arial" w:cs="Arial" w:eastAsia="Arial" w:hAnsi="Arial"/>
                <w:sz w:val="14"/>
                <w:szCs w:val="14"/>
                <w:color w:val="auto"/>
              </w:rPr>
              <w:t>-</w:t>
            </w:r>
          </w:p>
        </w:tc>
        <w:tc>
          <w:tcPr>
            <w:tcW w:w="220" w:type="dxa"/>
            <w:vAlign w:val="bottom"/>
          </w:tcPr>
          <w:p>
            <w:pPr>
              <w:spacing w:after="0"/>
              <w:rPr>
                <w:sz w:val="14"/>
                <w:szCs w:val="14"/>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66</w:t>
            </w:r>
          </w:p>
        </w:tc>
        <w:tc>
          <w:tcPr>
            <w:tcW w:w="220" w:type="dxa"/>
            <w:vAlign w:val="bottom"/>
          </w:tcPr>
          <w:p>
            <w:pPr>
              <w:spacing w:after="0"/>
              <w:rPr>
                <w:sz w:val="14"/>
                <w:szCs w:val="14"/>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w:t>
            </w:r>
          </w:p>
        </w:tc>
        <w:tc>
          <w:tcPr>
            <w:tcW w:w="220" w:type="dxa"/>
            <w:vAlign w:val="bottom"/>
          </w:tcPr>
          <w:p>
            <w:pPr>
              <w:spacing w:after="0"/>
              <w:rPr>
                <w:sz w:val="14"/>
                <w:szCs w:val="14"/>
                <w:color w:val="auto"/>
              </w:rPr>
            </w:pPr>
          </w:p>
        </w:tc>
        <w:tc>
          <w:tcPr>
            <w:tcW w:w="980" w:type="dxa"/>
            <w:vAlign w:val="bottom"/>
          </w:tcPr>
          <w:p>
            <w:pPr>
              <w:jc w:val="right"/>
              <w:spacing w:after="0"/>
              <w:rPr>
                <w:sz w:val="20"/>
                <w:szCs w:val="20"/>
                <w:color w:val="auto"/>
              </w:rPr>
            </w:pPr>
            <w:r>
              <w:rPr>
                <w:rFonts w:ascii="Arial" w:cs="Arial" w:eastAsia="Arial" w:hAnsi="Arial"/>
                <w:sz w:val="14"/>
                <w:szCs w:val="14"/>
                <w:color w:val="auto"/>
              </w:rPr>
              <w:t>-</w:t>
            </w:r>
          </w:p>
        </w:tc>
        <w:tc>
          <w:tcPr>
            <w:tcW w:w="1120" w:type="dxa"/>
            <w:vAlign w:val="bottom"/>
            <w:gridSpan w:val="2"/>
          </w:tcPr>
          <w:p>
            <w:pPr>
              <w:jc w:val="center"/>
              <w:ind w:left="133"/>
              <w:spacing w:after="0"/>
              <w:rPr>
                <w:sz w:val="20"/>
                <w:szCs w:val="20"/>
                <w:color w:val="auto"/>
              </w:rPr>
            </w:pPr>
            <w:r>
              <w:rPr>
                <w:rFonts w:ascii="Arial" w:cs="Arial" w:eastAsia="Arial" w:hAnsi="Arial"/>
                <w:sz w:val="14"/>
                <w:szCs w:val="14"/>
                <w:color w:val="auto"/>
                <w:w w:val="89"/>
              </w:rPr>
              <w:t>$355 - 424</w:t>
            </w:r>
          </w:p>
        </w:tc>
        <w:tc>
          <w:tcPr>
            <w:tcW w:w="0" w:type="dxa"/>
            <w:vAlign w:val="bottom"/>
          </w:tcPr>
          <w:p>
            <w:pPr>
              <w:spacing w:after="0"/>
              <w:rPr>
                <w:sz w:val="1"/>
                <w:szCs w:val="1"/>
                <w:color w:val="auto"/>
              </w:rPr>
            </w:pPr>
          </w:p>
        </w:tc>
      </w:tr>
      <w:tr>
        <w:trPr>
          <w:trHeight w:val="162"/>
        </w:trPr>
        <w:tc>
          <w:tcPr>
            <w:tcW w:w="4220" w:type="dxa"/>
            <w:vAlign w:val="bottom"/>
            <w:gridSpan w:val="2"/>
            <w:shd w:val="clear" w:color="auto" w:fill="CFF0FC"/>
          </w:tcPr>
          <w:p>
            <w:pPr>
              <w:spacing w:after="0"/>
              <w:rPr>
                <w:sz w:val="20"/>
                <w:szCs w:val="20"/>
                <w:color w:val="auto"/>
              </w:rPr>
            </w:pPr>
            <w:r>
              <w:rPr>
                <w:rFonts w:ascii="Arial" w:cs="Arial" w:eastAsia="Arial" w:hAnsi="Arial"/>
                <w:sz w:val="14"/>
                <w:szCs w:val="14"/>
                <w:color w:val="auto"/>
              </w:rPr>
              <w:t>City of Goodyear:</w:t>
            </w:r>
          </w:p>
        </w:tc>
        <w:tc>
          <w:tcPr>
            <w:tcW w:w="900" w:type="dxa"/>
            <w:vAlign w:val="bottom"/>
            <w:shd w:val="clear" w:color="auto" w:fill="CFF0FC"/>
          </w:tcPr>
          <w:p>
            <w:pPr>
              <w:spacing w:after="0"/>
              <w:rPr>
                <w:sz w:val="14"/>
                <w:szCs w:val="14"/>
                <w:color w:val="auto"/>
              </w:rPr>
            </w:pPr>
          </w:p>
        </w:tc>
        <w:tc>
          <w:tcPr>
            <w:tcW w:w="120" w:type="dxa"/>
            <w:vAlign w:val="bottom"/>
            <w:shd w:val="clear" w:color="auto" w:fill="CFF0FC"/>
          </w:tcPr>
          <w:p>
            <w:pPr>
              <w:spacing w:after="0"/>
              <w:rPr>
                <w:sz w:val="14"/>
                <w:szCs w:val="14"/>
                <w:color w:val="auto"/>
              </w:rPr>
            </w:pPr>
          </w:p>
        </w:tc>
        <w:tc>
          <w:tcPr>
            <w:tcW w:w="780" w:type="dxa"/>
            <w:vAlign w:val="bottom"/>
            <w:shd w:val="clear" w:color="auto" w:fill="CFF0FC"/>
          </w:tcPr>
          <w:p>
            <w:pPr>
              <w:spacing w:after="0"/>
              <w:rPr>
                <w:sz w:val="14"/>
                <w:szCs w:val="14"/>
                <w:color w:val="auto"/>
              </w:rPr>
            </w:pPr>
          </w:p>
        </w:tc>
        <w:tc>
          <w:tcPr>
            <w:tcW w:w="220" w:type="dxa"/>
            <w:vAlign w:val="bottom"/>
            <w:shd w:val="clear" w:color="auto" w:fill="CFF0FC"/>
          </w:tcPr>
          <w:p>
            <w:pPr>
              <w:spacing w:after="0"/>
              <w:rPr>
                <w:sz w:val="14"/>
                <w:szCs w:val="14"/>
                <w:color w:val="auto"/>
              </w:rPr>
            </w:pPr>
          </w:p>
        </w:tc>
        <w:tc>
          <w:tcPr>
            <w:tcW w:w="860" w:type="dxa"/>
            <w:vAlign w:val="bottom"/>
            <w:shd w:val="clear" w:color="auto" w:fill="CFF0FC"/>
          </w:tcPr>
          <w:p>
            <w:pPr>
              <w:spacing w:after="0"/>
              <w:rPr>
                <w:sz w:val="14"/>
                <w:szCs w:val="14"/>
                <w:color w:val="auto"/>
              </w:rPr>
            </w:pPr>
          </w:p>
        </w:tc>
        <w:tc>
          <w:tcPr>
            <w:tcW w:w="220" w:type="dxa"/>
            <w:vAlign w:val="bottom"/>
            <w:shd w:val="clear" w:color="auto" w:fill="CFF0FC"/>
          </w:tcPr>
          <w:p>
            <w:pPr>
              <w:spacing w:after="0"/>
              <w:rPr>
                <w:sz w:val="14"/>
                <w:szCs w:val="14"/>
                <w:color w:val="auto"/>
              </w:rPr>
            </w:pPr>
          </w:p>
        </w:tc>
        <w:tc>
          <w:tcPr>
            <w:tcW w:w="780" w:type="dxa"/>
            <w:vAlign w:val="bottom"/>
            <w:shd w:val="clear" w:color="auto" w:fill="CFF0FC"/>
          </w:tcPr>
          <w:p>
            <w:pPr>
              <w:spacing w:after="0"/>
              <w:rPr>
                <w:sz w:val="14"/>
                <w:szCs w:val="14"/>
                <w:color w:val="auto"/>
              </w:rPr>
            </w:pPr>
          </w:p>
        </w:tc>
        <w:tc>
          <w:tcPr>
            <w:tcW w:w="220" w:type="dxa"/>
            <w:vAlign w:val="bottom"/>
            <w:shd w:val="clear" w:color="auto" w:fill="CFF0FC"/>
          </w:tcPr>
          <w:p>
            <w:pPr>
              <w:spacing w:after="0"/>
              <w:rPr>
                <w:sz w:val="14"/>
                <w:szCs w:val="14"/>
                <w:color w:val="auto"/>
              </w:rPr>
            </w:pPr>
          </w:p>
        </w:tc>
        <w:tc>
          <w:tcPr>
            <w:tcW w:w="780" w:type="dxa"/>
            <w:vAlign w:val="bottom"/>
            <w:shd w:val="clear" w:color="auto" w:fill="CFF0FC"/>
          </w:tcPr>
          <w:p>
            <w:pPr>
              <w:spacing w:after="0"/>
              <w:rPr>
                <w:sz w:val="14"/>
                <w:szCs w:val="14"/>
                <w:color w:val="auto"/>
              </w:rPr>
            </w:pPr>
          </w:p>
        </w:tc>
        <w:tc>
          <w:tcPr>
            <w:tcW w:w="220" w:type="dxa"/>
            <w:vAlign w:val="bottom"/>
            <w:shd w:val="clear" w:color="auto" w:fill="CFF0FC"/>
          </w:tcPr>
          <w:p>
            <w:pPr>
              <w:spacing w:after="0"/>
              <w:rPr>
                <w:sz w:val="14"/>
                <w:szCs w:val="14"/>
                <w:color w:val="auto"/>
              </w:rPr>
            </w:pPr>
          </w:p>
        </w:tc>
        <w:tc>
          <w:tcPr>
            <w:tcW w:w="980" w:type="dxa"/>
            <w:vAlign w:val="bottom"/>
            <w:shd w:val="clear" w:color="auto" w:fill="CFF0FC"/>
          </w:tcPr>
          <w:p>
            <w:pPr>
              <w:spacing w:after="0"/>
              <w:rPr>
                <w:sz w:val="14"/>
                <w:szCs w:val="14"/>
                <w:color w:val="auto"/>
              </w:rPr>
            </w:pPr>
          </w:p>
        </w:tc>
        <w:tc>
          <w:tcPr>
            <w:tcW w:w="220" w:type="dxa"/>
            <w:vAlign w:val="bottom"/>
            <w:shd w:val="clear" w:color="auto" w:fill="CFF0FC"/>
          </w:tcPr>
          <w:p>
            <w:pPr>
              <w:spacing w:after="0"/>
              <w:rPr>
                <w:sz w:val="14"/>
                <w:szCs w:val="14"/>
                <w:color w:val="auto"/>
              </w:rPr>
            </w:pPr>
          </w:p>
        </w:tc>
        <w:tc>
          <w:tcPr>
            <w:tcW w:w="900" w:type="dxa"/>
            <w:vAlign w:val="bottom"/>
            <w:shd w:val="clear" w:color="auto" w:fill="CFF0FC"/>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4220" w:type="dxa"/>
            <w:vAlign w:val="bottom"/>
            <w:gridSpan w:val="2"/>
          </w:tcPr>
          <w:p>
            <w:pPr>
              <w:ind w:left="380"/>
              <w:spacing w:after="0"/>
              <w:rPr>
                <w:sz w:val="20"/>
                <w:szCs w:val="20"/>
                <w:color w:val="auto"/>
              </w:rPr>
            </w:pPr>
            <w:r>
              <w:rPr>
                <w:rFonts w:ascii="Arial" w:cs="Arial" w:eastAsia="Arial" w:hAnsi="Arial"/>
                <w:sz w:val="14"/>
                <w:szCs w:val="14"/>
                <w:color w:val="auto"/>
              </w:rPr>
              <w:t>Calderra at Palm Valley</w:t>
            </w:r>
          </w:p>
        </w:tc>
        <w:tc>
          <w:tcPr>
            <w:tcW w:w="900" w:type="dxa"/>
            <w:vAlign w:val="bottom"/>
          </w:tcPr>
          <w:p>
            <w:pPr>
              <w:jc w:val="center"/>
              <w:spacing w:after="0"/>
              <w:rPr>
                <w:sz w:val="20"/>
                <w:szCs w:val="20"/>
                <w:color w:val="auto"/>
              </w:rPr>
            </w:pPr>
            <w:r>
              <w:rPr>
                <w:rFonts w:ascii="Arial" w:cs="Arial" w:eastAsia="Arial" w:hAnsi="Arial"/>
                <w:sz w:val="14"/>
                <w:szCs w:val="14"/>
                <w:color w:val="auto"/>
                <w:w w:val="83"/>
              </w:rPr>
              <w:t>2013</w:t>
            </w:r>
          </w:p>
        </w:tc>
        <w:tc>
          <w:tcPr>
            <w:tcW w:w="120" w:type="dxa"/>
            <w:vAlign w:val="bottom"/>
          </w:tcPr>
          <w:p>
            <w:pPr>
              <w:spacing w:after="0"/>
              <w:rPr>
                <w:sz w:val="14"/>
                <w:szCs w:val="14"/>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73</w:t>
            </w:r>
          </w:p>
        </w:tc>
        <w:tc>
          <w:tcPr>
            <w:tcW w:w="220" w:type="dxa"/>
            <w:vAlign w:val="bottom"/>
          </w:tcPr>
          <w:p>
            <w:pPr>
              <w:spacing w:after="0"/>
              <w:rPr>
                <w:sz w:val="14"/>
                <w:szCs w:val="14"/>
                <w:color w:val="auto"/>
              </w:rPr>
            </w:pPr>
          </w:p>
        </w:tc>
        <w:tc>
          <w:tcPr>
            <w:tcW w:w="860" w:type="dxa"/>
            <w:vAlign w:val="bottom"/>
          </w:tcPr>
          <w:p>
            <w:pPr>
              <w:jc w:val="right"/>
              <w:spacing w:after="0"/>
              <w:rPr>
                <w:sz w:val="20"/>
                <w:szCs w:val="20"/>
                <w:color w:val="auto"/>
              </w:rPr>
            </w:pPr>
            <w:r>
              <w:rPr>
                <w:rFonts w:ascii="Arial" w:cs="Arial" w:eastAsia="Arial" w:hAnsi="Arial"/>
                <w:sz w:val="14"/>
                <w:szCs w:val="14"/>
                <w:color w:val="auto"/>
              </w:rPr>
              <w:t>60</w:t>
            </w:r>
          </w:p>
        </w:tc>
        <w:tc>
          <w:tcPr>
            <w:tcW w:w="220" w:type="dxa"/>
            <w:vAlign w:val="bottom"/>
          </w:tcPr>
          <w:p>
            <w:pPr>
              <w:spacing w:after="0"/>
              <w:rPr>
                <w:sz w:val="14"/>
                <w:szCs w:val="14"/>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13</w:t>
            </w:r>
          </w:p>
        </w:tc>
        <w:tc>
          <w:tcPr>
            <w:tcW w:w="220" w:type="dxa"/>
            <w:vAlign w:val="bottom"/>
          </w:tcPr>
          <w:p>
            <w:pPr>
              <w:spacing w:after="0"/>
              <w:rPr>
                <w:sz w:val="14"/>
                <w:szCs w:val="14"/>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12</w:t>
            </w:r>
          </w:p>
        </w:tc>
        <w:tc>
          <w:tcPr>
            <w:tcW w:w="220" w:type="dxa"/>
            <w:vAlign w:val="bottom"/>
          </w:tcPr>
          <w:p>
            <w:pPr>
              <w:spacing w:after="0"/>
              <w:rPr>
                <w:sz w:val="14"/>
                <w:szCs w:val="14"/>
                <w:color w:val="auto"/>
              </w:rPr>
            </w:pPr>
          </w:p>
        </w:tc>
        <w:tc>
          <w:tcPr>
            <w:tcW w:w="980" w:type="dxa"/>
            <w:vAlign w:val="bottom"/>
          </w:tcPr>
          <w:p>
            <w:pPr>
              <w:jc w:val="right"/>
              <w:spacing w:after="0"/>
              <w:rPr>
                <w:sz w:val="20"/>
                <w:szCs w:val="20"/>
                <w:color w:val="auto"/>
              </w:rPr>
            </w:pPr>
            <w:r>
              <w:rPr>
                <w:rFonts w:ascii="Arial" w:cs="Arial" w:eastAsia="Arial" w:hAnsi="Arial"/>
                <w:sz w:val="14"/>
                <w:szCs w:val="14"/>
                <w:color w:val="auto"/>
              </w:rPr>
              <w:t>4</w:t>
            </w:r>
          </w:p>
        </w:tc>
        <w:tc>
          <w:tcPr>
            <w:tcW w:w="1120" w:type="dxa"/>
            <w:vAlign w:val="bottom"/>
            <w:gridSpan w:val="2"/>
          </w:tcPr>
          <w:p>
            <w:pPr>
              <w:jc w:val="center"/>
              <w:ind w:left="133"/>
              <w:spacing w:after="0"/>
              <w:rPr>
                <w:sz w:val="20"/>
                <w:szCs w:val="20"/>
                <w:color w:val="auto"/>
              </w:rPr>
            </w:pPr>
            <w:r>
              <w:rPr>
                <w:rFonts w:ascii="Arial" w:cs="Arial" w:eastAsia="Arial" w:hAnsi="Arial"/>
                <w:sz w:val="14"/>
                <w:szCs w:val="14"/>
                <w:color w:val="auto"/>
                <w:w w:val="89"/>
              </w:rPr>
              <w:t>$275 - 352</w:t>
            </w:r>
          </w:p>
        </w:tc>
        <w:tc>
          <w:tcPr>
            <w:tcW w:w="0" w:type="dxa"/>
            <w:vAlign w:val="bottom"/>
          </w:tcPr>
          <w:p>
            <w:pPr>
              <w:spacing w:after="0"/>
              <w:rPr>
                <w:sz w:val="1"/>
                <w:szCs w:val="1"/>
                <w:color w:val="auto"/>
              </w:rPr>
            </w:pPr>
          </w:p>
        </w:tc>
      </w:tr>
      <w:tr>
        <w:trPr>
          <w:trHeight w:val="162"/>
        </w:trPr>
        <w:tc>
          <w:tcPr>
            <w:tcW w:w="4220" w:type="dxa"/>
            <w:vAlign w:val="bottom"/>
            <w:gridSpan w:val="2"/>
            <w:shd w:val="clear" w:color="auto" w:fill="CFF0FC"/>
          </w:tcPr>
          <w:p>
            <w:pPr>
              <w:ind w:left="380"/>
              <w:spacing w:after="0"/>
              <w:rPr>
                <w:sz w:val="20"/>
                <w:szCs w:val="20"/>
                <w:color w:val="auto"/>
              </w:rPr>
            </w:pPr>
            <w:r>
              <w:rPr>
                <w:rFonts w:ascii="Arial" w:cs="Arial" w:eastAsia="Arial" w:hAnsi="Arial"/>
                <w:sz w:val="14"/>
                <w:szCs w:val="14"/>
                <w:color w:val="auto"/>
              </w:rPr>
              <w:t>Los Vientos at Palm Valley</w:t>
            </w:r>
          </w:p>
        </w:tc>
        <w:tc>
          <w:tcPr>
            <w:tcW w:w="900" w:type="dxa"/>
            <w:vAlign w:val="bottom"/>
            <w:shd w:val="clear" w:color="auto" w:fill="CFF0FC"/>
          </w:tcPr>
          <w:p>
            <w:pPr>
              <w:jc w:val="center"/>
              <w:spacing w:after="0"/>
              <w:rPr>
                <w:sz w:val="20"/>
                <w:szCs w:val="20"/>
                <w:color w:val="auto"/>
              </w:rPr>
            </w:pPr>
            <w:r>
              <w:rPr>
                <w:rFonts w:ascii="Arial" w:cs="Arial" w:eastAsia="Arial" w:hAnsi="Arial"/>
                <w:sz w:val="14"/>
                <w:szCs w:val="14"/>
                <w:color w:val="auto"/>
                <w:w w:val="83"/>
              </w:rPr>
              <w:t>2013</w:t>
            </w:r>
          </w:p>
        </w:tc>
        <w:tc>
          <w:tcPr>
            <w:tcW w:w="120" w:type="dxa"/>
            <w:vAlign w:val="bottom"/>
            <w:shd w:val="clear" w:color="auto" w:fill="CFF0FC"/>
          </w:tcPr>
          <w:p>
            <w:pPr>
              <w:spacing w:after="0"/>
              <w:rPr>
                <w:sz w:val="14"/>
                <w:szCs w:val="14"/>
                <w:color w:val="auto"/>
              </w:rPr>
            </w:pPr>
          </w:p>
        </w:tc>
        <w:tc>
          <w:tcPr>
            <w:tcW w:w="7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57</w:t>
            </w:r>
          </w:p>
        </w:tc>
        <w:tc>
          <w:tcPr>
            <w:tcW w:w="220" w:type="dxa"/>
            <w:vAlign w:val="bottom"/>
            <w:shd w:val="clear" w:color="auto" w:fill="CFF0FC"/>
          </w:tcPr>
          <w:p>
            <w:pPr>
              <w:spacing w:after="0"/>
              <w:rPr>
                <w:sz w:val="14"/>
                <w:szCs w:val="14"/>
                <w:color w:val="auto"/>
              </w:rPr>
            </w:pPr>
          </w:p>
        </w:tc>
        <w:tc>
          <w:tcPr>
            <w:tcW w:w="860" w:type="dxa"/>
            <w:vAlign w:val="bottom"/>
            <w:shd w:val="clear" w:color="auto" w:fill="CFF0FC"/>
          </w:tcPr>
          <w:p>
            <w:pPr>
              <w:jc w:val="right"/>
              <w:spacing w:after="0"/>
              <w:rPr>
                <w:sz w:val="20"/>
                <w:szCs w:val="20"/>
                <w:color w:val="auto"/>
              </w:rPr>
            </w:pPr>
            <w:r>
              <w:rPr>
                <w:rFonts w:ascii="Arial" w:cs="Arial" w:eastAsia="Arial" w:hAnsi="Arial"/>
                <w:sz w:val="14"/>
                <w:szCs w:val="14"/>
                <w:color w:val="auto"/>
              </w:rPr>
              <w:t>56</w:t>
            </w:r>
          </w:p>
        </w:tc>
        <w:tc>
          <w:tcPr>
            <w:tcW w:w="220" w:type="dxa"/>
            <w:vAlign w:val="bottom"/>
            <w:shd w:val="clear" w:color="auto" w:fill="CFF0FC"/>
          </w:tcPr>
          <w:p>
            <w:pPr>
              <w:spacing w:after="0"/>
              <w:rPr>
                <w:sz w:val="14"/>
                <w:szCs w:val="14"/>
                <w:color w:val="auto"/>
              </w:rPr>
            </w:pPr>
          </w:p>
        </w:tc>
        <w:tc>
          <w:tcPr>
            <w:tcW w:w="7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1</w:t>
            </w:r>
          </w:p>
        </w:tc>
        <w:tc>
          <w:tcPr>
            <w:tcW w:w="220" w:type="dxa"/>
            <w:vAlign w:val="bottom"/>
            <w:shd w:val="clear" w:color="auto" w:fill="CFF0FC"/>
          </w:tcPr>
          <w:p>
            <w:pPr>
              <w:spacing w:after="0"/>
              <w:rPr>
                <w:sz w:val="14"/>
                <w:szCs w:val="14"/>
                <w:color w:val="auto"/>
              </w:rPr>
            </w:pPr>
          </w:p>
        </w:tc>
        <w:tc>
          <w:tcPr>
            <w:tcW w:w="7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w:t>
            </w:r>
          </w:p>
        </w:tc>
        <w:tc>
          <w:tcPr>
            <w:tcW w:w="220" w:type="dxa"/>
            <w:vAlign w:val="bottom"/>
            <w:shd w:val="clear" w:color="auto" w:fill="CFF0FC"/>
          </w:tcPr>
          <w:p>
            <w:pPr>
              <w:spacing w:after="0"/>
              <w:rPr>
                <w:sz w:val="14"/>
                <w:szCs w:val="14"/>
                <w:color w:val="auto"/>
              </w:rPr>
            </w:pPr>
          </w:p>
        </w:tc>
        <w:tc>
          <w:tcPr>
            <w:tcW w:w="9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4</w:t>
            </w:r>
          </w:p>
        </w:tc>
        <w:tc>
          <w:tcPr>
            <w:tcW w:w="1120" w:type="dxa"/>
            <w:vAlign w:val="bottom"/>
            <w:gridSpan w:val="2"/>
            <w:shd w:val="clear" w:color="auto" w:fill="CFF0FC"/>
          </w:tcPr>
          <w:p>
            <w:pPr>
              <w:jc w:val="center"/>
              <w:ind w:left="133"/>
              <w:spacing w:after="0"/>
              <w:rPr>
                <w:sz w:val="20"/>
                <w:szCs w:val="20"/>
                <w:color w:val="auto"/>
              </w:rPr>
            </w:pPr>
            <w:r>
              <w:rPr>
                <w:rFonts w:ascii="Arial" w:cs="Arial" w:eastAsia="Arial" w:hAnsi="Arial"/>
                <w:sz w:val="14"/>
                <w:szCs w:val="14"/>
                <w:color w:val="auto"/>
                <w:w w:val="89"/>
              </w:rPr>
              <w:t>$331 - 355</w:t>
            </w:r>
          </w:p>
        </w:tc>
        <w:tc>
          <w:tcPr>
            <w:tcW w:w="0" w:type="dxa"/>
            <w:vAlign w:val="bottom"/>
          </w:tcPr>
          <w:p>
            <w:pPr>
              <w:spacing w:after="0"/>
              <w:rPr>
                <w:sz w:val="1"/>
                <w:szCs w:val="1"/>
                <w:color w:val="auto"/>
              </w:rPr>
            </w:pPr>
          </w:p>
        </w:tc>
      </w:tr>
      <w:tr>
        <w:trPr>
          <w:trHeight w:val="162"/>
        </w:trPr>
        <w:tc>
          <w:tcPr>
            <w:tcW w:w="4220" w:type="dxa"/>
            <w:vAlign w:val="bottom"/>
            <w:gridSpan w:val="2"/>
          </w:tcPr>
          <w:p>
            <w:pPr>
              <w:spacing w:after="0"/>
              <w:rPr>
                <w:sz w:val="20"/>
                <w:szCs w:val="20"/>
                <w:color w:val="auto"/>
              </w:rPr>
            </w:pPr>
            <w:r>
              <w:rPr>
                <w:rFonts w:ascii="Arial" w:cs="Arial" w:eastAsia="Arial" w:hAnsi="Arial"/>
                <w:sz w:val="14"/>
                <w:szCs w:val="14"/>
                <w:color w:val="auto"/>
              </w:rPr>
              <w:t>City of Mesa:</w:t>
            </w:r>
          </w:p>
        </w:tc>
        <w:tc>
          <w:tcPr>
            <w:tcW w:w="9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4220" w:type="dxa"/>
            <w:vAlign w:val="bottom"/>
            <w:gridSpan w:val="2"/>
            <w:shd w:val="clear" w:color="auto" w:fill="CFF0FC"/>
          </w:tcPr>
          <w:p>
            <w:pPr>
              <w:ind w:left="380"/>
              <w:spacing w:after="0"/>
              <w:rPr>
                <w:sz w:val="20"/>
                <w:szCs w:val="20"/>
                <w:color w:val="auto"/>
              </w:rPr>
            </w:pPr>
            <w:r>
              <w:rPr>
                <w:rFonts w:ascii="Arial" w:cs="Arial" w:eastAsia="Arial" w:hAnsi="Arial"/>
                <w:sz w:val="14"/>
                <w:szCs w:val="14"/>
                <w:color w:val="auto"/>
              </w:rPr>
              <w:t>Kinetic Point at Eastmark</w:t>
            </w:r>
          </w:p>
        </w:tc>
        <w:tc>
          <w:tcPr>
            <w:tcW w:w="900" w:type="dxa"/>
            <w:vAlign w:val="bottom"/>
            <w:shd w:val="clear" w:color="auto" w:fill="CFF0FC"/>
          </w:tcPr>
          <w:p>
            <w:pPr>
              <w:jc w:val="center"/>
              <w:spacing w:after="0"/>
              <w:rPr>
                <w:sz w:val="20"/>
                <w:szCs w:val="20"/>
                <w:color w:val="auto"/>
              </w:rPr>
            </w:pPr>
            <w:r>
              <w:rPr>
                <w:rFonts w:ascii="Arial" w:cs="Arial" w:eastAsia="Arial" w:hAnsi="Arial"/>
                <w:sz w:val="14"/>
                <w:szCs w:val="14"/>
                <w:color w:val="auto"/>
                <w:w w:val="83"/>
              </w:rPr>
              <w:t>2013</w:t>
            </w:r>
          </w:p>
        </w:tc>
        <w:tc>
          <w:tcPr>
            <w:tcW w:w="120" w:type="dxa"/>
            <w:vAlign w:val="bottom"/>
            <w:shd w:val="clear" w:color="auto" w:fill="CFF0FC"/>
          </w:tcPr>
          <w:p>
            <w:pPr>
              <w:spacing w:after="0"/>
              <w:rPr>
                <w:sz w:val="14"/>
                <w:szCs w:val="14"/>
                <w:color w:val="auto"/>
              </w:rPr>
            </w:pPr>
          </w:p>
        </w:tc>
        <w:tc>
          <w:tcPr>
            <w:tcW w:w="7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80</w:t>
            </w:r>
          </w:p>
        </w:tc>
        <w:tc>
          <w:tcPr>
            <w:tcW w:w="220" w:type="dxa"/>
            <w:vAlign w:val="bottom"/>
            <w:shd w:val="clear" w:color="auto" w:fill="CFF0FC"/>
          </w:tcPr>
          <w:p>
            <w:pPr>
              <w:spacing w:after="0"/>
              <w:rPr>
                <w:sz w:val="14"/>
                <w:szCs w:val="14"/>
                <w:color w:val="auto"/>
              </w:rPr>
            </w:pPr>
          </w:p>
        </w:tc>
        <w:tc>
          <w:tcPr>
            <w:tcW w:w="860" w:type="dxa"/>
            <w:vAlign w:val="bottom"/>
            <w:shd w:val="clear" w:color="auto" w:fill="CFF0FC"/>
          </w:tcPr>
          <w:p>
            <w:pPr>
              <w:jc w:val="right"/>
              <w:spacing w:after="0"/>
              <w:rPr>
                <w:sz w:val="20"/>
                <w:szCs w:val="20"/>
                <w:color w:val="auto"/>
              </w:rPr>
            </w:pPr>
            <w:r>
              <w:rPr>
                <w:rFonts w:ascii="Arial" w:cs="Arial" w:eastAsia="Arial" w:hAnsi="Arial"/>
                <w:sz w:val="14"/>
                <w:szCs w:val="14"/>
                <w:color w:val="auto"/>
              </w:rPr>
              <w:t>36</w:t>
            </w:r>
          </w:p>
        </w:tc>
        <w:tc>
          <w:tcPr>
            <w:tcW w:w="220" w:type="dxa"/>
            <w:vAlign w:val="bottom"/>
            <w:shd w:val="clear" w:color="auto" w:fill="CFF0FC"/>
          </w:tcPr>
          <w:p>
            <w:pPr>
              <w:spacing w:after="0"/>
              <w:rPr>
                <w:sz w:val="14"/>
                <w:szCs w:val="14"/>
                <w:color w:val="auto"/>
              </w:rPr>
            </w:pPr>
          </w:p>
        </w:tc>
        <w:tc>
          <w:tcPr>
            <w:tcW w:w="7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44</w:t>
            </w:r>
          </w:p>
        </w:tc>
        <w:tc>
          <w:tcPr>
            <w:tcW w:w="220" w:type="dxa"/>
            <w:vAlign w:val="bottom"/>
            <w:shd w:val="clear" w:color="auto" w:fill="CFF0FC"/>
          </w:tcPr>
          <w:p>
            <w:pPr>
              <w:spacing w:after="0"/>
              <w:rPr>
                <w:sz w:val="14"/>
                <w:szCs w:val="14"/>
                <w:color w:val="auto"/>
              </w:rPr>
            </w:pPr>
          </w:p>
        </w:tc>
        <w:tc>
          <w:tcPr>
            <w:tcW w:w="7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12</w:t>
            </w:r>
          </w:p>
        </w:tc>
        <w:tc>
          <w:tcPr>
            <w:tcW w:w="220" w:type="dxa"/>
            <w:vAlign w:val="bottom"/>
            <w:shd w:val="clear" w:color="auto" w:fill="CFF0FC"/>
          </w:tcPr>
          <w:p>
            <w:pPr>
              <w:spacing w:after="0"/>
              <w:rPr>
                <w:sz w:val="14"/>
                <w:szCs w:val="14"/>
                <w:color w:val="auto"/>
              </w:rPr>
            </w:pPr>
          </w:p>
        </w:tc>
        <w:tc>
          <w:tcPr>
            <w:tcW w:w="9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7</w:t>
            </w:r>
          </w:p>
        </w:tc>
        <w:tc>
          <w:tcPr>
            <w:tcW w:w="1120" w:type="dxa"/>
            <w:vAlign w:val="bottom"/>
            <w:gridSpan w:val="2"/>
            <w:shd w:val="clear" w:color="auto" w:fill="CFF0FC"/>
          </w:tcPr>
          <w:p>
            <w:pPr>
              <w:jc w:val="center"/>
              <w:ind w:left="133"/>
              <w:spacing w:after="0"/>
              <w:rPr>
                <w:sz w:val="20"/>
                <w:szCs w:val="20"/>
                <w:color w:val="auto"/>
              </w:rPr>
            </w:pPr>
            <w:r>
              <w:rPr>
                <w:rFonts w:ascii="Arial" w:cs="Arial" w:eastAsia="Arial" w:hAnsi="Arial"/>
                <w:sz w:val="14"/>
                <w:szCs w:val="14"/>
                <w:color w:val="auto"/>
                <w:w w:val="89"/>
              </w:rPr>
              <w:t>$260 - 340</w:t>
            </w:r>
          </w:p>
        </w:tc>
        <w:tc>
          <w:tcPr>
            <w:tcW w:w="0" w:type="dxa"/>
            <w:vAlign w:val="bottom"/>
          </w:tcPr>
          <w:p>
            <w:pPr>
              <w:spacing w:after="0"/>
              <w:rPr>
                <w:sz w:val="1"/>
                <w:szCs w:val="1"/>
                <w:color w:val="auto"/>
              </w:rPr>
            </w:pPr>
          </w:p>
        </w:tc>
      </w:tr>
      <w:tr>
        <w:trPr>
          <w:trHeight w:val="162"/>
        </w:trPr>
        <w:tc>
          <w:tcPr>
            <w:tcW w:w="4220" w:type="dxa"/>
            <w:vAlign w:val="bottom"/>
            <w:gridSpan w:val="2"/>
          </w:tcPr>
          <w:p>
            <w:pPr>
              <w:ind w:left="380"/>
              <w:spacing w:after="0"/>
              <w:rPr>
                <w:sz w:val="20"/>
                <w:szCs w:val="20"/>
                <w:color w:val="auto"/>
              </w:rPr>
            </w:pPr>
            <w:r>
              <w:rPr>
                <w:rFonts w:ascii="Arial" w:cs="Arial" w:eastAsia="Arial" w:hAnsi="Arial"/>
                <w:sz w:val="14"/>
                <w:szCs w:val="14"/>
                <w:color w:val="auto"/>
              </w:rPr>
              <w:t>Lumiere Garden at Eastmark</w:t>
            </w:r>
          </w:p>
        </w:tc>
        <w:tc>
          <w:tcPr>
            <w:tcW w:w="900" w:type="dxa"/>
            <w:vAlign w:val="bottom"/>
          </w:tcPr>
          <w:p>
            <w:pPr>
              <w:jc w:val="center"/>
              <w:spacing w:after="0"/>
              <w:rPr>
                <w:sz w:val="20"/>
                <w:szCs w:val="20"/>
                <w:color w:val="auto"/>
              </w:rPr>
            </w:pPr>
            <w:r>
              <w:rPr>
                <w:rFonts w:ascii="Arial" w:cs="Arial" w:eastAsia="Arial" w:hAnsi="Arial"/>
                <w:sz w:val="14"/>
                <w:szCs w:val="14"/>
                <w:color w:val="auto"/>
                <w:w w:val="83"/>
              </w:rPr>
              <w:t>2013</w:t>
            </w:r>
          </w:p>
        </w:tc>
        <w:tc>
          <w:tcPr>
            <w:tcW w:w="120" w:type="dxa"/>
            <w:vAlign w:val="bottom"/>
          </w:tcPr>
          <w:p>
            <w:pPr>
              <w:spacing w:after="0"/>
              <w:rPr>
                <w:sz w:val="14"/>
                <w:szCs w:val="14"/>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85</w:t>
            </w:r>
          </w:p>
        </w:tc>
        <w:tc>
          <w:tcPr>
            <w:tcW w:w="220" w:type="dxa"/>
            <w:vAlign w:val="bottom"/>
          </w:tcPr>
          <w:p>
            <w:pPr>
              <w:spacing w:after="0"/>
              <w:rPr>
                <w:sz w:val="14"/>
                <w:szCs w:val="14"/>
                <w:color w:val="auto"/>
              </w:rPr>
            </w:pPr>
          </w:p>
        </w:tc>
        <w:tc>
          <w:tcPr>
            <w:tcW w:w="860" w:type="dxa"/>
            <w:vAlign w:val="bottom"/>
          </w:tcPr>
          <w:p>
            <w:pPr>
              <w:jc w:val="right"/>
              <w:spacing w:after="0"/>
              <w:rPr>
                <w:sz w:val="20"/>
                <w:szCs w:val="20"/>
                <w:color w:val="auto"/>
              </w:rPr>
            </w:pPr>
            <w:r>
              <w:rPr>
                <w:rFonts w:ascii="Arial" w:cs="Arial" w:eastAsia="Arial" w:hAnsi="Arial"/>
                <w:sz w:val="14"/>
                <w:szCs w:val="14"/>
                <w:color w:val="auto"/>
              </w:rPr>
              <w:t>40</w:t>
            </w:r>
          </w:p>
        </w:tc>
        <w:tc>
          <w:tcPr>
            <w:tcW w:w="220" w:type="dxa"/>
            <w:vAlign w:val="bottom"/>
          </w:tcPr>
          <w:p>
            <w:pPr>
              <w:spacing w:after="0"/>
              <w:rPr>
                <w:sz w:val="14"/>
                <w:szCs w:val="14"/>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45</w:t>
            </w:r>
          </w:p>
        </w:tc>
        <w:tc>
          <w:tcPr>
            <w:tcW w:w="220" w:type="dxa"/>
            <w:vAlign w:val="bottom"/>
          </w:tcPr>
          <w:p>
            <w:pPr>
              <w:spacing w:after="0"/>
              <w:rPr>
                <w:sz w:val="14"/>
                <w:szCs w:val="14"/>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9</w:t>
            </w:r>
          </w:p>
        </w:tc>
        <w:tc>
          <w:tcPr>
            <w:tcW w:w="220" w:type="dxa"/>
            <w:vAlign w:val="bottom"/>
          </w:tcPr>
          <w:p>
            <w:pPr>
              <w:spacing w:after="0"/>
              <w:rPr>
                <w:sz w:val="14"/>
                <w:szCs w:val="14"/>
                <w:color w:val="auto"/>
              </w:rPr>
            </w:pPr>
          </w:p>
        </w:tc>
        <w:tc>
          <w:tcPr>
            <w:tcW w:w="980" w:type="dxa"/>
            <w:vAlign w:val="bottom"/>
          </w:tcPr>
          <w:p>
            <w:pPr>
              <w:jc w:val="right"/>
              <w:spacing w:after="0"/>
              <w:rPr>
                <w:sz w:val="20"/>
                <w:szCs w:val="20"/>
                <w:color w:val="auto"/>
              </w:rPr>
            </w:pPr>
            <w:r>
              <w:rPr>
                <w:rFonts w:ascii="Arial" w:cs="Arial" w:eastAsia="Arial" w:hAnsi="Arial"/>
                <w:sz w:val="14"/>
                <w:szCs w:val="14"/>
                <w:color w:val="auto"/>
              </w:rPr>
              <w:t>5</w:t>
            </w:r>
          </w:p>
        </w:tc>
        <w:tc>
          <w:tcPr>
            <w:tcW w:w="1120" w:type="dxa"/>
            <w:vAlign w:val="bottom"/>
            <w:gridSpan w:val="2"/>
          </w:tcPr>
          <w:p>
            <w:pPr>
              <w:jc w:val="center"/>
              <w:ind w:left="133"/>
              <w:spacing w:after="0"/>
              <w:rPr>
                <w:sz w:val="20"/>
                <w:szCs w:val="20"/>
                <w:color w:val="auto"/>
              </w:rPr>
            </w:pPr>
            <w:r>
              <w:rPr>
                <w:rFonts w:ascii="Arial" w:cs="Arial" w:eastAsia="Arial" w:hAnsi="Arial"/>
                <w:sz w:val="14"/>
                <w:szCs w:val="14"/>
                <w:color w:val="auto"/>
                <w:w w:val="89"/>
              </w:rPr>
              <w:t>$313 - 383</w:t>
            </w:r>
          </w:p>
        </w:tc>
        <w:tc>
          <w:tcPr>
            <w:tcW w:w="0" w:type="dxa"/>
            <w:vAlign w:val="bottom"/>
          </w:tcPr>
          <w:p>
            <w:pPr>
              <w:spacing w:after="0"/>
              <w:rPr>
                <w:sz w:val="1"/>
                <w:szCs w:val="1"/>
                <w:color w:val="auto"/>
              </w:rPr>
            </w:pPr>
          </w:p>
        </w:tc>
      </w:tr>
      <w:tr>
        <w:trPr>
          <w:trHeight w:val="162"/>
        </w:trPr>
        <w:tc>
          <w:tcPr>
            <w:tcW w:w="4220" w:type="dxa"/>
            <w:vAlign w:val="bottom"/>
            <w:gridSpan w:val="2"/>
            <w:shd w:val="clear" w:color="auto" w:fill="CFF0FC"/>
          </w:tcPr>
          <w:p>
            <w:pPr>
              <w:spacing w:after="0"/>
              <w:rPr>
                <w:sz w:val="20"/>
                <w:szCs w:val="20"/>
                <w:color w:val="auto"/>
              </w:rPr>
            </w:pPr>
            <w:r>
              <w:rPr>
                <w:rFonts w:ascii="Arial" w:cs="Arial" w:eastAsia="Arial" w:hAnsi="Arial"/>
                <w:sz w:val="14"/>
                <w:szCs w:val="14"/>
                <w:color w:val="auto"/>
              </w:rPr>
              <w:t>Town of Peoria:</w:t>
            </w:r>
          </w:p>
        </w:tc>
        <w:tc>
          <w:tcPr>
            <w:tcW w:w="900" w:type="dxa"/>
            <w:vAlign w:val="bottom"/>
            <w:shd w:val="clear" w:color="auto" w:fill="CFF0FC"/>
          </w:tcPr>
          <w:p>
            <w:pPr>
              <w:spacing w:after="0"/>
              <w:rPr>
                <w:sz w:val="14"/>
                <w:szCs w:val="14"/>
                <w:color w:val="auto"/>
              </w:rPr>
            </w:pPr>
          </w:p>
        </w:tc>
        <w:tc>
          <w:tcPr>
            <w:tcW w:w="120" w:type="dxa"/>
            <w:vAlign w:val="bottom"/>
            <w:shd w:val="clear" w:color="auto" w:fill="CFF0FC"/>
          </w:tcPr>
          <w:p>
            <w:pPr>
              <w:spacing w:after="0"/>
              <w:rPr>
                <w:sz w:val="14"/>
                <w:szCs w:val="14"/>
                <w:color w:val="auto"/>
              </w:rPr>
            </w:pPr>
          </w:p>
        </w:tc>
        <w:tc>
          <w:tcPr>
            <w:tcW w:w="780" w:type="dxa"/>
            <w:vAlign w:val="bottom"/>
            <w:shd w:val="clear" w:color="auto" w:fill="CFF0FC"/>
          </w:tcPr>
          <w:p>
            <w:pPr>
              <w:spacing w:after="0"/>
              <w:rPr>
                <w:sz w:val="14"/>
                <w:szCs w:val="14"/>
                <w:color w:val="auto"/>
              </w:rPr>
            </w:pPr>
          </w:p>
        </w:tc>
        <w:tc>
          <w:tcPr>
            <w:tcW w:w="220" w:type="dxa"/>
            <w:vAlign w:val="bottom"/>
            <w:shd w:val="clear" w:color="auto" w:fill="CFF0FC"/>
          </w:tcPr>
          <w:p>
            <w:pPr>
              <w:spacing w:after="0"/>
              <w:rPr>
                <w:sz w:val="14"/>
                <w:szCs w:val="14"/>
                <w:color w:val="auto"/>
              </w:rPr>
            </w:pPr>
          </w:p>
        </w:tc>
        <w:tc>
          <w:tcPr>
            <w:tcW w:w="860" w:type="dxa"/>
            <w:vAlign w:val="bottom"/>
            <w:shd w:val="clear" w:color="auto" w:fill="CFF0FC"/>
          </w:tcPr>
          <w:p>
            <w:pPr>
              <w:spacing w:after="0"/>
              <w:rPr>
                <w:sz w:val="14"/>
                <w:szCs w:val="14"/>
                <w:color w:val="auto"/>
              </w:rPr>
            </w:pPr>
          </w:p>
        </w:tc>
        <w:tc>
          <w:tcPr>
            <w:tcW w:w="220" w:type="dxa"/>
            <w:vAlign w:val="bottom"/>
            <w:shd w:val="clear" w:color="auto" w:fill="CFF0FC"/>
          </w:tcPr>
          <w:p>
            <w:pPr>
              <w:spacing w:after="0"/>
              <w:rPr>
                <w:sz w:val="14"/>
                <w:szCs w:val="14"/>
                <w:color w:val="auto"/>
              </w:rPr>
            </w:pPr>
          </w:p>
        </w:tc>
        <w:tc>
          <w:tcPr>
            <w:tcW w:w="780" w:type="dxa"/>
            <w:vAlign w:val="bottom"/>
            <w:shd w:val="clear" w:color="auto" w:fill="CFF0FC"/>
          </w:tcPr>
          <w:p>
            <w:pPr>
              <w:spacing w:after="0"/>
              <w:rPr>
                <w:sz w:val="14"/>
                <w:szCs w:val="14"/>
                <w:color w:val="auto"/>
              </w:rPr>
            </w:pPr>
          </w:p>
        </w:tc>
        <w:tc>
          <w:tcPr>
            <w:tcW w:w="220" w:type="dxa"/>
            <w:vAlign w:val="bottom"/>
            <w:shd w:val="clear" w:color="auto" w:fill="CFF0FC"/>
          </w:tcPr>
          <w:p>
            <w:pPr>
              <w:spacing w:after="0"/>
              <w:rPr>
                <w:sz w:val="14"/>
                <w:szCs w:val="14"/>
                <w:color w:val="auto"/>
              </w:rPr>
            </w:pPr>
          </w:p>
        </w:tc>
        <w:tc>
          <w:tcPr>
            <w:tcW w:w="780" w:type="dxa"/>
            <w:vAlign w:val="bottom"/>
            <w:shd w:val="clear" w:color="auto" w:fill="CFF0FC"/>
          </w:tcPr>
          <w:p>
            <w:pPr>
              <w:spacing w:after="0"/>
              <w:rPr>
                <w:sz w:val="14"/>
                <w:szCs w:val="14"/>
                <w:color w:val="auto"/>
              </w:rPr>
            </w:pPr>
          </w:p>
        </w:tc>
        <w:tc>
          <w:tcPr>
            <w:tcW w:w="220" w:type="dxa"/>
            <w:vAlign w:val="bottom"/>
            <w:shd w:val="clear" w:color="auto" w:fill="CFF0FC"/>
          </w:tcPr>
          <w:p>
            <w:pPr>
              <w:spacing w:after="0"/>
              <w:rPr>
                <w:sz w:val="14"/>
                <w:szCs w:val="14"/>
                <w:color w:val="auto"/>
              </w:rPr>
            </w:pPr>
          </w:p>
        </w:tc>
        <w:tc>
          <w:tcPr>
            <w:tcW w:w="980" w:type="dxa"/>
            <w:vAlign w:val="bottom"/>
            <w:shd w:val="clear" w:color="auto" w:fill="CFF0FC"/>
          </w:tcPr>
          <w:p>
            <w:pPr>
              <w:spacing w:after="0"/>
              <w:rPr>
                <w:sz w:val="14"/>
                <w:szCs w:val="14"/>
                <w:color w:val="auto"/>
              </w:rPr>
            </w:pPr>
          </w:p>
        </w:tc>
        <w:tc>
          <w:tcPr>
            <w:tcW w:w="220" w:type="dxa"/>
            <w:vAlign w:val="bottom"/>
            <w:shd w:val="clear" w:color="auto" w:fill="CFF0FC"/>
          </w:tcPr>
          <w:p>
            <w:pPr>
              <w:spacing w:after="0"/>
              <w:rPr>
                <w:sz w:val="14"/>
                <w:szCs w:val="14"/>
                <w:color w:val="auto"/>
              </w:rPr>
            </w:pPr>
          </w:p>
        </w:tc>
        <w:tc>
          <w:tcPr>
            <w:tcW w:w="900" w:type="dxa"/>
            <w:vAlign w:val="bottom"/>
            <w:shd w:val="clear" w:color="auto" w:fill="CFF0FC"/>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4220" w:type="dxa"/>
            <w:vAlign w:val="bottom"/>
            <w:gridSpan w:val="2"/>
          </w:tcPr>
          <w:p>
            <w:pPr>
              <w:ind w:left="380"/>
              <w:spacing w:after="0"/>
              <w:rPr>
                <w:sz w:val="20"/>
                <w:szCs w:val="20"/>
                <w:color w:val="auto"/>
              </w:rPr>
            </w:pPr>
            <w:r>
              <w:rPr>
                <w:rFonts w:ascii="Arial" w:cs="Arial" w:eastAsia="Arial" w:hAnsi="Arial"/>
                <w:sz w:val="14"/>
                <w:szCs w:val="14"/>
                <w:color w:val="auto"/>
              </w:rPr>
              <w:t>The Reserve at Plaza del Rio</w:t>
            </w:r>
          </w:p>
        </w:tc>
        <w:tc>
          <w:tcPr>
            <w:tcW w:w="900" w:type="dxa"/>
            <w:vAlign w:val="bottom"/>
          </w:tcPr>
          <w:p>
            <w:pPr>
              <w:jc w:val="center"/>
              <w:spacing w:after="0"/>
              <w:rPr>
                <w:sz w:val="20"/>
                <w:szCs w:val="20"/>
                <w:color w:val="auto"/>
              </w:rPr>
            </w:pPr>
            <w:r>
              <w:rPr>
                <w:rFonts w:ascii="Arial" w:cs="Arial" w:eastAsia="Arial" w:hAnsi="Arial"/>
                <w:sz w:val="14"/>
                <w:szCs w:val="14"/>
                <w:color w:val="auto"/>
                <w:w w:val="83"/>
              </w:rPr>
              <w:t>2013</w:t>
            </w:r>
          </w:p>
        </w:tc>
        <w:tc>
          <w:tcPr>
            <w:tcW w:w="120" w:type="dxa"/>
            <w:vAlign w:val="bottom"/>
          </w:tcPr>
          <w:p>
            <w:pPr>
              <w:spacing w:after="0"/>
              <w:rPr>
                <w:sz w:val="14"/>
                <w:szCs w:val="14"/>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162</w:t>
            </w:r>
          </w:p>
        </w:tc>
        <w:tc>
          <w:tcPr>
            <w:tcW w:w="220" w:type="dxa"/>
            <w:vAlign w:val="bottom"/>
          </w:tcPr>
          <w:p>
            <w:pPr>
              <w:spacing w:after="0"/>
              <w:rPr>
                <w:sz w:val="14"/>
                <w:szCs w:val="14"/>
                <w:color w:val="auto"/>
              </w:rPr>
            </w:pPr>
          </w:p>
        </w:tc>
        <w:tc>
          <w:tcPr>
            <w:tcW w:w="860" w:type="dxa"/>
            <w:vAlign w:val="bottom"/>
          </w:tcPr>
          <w:p>
            <w:pPr>
              <w:jc w:val="right"/>
              <w:spacing w:after="0"/>
              <w:rPr>
                <w:sz w:val="20"/>
                <w:szCs w:val="20"/>
                <w:color w:val="auto"/>
              </w:rPr>
            </w:pPr>
            <w:r>
              <w:rPr>
                <w:rFonts w:ascii="Arial" w:cs="Arial" w:eastAsia="Arial" w:hAnsi="Arial"/>
                <w:sz w:val="14"/>
                <w:szCs w:val="14"/>
                <w:color w:val="auto"/>
              </w:rPr>
              <w:t>57</w:t>
            </w:r>
          </w:p>
        </w:tc>
        <w:tc>
          <w:tcPr>
            <w:tcW w:w="220" w:type="dxa"/>
            <w:vAlign w:val="bottom"/>
          </w:tcPr>
          <w:p>
            <w:pPr>
              <w:spacing w:after="0"/>
              <w:rPr>
                <w:sz w:val="14"/>
                <w:szCs w:val="14"/>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105</w:t>
            </w:r>
          </w:p>
        </w:tc>
        <w:tc>
          <w:tcPr>
            <w:tcW w:w="220" w:type="dxa"/>
            <w:vAlign w:val="bottom"/>
          </w:tcPr>
          <w:p>
            <w:pPr>
              <w:spacing w:after="0"/>
              <w:rPr>
                <w:sz w:val="14"/>
                <w:szCs w:val="14"/>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12</w:t>
            </w:r>
          </w:p>
        </w:tc>
        <w:tc>
          <w:tcPr>
            <w:tcW w:w="220" w:type="dxa"/>
            <w:vAlign w:val="bottom"/>
          </w:tcPr>
          <w:p>
            <w:pPr>
              <w:spacing w:after="0"/>
              <w:rPr>
                <w:sz w:val="14"/>
                <w:szCs w:val="14"/>
                <w:color w:val="auto"/>
              </w:rPr>
            </w:pPr>
          </w:p>
        </w:tc>
        <w:tc>
          <w:tcPr>
            <w:tcW w:w="980" w:type="dxa"/>
            <w:vAlign w:val="bottom"/>
          </w:tcPr>
          <w:p>
            <w:pPr>
              <w:jc w:val="right"/>
              <w:spacing w:after="0"/>
              <w:rPr>
                <w:sz w:val="20"/>
                <w:szCs w:val="20"/>
                <w:color w:val="auto"/>
              </w:rPr>
            </w:pPr>
            <w:r>
              <w:rPr>
                <w:rFonts w:ascii="Arial" w:cs="Arial" w:eastAsia="Arial" w:hAnsi="Arial"/>
                <w:sz w:val="14"/>
                <w:szCs w:val="14"/>
                <w:color w:val="auto"/>
              </w:rPr>
              <w:t>7</w:t>
            </w:r>
          </w:p>
        </w:tc>
        <w:tc>
          <w:tcPr>
            <w:tcW w:w="1120" w:type="dxa"/>
            <w:vAlign w:val="bottom"/>
            <w:gridSpan w:val="2"/>
          </w:tcPr>
          <w:p>
            <w:pPr>
              <w:jc w:val="center"/>
              <w:ind w:left="133"/>
              <w:spacing w:after="0"/>
              <w:rPr>
                <w:sz w:val="20"/>
                <w:szCs w:val="20"/>
                <w:color w:val="auto"/>
              </w:rPr>
            </w:pPr>
            <w:r>
              <w:rPr>
                <w:rFonts w:ascii="Arial" w:cs="Arial" w:eastAsia="Arial" w:hAnsi="Arial"/>
                <w:sz w:val="14"/>
                <w:szCs w:val="14"/>
                <w:color w:val="auto"/>
                <w:w w:val="89"/>
              </w:rPr>
              <w:t>$208 - 250</w:t>
            </w:r>
          </w:p>
        </w:tc>
        <w:tc>
          <w:tcPr>
            <w:tcW w:w="0" w:type="dxa"/>
            <w:vAlign w:val="bottom"/>
          </w:tcPr>
          <w:p>
            <w:pPr>
              <w:spacing w:after="0"/>
              <w:rPr>
                <w:sz w:val="1"/>
                <w:szCs w:val="1"/>
                <w:color w:val="auto"/>
              </w:rPr>
            </w:pPr>
          </w:p>
        </w:tc>
      </w:tr>
      <w:tr>
        <w:trPr>
          <w:trHeight w:val="162"/>
        </w:trPr>
        <w:tc>
          <w:tcPr>
            <w:tcW w:w="4220" w:type="dxa"/>
            <w:vAlign w:val="bottom"/>
            <w:gridSpan w:val="2"/>
            <w:shd w:val="clear" w:color="auto" w:fill="CFF0FC"/>
          </w:tcPr>
          <w:p>
            <w:pPr>
              <w:ind w:left="380"/>
              <w:spacing w:after="0"/>
              <w:rPr>
                <w:sz w:val="20"/>
                <w:szCs w:val="20"/>
                <w:color w:val="auto"/>
              </w:rPr>
            </w:pPr>
            <w:r>
              <w:rPr>
                <w:rFonts w:ascii="Arial" w:cs="Arial" w:eastAsia="Arial" w:hAnsi="Arial"/>
                <w:sz w:val="14"/>
                <w:szCs w:val="14"/>
                <w:color w:val="auto"/>
              </w:rPr>
              <w:t>Maracay at Northlands</w:t>
            </w:r>
          </w:p>
        </w:tc>
        <w:tc>
          <w:tcPr>
            <w:tcW w:w="900" w:type="dxa"/>
            <w:vAlign w:val="bottom"/>
            <w:shd w:val="clear" w:color="auto" w:fill="CFF0FC"/>
          </w:tcPr>
          <w:p>
            <w:pPr>
              <w:jc w:val="center"/>
              <w:spacing w:after="0"/>
              <w:rPr>
                <w:sz w:val="20"/>
                <w:szCs w:val="20"/>
                <w:color w:val="auto"/>
              </w:rPr>
            </w:pPr>
            <w:r>
              <w:rPr>
                <w:rFonts w:ascii="Arial" w:cs="Arial" w:eastAsia="Arial" w:hAnsi="Arial"/>
                <w:sz w:val="14"/>
                <w:szCs w:val="14"/>
                <w:color w:val="auto"/>
                <w:w w:val="83"/>
              </w:rPr>
              <w:t>2014</w:t>
            </w:r>
          </w:p>
        </w:tc>
        <w:tc>
          <w:tcPr>
            <w:tcW w:w="120" w:type="dxa"/>
            <w:vAlign w:val="bottom"/>
            <w:shd w:val="clear" w:color="auto" w:fill="CFF0FC"/>
          </w:tcPr>
          <w:p>
            <w:pPr>
              <w:spacing w:after="0"/>
              <w:rPr>
                <w:sz w:val="14"/>
                <w:szCs w:val="14"/>
                <w:color w:val="auto"/>
              </w:rPr>
            </w:pPr>
          </w:p>
        </w:tc>
        <w:tc>
          <w:tcPr>
            <w:tcW w:w="7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28</w:t>
            </w:r>
          </w:p>
        </w:tc>
        <w:tc>
          <w:tcPr>
            <w:tcW w:w="220" w:type="dxa"/>
            <w:vAlign w:val="bottom"/>
            <w:shd w:val="clear" w:color="auto" w:fill="CFF0FC"/>
          </w:tcPr>
          <w:p>
            <w:pPr>
              <w:spacing w:after="0"/>
              <w:rPr>
                <w:sz w:val="14"/>
                <w:szCs w:val="14"/>
                <w:color w:val="auto"/>
              </w:rPr>
            </w:pPr>
          </w:p>
        </w:tc>
        <w:tc>
          <w:tcPr>
            <w:tcW w:w="860" w:type="dxa"/>
            <w:vAlign w:val="bottom"/>
            <w:shd w:val="clear" w:color="auto" w:fill="CFF0FC"/>
          </w:tcPr>
          <w:p>
            <w:pPr>
              <w:jc w:val="right"/>
              <w:spacing w:after="0"/>
              <w:rPr>
                <w:sz w:val="20"/>
                <w:szCs w:val="20"/>
                <w:color w:val="auto"/>
              </w:rPr>
            </w:pPr>
            <w:r>
              <w:rPr>
                <w:rFonts w:ascii="Arial" w:cs="Arial" w:eastAsia="Arial" w:hAnsi="Arial"/>
                <w:sz w:val="14"/>
                <w:szCs w:val="14"/>
                <w:color w:val="auto"/>
              </w:rPr>
              <w:t>11</w:t>
            </w:r>
          </w:p>
        </w:tc>
        <w:tc>
          <w:tcPr>
            <w:tcW w:w="220" w:type="dxa"/>
            <w:vAlign w:val="bottom"/>
            <w:shd w:val="clear" w:color="auto" w:fill="CFF0FC"/>
          </w:tcPr>
          <w:p>
            <w:pPr>
              <w:spacing w:after="0"/>
              <w:rPr>
                <w:sz w:val="14"/>
                <w:szCs w:val="14"/>
                <w:color w:val="auto"/>
              </w:rPr>
            </w:pPr>
          </w:p>
        </w:tc>
        <w:tc>
          <w:tcPr>
            <w:tcW w:w="7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17</w:t>
            </w:r>
          </w:p>
        </w:tc>
        <w:tc>
          <w:tcPr>
            <w:tcW w:w="220" w:type="dxa"/>
            <w:vAlign w:val="bottom"/>
            <w:shd w:val="clear" w:color="auto" w:fill="CFF0FC"/>
          </w:tcPr>
          <w:p>
            <w:pPr>
              <w:spacing w:after="0"/>
              <w:rPr>
                <w:sz w:val="14"/>
                <w:szCs w:val="14"/>
                <w:color w:val="auto"/>
              </w:rPr>
            </w:pPr>
          </w:p>
        </w:tc>
        <w:tc>
          <w:tcPr>
            <w:tcW w:w="7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10</w:t>
            </w:r>
          </w:p>
        </w:tc>
        <w:tc>
          <w:tcPr>
            <w:tcW w:w="220" w:type="dxa"/>
            <w:vAlign w:val="bottom"/>
            <w:shd w:val="clear" w:color="auto" w:fill="CFF0FC"/>
          </w:tcPr>
          <w:p>
            <w:pPr>
              <w:spacing w:after="0"/>
              <w:rPr>
                <w:sz w:val="14"/>
                <w:szCs w:val="14"/>
                <w:color w:val="auto"/>
              </w:rPr>
            </w:pPr>
          </w:p>
        </w:tc>
        <w:tc>
          <w:tcPr>
            <w:tcW w:w="9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3</w:t>
            </w:r>
          </w:p>
        </w:tc>
        <w:tc>
          <w:tcPr>
            <w:tcW w:w="1120" w:type="dxa"/>
            <w:vAlign w:val="bottom"/>
            <w:gridSpan w:val="2"/>
            <w:shd w:val="clear" w:color="auto" w:fill="CFF0FC"/>
          </w:tcPr>
          <w:p>
            <w:pPr>
              <w:jc w:val="center"/>
              <w:ind w:left="133"/>
              <w:spacing w:after="0"/>
              <w:rPr>
                <w:sz w:val="20"/>
                <w:szCs w:val="20"/>
                <w:color w:val="auto"/>
              </w:rPr>
            </w:pPr>
            <w:r>
              <w:rPr>
                <w:rFonts w:ascii="Arial" w:cs="Arial" w:eastAsia="Arial" w:hAnsi="Arial"/>
                <w:sz w:val="14"/>
                <w:szCs w:val="14"/>
                <w:color w:val="auto"/>
                <w:w w:val="89"/>
              </w:rPr>
              <w:t>$312 - 393</w:t>
            </w:r>
          </w:p>
        </w:tc>
        <w:tc>
          <w:tcPr>
            <w:tcW w:w="0" w:type="dxa"/>
            <w:vAlign w:val="bottom"/>
          </w:tcPr>
          <w:p>
            <w:pPr>
              <w:spacing w:after="0"/>
              <w:rPr>
                <w:sz w:val="1"/>
                <w:szCs w:val="1"/>
                <w:color w:val="auto"/>
              </w:rPr>
            </w:pPr>
          </w:p>
        </w:tc>
      </w:tr>
      <w:tr>
        <w:trPr>
          <w:trHeight w:val="162"/>
        </w:trPr>
        <w:tc>
          <w:tcPr>
            <w:tcW w:w="4220" w:type="dxa"/>
            <w:vAlign w:val="bottom"/>
            <w:gridSpan w:val="2"/>
          </w:tcPr>
          <w:p>
            <w:pPr>
              <w:spacing w:after="0"/>
              <w:rPr>
                <w:sz w:val="20"/>
                <w:szCs w:val="20"/>
                <w:color w:val="auto"/>
              </w:rPr>
            </w:pPr>
            <w:r>
              <w:rPr>
                <w:rFonts w:ascii="Arial" w:cs="Arial" w:eastAsia="Arial" w:hAnsi="Arial"/>
                <w:sz w:val="14"/>
                <w:szCs w:val="14"/>
                <w:color w:val="auto"/>
              </w:rPr>
              <w:t>Town of Queen Creek:</w:t>
            </w:r>
          </w:p>
        </w:tc>
        <w:tc>
          <w:tcPr>
            <w:tcW w:w="9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4220" w:type="dxa"/>
            <w:vAlign w:val="bottom"/>
            <w:gridSpan w:val="2"/>
            <w:shd w:val="clear" w:color="auto" w:fill="CFF0FC"/>
          </w:tcPr>
          <w:p>
            <w:pPr>
              <w:ind w:left="380"/>
              <w:spacing w:after="0"/>
              <w:rPr>
                <w:sz w:val="20"/>
                <w:szCs w:val="20"/>
                <w:color w:val="auto"/>
              </w:rPr>
            </w:pPr>
            <w:r>
              <w:rPr>
                <w:rFonts w:ascii="Arial" w:cs="Arial" w:eastAsia="Arial" w:hAnsi="Arial"/>
                <w:sz w:val="14"/>
                <w:szCs w:val="14"/>
                <w:color w:val="auto"/>
              </w:rPr>
              <w:t>Montelena</w:t>
            </w:r>
          </w:p>
        </w:tc>
        <w:tc>
          <w:tcPr>
            <w:tcW w:w="900" w:type="dxa"/>
            <w:vAlign w:val="bottom"/>
            <w:shd w:val="clear" w:color="auto" w:fill="CFF0FC"/>
          </w:tcPr>
          <w:p>
            <w:pPr>
              <w:jc w:val="center"/>
              <w:spacing w:after="0"/>
              <w:rPr>
                <w:sz w:val="20"/>
                <w:szCs w:val="20"/>
                <w:color w:val="auto"/>
              </w:rPr>
            </w:pPr>
            <w:r>
              <w:rPr>
                <w:rFonts w:ascii="Arial" w:cs="Arial" w:eastAsia="Arial" w:hAnsi="Arial"/>
                <w:sz w:val="14"/>
                <w:szCs w:val="14"/>
                <w:color w:val="auto"/>
                <w:w w:val="83"/>
              </w:rPr>
              <w:t>2012</w:t>
            </w:r>
          </w:p>
        </w:tc>
        <w:tc>
          <w:tcPr>
            <w:tcW w:w="120" w:type="dxa"/>
            <w:vAlign w:val="bottom"/>
            <w:shd w:val="clear" w:color="auto" w:fill="CFF0FC"/>
          </w:tcPr>
          <w:p>
            <w:pPr>
              <w:spacing w:after="0"/>
              <w:rPr>
                <w:sz w:val="14"/>
                <w:szCs w:val="14"/>
                <w:color w:val="auto"/>
              </w:rPr>
            </w:pPr>
          </w:p>
        </w:tc>
        <w:tc>
          <w:tcPr>
            <w:tcW w:w="7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59</w:t>
            </w:r>
          </w:p>
        </w:tc>
        <w:tc>
          <w:tcPr>
            <w:tcW w:w="220" w:type="dxa"/>
            <w:vAlign w:val="bottom"/>
            <w:shd w:val="clear" w:color="auto" w:fill="CFF0FC"/>
          </w:tcPr>
          <w:p>
            <w:pPr>
              <w:spacing w:after="0"/>
              <w:rPr>
                <w:sz w:val="14"/>
                <w:szCs w:val="14"/>
                <w:color w:val="auto"/>
              </w:rPr>
            </w:pPr>
          </w:p>
        </w:tc>
        <w:tc>
          <w:tcPr>
            <w:tcW w:w="860" w:type="dxa"/>
            <w:vAlign w:val="bottom"/>
            <w:shd w:val="clear" w:color="auto" w:fill="CFF0FC"/>
          </w:tcPr>
          <w:p>
            <w:pPr>
              <w:jc w:val="right"/>
              <w:spacing w:after="0"/>
              <w:rPr>
                <w:sz w:val="20"/>
                <w:szCs w:val="20"/>
                <w:color w:val="auto"/>
              </w:rPr>
            </w:pPr>
            <w:r>
              <w:rPr>
                <w:rFonts w:ascii="Arial" w:cs="Arial" w:eastAsia="Arial" w:hAnsi="Arial"/>
                <w:sz w:val="14"/>
                <w:szCs w:val="14"/>
                <w:color w:val="auto"/>
              </w:rPr>
              <w:t>53</w:t>
            </w:r>
          </w:p>
        </w:tc>
        <w:tc>
          <w:tcPr>
            <w:tcW w:w="220" w:type="dxa"/>
            <w:vAlign w:val="bottom"/>
            <w:shd w:val="clear" w:color="auto" w:fill="CFF0FC"/>
          </w:tcPr>
          <w:p>
            <w:pPr>
              <w:spacing w:after="0"/>
              <w:rPr>
                <w:sz w:val="14"/>
                <w:szCs w:val="14"/>
                <w:color w:val="auto"/>
              </w:rPr>
            </w:pPr>
          </w:p>
        </w:tc>
        <w:tc>
          <w:tcPr>
            <w:tcW w:w="7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6</w:t>
            </w:r>
          </w:p>
        </w:tc>
        <w:tc>
          <w:tcPr>
            <w:tcW w:w="220" w:type="dxa"/>
            <w:vAlign w:val="bottom"/>
            <w:shd w:val="clear" w:color="auto" w:fill="CFF0FC"/>
          </w:tcPr>
          <w:p>
            <w:pPr>
              <w:spacing w:after="0"/>
              <w:rPr>
                <w:sz w:val="14"/>
                <w:szCs w:val="14"/>
                <w:color w:val="auto"/>
              </w:rPr>
            </w:pPr>
          </w:p>
        </w:tc>
        <w:tc>
          <w:tcPr>
            <w:tcW w:w="7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3</w:t>
            </w:r>
          </w:p>
        </w:tc>
        <w:tc>
          <w:tcPr>
            <w:tcW w:w="220" w:type="dxa"/>
            <w:vAlign w:val="bottom"/>
            <w:shd w:val="clear" w:color="auto" w:fill="CFF0FC"/>
          </w:tcPr>
          <w:p>
            <w:pPr>
              <w:spacing w:after="0"/>
              <w:rPr>
                <w:sz w:val="14"/>
                <w:szCs w:val="14"/>
                <w:color w:val="auto"/>
              </w:rPr>
            </w:pPr>
          </w:p>
        </w:tc>
        <w:tc>
          <w:tcPr>
            <w:tcW w:w="9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1</w:t>
            </w:r>
          </w:p>
        </w:tc>
        <w:tc>
          <w:tcPr>
            <w:tcW w:w="1120" w:type="dxa"/>
            <w:vAlign w:val="bottom"/>
            <w:gridSpan w:val="2"/>
            <w:shd w:val="clear" w:color="auto" w:fill="CFF0FC"/>
          </w:tcPr>
          <w:p>
            <w:pPr>
              <w:jc w:val="center"/>
              <w:ind w:left="133"/>
              <w:spacing w:after="0"/>
              <w:rPr>
                <w:sz w:val="20"/>
                <w:szCs w:val="20"/>
                <w:color w:val="auto"/>
              </w:rPr>
            </w:pPr>
            <w:r>
              <w:rPr>
                <w:rFonts w:ascii="Arial" w:cs="Arial" w:eastAsia="Arial" w:hAnsi="Arial"/>
                <w:sz w:val="14"/>
                <w:szCs w:val="14"/>
                <w:color w:val="auto"/>
                <w:w w:val="89"/>
              </w:rPr>
              <w:t>$375 - 447</w:t>
            </w:r>
          </w:p>
        </w:tc>
        <w:tc>
          <w:tcPr>
            <w:tcW w:w="0" w:type="dxa"/>
            <w:vAlign w:val="bottom"/>
          </w:tcPr>
          <w:p>
            <w:pPr>
              <w:spacing w:after="0"/>
              <w:rPr>
                <w:sz w:val="1"/>
                <w:szCs w:val="1"/>
                <w:color w:val="auto"/>
              </w:rPr>
            </w:pPr>
          </w:p>
        </w:tc>
      </w:tr>
      <w:tr>
        <w:trPr>
          <w:trHeight w:val="162"/>
        </w:trPr>
        <w:tc>
          <w:tcPr>
            <w:tcW w:w="4220" w:type="dxa"/>
            <w:vAlign w:val="bottom"/>
            <w:gridSpan w:val="2"/>
          </w:tcPr>
          <w:p>
            <w:pPr>
              <w:ind w:left="380"/>
              <w:spacing w:after="0"/>
              <w:rPr>
                <w:sz w:val="20"/>
                <w:szCs w:val="20"/>
                <w:color w:val="auto"/>
              </w:rPr>
            </w:pPr>
            <w:r>
              <w:rPr>
                <w:rFonts w:ascii="Arial" w:cs="Arial" w:eastAsia="Arial" w:hAnsi="Arial"/>
                <w:sz w:val="14"/>
                <w:szCs w:val="14"/>
                <w:color w:val="auto"/>
              </w:rPr>
              <w:t>The Preserve at Hastings Farms</w:t>
            </w:r>
          </w:p>
        </w:tc>
        <w:tc>
          <w:tcPr>
            <w:tcW w:w="900" w:type="dxa"/>
            <w:vAlign w:val="bottom"/>
          </w:tcPr>
          <w:p>
            <w:pPr>
              <w:jc w:val="center"/>
              <w:spacing w:after="0"/>
              <w:rPr>
                <w:sz w:val="20"/>
                <w:szCs w:val="20"/>
                <w:color w:val="auto"/>
              </w:rPr>
            </w:pPr>
            <w:r>
              <w:rPr>
                <w:rFonts w:ascii="Arial" w:cs="Arial" w:eastAsia="Arial" w:hAnsi="Arial"/>
                <w:sz w:val="14"/>
                <w:szCs w:val="14"/>
                <w:color w:val="auto"/>
                <w:w w:val="83"/>
              </w:rPr>
              <w:t>2014</w:t>
            </w:r>
          </w:p>
        </w:tc>
        <w:tc>
          <w:tcPr>
            <w:tcW w:w="120" w:type="dxa"/>
            <w:vAlign w:val="bottom"/>
          </w:tcPr>
          <w:p>
            <w:pPr>
              <w:spacing w:after="0"/>
              <w:rPr>
                <w:sz w:val="14"/>
                <w:szCs w:val="14"/>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89</w:t>
            </w:r>
          </w:p>
        </w:tc>
        <w:tc>
          <w:tcPr>
            <w:tcW w:w="220" w:type="dxa"/>
            <w:vAlign w:val="bottom"/>
          </w:tcPr>
          <w:p>
            <w:pPr>
              <w:spacing w:after="0"/>
              <w:rPr>
                <w:sz w:val="14"/>
                <w:szCs w:val="14"/>
                <w:color w:val="auto"/>
              </w:rPr>
            </w:pPr>
          </w:p>
        </w:tc>
        <w:tc>
          <w:tcPr>
            <w:tcW w:w="860" w:type="dxa"/>
            <w:vAlign w:val="bottom"/>
          </w:tcPr>
          <w:p>
            <w:pPr>
              <w:jc w:val="right"/>
              <w:spacing w:after="0"/>
              <w:rPr>
                <w:sz w:val="20"/>
                <w:szCs w:val="20"/>
                <w:color w:val="auto"/>
              </w:rPr>
            </w:pPr>
            <w:r>
              <w:rPr>
                <w:rFonts w:ascii="Arial" w:cs="Arial" w:eastAsia="Arial" w:hAnsi="Arial"/>
                <w:sz w:val="14"/>
                <w:szCs w:val="14"/>
                <w:color w:val="auto"/>
              </w:rPr>
              <w:t>19</w:t>
            </w:r>
          </w:p>
        </w:tc>
        <w:tc>
          <w:tcPr>
            <w:tcW w:w="220" w:type="dxa"/>
            <w:vAlign w:val="bottom"/>
          </w:tcPr>
          <w:p>
            <w:pPr>
              <w:spacing w:after="0"/>
              <w:rPr>
                <w:sz w:val="14"/>
                <w:szCs w:val="14"/>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70</w:t>
            </w:r>
          </w:p>
        </w:tc>
        <w:tc>
          <w:tcPr>
            <w:tcW w:w="220" w:type="dxa"/>
            <w:vAlign w:val="bottom"/>
          </w:tcPr>
          <w:p>
            <w:pPr>
              <w:spacing w:after="0"/>
              <w:rPr>
                <w:sz w:val="14"/>
                <w:szCs w:val="14"/>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15</w:t>
            </w:r>
          </w:p>
        </w:tc>
        <w:tc>
          <w:tcPr>
            <w:tcW w:w="220" w:type="dxa"/>
            <w:vAlign w:val="bottom"/>
          </w:tcPr>
          <w:p>
            <w:pPr>
              <w:spacing w:after="0"/>
              <w:rPr>
                <w:sz w:val="14"/>
                <w:szCs w:val="14"/>
                <w:color w:val="auto"/>
              </w:rPr>
            </w:pPr>
          </w:p>
        </w:tc>
        <w:tc>
          <w:tcPr>
            <w:tcW w:w="980" w:type="dxa"/>
            <w:vAlign w:val="bottom"/>
          </w:tcPr>
          <w:p>
            <w:pPr>
              <w:jc w:val="right"/>
              <w:spacing w:after="0"/>
              <w:rPr>
                <w:sz w:val="20"/>
                <w:szCs w:val="20"/>
                <w:color w:val="auto"/>
              </w:rPr>
            </w:pPr>
            <w:r>
              <w:rPr>
                <w:rFonts w:ascii="Arial" w:cs="Arial" w:eastAsia="Arial" w:hAnsi="Arial"/>
                <w:sz w:val="14"/>
                <w:szCs w:val="14"/>
                <w:color w:val="auto"/>
              </w:rPr>
              <w:t>4</w:t>
            </w:r>
          </w:p>
        </w:tc>
        <w:tc>
          <w:tcPr>
            <w:tcW w:w="1120" w:type="dxa"/>
            <w:vAlign w:val="bottom"/>
            <w:gridSpan w:val="2"/>
          </w:tcPr>
          <w:p>
            <w:pPr>
              <w:jc w:val="center"/>
              <w:ind w:left="133"/>
              <w:spacing w:after="0"/>
              <w:rPr>
                <w:sz w:val="20"/>
                <w:szCs w:val="20"/>
                <w:color w:val="auto"/>
              </w:rPr>
            </w:pPr>
            <w:r>
              <w:rPr>
                <w:rFonts w:ascii="Arial" w:cs="Arial" w:eastAsia="Arial" w:hAnsi="Arial"/>
                <w:sz w:val="14"/>
                <w:szCs w:val="14"/>
                <w:color w:val="auto"/>
                <w:w w:val="89"/>
              </w:rPr>
              <w:t>$278 - 362</w:t>
            </w:r>
          </w:p>
        </w:tc>
        <w:tc>
          <w:tcPr>
            <w:tcW w:w="0" w:type="dxa"/>
            <w:vAlign w:val="bottom"/>
          </w:tcPr>
          <w:p>
            <w:pPr>
              <w:spacing w:after="0"/>
              <w:rPr>
                <w:sz w:val="1"/>
                <w:szCs w:val="1"/>
                <w:color w:val="auto"/>
              </w:rPr>
            </w:pPr>
          </w:p>
        </w:tc>
      </w:tr>
      <w:tr>
        <w:trPr>
          <w:trHeight w:val="162"/>
        </w:trPr>
        <w:tc>
          <w:tcPr>
            <w:tcW w:w="4220" w:type="dxa"/>
            <w:vAlign w:val="bottom"/>
            <w:gridSpan w:val="2"/>
            <w:shd w:val="clear" w:color="auto" w:fill="CFF0FC"/>
          </w:tcPr>
          <w:p>
            <w:pPr>
              <w:ind w:left="380"/>
              <w:spacing w:after="0"/>
              <w:rPr>
                <w:sz w:val="20"/>
                <w:szCs w:val="20"/>
                <w:color w:val="auto"/>
              </w:rPr>
            </w:pPr>
            <w:r>
              <w:rPr>
                <w:rFonts w:ascii="Arial" w:cs="Arial" w:eastAsia="Arial" w:hAnsi="Arial"/>
                <w:sz w:val="14"/>
                <w:szCs w:val="14"/>
                <w:color w:val="auto"/>
              </w:rPr>
              <w:t>Villagio</w:t>
            </w:r>
          </w:p>
        </w:tc>
        <w:tc>
          <w:tcPr>
            <w:tcW w:w="900" w:type="dxa"/>
            <w:vAlign w:val="bottom"/>
            <w:shd w:val="clear" w:color="auto" w:fill="CFF0FC"/>
          </w:tcPr>
          <w:p>
            <w:pPr>
              <w:jc w:val="center"/>
              <w:spacing w:after="0"/>
              <w:rPr>
                <w:sz w:val="20"/>
                <w:szCs w:val="20"/>
                <w:color w:val="auto"/>
              </w:rPr>
            </w:pPr>
            <w:r>
              <w:rPr>
                <w:rFonts w:ascii="Arial" w:cs="Arial" w:eastAsia="Arial" w:hAnsi="Arial"/>
                <w:sz w:val="14"/>
                <w:szCs w:val="14"/>
                <w:color w:val="auto"/>
                <w:w w:val="83"/>
              </w:rPr>
              <w:t>2013</w:t>
            </w:r>
          </w:p>
        </w:tc>
        <w:tc>
          <w:tcPr>
            <w:tcW w:w="120" w:type="dxa"/>
            <w:vAlign w:val="bottom"/>
            <w:shd w:val="clear" w:color="auto" w:fill="CFF0FC"/>
          </w:tcPr>
          <w:p>
            <w:pPr>
              <w:spacing w:after="0"/>
              <w:rPr>
                <w:sz w:val="14"/>
                <w:szCs w:val="14"/>
                <w:color w:val="auto"/>
              </w:rPr>
            </w:pPr>
          </w:p>
        </w:tc>
        <w:tc>
          <w:tcPr>
            <w:tcW w:w="78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4"/>
                <w:szCs w:val="14"/>
                <w:color w:val="auto"/>
              </w:rPr>
              <w:t>135</w:t>
            </w:r>
          </w:p>
        </w:tc>
        <w:tc>
          <w:tcPr>
            <w:tcW w:w="220" w:type="dxa"/>
            <w:vAlign w:val="bottom"/>
            <w:shd w:val="clear" w:color="auto" w:fill="CFF0FC"/>
          </w:tcPr>
          <w:p>
            <w:pPr>
              <w:spacing w:after="0"/>
              <w:rPr>
                <w:sz w:val="14"/>
                <w:szCs w:val="14"/>
                <w:color w:val="auto"/>
              </w:rPr>
            </w:pPr>
          </w:p>
        </w:tc>
        <w:tc>
          <w:tcPr>
            <w:tcW w:w="86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4"/>
                <w:szCs w:val="14"/>
                <w:color w:val="auto"/>
              </w:rPr>
              <w:t>66</w:t>
            </w:r>
          </w:p>
        </w:tc>
        <w:tc>
          <w:tcPr>
            <w:tcW w:w="220" w:type="dxa"/>
            <w:vAlign w:val="bottom"/>
            <w:shd w:val="clear" w:color="auto" w:fill="CFF0FC"/>
          </w:tcPr>
          <w:p>
            <w:pPr>
              <w:spacing w:after="0"/>
              <w:rPr>
                <w:sz w:val="14"/>
                <w:szCs w:val="14"/>
                <w:color w:val="auto"/>
              </w:rPr>
            </w:pPr>
          </w:p>
        </w:tc>
        <w:tc>
          <w:tcPr>
            <w:tcW w:w="78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4"/>
                <w:szCs w:val="14"/>
                <w:color w:val="auto"/>
              </w:rPr>
              <w:t>69</w:t>
            </w:r>
          </w:p>
        </w:tc>
        <w:tc>
          <w:tcPr>
            <w:tcW w:w="220" w:type="dxa"/>
            <w:vAlign w:val="bottom"/>
            <w:shd w:val="clear" w:color="auto" w:fill="CFF0FC"/>
          </w:tcPr>
          <w:p>
            <w:pPr>
              <w:spacing w:after="0"/>
              <w:rPr>
                <w:sz w:val="14"/>
                <w:szCs w:val="14"/>
                <w:color w:val="auto"/>
              </w:rPr>
            </w:pPr>
          </w:p>
        </w:tc>
        <w:tc>
          <w:tcPr>
            <w:tcW w:w="78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4"/>
                <w:szCs w:val="14"/>
                <w:color w:val="auto"/>
              </w:rPr>
              <w:t>10</w:t>
            </w:r>
          </w:p>
        </w:tc>
        <w:tc>
          <w:tcPr>
            <w:tcW w:w="220" w:type="dxa"/>
            <w:vAlign w:val="bottom"/>
            <w:shd w:val="clear" w:color="auto" w:fill="CFF0FC"/>
          </w:tcPr>
          <w:p>
            <w:pPr>
              <w:spacing w:after="0"/>
              <w:rPr>
                <w:sz w:val="14"/>
                <w:szCs w:val="14"/>
                <w:color w:val="auto"/>
              </w:rPr>
            </w:pPr>
          </w:p>
        </w:tc>
        <w:tc>
          <w:tcPr>
            <w:tcW w:w="98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4"/>
                <w:szCs w:val="14"/>
                <w:color w:val="auto"/>
              </w:rPr>
              <w:t>6</w:t>
            </w:r>
          </w:p>
        </w:tc>
        <w:tc>
          <w:tcPr>
            <w:tcW w:w="1120" w:type="dxa"/>
            <w:vAlign w:val="bottom"/>
            <w:gridSpan w:val="2"/>
            <w:shd w:val="clear" w:color="auto" w:fill="CFF0FC"/>
          </w:tcPr>
          <w:p>
            <w:pPr>
              <w:jc w:val="center"/>
              <w:ind w:left="133"/>
              <w:spacing w:after="0"/>
              <w:rPr>
                <w:sz w:val="20"/>
                <w:szCs w:val="20"/>
                <w:color w:val="auto"/>
              </w:rPr>
            </w:pPr>
            <w:r>
              <w:rPr>
                <w:rFonts w:ascii="Arial" w:cs="Arial" w:eastAsia="Arial" w:hAnsi="Arial"/>
                <w:sz w:val="14"/>
                <w:szCs w:val="14"/>
                <w:color w:val="auto"/>
                <w:w w:val="89"/>
              </w:rPr>
              <w:t>$275 - 333</w:t>
            </w:r>
          </w:p>
        </w:tc>
        <w:tc>
          <w:tcPr>
            <w:tcW w:w="0" w:type="dxa"/>
            <w:vAlign w:val="bottom"/>
          </w:tcPr>
          <w:p>
            <w:pPr>
              <w:spacing w:after="0"/>
              <w:rPr>
                <w:sz w:val="1"/>
                <w:szCs w:val="1"/>
                <w:color w:val="auto"/>
              </w:rPr>
            </w:pPr>
          </w:p>
        </w:tc>
      </w:tr>
      <w:tr>
        <w:trPr>
          <w:trHeight w:val="156"/>
        </w:trPr>
        <w:tc>
          <w:tcPr>
            <w:tcW w:w="4220" w:type="dxa"/>
            <w:vAlign w:val="bottom"/>
            <w:tcBorders>
              <w:bottom w:val="single" w:sz="8" w:color="CFF0FC"/>
            </w:tcBorders>
            <w:gridSpan w:val="2"/>
          </w:tcPr>
          <w:p>
            <w:pPr>
              <w:spacing w:after="0" w:line="155" w:lineRule="exact"/>
              <w:rPr>
                <w:sz w:val="20"/>
                <w:szCs w:val="20"/>
                <w:color w:val="auto"/>
              </w:rPr>
            </w:pPr>
            <w:r>
              <w:rPr>
                <w:rFonts w:ascii="Arial" w:cs="Arial" w:eastAsia="Arial" w:hAnsi="Arial"/>
                <w:sz w:val="14"/>
                <w:szCs w:val="14"/>
                <w:b w:val="1"/>
                <w:bCs w:val="1"/>
                <w:color w:val="auto"/>
              </w:rPr>
              <w:t>Phoenix, Arizona Total</w:t>
            </w:r>
          </w:p>
        </w:tc>
        <w:tc>
          <w:tcPr>
            <w:tcW w:w="900" w:type="dxa"/>
            <w:vAlign w:val="bottom"/>
            <w:tcBorders>
              <w:bottom w:val="single" w:sz="8" w:color="CFF0FC"/>
            </w:tcBorders>
          </w:tcPr>
          <w:p>
            <w:pPr>
              <w:spacing w:after="0"/>
              <w:rPr>
                <w:sz w:val="13"/>
                <w:szCs w:val="13"/>
                <w:color w:val="auto"/>
              </w:rPr>
            </w:pPr>
          </w:p>
        </w:tc>
        <w:tc>
          <w:tcPr>
            <w:tcW w:w="120" w:type="dxa"/>
            <w:vAlign w:val="bottom"/>
            <w:tcBorders>
              <w:bottom w:val="single" w:sz="8" w:color="CFF0FC"/>
            </w:tcBorders>
          </w:tcPr>
          <w:p>
            <w:pPr>
              <w:spacing w:after="0"/>
              <w:rPr>
                <w:sz w:val="13"/>
                <w:szCs w:val="13"/>
                <w:color w:val="auto"/>
              </w:rPr>
            </w:pPr>
          </w:p>
        </w:tc>
        <w:tc>
          <w:tcPr>
            <w:tcW w:w="780" w:type="dxa"/>
            <w:vAlign w:val="bottom"/>
            <w:tcBorders>
              <w:bottom w:val="single" w:sz="8" w:color="auto"/>
            </w:tcBorders>
          </w:tcPr>
          <w:p>
            <w:pPr>
              <w:jc w:val="right"/>
              <w:spacing w:after="0" w:line="155" w:lineRule="exact"/>
              <w:rPr>
                <w:sz w:val="20"/>
                <w:szCs w:val="20"/>
                <w:color w:val="auto"/>
              </w:rPr>
            </w:pPr>
            <w:r>
              <w:rPr>
                <w:rFonts w:ascii="Arial" w:cs="Arial" w:eastAsia="Arial" w:hAnsi="Arial"/>
                <w:sz w:val="14"/>
                <w:szCs w:val="14"/>
                <w:b w:val="1"/>
                <w:bCs w:val="1"/>
                <w:color w:val="auto"/>
              </w:rPr>
              <w:t>1,444</w:t>
            </w:r>
          </w:p>
        </w:tc>
        <w:tc>
          <w:tcPr>
            <w:tcW w:w="220" w:type="dxa"/>
            <w:vAlign w:val="bottom"/>
            <w:tcBorders>
              <w:bottom w:val="single" w:sz="8" w:color="CFF0FC"/>
            </w:tcBorders>
          </w:tcPr>
          <w:p>
            <w:pPr>
              <w:spacing w:after="0"/>
              <w:rPr>
                <w:sz w:val="13"/>
                <w:szCs w:val="13"/>
                <w:color w:val="auto"/>
              </w:rPr>
            </w:pPr>
          </w:p>
        </w:tc>
        <w:tc>
          <w:tcPr>
            <w:tcW w:w="860" w:type="dxa"/>
            <w:vAlign w:val="bottom"/>
            <w:tcBorders>
              <w:bottom w:val="single" w:sz="8" w:color="auto"/>
            </w:tcBorders>
          </w:tcPr>
          <w:p>
            <w:pPr>
              <w:jc w:val="right"/>
              <w:spacing w:after="0" w:line="155" w:lineRule="exact"/>
              <w:rPr>
                <w:sz w:val="20"/>
                <w:szCs w:val="20"/>
                <w:color w:val="auto"/>
              </w:rPr>
            </w:pPr>
            <w:r>
              <w:rPr>
                <w:rFonts w:ascii="Arial" w:cs="Arial" w:eastAsia="Arial" w:hAnsi="Arial"/>
                <w:sz w:val="14"/>
                <w:szCs w:val="14"/>
                <w:b w:val="1"/>
                <w:bCs w:val="1"/>
                <w:color w:val="auto"/>
              </w:rPr>
              <w:t>620</w:t>
            </w:r>
          </w:p>
        </w:tc>
        <w:tc>
          <w:tcPr>
            <w:tcW w:w="220" w:type="dxa"/>
            <w:vAlign w:val="bottom"/>
            <w:tcBorders>
              <w:bottom w:val="single" w:sz="8" w:color="CFF0FC"/>
            </w:tcBorders>
          </w:tcPr>
          <w:p>
            <w:pPr>
              <w:spacing w:after="0"/>
              <w:rPr>
                <w:sz w:val="13"/>
                <w:szCs w:val="13"/>
                <w:color w:val="auto"/>
              </w:rPr>
            </w:pPr>
          </w:p>
        </w:tc>
        <w:tc>
          <w:tcPr>
            <w:tcW w:w="780" w:type="dxa"/>
            <w:vAlign w:val="bottom"/>
            <w:tcBorders>
              <w:bottom w:val="single" w:sz="8" w:color="auto"/>
            </w:tcBorders>
          </w:tcPr>
          <w:p>
            <w:pPr>
              <w:jc w:val="right"/>
              <w:spacing w:after="0" w:line="155" w:lineRule="exact"/>
              <w:rPr>
                <w:sz w:val="20"/>
                <w:szCs w:val="20"/>
                <w:color w:val="auto"/>
              </w:rPr>
            </w:pPr>
            <w:r>
              <w:rPr>
                <w:rFonts w:ascii="Arial" w:cs="Arial" w:eastAsia="Arial" w:hAnsi="Arial"/>
                <w:sz w:val="14"/>
                <w:szCs w:val="14"/>
                <w:b w:val="1"/>
                <w:bCs w:val="1"/>
                <w:color w:val="auto"/>
              </w:rPr>
              <w:t>824</w:t>
            </w:r>
          </w:p>
        </w:tc>
        <w:tc>
          <w:tcPr>
            <w:tcW w:w="220" w:type="dxa"/>
            <w:vAlign w:val="bottom"/>
            <w:tcBorders>
              <w:bottom w:val="single" w:sz="8" w:color="CFF0FC"/>
            </w:tcBorders>
          </w:tcPr>
          <w:p>
            <w:pPr>
              <w:spacing w:after="0"/>
              <w:rPr>
                <w:sz w:val="13"/>
                <w:szCs w:val="13"/>
                <w:color w:val="auto"/>
              </w:rPr>
            </w:pPr>
          </w:p>
        </w:tc>
        <w:tc>
          <w:tcPr>
            <w:tcW w:w="780" w:type="dxa"/>
            <w:vAlign w:val="bottom"/>
            <w:tcBorders>
              <w:bottom w:val="single" w:sz="8" w:color="auto"/>
            </w:tcBorders>
          </w:tcPr>
          <w:p>
            <w:pPr>
              <w:jc w:val="right"/>
              <w:spacing w:after="0" w:line="155" w:lineRule="exact"/>
              <w:rPr>
                <w:sz w:val="20"/>
                <w:szCs w:val="20"/>
                <w:color w:val="auto"/>
              </w:rPr>
            </w:pPr>
            <w:r>
              <w:rPr>
                <w:rFonts w:ascii="Arial" w:cs="Arial" w:eastAsia="Arial" w:hAnsi="Arial"/>
                <w:sz w:val="14"/>
                <w:szCs w:val="14"/>
                <w:b w:val="1"/>
                <w:bCs w:val="1"/>
                <w:color w:val="auto"/>
              </w:rPr>
              <w:t>164</w:t>
            </w:r>
          </w:p>
        </w:tc>
        <w:tc>
          <w:tcPr>
            <w:tcW w:w="220" w:type="dxa"/>
            <w:vAlign w:val="bottom"/>
            <w:tcBorders>
              <w:bottom w:val="single" w:sz="8" w:color="CFF0FC"/>
            </w:tcBorders>
          </w:tcPr>
          <w:p>
            <w:pPr>
              <w:spacing w:after="0"/>
              <w:rPr>
                <w:sz w:val="13"/>
                <w:szCs w:val="13"/>
                <w:color w:val="auto"/>
              </w:rPr>
            </w:pPr>
          </w:p>
        </w:tc>
        <w:tc>
          <w:tcPr>
            <w:tcW w:w="980" w:type="dxa"/>
            <w:vAlign w:val="bottom"/>
            <w:tcBorders>
              <w:bottom w:val="single" w:sz="8" w:color="auto"/>
            </w:tcBorders>
          </w:tcPr>
          <w:p>
            <w:pPr>
              <w:jc w:val="right"/>
              <w:spacing w:after="0" w:line="155" w:lineRule="exact"/>
              <w:rPr>
                <w:sz w:val="20"/>
                <w:szCs w:val="20"/>
                <w:color w:val="auto"/>
              </w:rPr>
            </w:pPr>
            <w:r>
              <w:rPr>
                <w:rFonts w:ascii="Arial" w:cs="Arial" w:eastAsia="Arial" w:hAnsi="Arial"/>
                <w:sz w:val="14"/>
                <w:szCs w:val="14"/>
                <w:b w:val="1"/>
                <w:bCs w:val="1"/>
                <w:color w:val="auto"/>
              </w:rPr>
              <w:t>73</w:t>
            </w:r>
          </w:p>
        </w:tc>
        <w:tc>
          <w:tcPr>
            <w:tcW w:w="220" w:type="dxa"/>
            <w:vAlign w:val="bottom"/>
            <w:tcBorders>
              <w:bottom w:val="single" w:sz="8" w:color="CFF0FC"/>
            </w:tcBorders>
          </w:tcPr>
          <w:p>
            <w:pPr>
              <w:spacing w:after="0"/>
              <w:rPr>
                <w:sz w:val="13"/>
                <w:szCs w:val="13"/>
                <w:color w:val="auto"/>
              </w:rPr>
            </w:pPr>
          </w:p>
        </w:tc>
        <w:tc>
          <w:tcPr>
            <w:tcW w:w="900" w:type="dxa"/>
            <w:vAlign w:val="bottom"/>
            <w:tcBorders>
              <w:bottom w:val="single" w:sz="8" w:color="CFF0FC"/>
            </w:tcBorders>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4220" w:type="dxa"/>
            <w:vAlign w:val="bottom"/>
            <w:gridSpan w:val="2"/>
            <w:shd w:val="clear" w:color="auto" w:fill="CFF0FC"/>
          </w:tcPr>
          <w:p>
            <w:pPr>
              <w:spacing w:after="0" w:line="155" w:lineRule="exact"/>
              <w:rPr>
                <w:sz w:val="20"/>
                <w:szCs w:val="20"/>
                <w:color w:val="auto"/>
              </w:rPr>
            </w:pPr>
            <w:r>
              <w:rPr>
                <w:rFonts w:ascii="Arial" w:cs="Arial" w:eastAsia="Arial" w:hAnsi="Arial"/>
                <w:sz w:val="14"/>
                <w:szCs w:val="14"/>
                <w:b w:val="1"/>
                <w:bCs w:val="1"/>
                <w:color w:val="auto"/>
              </w:rPr>
              <w:t>Tucson, Arizona</w:t>
            </w:r>
          </w:p>
        </w:tc>
        <w:tc>
          <w:tcPr>
            <w:tcW w:w="900" w:type="dxa"/>
            <w:vAlign w:val="bottom"/>
            <w:shd w:val="clear" w:color="auto" w:fill="CFF0FC"/>
          </w:tcPr>
          <w:p>
            <w:pPr>
              <w:spacing w:after="0"/>
              <w:rPr>
                <w:sz w:val="13"/>
                <w:szCs w:val="13"/>
                <w:color w:val="auto"/>
              </w:rPr>
            </w:pPr>
          </w:p>
        </w:tc>
        <w:tc>
          <w:tcPr>
            <w:tcW w:w="120" w:type="dxa"/>
            <w:vAlign w:val="bottom"/>
            <w:shd w:val="clear" w:color="auto" w:fill="CFF0FC"/>
          </w:tcPr>
          <w:p>
            <w:pPr>
              <w:spacing w:after="0"/>
              <w:rPr>
                <w:sz w:val="13"/>
                <w:szCs w:val="13"/>
                <w:color w:val="auto"/>
              </w:rPr>
            </w:pPr>
          </w:p>
        </w:tc>
        <w:tc>
          <w:tcPr>
            <w:tcW w:w="780" w:type="dxa"/>
            <w:vAlign w:val="bottom"/>
            <w:shd w:val="clear" w:color="auto" w:fill="CFF0FC"/>
          </w:tcPr>
          <w:p>
            <w:pPr>
              <w:spacing w:after="0"/>
              <w:rPr>
                <w:sz w:val="13"/>
                <w:szCs w:val="13"/>
                <w:color w:val="auto"/>
              </w:rPr>
            </w:pPr>
          </w:p>
        </w:tc>
        <w:tc>
          <w:tcPr>
            <w:tcW w:w="220" w:type="dxa"/>
            <w:vAlign w:val="bottom"/>
            <w:shd w:val="clear" w:color="auto" w:fill="CFF0FC"/>
          </w:tcPr>
          <w:p>
            <w:pPr>
              <w:spacing w:after="0"/>
              <w:rPr>
                <w:sz w:val="13"/>
                <w:szCs w:val="13"/>
                <w:color w:val="auto"/>
              </w:rPr>
            </w:pPr>
          </w:p>
        </w:tc>
        <w:tc>
          <w:tcPr>
            <w:tcW w:w="860" w:type="dxa"/>
            <w:vAlign w:val="bottom"/>
            <w:shd w:val="clear" w:color="auto" w:fill="CFF0FC"/>
          </w:tcPr>
          <w:p>
            <w:pPr>
              <w:spacing w:after="0"/>
              <w:rPr>
                <w:sz w:val="13"/>
                <w:szCs w:val="13"/>
                <w:color w:val="auto"/>
              </w:rPr>
            </w:pPr>
          </w:p>
        </w:tc>
        <w:tc>
          <w:tcPr>
            <w:tcW w:w="220" w:type="dxa"/>
            <w:vAlign w:val="bottom"/>
            <w:shd w:val="clear" w:color="auto" w:fill="CFF0FC"/>
          </w:tcPr>
          <w:p>
            <w:pPr>
              <w:spacing w:after="0"/>
              <w:rPr>
                <w:sz w:val="13"/>
                <w:szCs w:val="13"/>
                <w:color w:val="auto"/>
              </w:rPr>
            </w:pPr>
          </w:p>
        </w:tc>
        <w:tc>
          <w:tcPr>
            <w:tcW w:w="780" w:type="dxa"/>
            <w:vAlign w:val="bottom"/>
            <w:shd w:val="clear" w:color="auto" w:fill="CFF0FC"/>
          </w:tcPr>
          <w:p>
            <w:pPr>
              <w:spacing w:after="0"/>
              <w:rPr>
                <w:sz w:val="13"/>
                <w:szCs w:val="13"/>
                <w:color w:val="auto"/>
              </w:rPr>
            </w:pPr>
          </w:p>
        </w:tc>
        <w:tc>
          <w:tcPr>
            <w:tcW w:w="220" w:type="dxa"/>
            <w:vAlign w:val="bottom"/>
            <w:shd w:val="clear" w:color="auto" w:fill="CFF0FC"/>
          </w:tcPr>
          <w:p>
            <w:pPr>
              <w:spacing w:after="0"/>
              <w:rPr>
                <w:sz w:val="13"/>
                <w:szCs w:val="13"/>
                <w:color w:val="auto"/>
              </w:rPr>
            </w:pPr>
          </w:p>
        </w:tc>
        <w:tc>
          <w:tcPr>
            <w:tcW w:w="780" w:type="dxa"/>
            <w:vAlign w:val="bottom"/>
            <w:shd w:val="clear" w:color="auto" w:fill="CFF0FC"/>
          </w:tcPr>
          <w:p>
            <w:pPr>
              <w:spacing w:after="0"/>
              <w:rPr>
                <w:sz w:val="13"/>
                <w:szCs w:val="13"/>
                <w:color w:val="auto"/>
              </w:rPr>
            </w:pPr>
          </w:p>
        </w:tc>
        <w:tc>
          <w:tcPr>
            <w:tcW w:w="220" w:type="dxa"/>
            <w:vAlign w:val="bottom"/>
            <w:shd w:val="clear" w:color="auto" w:fill="CFF0FC"/>
          </w:tcPr>
          <w:p>
            <w:pPr>
              <w:spacing w:after="0"/>
              <w:rPr>
                <w:sz w:val="13"/>
                <w:szCs w:val="13"/>
                <w:color w:val="auto"/>
              </w:rPr>
            </w:pPr>
          </w:p>
        </w:tc>
        <w:tc>
          <w:tcPr>
            <w:tcW w:w="980" w:type="dxa"/>
            <w:vAlign w:val="bottom"/>
            <w:shd w:val="clear" w:color="auto" w:fill="CFF0FC"/>
          </w:tcPr>
          <w:p>
            <w:pPr>
              <w:spacing w:after="0"/>
              <w:rPr>
                <w:sz w:val="13"/>
                <w:szCs w:val="13"/>
                <w:color w:val="auto"/>
              </w:rPr>
            </w:pPr>
          </w:p>
        </w:tc>
        <w:tc>
          <w:tcPr>
            <w:tcW w:w="220" w:type="dxa"/>
            <w:vAlign w:val="bottom"/>
            <w:shd w:val="clear" w:color="auto" w:fill="CFF0FC"/>
          </w:tcPr>
          <w:p>
            <w:pPr>
              <w:spacing w:after="0"/>
              <w:rPr>
                <w:sz w:val="13"/>
                <w:szCs w:val="13"/>
                <w:color w:val="auto"/>
              </w:rPr>
            </w:pPr>
          </w:p>
        </w:tc>
        <w:tc>
          <w:tcPr>
            <w:tcW w:w="900" w:type="dxa"/>
            <w:vAlign w:val="bottom"/>
            <w:shd w:val="clear" w:color="auto" w:fill="CFF0FC"/>
          </w:tcPr>
          <w:p>
            <w:pPr>
              <w:spacing w:after="0"/>
              <w:rPr>
                <w:sz w:val="13"/>
                <w:szCs w:val="13"/>
                <w:color w:val="auto"/>
              </w:rPr>
            </w:pPr>
          </w:p>
        </w:tc>
        <w:tc>
          <w:tcPr>
            <w:tcW w:w="0" w:type="dxa"/>
            <w:vAlign w:val="bottom"/>
          </w:tcPr>
          <w:p>
            <w:pPr>
              <w:spacing w:after="0"/>
              <w:rPr>
                <w:sz w:val="1"/>
                <w:szCs w:val="1"/>
                <w:color w:val="auto"/>
              </w:rPr>
            </w:pPr>
          </w:p>
        </w:tc>
      </w:tr>
      <w:tr>
        <w:trPr>
          <w:trHeight w:val="162"/>
        </w:trPr>
        <w:tc>
          <w:tcPr>
            <w:tcW w:w="4220" w:type="dxa"/>
            <w:vAlign w:val="bottom"/>
            <w:gridSpan w:val="2"/>
          </w:tcPr>
          <w:p>
            <w:pPr>
              <w:spacing w:after="0"/>
              <w:rPr>
                <w:sz w:val="20"/>
                <w:szCs w:val="20"/>
                <w:color w:val="auto"/>
              </w:rPr>
            </w:pPr>
            <w:r>
              <w:rPr>
                <w:rFonts w:ascii="Arial" w:cs="Arial" w:eastAsia="Arial" w:hAnsi="Arial"/>
                <w:sz w:val="14"/>
                <w:szCs w:val="14"/>
                <w:color w:val="auto"/>
              </w:rPr>
              <w:t>Marana:</w:t>
            </w:r>
          </w:p>
        </w:tc>
        <w:tc>
          <w:tcPr>
            <w:tcW w:w="9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4220" w:type="dxa"/>
            <w:vAlign w:val="bottom"/>
            <w:gridSpan w:val="2"/>
            <w:shd w:val="clear" w:color="auto" w:fill="CFF0FC"/>
          </w:tcPr>
          <w:p>
            <w:pPr>
              <w:ind w:left="380"/>
              <w:spacing w:after="0"/>
              <w:rPr>
                <w:sz w:val="20"/>
                <w:szCs w:val="20"/>
                <w:color w:val="auto"/>
              </w:rPr>
            </w:pPr>
            <w:r>
              <w:rPr>
                <w:rFonts w:ascii="Arial" w:cs="Arial" w:eastAsia="Arial" w:hAnsi="Arial"/>
                <w:sz w:val="14"/>
                <w:szCs w:val="14"/>
                <w:color w:val="auto"/>
              </w:rPr>
              <w:t>Tortolita Vistas</w:t>
            </w:r>
          </w:p>
        </w:tc>
        <w:tc>
          <w:tcPr>
            <w:tcW w:w="900" w:type="dxa"/>
            <w:vAlign w:val="bottom"/>
            <w:shd w:val="clear" w:color="auto" w:fill="CFF0FC"/>
          </w:tcPr>
          <w:p>
            <w:pPr>
              <w:jc w:val="center"/>
              <w:spacing w:after="0"/>
              <w:rPr>
                <w:sz w:val="20"/>
                <w:szCs w:val="20"/>
                <w:color w:val="auto"/>
              </w:rPr>
            </w:pPr>
            <w:r>
              <w:rPr>
                <w:rFonts w:ascii="Arial" w:cs="Arial" w:eastAsia="Arial" w:hAnsi="Arial"/>
                <w:sz w:val="14"/>
                <w:szCs w:val="14"/>
                <w:color w:val="auto"/>
                <w:w w:val="83"/>
              </w:rPr>
              <w:t>2014</w:t>
            </w:r>
          </w:p>
        </w:tc>
        <w:tc>
          <w:tcPr>
            <w:tcW w:w="120" w:type="dxa"/>
            <w:vAlign w:val="bottom"/>
            <w:shd w:val="clear" w:color="auto" w:fill="CFF0FC"/>
          </w:tcPr>
          <w:p>
            <w:pPr>
              <w:spacing w:after="0"/>
              <w:rPr>
                <w:sz w:val="14"/>
                <w:szCs w:val="14"/>
                <w:color w:val="auto"/>
              </w:rPr>
            </w:pPr>
          </w:p>
        </w:tc>
        <w:tc>
          <w:tcPr>
            <w:tcW w:w="7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31</w:t>
            </w:r>
          </w:p>
        </w:tc>
        <w:tc>
          <w:tcPr>
            <w:tcW w:w="220" w:type="dxa"/>
            <w:vAlign w:val="bottom"/>
            <w:shd w:val="clear" w:color="auto" w:fill="CFF0FC"/>
          </w:tcPr>
          <w:p>
            <w:pPr>
              <w:spacing w:after="0"/>
              <w:rPr>
                <w:sz w:val="14"/>
                <w:szCs w:val="14"/>
                <w:color w:val="auto"/>
              </w:rPr>
            </w:pPr>
          </w:p>
        </w:tc>
        <w:tc>
          <w:tcPr>
            <w:tcW w:w="860" w:type="dxa"/>
            <w:vAlign w:val="bottom"/>
            <w:shd w:val="clear" w:color="auto" w:fill="CFF0FC"/>
          </w:tcPr>
          <w:p>
            <w:pPr>
              <w:jc w:val="right"/>
              <w:spacing w:after="0"/>
              <w:rPr>
                <w:sz w:val="20"/>
                <w:szCs w:val="20"/>
                <w:color w:val="auto"/>
              </w:rPr>
            </w:pPr>
            <w:r>
              <w:rPr>
                <w:rFonts w:ascii="Arial" w:cs="Arial" w:eastAsia="Arial" w:hAnsi="Arial"/>
                <w:sz w:val="14"/>
                <w:szCs w:val="14"/>
                <w:color w:val="auto"/>
              </w:rPr>
              <w:t>13</w:t>
            </w:r>
          </w:p>
        </w:tc>
        <w:tc>
          <w:tcPr>
            <w:tcW w:w="220" w:type="dxa"/>
            <w:vAlign w:val="bottom"/>
            <w:shd w:val="clear" w:color="auto" w:fill="CFF0FC"/>
          </w:tcPr>
          <w:p>
            <w:pPr>
              <w:spacing w:after="0"/>
              <w:rPr>
                <w:sz w:val="14"/>
                <w:szCs w:val="14"/>
                <w:color w:val="auto"/>
              </w:rPr>
            </w:pPr>
          </w:p>
        </w:tc>
        <w:tc>
          <w:tcPr>
            <w:tcW w:w="7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18</w:t>
            </w:r>
          </w:p>
        </w:tc>
        <w:tc>
          <w:tcPr>
            <w:tcW w:w="220" w:type="dxa"/>
            <w:vAlign w:val="bottom"/>
            <w:shd w:val="clear" w:color="auto" w:fill="CFF0FC"/>
          </w:tcPr>
          <w:p>
            <w:pPr>
              <w:spacing w:after="0"/>
              <w:rPr>
                <w:sz w:val="14"/>
                <w:szCs w:val="14"/>
                <w:color w:val="auto"/>
              </w:rPr>
            </w:pPr>
          </w:p>
        </w:tc>
        <w:tc>
          <w:tcPr>
            <w:tcW w:w="7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5</w:t>
            </w:r>
          </w:p>
        </w:tc>
        <w:tc>
          <w:tcPr>
            <w:tcW w:w="220" w:type="dxa"/>
            <w:vAlign w:val="bottom"/>
            <w:shd w:val="clear" w:color="auto" w:fill="CFF0FC"/>
          </w:tcPr>
          <w:p>
            <w:pPr>
              <w:spacing w:after="0"/>
              <w:rPr>
                <w:sz w:val="14"/>
                <w:szCs w:val="14"/>
                <w:color w:val="auto"/>
              </w:rPr>
            </w:pPr>
          </w:p>
        </w:tc>
        <w:tc>
          <w:tcPr>
            <w:tcW w:w="9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4</w:t>
            </w:r>
          </w:p>
        </w:tc>
        <w:tc>
          <w:tcPr>
            <w:tcW w:w="1120" w:type="dxa"/>
            <w:vAlign w:val="bottom"/>
            <w:gridSpan w:val="2"/>
            <w:shd w:val="clear" w:color="auto" w:fill="CFF0FC"/>
          </w:tcPr>
          <w:p>
            <w:pPr>
              <w:jc w:val="center"/>
              <w:ind w:left="133"/>
              <w:spacing w:after="0"/>
              <w:rPr>
                <w:sz w:val="20"/>
                <w:szCs w:val="20"/>
                <w:color w:val="auto"/>
              </w:rPr>
            </w:pPr>
            <w:r>
              <w:rPr>
                <w:rFonts w:ascii="Arial" w:cs="Arial" w:eastAsia="Arial" w:hAnsi="Arial"/>
                <w:sz w:val="14"/>
                <w:szCs w:val="14"/>
                <w:color w:val="auto"/>
                <w:w w:val="89"/>
              </w:rPr>
              <w:t>$449 - 506</w:t>
            </w:r>
          </w:p>
        </w:tc>
        <w:tc>
          <w:tcPr>
            <w:tcW w:w="0" w:type="dxa"/>
            <w:vAlign w:val="bottom"/>
          </w:tcPr>
          <w:p>
            <w:pPr>
              <w:spacing w:after="0"/>
              <w:rPr>
                <w:sz w:val="1"/>
                <w:szCs w:val="1"/>
                <w:color w:val="auto"/>
              </w:rPr>
            </w:pPr>
          </w:p>
        </w:tc>
      </w:tr>
      <w:tr>
        <w:trPr>
          <w:trHeight w:val="162"/>
        </w:trPr>
        <w:tc>
          <w:tcPr>
            <w:tcW w:w="4220" w:type="dxa"/>
            <w:vAlign w:val="bottom"/>
            <w:gridSpan w:val="2"/>
          </w:tcPr>
          <w:p>
            <w:pPr>
              <w:spacing w:after="0"/>
              <w:rPr>
                <w:sz w:val="20"/>
                <w:szCs w:val="20"/>
                <w:color w:val="auto"/>
              </w:rPr>
            </w:pPr>
            <w:r>
              <w:rPr>
                <w:rFonts w:ascii="Arial" w:cs="Arial" w:eastAsia="Arial" w:hAnsi="Arial"/>
                <w:sz w:val="14"/>
                <w:szCs w:val="14"/>
                <w:color w:val="auto"/>
              </w:rPr>
              <w:t>Oro Valley:</w:t>
            </w:r>
          </w:p>
        </w:tc>
        <w:tc>
          <w:tcPr>
            <w:tcW w:w="9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4220" w:type="dxa"/>
            <w:vAlign w:val="bottom"/>
            <w:gridSpan w:val="2"/>
            <w:shd w:val="clear" w:color="auto" w:fill="CFF0FC"/>
          </w:tcPr>
          <w:p>
            <w:pPr>
              <w:ind w:left="380"/>
              <w:spacing w:after="0"/>
              <w:rPr>
                <w:sz w:val="20"/>
                <w:szCs w:val="20"/>
                <w:color w:val="auto"/>
              </w:rPr>
            </w:pPr>
            <w:r>
              <w:rPr>
                <w:rFonts w:ascii="Arial" w:cs="Arial" w:eastAsia="Arial" w:hAnsi="Arial"/>
                <w:sz w:val="14"/>
                <w:szCs w:val="14"/>
                <w:color w:val="auto"/>
              </w:rPr>
              <w:t>Rancho Vistoso</w:t>
            </w:r>
          </w:p>
        </w:tc>
        <w:tc>
          <w:tcPr>
            <w:tcW w:w="900" w:type="dxa"/>
            <w:vAlign w:val="bottom"/>
            <w:shd w:val="clear" w:color="auto" w:fill="CFF0FC"/>
          </w:tcPr>
          <w:p>
            <w:pPr>
              <w:jc w:val="center"/>
              <w:spacing w:after="0"/>
              <w:rPr>
                <w:sz w:val="20"/>
                <w:szCs w:val="20"/>
                <w:color w:val="auto"/>
              </w:rPr>
            </w:pPr>
            <w:r>
              <w:rPr>
                <w:rFonts w:ascii="Arial" w:cs="Arial" w:eastAsia="Arial" w:hAnsi="Arial"/>
                <w:sz w:val="14"/>
                <w:szCs w:val="14"/>
                <w:color w:val="auto"/>
                <w:w w:val="83"/>
              </w:rPr>
              <w:t>2016</w:t>
            </w:r>
          </w:p>
        </w:tc>
        <w:tc>
          <w:tcPr>
            <w:tcW w:w="120" w:type="dxa"/>
            <w:vAlign w:val="bottom"/>
            <w:shd w:val="clear" w:color="auto" w:fill="CFF0FC"/>
          </w:tcPr>
          <w:p>
            <w:pPr>
              <w:spacing w:after="0"/>
              <w:rPr>
                <w:sz w:val="14"/>
                <w:szCs w:val="14"/>
                <w:color w:val="auto"/>
              </w:rPr>
            </w:pPr>
          </w:p>
        </w:tc>
        <w:tc>
          <w:tcPr>
            <w:tcW w:w="7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343</w:t>
            </w:r>
          </w:p>
        </w:tc>
        <w:tc>
          <w:tcPr>
            <w:tcW w:w="220" w:type="dxa"/>
            <w:vAlign w:val="bottom"/>
            <w:shd w:val="clear" w:color="auto" w:fill="CFF0FC"/>
          </w:tcPr>
          <w:p>
            <w:pPr>
              <w:spacing w:after="0"/>
              <w:rPr>
                <w:sz w:val="14"/>
                <w:szCs w:val="14"/>
                <w:color w:val="auto"/>
              </w:rPr>
            </w:pPr>
          </w:p>
        </w:tc>
        <w:tc>
          <w:tcPr>
            <w:tcW w:w="860" w:type="dxa"/>
            <w:vAlign w:val="bottom"/>
            <w:shd w:val="clear" w:color="auto" w:fill="CFF0FC"/>
          </w:tcPr>
          <w:p>
            <w:pPr>
              <w:jc w:val="right"/>
              <w:spacing w:after="0"/>
              <w:rPr>
                <w:sz w:val="20"/>
                <w:szCs w:val="20"/>
                <w:color w:val="auto"/>
              </w:rPr>
            </w:pPr>
            <w:r>
              <w:rPr>
                <w:rFonts w:ascii="Arial" w:cs="Arial" w:eastAsia="Arial" w:hAnsi="Arial"/>
                <w:sz w:val="14"/>
                <w:szCs w:val="14"/>
                <w:color w:val="auto"/>
              </w:rPr>
              <w:t>-</w:t>
            </w:r>
          </w:p>
        </w:tc>
        <w:tc>
          <w:tcPr>
            <w:tcW w:w="220" w:type="dxa"/>
            <w:vAlign w:val="bottom"/>
            <w:shd w:val="clear" w:color="auto" w:fill="CFF0FC"/>
          </w:tcPr>
          <w:p>
            <w:pPr>
              <w:spacing w:after="0"/>
              <w:rPr>
                <w:sz w:val="14"/>
                <w:szCs w:val="14"/>
                <w:color w:val="auto"/>
              </w:rPr>
            </w:pPr>
          </w:p>
        </w:tc>
        <w:tc>
          <w:tcPr>
            <w:tcW w:w="7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343</w:t>
            </w:r>
          </w:p>
        </w:tc>
        <w:tc>
          <w:tcPr>
            <w:tcW w:w="220" w:type="dxa"/>
            <w:vAlign w:val="bottom"/>
            <w:shd w:val="clear" w:color="auto" w:fill="CFF0FC"/>
          </w:tcPr>
          <w:p>
            <w:pPr>
              <w:spacing w:after="0"/>
              <w:rPr>
                <w:sz w:val="14"/>
                <w:szCs w:val="14"/>
                <w:color w:val="auto"/>
              </w:rPr>
            </w:pPr>
          </w:p>
        </w:tc>
        <w:tc>
          <w:tcPr>
            <w:tcW w:w="7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w:t>
            </w:r>
          </w:p>
        </w:tc>
        <w:tc>
          <w:tcPr>
            <w:tcW w:w="220" w:type="dxa"/>
            <w:vAlign w:val="bottom"/>
            <w:shd w:val="clear" w:color="auto" w:fill="CFF0FC"/>
          </w:tcPr>
          <w:p>
            <w:pPr>
              <w:spacing w:after="0"/>
              <w:rPr>
                <w:sz w:val="14"/>
                <w:szCs w:val="14"/>
                <w:color w:val="auto"/>
              </w:rPr>
            </w:pPr>
          </w:p>
        </w:tc>
        <w:tc>
          <w:tcPr>
            <w:tcW w:w="9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w:t>
            </w:r>
          </w:p>
        </w:tc>
        <w:tc>
          <w:tcPr>
            <w:tcW w:w="1120" w:type="dxa"/>
            <w:vAlign w:val="bottom"/>
            <w:gridSpan w:val="2"/>
            <w:shd w:val="clear" w:color="auto" w:fill="CFF0FC"/>
          </w:tcPr>
          <w:p>
            <w:pPr>
              <w:jc w:val="center"/>
              <w:ind w:left="133"/>
              <w:spacing w:after="0"/>
              <w:rPr>
                <w:sz w:val="20"/>
                <w:szCs w:val="20"/>
                <w:color w:val="auto"/>
              </w:rPr>
            </w:pPr>
            <w:r>
              <w:rPr>
                <w:rFonts w:ascii="Arial" w:cs="Arial" w:eastAsia="Arial" w:hAnsi="Arial"/>
                <w:sz w:val="14"/>
                <w:szCs w:val="14"/>
                <w:color w:val="auto"/>
                <w:w w:val="89"/>
              </w:rPr>
              <w:t>$231 - 456</w:t>
            </w:r>
          </w:p>
        </w:tc>
        <w:tc>
          <w:tcPr>
            <w:tcW w:w="0" w:type="dxa"/>
            <w:vAlign w:val="bottom"/>
          </w:tcPr>
          <w:p>
            <w:pPr>
              <w:spacing w:after="0"/>
              <w:rPr>
                <w:sz w:val="1"/>
                <w:szCs w:val="1"/>
                <w:color w:val="auto"/>
              </w:rPr>
            </w:pPr>
          </w:p>
        </w:tc>
      </w:tr>
      <w:tr>
        <w:trPr>
          <w:trHeight w:val="162"/>
        </w:trPr>
        <w:tc>
          <w:tcPr>
            <w:tcW w:w="4220" w:type="dxa"/>
            <w:vAlign w:val="bottom"/>
            <w:gridSpan w:val="2"/>
          </w:tcPr>
          <w:p>
            <w:pPr>
              <w:spacing w:after="0"/>
              <w:rPr>
                <w:sz w:val="20"/>
                <w:szCs w:val="20"/>
                <w:color w:val="auto"/>
              </w:rPr>
            </w:pPr>
            <w:r>
              <w:rPr>
                <w:rFonts w:ascii="Arial" w:cs="Arial" w:eastAsia="Arial" w:hAnsi="Arial"/>
                <w:sz w:val="14"/>
                <w:szCs w:val="14"/>
                <w:color w:val="auto"/>
              </w:rPr>
              <w:t>Tucson:</w:t>
            </w:r>
          </w:p>
        </w:tc>
        <w:tc>
          <w:tcPr>
            <w:tcW w:w="9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4220" w:type="dxa"/>
            <w:vAlign w:val="bottom"/>
            <w:gridSpan w:val="2"/>
            <w:shd w:val="clear" w:color="auto" w:fill="CFF0FC"/>
          </w:tcPr>
          <w:p>
            <w:pPr>
              <w:ind w:left="380"/>
              <w:spacing w:after="0"/>
              <w:rPr>
                <w:sz w:val="20"/>
                <w:szCs w:val="20"/>
                <w:color w:val="auto"/>
              </w:rPr>
            </w:pPr>
            <w:r>
              <w:rPr>
                <w:rFonts w:ascii="Arial" w:cs="Arial" w:eastAsia="Arial" w:hAnsi="Arial"/>
                <w:sz w:val="14"/>
                <w:szCs w:val="14"/>
                <w:color w:val="auto"/>
              </w:rPr>
              <w:t>Deseo at Sabino Canyon</w:t>
            </w:r>
          </w:p>
        </w:tc>
        <w:tc>
          <w:tcPr>
            <w:tcW w:w="900" w:type="dxa"/>
            <w:vAlign w:val="bottom"/>
            <w:shd w:val="clear" w:color="auto" w:fill="CFF0FC"/>
          </w:tcPr>
          <w:p>
            <w:pPr>
              <w:jc w:val="center"/>
              <w:spacing w:after="0"/>
              <w:rPr>
                <w:sz w:val="20"/>
                <w:szCs w:val="20"/>
                <w:color w:val="auto"/>
              </w:rPr>
            </w:pPr>
            <w:r>
              <w:rPr>
                <w:rFonts w:ascii="Arial" w:cs="Arial" w:eastAsia="Arial" w:hAnsi="Arial"/>
                <w:sz w:val="14"/>
                <w:szCs w:val="14"/>
                <w:color w:val="auto"/>
                <w:w w:val="83"/>
              </w:rPr>
              <w:t>2014</w:t>
            </w:r>
          </w:p>
        </w:tc>
        <w:tc>
          <w:tcPr>
            <w:tcW w:w="120" w:type="dxa"/>
            <w:vAlign w:val="bottom"/>
            <w:shd w:val="clear" w:color="auto" w:fill="CFF0FC"/>
          </w:tcPr>
          <w:p>
            <w:pPr>
              <w:spacing w:after="0"/>
              <w:rPr>
                <w:sz w:val="14"/>
                <w:szCs w:val="14"/>
                <w:color w:val="auto"/>
              </w:rPr>
            </w:pPr>
          </w:p>
        </w:tc>
        <w:tc>
          <w:tcPr>
            <w:tcW w:w="7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39</w:t>
            </w:r>
          </w:p>
        </w:tc>
        <w:tc>
          <w:tcPr>
            <w:tcW w:w="220" w:type="dxa"/>
            <w:vAlign w:val="bottom"/>
            <w:shd w:val="clear" w:color="auto" w:fill="CFF0FC"/>
          </w:tcPr>
          <w:p>
            <w:pPr>
              <w:spacing w:after="0"/>
              <w:rPr>
                <w:sz w:val="14"/>
                <w:szCs w:val="14"/>
                <w:color w:val="auto"/>
              </w:rPr>
            </w:pPr>
          </w:p>
        </w:tc>
        <w:tc>
          <w:tcPr>
            <w:tcW w:w="860" w:type="dxa"/>
            <w:vAlign w:val="bottom"/>
            <w:shd w:val="clear" w:color="auto" w:fill="CFF0FC"/>
          </w:tcPr>
          <w:p>
            <w:pPr>
              <w:jc w:val="right"/>
              <w:spacing w:after="0"/>
              <w:rPr>
                <w:sz w:val="20"/>
                <w:szCs w:val="20"/>
                <w:color w:val="auto"/>
              </w:rPr>
            </w:pPr>
            <w:r>
              <w:rPr>
                <w:rFonts w:ascii="Arial" w:cs="Arial" w:eastAsia="Arial" w:hAnsi="Arial"/>
                <w:sz w:val="14"/>
                <w:szCs w:val="14"/>
                <w:color w:val="auto"/>
              </w:rPr>
              <w:t>25</w:t>
            </w:r>
          </w:p>
        </w:tc>
        <w:tc>
          <w:tcPr>
            <w:tcW w:w="220" w:type="dxa"/>
            <w:vAlign w:val="bottom"/>
            <w:shd w:val="clear" w:color="auto" w:fill="CFF0FC"/>
          </w:tcPr>
          <w:p>
            <w:pPr>
              <w:spacing w:after="0"/>
              <w:rPr>
                <w:sz w:val="14"/>
                <w:szCs w:val="14"/>
                <w:color w:val="auto"/>
              </w:rPr>
            </w:pPr>
          </w:p>
        </w:tc>
        <w:tc>
          <w:tcPr>
            <w:tcW w:w="7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14</w:t>
            </w:r>
          </w:p>
        </w:tc>
        <w:tc>
          <w:tcPr>
            <w:tcW w:w="220" w:type="dxa"/>
            <w:vAlign w:val="bottom"/>
            <w:shd w:val="clear" w:color="auto" w:fill="CFF0FC"/>
          </w:tcPr>
          <w:p>
            <w:pPr>
              <w:spacing w:after="0"/>
              <w:rPr>
                <w:sz w:val="14"/>
                <w:szCs w:val="14"/>
                <w:color w:val="auto"/>
              </w:rPr>
            </w:pPr>
          </w:p>
        </w:tc>
        <w:tc>
          <w:tcPr>
            <w:tcW w:w="7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3</w:t>
            </w:r>
          </w:p>
        </w:tc>
        <w:tc>
          <w:tcPr>
            <w:tcW w:w="220" w:type="dxa"/>
            <w:vAlign w:val="bottom"/>
            <w:shd w:val="clear" w:color="auto" w:fill="CFF0FC"/>
          </w:tcPr>
          <w:p>
            <w:pPr>
              <w:spacing w:after="0"/>
              <w:rPr>
                <w:sz w:val="14"/>
                <w:szCs w:val="14"/>
                <w:color w:val="auto"/>
              </w:rPr>
            </w:pPr>
          </w:p>
        </w:tc>
        <w:tc>
          <w:tcPr>
            <w:tcW w:w="9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3</w:t>
            </w:r>
          </w:p>
        </w:tc>
        <w:tc>
          <w:tcPr>
            <w:tcW w:w="1120" w:type="dxa"/>
            <w:vAlign w:val="bottom"/>
            <w:gridSpan w:val="2"/>
            <w:shd w:val="clear" w:color="auto" w:fill="CFF0FC"/>
          </w:tcPr>
          <w:p>
            <w:pPr>
              <w:jc w:val="center"/>
              <w:ind w:left="133"/>
              <w:spacing w:after="0"/>
              <w:rPr>
                <w:sz w:val="20"/>
                <w:szCs w:val="20"/>
                <w:color w:val="auto"/>
              </w:rPr>
            </w:pPr>
            <w:r>
              <w:rPr>
                <w:rFonts w:ascii="Arial" w:cs="Arial" w:eastAsia="Arial" w:hAnsi="Arial"/>
                <w:sz w:val="14"/>
                <w:szCs w:val="14"/>
                <w:color w:val="auto"/>
                <w:w w:val="89"/>
              </w:rPr>
              <w:t>$419 - 505</w:t>
            </w:r>
          </w:p>
        </w:tc>
        <w:tc>
          <w:tcPr>
            <w:tcW w:w="0" w:type="dxa"/>
            <w:vAlign w:val="bottom"/>
          </w:tcPr>
          <w:p>
            <w:pPr>
              <w:spacing w:after="0"/>
              <w:rPr>
                <w:sz w:val="1"/>
                <w:szCs w:val="1"/>
                <w:color w:val="auto"/>
              </w:rPr>
            </w:pPr>
          </w:p>
        </w:tc>
      </w:tr>
      <w:tr>
        <w:trPr>
          <w:trHeight w:val="162"/>
        </w:trPr>
        <w:tc>
          <w:tcPr>
            <w:tcW w:w="4220" w:type="dxa"/>
            <w:vAlign w:val="bottom"/>
            <w:tcBorders>
              <w:bottom w:val="single" w:sz="8" w:color="CFF0FC"/>
            </w:tcBorders>
            <w:gridSpan w:val="2"/>
          </w:tcPr>
          <w:p>
            <w:pPr>
              <w:ind w:left="380"/>
              <w:spacing w:after="0"/>
              <w:rPr>
                <w:sz w:val="20"/>
                <w:szCs w:val="20"/>
                <w:color w:val="auto"/>
              </w:rPr>
            </w:pPr>
            <w:r>
              <w:rPr>
                <w:rFonts w:ascii="Arial" w:cs="Arial" w:eastAsia="Arial" w:hAnsi="Arial"/>
                <w:sz w:val="14"/>
                <w:szCs w:val="14"/>
                <w:color w:val="auto"/>
              </w:rPr>
              <w:t>Rancho del Cobre</w:t>
            </w:r>
          </w:p>
        </w:tc>
        <w:tc>
          <w:tcPr>
            <w:tcW w:w="900" w:type="dxa"/>
            <w:vAlign w:val="bottom"/>
            <w:tcBorders>
              <w:bottom w:val="single" w:sz="8" w:color="CFF0FC"/>
            </w:tcBorders>
          </w:tcPr>
          <w:p>
            <w:pPr>
              <w:jc w:val="center"/>
              <w:spacing w:after="0"/>
              <w:rPr>
                <w:sz w:val="20"/>
                <w:szCs w:val="20"/>
                <w:color w:val="auto"/>
              </w:rPr>
            </w:pPr>
            <w:r>
              <w:rPr>
                <w:rFonts w:ascii="Arial" w:cs="Arial" w:eastAsia="Arial" w:hAnsi="Arial"/>
                <w:sz w:val="14"/>
                <w:szCs w:val="14"/>
                <w:color w:val="auto"/>
                <w:w w:val="83"/>
              </w:rPr>
              <w:t>2014</w:t>
            </w:r>
          </w:p>
        </w:tc>
        <w:tc>
          <w:tcPr>
            <w:tcW w:w="120" w:type="dxa"/>
            <w:vAlign w:val="bottom"/>
            <w:tcBorders>
              <w:bottom w:val="single" w:sz="8" w:color="CFF0FC"/>
            </w:tcBorders>
          </w:tcPr>
          <w:p>
            <w:pPr>
              <w:spacing w:after="0"/>
              <w:rPr>
                <w:sz w:val="14"/>
                <w:szCs w:val="14"/>
                <w:color w:val="auto"/>
              </w:rPr>
            </w:pPr>
          </w:p>
        </w:tc>
        <w:tc>
          <w:tcPr>
            <w:tcW w:w="7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68</w:t>
            </w:r>
          </w:p>
        </w:tc>
        <w:tc>
          <w:tcPr>
            <w:tcW w:w="220" w:type="dxa"/>
            <w:vAlign w:val="bottom"/>
            <w:tcBorders>
              <w:bottom w:val="single" w:sz="8" w:color="CFF0FC"/>
            </w:tcBorders>
          </w:tcPr>
          <w:p>
            <w:pPr>
              <w:spacing w:after="0"/>
              <w:rPr>
                <w:sz w:val="14"/>
                <w:szCs w:val="14"/>
                <w:color w:val="auto"/>
              </w:rPr>
            </w:pPr>
          </w:p>
        </w:tc>
        <w:tc>
          <w:tcPr>
            <w:tcW w:w="8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18</w:t>
            </w:r>
          </w:p>
        </w:tc>
        <w:tc>
          <w:tcPr>
            <w:tcW w:w="220" w:type="dxa"/>
            <w:vAlign w:val="bottom"/>
            <w:tcBorders>
              <w:bottom w:val="single" w:sz="8" w:color="CFF0FC"/>
            </w:tcBorders>
          </w:tcPr>
          <w:p>
            <w:pPr>
              <w:spacing w:after="0"/>
              <w:rPr>
                <w:sz w:val="14"/>
                <w:szCs w:val="14"/>
                <w:color w:val="auto"/>
              </w:rPr>
            </w:pPr>
          </w:p>
        </w:tc>
        <w:tc>
          <w:tcPr>
            <w:tcW w:w="7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50</w:t>
            </w:r>
          </w:p>
        </w:tc>
        <w:tc>
          <w:tcPr>
            <w:tcW w:w="220" w:type="dxa"/>
            <w:vAlign w:val="bottom"/>
            <w:tcBorders>
              <w:bottom w:val="single" w:sz="8" w:color="CFF0FC"/>
            </w:tcBorders>
          </w:tcPr>
          <w:p>
            <w:pPr>
              <w:spacing w:after="0"/>
              <w:rPr>
                <w:sz w:val="14"/>
                <w:szCs w:val="14"/>
                <w:color w:val="auto"/>
              </w:rPr>
            </w:pPr>
          </w:p>
        </w:tc>
        <w:tc>
          <w:tcPr>
            <w:tcW w:w="7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9</w:t>
            </w:r>
          </w:p>
        </w:tc>
        <w:tc>
          <w:tcPr>
            <w:tcW w:w="220" w:type="dxa"/>
            <w:vAlign w:val="bottom"/>
            <w:tcBorders>
              <w:bottom w:val="single" w:sz="8" w:color="CFF0FC"/>
            </w:tcBorders>
          </w:tcPr>
          <w:p>
            <w:pPr>
              <w:spacing w:after="0"/>
              <w:rPr>
                <w:sz w:val="14"/>
                <w:szCs w:val="14"/>
                <w:color w:val="auto"/>
              </w:rPr>
            </w:pPr>
          </w:p>
        </w:tc>
        <w:tc>
          <w:tcPr>
            <w:tcW w:w="9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5</w:t>
            </w:r>
          </w:p>
        </w:tc>
        <w:tc>
          <w:tcPr>
            <w:tcW w:w="1120" w:type="dxa"/>
            <w:vAlign w:val="bottom"/>
            <w:tcBorders>
              <w:bottom w:val="single" w:sz="8" w:color="CFF0FC"/>
            </w:tcBorders>
            <w:gridSpan w:val="2"/>
          </w:tcPr>
          <w:p>
            <w:pPr>
              <w:jc w:val="center"/>
              <w:ind w:left="133"/>
              <w:spacing w:after="0"/>
              <w:rPr>
                <w:sz w:val="20"/>
                <w:szCs w:val="20"/>
                <w:color w:val="auto"/>
              </w:rPr>
            </w:pPr>
            <w:r>
              <w:rPr>
                <w:rFonts w:ascii="Arial" w:cs="Arial" w:eastAsia="Arial" w:hAnsi="Arial"/>
                <w:sz w:val="14"/>
                <w:szCs w:val="14"/>
                <w:color w:val="auto"/>
                <w:w w:val="89"/>
              </w:rPr>
              <w:t>$394 - 465</w:t>
            </w:r>
          </w:p>
        </w:tc>
        <w:tc>
          <w:tcPr>
            <w:tcW w:w="0" w:type="dxa"/>
            <w:vAlign w:val="bottom"/>
          </w:tcPr>
          <w:p>
            <w:pPr>
              <w:spacing w:after="0"/>
              <w:rPr>
                <w:sz w:val="1"/>
                <w:szCs w:val="1"/>
                <w:color w:val="auto"/>
              </w:rPr>
            </w:pPr>
          </w:p>
        </w:tc>
      </w:tr>
      <w:tr>
        <w:trPr>
          <w:trHeight w:val="156"/>
        </w:trPr>
        <w:tc>
          <w:tcPr>
            <w:tcW w:w="4220" w:type="dxa"/>
            <w:vAlign w:val="bottom"/>
            <w:gridSpan w:val="2"/>
            <w:shd w:val="clear" w:color="auto" w:fill="CFF0FC"/>
          </w:tcPr>
          <w:p>
            <w:pPr>
              <w:spacing w:after="0" w:line="155" w:lineRule="exact"/>
              <w:rPr>
                <w:sz w:val="20"/>
                <w:szCs w:val="20"/>
                <w:color w:val="auto"/>
              </w:rPr>
            </w:pPr>
            <w:r>
              <w:rPr>
                <w:rFonts w:ascii="Arial" w:cs="Arial" w:eastAsia="Arial" w:hAnsi="Arial"/>
                <w:sz w:val="14"/>
                <w:szCs w:val="14"/>
                <w:b w:val="1"/>
                <w:bCs w:val="1"/>
                <w:color w:val="auto"/>
              </w:rPr>
              <w:t>Tucson, Arizona Total</w:t>
            </w:r>
          </w:p>
        </w:tc>
        <w:tc>
          <w:tcPr>
            <w:tcW w:w="900" w:type="dxa"/>
            <w:vAlign w:val="bottom"/>
            <w:shd w:val="clear" w:color="auto" w:fill="CFF0FC"/>
          </w:tcPr>
          <w:p>
            <w:pPr>
              <w:spacing w:after="0"/>
              <w:rPr>
                <w:sz w:val="13"/>
                <w:szCs w:val="13"/>
                <w:color w:val="auto"/>
              </w:rPr>
            </w:pPr>
          </w:p>
        </w:tc>
        <w:tc>
          <w:tcPr>
            <w:tcW w:w="120" w:type="dxa"/>
            <w:vAlign w:val="bottom"/>
            <w:shd w:val="clear" w:color="auto" w:fill="CFF0FC"/>
          </w:tcPr>
          <w:p>
            <w:pPr>
              <w:spacing w:after="0"/>
              <w:rPr>
                <w:sz w:val="13"/>
                <w:szCs w:val="13"/>
                <w:color w:val="auto"/>
              </w:rPr>
            </w:pPr>
          </w:p>
        </w:tc>
        <w:tc>
          <w:tcPr>
            <w:tcW w:w="780" w:type="dxa"/>
            <w:vAlign w:val="bottom"/>
            <w:tcBorders>
              <w:bottom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b w:val="1"/>
                <w:bCs w:val="1"/>
                <w:color w:val="auto"/>
              </w:rPr>
              <w:t>481</w:t>
            </w:r>
          </w:p>
        </w:tc>
        <w:tc>
          <w:tcPr>
            <w:tcW w:w="220" w:type="dxa"/>
            <w:vAlign w:val="bottom"/>
            <w:shd w:val="clear" w:color="auto" w:fill="CFF0FC"/>
          </w:tcPr>
          <w:p>
            <w:pPr>
              <w:spacing w:after="0"/>
              <w:rPr>
                <w:sz w:val="13"/>
                <w:szCs w:val="13"/>
                <w:color w:val="auto"/>
              </w:rPr>
            </w:pPr>
          </w:p>
        </w:tc>
        <w:tc>
          <w:tcPr>
            <w:tcW w:w="860" w:type="dxa"/>
            <w:vAlign w:val="bottom"/>
            <w:tcBorders>
              <w:bottom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b w:val="1"/>
                <w:bCs w:val="1"/>
                <w:color w:val="auto"/>
              </w:rPr>
              <w:t>56</w:t>
            </w:r>
          </w:p>
        </w:tc>
        <w:tc>
          <w:tcPr>
            <w:tcW w:w="220" w:type="dxa"/>
            <w:vAlign w:val="bottom"/>
            <w:shd w:val="clear" w:color="auto" w:fill="CFF0FC"/>
          </w:tcPr>
          <w:p>
            <w:pPr>
              <w:spacing w:after="0"/>
              <w:rPr>
                <w:sz w:val="13"/>
                <w:szCs w:val="13"/>
                <w:color w:val="auto"/>
              </w:rPr>
            </w:pPr>
          </w:p>
        </w:tc>
        <w:tc>
          <w:tcPr>
            <w:tcW w:w="780" w:type="dxa"/>
            <w:vAlign w:val="bottom"/>
            <w:tcBorders>
              <w:bottom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b w:val="1"/>
                <w:bCs w:val="1"/>
                <w:color w:val="auto"/>
              </w:rPr>
              <w:t>425</w:t>
            </w:r>
          </w:p>
        </w:tc>
        <w:tc>
          <w:tcPr>
            <w:tcW w:w="220" w:type="dxa"/>
            <w:vAlign w:val="bottom"/>
            <w:shd w:val="clear" w:color="auto" w:fill="CFF0FC"/>
          </w:tcPr>
          <w:p>
            <w:pPr>
              <w:spacing w:after="0"/>
              <w:rPr>
                <w:sz w:val="13"/>
                <w:szCs w:val="13"/>
                <w:color w:val="auto"/>
              </w:rPr>
            </w:pPr>
          </w:p>
        </w:tc>
        <w:tc>
          <w:tcPr>
            <w:tcW w:w="780" w:type="dxa"/>
            <w:vAlign w:val="bottom"/>
            <w:tcBorders>
              <w:bottom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b w:val="1"/>
                <w:bCs w:val="1"/>
                <w:color w:val="auto"/>
              </w:rPr>
              <w:t>17</w:t>
            </w:r>
          </w:p>
        </w:tc>
        <w:tc>
          <w:tcPr>
            <w:tcW w:w="220" w:type="dxa"/>
            <w:vAlign w:val="bottom"/>
            <w:shd w:val="clear" w:color="auto" w:fill="CFF0FC"/>
          </w:tcPr>
          <w:p>
            <w:pPr>
              <w:spacing w:after="0"/>
              <w:rPr>
                <w:sz w:val="13"/>
                <w:szCs w:val="13"/>
                <w:color w:val="auto"/>
              </w:rPr>
            </w:pPr>
          </w:p>
        </w:tc>
        <w:tc>
          <w:tcPr>
            <w:tcW w:w="980" w:type="dxa"/>
            <w:vAlign w:val="bottom"/>
            <w:tcBorders>
              <w:bottom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b w:val="1"/>
                <w:bCs w:val="1"/>
                <w:color w:val="auto"/>
              </w:rPr>
              <w:t>12</w:t>
            </w:r>
          </w:p>
        </w:tc>
        <w:tc>
          <w:tcPr>
            <w:tcW w:w="220" w:type="dxa"/>
            <w:vAlign w:val="bottom"/>
            <w:shd w:val="clear" w:color="auto" w:fill="CFF0FC"/>
          </w:tcPr>
          <w:p>
            <w:pPr>
              <w:spacing w:after="0"/>
              <w:rPr>
                <w:sz w:val="13"/>
                <w:szCs w:val="13"/>
                <w:color w:val="auto"/>
              </w:rPr>
            </w:pPr>
          </w:p>
        </w:tc>
        <w:tc>
          <w:tcPr>
            <w:tcW w:w="900" w:type="dxa"/>
            <w:vAlign w:val="bottom"/>
            <w:shd w:val="clear" w:color="auto" w:fill="CFF0FC"/>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4220" w:type="dxa"/>
            <w:vAlign w:val="bottom"/>
            <w:tcBorders>
              <w:bottom w:val="single" w:sz="8" w:color="CFF0FC"/>
            </w:tcBorders>
            <w:gridSpan w:val="2"/>
          </w:tcPr>
          <w:p>
            <w:pPr>
              <w:spacing w:after="0" w:line="155" w:lineRule="exact"/>
              <w:rPr>
                <w:sz w:val="20"/>
                <w:szCs w:val="20"/>
                <w:color w:val="auto"/>
              </w:rPr>
            </w:pPr>
            <w:r>
              <w:rPr>
                <w:rFonts w:ascii="Arial" w:cs="Arial" w:eastAsia="Arial" w:hAnsi="Arial"/>
                <w:sz w:val="14"/>
                <w:szCs w:val="14"/>
                <w:b w:val="1"/>
                <w:bCs w:val="1"/>
                <w:color w:val="auto"/>
              </w:rPr>
              <w:t>Arizona Total</w:t>
            </w:r>
          </w:p>
        </w:tc>
        <w:tc>
          <w:tcPr>
            <w:tcW w:w="900" w:type="dxa"/>
            <w:vAlign w:val="bottom"/>
            <w:tcBorders>
              <w:bottom w:val="single" w:sz="8" w:color="CFF0FC"/>
            </w:tcBorders>
          </w:tcPr>
          <w:p>
            <w:pPr>
              <w:spacing w:after="0"/>
              <w:rPr>
                <w:sz w:val="13"/>
                <w:szCs w:val="13"/>
                <w:color w:val="auto"/>
              </w:rPr>
            </w:pPr>
          </w:p>
        </w:tc>
        <w:tc>
          <w:tcPr>
            <w:tcW w:w="120" w:type="dxa"/>
            <w:vAlign w:val="bottom"/>
            <w:tcBorders>
              <w:bottom w:val="single" w:sz="8" w:color="CFF0FC"/>
            </w:tcBorders>
          </w:tcPr>
          <w:p>
            <w:pPr>
              <w:spacing w:after="0"/>
              <w:rPr>
                <w:sz w:val="13"/>
                <w:szCs w:val="13"/>
                <w:color w:val="auto"/>
              </w:rPr>
            </w:pPr>
          </w:p>
        </w:tc>
        <w:tc>
          <w:tcPr>
            <w:tcW w:w="780" w:type="dxa"/>
            <w:vAlign w:val="bottom"/>
            <w:tcBorders>
              <w:bottom w:val="single" w:sz="8" w:color="auto"/>
            </w:tcBorders>
          </w:tcPr>
          <w:p>
            <w:pPr>
              <w:jc w:val="right"/>
              <w:spacing w:after="0" w:line="155" w:lineRule="exact"/>
              <w:rPr>
                <w:sz w:val="20"/>
                <w:szCs w:val="20"/>
                <w:color w:val="auto"/>
              </w:rPr>
            </w:pPr>
            <w:r>
              <w:rPr>
                <w:rFonts w:ascii="Arial" w:cs="Arial" w:eastAsia="Arial" w:hAnsi="Arial"/>
                <w:sz w:val="14"/>
                <w:szCs w:val="14"/>
                <w:b w:val="1"/>
                <w:bCs w:val="1"/>
                <w:color w:val="auto"/>
              </w:rPr>
              <w:t>1,925</w:t>
            </w:r>
          </w:p>
        </w:tc>
        <w:tc>
          <w:tcPr>
            <w:tcW w:w="220" w:type="dxa"/>
            <w:vAlign w:val="bottom"/>
            <w:tcBorders>
              <w:bottom w:val="single" w:sz="8" w:color="CFF0FC"/>
            </w:tcBorders>
          </w:tcPr>
          <w:p>
            <w:pPr>
              <w:spacing w:after="0"/>
              <w:rPr>
                <w:sz w:val="13"/>
                <w:szCs w:val="13"/>
                <w:color w:val="auto"/>
              </w:rPr>
            </w:pPr>
          </w:p>
        </w:tc>
        <w:tc>
          <w:tcPr>
            <w:tcW w:w="860" w:type="dxa"/>
            <w:vAlign w:val="bottom"/>
            <w:tcBorders>
              <w:bottom w:val="single" w:sz="8" w:color="auto"/>
            </w:tcBorders>
          </w:tcPr>
          <w:p>
            <w:pPr>
              <w:jc w:val="right"/>
              <w:spacing w:after="0" w:line="155" w:lineRule="exact"/>
              <w:rPr>
                <w:sz w:val="20"/>
                <w:szCs w:val="20"/>
                <w:color w:val="auto"/>
              </w:rPr>
            </w:pPr>
            <w:r>
              <w:rPr>
                <w:rFonts w:ascii="Arial" w:cs="Arial" w:eastAsia="Arial" w:hAnsi="Arial"/>
                <w:sz w:val="14"/>
                <w:szCs w:val="14"/>
                <w:b w:val="1"/>
                <w:bCs w:val="1"/>
                <w:color w:val="auto"/>
              </w:rPr>
              <w:t>676</w:t>
            </w:r>
          </w:p>
        </w:tc>
        <w:tc>
          <w:tcPr>
            <w:tcW w:w="220" w:type="dxa"/>
            <w:vAlign w:val="bottom"/>
            <w:tcBorders>
              <w:bottom w:val="single" w:sz="8" w:color="CFF0FC"/>
            </w:tcBorders>
          </w:tcPr>
          <w:p>
            <w:pPr>
              <w:spacing w:after="0"/>
              <w:rPr>
                <w:sz w:val="13"/>
                <w:szCs w:val="13"/>
                <w:color w:val="auto"/>
              </w:rPr>
            </w:pPr>
          </w:p>
        </w:tc>
        <w:tc>
          <w:tcPr>
            <w:tcW w:w="780" w:type="dxa"/>
            <w:vAlign w:val="bottom"/>
            <w:tcBorders>
              <w:bottom w:val="single" w:sz="8" w:color="auto"/>
            </w:tcBorders>
          </w:tcPr>
          <w:p>
            <w:pPr>
              <w:jc w:val="right"/>
              <w:spacing w:after="0" w:line="155" w:lineRule="exact"/>
              <w:rPr>
                <w:sz w:val="20"/>
                <w:szCs w:val="20"/>
                <w:color w:val="auto"/>
              </w:rPr>
            </w:pPr>
            <w:r>
              <w:rPr>
                <w:rFonts w:ascii="Arial" w:cs="Arial" w:eastAsia="Arial" w:hAnsi="Arial"/>
                <w:sz w:val="14"/>
                <w:szCs w:val="14"/>
                <w:b w:val="1"/>
                <w:bCs w:val="1"/>
                <w:color w:val="auto"/>
              </w:rPr>
              <w:t>1,249</w:t>
            </w:r>
          </w:p>
        </w:tc>
        <w:tc>
          <w:tcPr>
            <w:tcW w:w="220" w:type="dxa"/>
            <w:vAlign w:val="bottom"/>
            <w:tcBorders>
              <w:bottom w:val="single" w:sz="8" w:color="CFF0FC"/>
            </w:tcBorders>
          </w:tcPr>
          <w:p>
            <w:pPr>
              <w:spacing w:after="0"/>
              <w:rPr>
                <w:sz w:val="13"/>
                <w:szCs w:val="13"/>
                <w:color w:val="auto"/>
              </w:rPr>
            </w:pPr>
          </w:p>
        </w:tc>
        <w:tc>
          <w:tcPr>
            <w:tcW w:w="780" w:type="dxa"/>
            <w:vAlign w:val="bottom"/>
            <w:tcBorders>
              <w:bottom w:val="single" w:sz="8" w:color="auto"/>
            </w:tcBorders>
          </w:tcPr>
          <w:p>
            <w:pPr>
              <w:jc w:val="right"/>
              <w:spacing w:after="0" w:line="155" w:lineRule="exact"/>
              <w:rPr>
                <w:sz w:val="20"/>
                <w:szCs w:val="20"/>
                <w:color w:val="auto"/>
              </w:rPr>
            </w:pPr>
            <w:r>
              <w:rPr>
                <w:rFonts w:ascii="Arial" w:cs="Arial" w:eastAsia="Arial" w:hAnsi="Arial"/>
                <w:sz w:val="14"/>
                <w:szCs w:val="14"/>
                <w:b w:val="1"/>
                <w:bCs w:val="1"/>
                <w:color w:val="auto"/>
              </w:rPr>
              <w:t>181</w:t>
            </w:r>
          </w:p>
        </w:tc>
        <w:tc>
          <w:tcPr>
            <w:tcW w:w="220" w:type="dxa"/>
            <w:vAlign w:val="bottom"/>
            <w:tcBorders>
              <w:bottom w:val="single" w:sz="8" w:color="CFF0FC"/>
            </w:tcBorders>
          </w:tcPr>
          <w:p>
            <w:pPr>
              <w:spacing w:after="0"/>
              <w:rPr>
                <w:sz w:val="13"/>
                <w:szCs w:val="13"/>
                <w:color w:val="auto"/>
              </w:rPr>
            </w:pPr>
          </w:p>
        </w:tc>
        <w:tc>
          <w:tcPr>
            <w:tcW w:w="980" w:type="dxa"/>
            <w:vAlign w:val="bottom"/>
            <w:tcBorders>
              <w:bottom w:val="single" w:sz="8" w:color="auto"/>
            </w:tcBorders>
          </w:tcPr>
          <w:p>
            <w:pPr>
              <w:jc w:val="right"/>
              <w:spacing w:after="0" w:line="155" w:lineRule="exact"/>
              <w:rPr>
                <w:sz w:val="20"/>
                <w:szCs w:val="20"/>
                <w:color w:val="auto"/>
              </w:rPr>
            </w:pPr>
            <w:r>
              <w:rPr>
                <w:rFonts w:ascii="Arial" w:cs="Arial" w:eastAsia="Arial" w:hAnsi="Arial"/>
                <w:sz w:val="14"/>
                <w:szCs w:val="14"/>
                <w:b w:val="1"/>
                <w:bCs w:val="1"/>
                <w:color w:val="auto"/>
              </w:rPr>
              <w:t>85</w:t>
            </w:r>
          </w:p>
        </w:tc>
        <w:tc>
          <w:tcPr>
            <w:tcW w:w="220" w:type="dxa"/>
            <w:vAlign w:val="bottom"/>
            <w:tcBorders>
              <w:bottom w:val="single" w:sz="8" w:color="CFF0FC"/>
            </w:tcBorders>
          </w:tcPr>
          <w:p>
            <w:pPr>
              <w:spacing w:after="0"/>
              <w:rPr>
                <w:sz w:val="13"/>
                <w:szCs w:val="13"/>
                <w:color w:val="auto"/>
              </w:rPr>
            </w:pPr>
          </w:p>
        </w:tc>
        <w:tc>
          <w:tcPr>
            <w:tcW w:w="900" w:type="dxa"/>
            <w:vAlign w:val="bottom"/>
            <w:tcBorders>
              <w:bottom w:val="single" w:sz="8" w:color="CFF0FC"/>
            </w:tcBorders>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4220" w:type="dxa"/>
            <w:vAlign w:val="bottom"/>
            <w:tcBorders>
              <w:bottom w:val="single" w:sz="8" w:color="CFF0FC"/>
            </w:tcBorders>
            <w:gridSpan w:val="2"/>
            <w:shd w:val="clear" w:color="auto" w:fill="CFF0FC"/>
          </w:tcPr>
          <w:p>
            <w:pPr>
              <w:spacing w:after="0" w:line="155" w:lineRule="exact"/>
              <w:rPr>
                <w:sz w:val="20"/>
                <w:szCs w:val="20"/>
                <w:color w:val="auto"/>
              </w:rPr>
            </w:pPr>
            <w:r>
              <w:rPr>
                <w:rFonts w:ascii="Arial" w:cs="Arial" w:eastAsia="Arial" w:hAnsi="Arial"/>
                <w:sz w:val="14"/>
                <w:szCs w:val="14"/>
                <w:b w:val="1"/>
                <w:bCs w:val="1"/>
                <w:color w:val="auto"/>
              </w:rPr>
              <w:t>Maracay Total</w:t>
            </w:r>
          </w:p>
        </w:tc>
        <w:tc>
          <w:tcPr>
            <w:tcW w:w="900" w:type="dxa"/>
            <w:vAlign w:val="bottom"/>
            <w:tcBorders>
              <w:bottom w:val="single" w:sz="8" w:color="CFF0FC"/>
            </w:tcBorders>
            <w:shd w:val="clear" w:color="auto" w:fill="CFF0FC"/>
          </w:tcPr>
          <w:p>
            <w:pPr>
              <w:spacing w:after="0"/>
              <w:rPr>
                <w:sz w:val="13"/>
                <w:szCs w:val="13"/>
                <w:color w:val="auto"/>
              </w:rPr>
            </w:pPr>
          </w:p>
        </w:tc>
        <w:tc>
          <w:tcPr>
            <w:tcW w:w="120" w:type="dxa"/>
            <w:vAlign w:val="bottom"/>
            <w:tcBorders>
              <w:bottom w:val="single" w:sz="8" w:color="CFF0FC"/>
            </w:tcBorders>
            <w:shd w:val="clear" w:color="auto" w:fill="CFF0FC"/>
          </w:tcPr>
          <w:p>
            <w:pPr>
              <w:spacing w:after="0"/>
              <w:rPr>
                <w:sz w:val="13"/>
                <w:szCs w:val="13"/>
                <w:color w:val="auto"/>
              </w:rPr>
            </w:pPr>
          </w:p>
        </w:tc>
        <w:tc>
          <w:tcPr>
            <w:tcW w:w="780" w:type="dxa"/>
            <w:vAlign w:val="bottom"/>
            <w:tcBorders>
              <w:bottom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b w:val="1"/>
                <w:bCs w:val="1"/>
                <w:color w:val="auto"/>
              </w:rPr>
              <w:t>1,925</w:t>
            </w:r>
          </w:p>
        </w:tc>
        <w:tc>
          <w:tcPr>
            <w:tcW w:w="220" w:type="dxa"/>
            <w:vAlign w:val="bottom"/>
            <w:tcBorders>
              <w:bottom w:val="single" w:sz="8" w:color="CFF0FC"/>
            </w:tcBorders>
            <w:shd w:val="clear" w:color="auto" w:fill="CFF0FC"/>
          </w:tcPr>
          <w:p>
            <w:pPr>
              <w:spacing w:after="0"/>
              <w:rPr>
                <w:sz w:val="13"/>
                <w:szCs w:val="13"/>
                <w:color w:val="auto"/>
              </w:rPr>
            </w:pPr>
          </w:p>
        </w:tc>
        <w:tc>
          <w:tcPr>
            <w:tcW w:w="860" w:type="dxa"/>
            <w:vAlign w:val="bottom"/>
            <w:tcBorders>
              <w:bottom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b w:val="1"/>
                <w:bCs w:val="1"/>
                <w:color w:val="auto"/>
              </w:rPr>
              <w:t>676</w:t>
            </w:r>
          </w:p>
        </w:tc>
        <w:tc>
          <w:tcPr>
            <w:tcW w:w="220" w:type="dxa"/>
            <w:vAlign w:val="bottom"/>
            <w:tcBorders>
              <w:bottom w:val="single" w:sz="8" w:color="CFF0FC"/>
            </w:tcBorders>
            <w:shd w:val="clear" w:color="auto" w:fill="CFF0FC"/>
          </w:tcPr>
          <w:p>
            <w:pPr>
              <w:spacing w:after="0"/>
              <w:rPr>
                <w:sz w:val="13"/>
                <w:szCs w:val="13"/>
                <w:color w:val="auto"/>
              </w:rPr>
            </w:pPr>
          </w:p>
        </w:tc>
        <w:tc>
          <w:tcPr>
            <w:tcW w:w="780" w:type="dxa"/>
            <w:vAlign w:val="bottom"/>
            <w:tcBorders>
              <w:bottom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b w:val="1"/>
                <w:bCs w:val="1"/>
                <w:color w:val="auto"/>
              </w:rPr>
              <w:t>1,249</w:t>
            </w:r>
          </w:p>
        </w:tc>
        <w:tc>
          <w:tcPr>
            <w:tcW w:w="220" w:type="dxa"/>
            <w:vAlign w:val="bottom"/>
            <w:tcBorders>
              <w:bottom w:val="single" w:sz="8" w:color="CFF0FC"/>
            </w:tcBorders>
            <w:shd w:val="clear" w:color="auto" w:fill="CFF0FC"/>
          </w:tcPr>
          <w:p>
            <w:pPr>
              <w:spacing w:after="0"/>
              <w:rPr>
                <w:sz w:val="13"/>
                <w:szCs w:val="13"/>
                <w:color w:val="auto"/>
              </w:rPr>
            </w:pPr>
          </w:p>
        </w:tc>
        <w:tc>
          <w:tcPr>
            <w:tcW w:w="780" w:type="dxa"/>
            <w:vAlign w:val="bottom"/>
            <w:tcBorders>
              <w:bottom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b w:val="1"/>
                <w:bCs w:val="1"/>
                <w:color w:val="auto"/>
              </w:rPr>
              <w:t>181</w:t>
            </w:r>
          </w:p>
        </w:tc>
        <w:tc>
          <w:tcPr>
            <w:tcW w:w="220" w:type="dxa"/>
            <w:vAlign w:val="bottom"/>
            <w:tcBorders>
              <w:bottom w:val="single" w:sz="8" w:color="CFF0FC"/>
            </w:tcBorders>
            <w:shd w:val="clear" w:color="auto" w:fill="CFF0FC"/>
          </w:tcPr>
          <w:p>
            <w:pPr>
              <w:spacing w:after="0"/>
              <w:rPr>
                <w:sz w:val="13"/>
                <w:szCs w:val="13"/>
                <w:color w:val="auto"/>
              </w:rPr>
            </w:pPr>
          </w:p>
        </w:tc>
        <w:tc>
          <w:tcPr>
            <w:tcW w:w="980" w:type="dxa"/>
            <w:vAlign w:val="bottom"/>
            <w:tcBorders>
              <w:bottom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b w:val="1"/>
                <w:bCs w:val="1"/>
                <w:color w:val="auto"/>
              </w:rPr>
              <w:t>85</w:t>
            </w:r>
          </w:p>
        </w:tc>
        <w:tc>
          <w:tcPr>
            <w:tcW w:w="220" w:type="dxa"/>
            <w:vAlign w:val="bottom"/>
            <w:tcBorders>
              <w:bottom w:val="single" w:sz="8" w:color="CFF0FC"/>
            </w:tcBorders>
            <w:shd w:val="clear" w:color="auto" w:fill="CFF0FC"/>
          </w:tcPr>
          <w:p>
            <w:pPr>
              <w:spacing w:after="0"/>
              <w:rPr>
                <w:sz w:val="13"/>
                <w:szCs w:val="13"/>
                <w:color w:val="auto"/>
              </w:rPr>
            </w:pPr>
          </w:p>
        </w:tc>
        <w:tc>
          <w:tcPr>
            <w:tcW w:w="900" w:type="dxa"/>
            <w:vAlign w:val="bottom"/>
            <w:tcBorders>
              <w:bottom w:val="single" w:sz="8" w:color="CFF0FC"/>
            </w:tcBorders>
            <w:shd w:val="clear" w:color="auto" w:fill="CFF0FC"/>
          </w:tcPr>
          <w:p>
            <w:pPr>
              <w:spacing w:after="0"/>
              <w:rPr>
                <w:sz w:val="13"/>
                <w:szCs w:val="13"/>
                <w:color w:val="auto"/>
              </w:rPr>
            </w:pPr>
          </w:p>
        </w:tc>
        <w:tc>
          <w:tcPr>
            <w:tcW w:w="0" w:type="dxa"/>
            <w:vAlign w:val="bottom"/>
          </w:tcPr>
          <w:p>
            <w:pPr>
              <w:spacing w:after="0"/>
              <w:rPr>
                <w:sz w:val="1"/>
                <w:szCs w:val="1"/>
                <w:color w:val="auto"/>
              </w:rPr>
            </w:pPr>
          </w:p>
        </w:tc>
      </w:tr>
      <w:tr>
        <w:trPr>
          <w:trHeight w:val="20"/>
        </w:trPr>
        <w:tc>
          <w:tcPr>
            <w:tcW w:w="1220" w:type="dxa"/>
            <w:vAlign w:val="bottom"/>
          </w:tcPr>
          <w:p>
            <w:pPr>
              <w:spacing w:after="0" w:line="20" w:lineRule="exact"/>
              <w:rPr>
                <w:sz w:val="1"/>
                <w:szCs w:val="1"/>
                <w:color w:val="auto"/>
              </w:rPr>
            </w:pPr>
          </w:p>
        </w:tc>
        <w:tc>
          <w:tcPr>
            <w:tcW w:w="3000" w:type="dxa"/>
            <w:vAlign w:val="bottom"/>
          </w:tcPr>
          <w:p>
            <w:pPr>
              <w:spacing w:after="0" w:line="20" w:lineRule="exact"/>
              <w:rPr>
                <w:sz w:val="1"/>
                <w:szCs w:val="1"/>
                <w:color w:val="auto"/>
              </w:rPr>
            </w:pPr>
          </w:p>
        </w:tc>
        <w:tc>
          <w:tcPr>
            <w:tcW w:w="9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9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- 37 -</w:t>
      </w:r>
    </w:p>
    <w:p>
      <w:pPr>
        <w:sectPr>
          <w:pgSz w:w="11900" w:h="16838" w:orient="portrait"/>
          <w:cols w:equalWidth="0" w:num="1">
            <w:col w:w="11420"/>
          </w:cols>
          <w:pgMar w:left="240" w:top="247" w:right="239" w:bottom="1440" w:gutter="0" w:footer="0" w:header="0"/>
        </w:sectPr>
      </w:pPr>
    </w:p>
    <w:bookmarkStart w:id="37" w:name="page38"/>
    <w:bookmarkEnd w:id="37"/>
    <w:p>
      <w:pPr>
        <w:spacing w:after="0"/>
        <w:rPr>
          <w:sz w:val="20"/>
          <w:szCs w:val="20"/>
          <w:color w:val="auto"/>
        </w:rPr>
      </w:pPr>
      <w:r>
        <w:rPr>
          <w:rFonts w:ascii="Arial" w:cs="Arial" w:eastAsia="Arial" w:hAnsi="Arial"/>
          <w:sz w:val="18"/>
          <w:szCs w:val="18"/>
          <w:b w:val="1"/>
          <w:bCs w:val="1"/>
          <w:i w:val="1"/>
          <w:iCs w:val="1"/>
          <w:color w:val="auto"/>
        </w:rPr>
        <w:t>Pardee</w:t>
      </w:r>
    </w:p>
    <w:p>
      <w:pPr>
        <w:spacing w:after="0" w:line="240" w:lineRule="exact"/>
        <w:rPr>
          <w:sz w:val="20"/>
          <w:szCs w:val="20"/>
          <w:color w:val="auto"/>
        </w:rPr>
      </w:pPr>
    </w:p>
    <w:tbl>
      <w:tblPr>
        <w:tblLayout w:type="fixed"/>
        <w:tblInd w:w="0" w:type="dxa"/>
        <w:tblCellMar>
          <w:top w:w="0" w:type="dxa"/>
          <w:left w:w="0" w:type="dxa"/>
          <w:bottom w:w="0" w:type="dxa"/>
          <w:right w:w="0" w:type="dxa"/>
        </w:tblCellMar>
      </w:tblPr>
      <w:tr>
        <w:trPr>
          <w:trHeight w:val="162"/>
        </w:trPr>
        <w:tc>
          <w:tcPr>
            <w:tcW w:w="920" w:type="dxa"/>
            <w:vAlign w:val="bottom"/>
          </w:tcPr>
          <w:p>
            <w:pPr>
              <w:spacing w:after="0"/>
              <w:rPr>
                <w:sz w:val="14"/>
                <w:szCs w:val="14"/>
                <w:color w:val="auto"/>
              </w:rPr>
            </w:pPr>
          </w:p>
        </w:tc>
        <w:tc>
          <w:tcPr>
            <w:tcW w:w="330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08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w w:val="90"/>
              </w:rPr>
              <w:t>Cumulative</w:t>
            </w:r>
          </w:p>
        </w:tc>
        <w:tc>
          <w:tcPr>
            <w:tcW w:w="7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980" w:type="dxa"/>
            <w:vAlign w:val="bottom"/>
          </w:tcPr>
          <w:p>
            <w:pPr>
              <w:jc w:val="center"/>
              <w:spacing w:after="0"/>
              <w:rPr>
                <w:sz w:val="20"/>
                <w:szCs w:val="20"/>
                <w:color w:val="auto"/>
              </w:rPr>
            </w:pPr>
            <w:r>
              <w:rPr>
                <w:rFonts w:ascii="Arial" w:cs="Arial" w:eastAsia="Arial" w:hAnsi="Arial"/>
                <w:sz w:val="14"/>
                <w:szCs w:val="14"/>
                <w:b w:val="1"/>
                <w:bCs w:val="1"/>
                <w:color w:val="auto"/>
                <w:w w:val="86"/>
              </w:rPr>
              <w:t>Homes Delivered</w:t>
            </w:r>
          </w:p>
        </w:tc>
        <w:tc>
          <w:tcPr>
            <w:tcW w:w="22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920" w:type="dxa"/>
            <w:vAlign w:val="bottom"/>
          </w:tcPr>
          <w:p>
            <w:pPr>
              <w:spacing w:after="0"/>
              <w:rPr>
                <w:sz w:val="14"/>
                <w:szCs w:val="14"/>
                <w:color w:val="auto"/>
              </w:rPr>
            </w:pPr>
          </w:p>
        </w:tc>
        <w:tc>
          <w:tcPr>
            <w:tcW w:w="330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08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w w:val="85"/>
              </w:rPr>
              <w:t>Homes</w:t>
            </w:r>
          </w:p>
        </w:tc>
        <w:tc>
          <w:tcPr>
            <w:tcW w:w="100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w w:val="81"/>
              </w:rPr>
              <w:t>Lots</w:t>
            </w:r>
          </w:p>
        </w:tc>
        <w:tc>
          <w:tcPr>
            <w:tcW w:w="7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980" w:type="dxa"/>
            <w:vAlign w:val="bottom"/>
          </w:tcPr>
          <w:p>
            <w:pPr>
              <w:jc w:val="center"/>
              <w:spacing w:after="0"/>
              <w:rPr>
                <w:sz w:val="20"/>
                <w:szCs w:val="20"/>
                <w:color w:val="auto"/>
              </w:rPr>
            </w:pPr>
            <w:r>
              <w:rPr>
                <w:rFonts w:ascii="Arial" w:cs="Arial" w:eastAsia="Arial" w:hAnsi="Arial"/>
                <w:sz w:val="14"/>
                <w:szCs w:val="14"/>
                <w:b w:val="1"/>
                <w:bCs w:val="1"/>
                <w:color w:val="auto"/>
                <w:w w:val="88"/>
              </w:rPr>
              <w:t>for the Three</w:t>
            </w:r>
          </w:p>
        </w:tc>
        <w:tc>
          <w:tcPr>
            <w:tcW w:w="22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920" w:type="dxa"/>
            <w:vAlign w:val="bottom"/>
          </w:tcPr>
          <w:p>
            <w:pPr>
              <w:spacing w:after="0"/>
              <w:rPr>
                <w:sz w:val="14"/>
                <w:szCs w:val="14"/>
                <w:color w:val="auto"/>
              </w:rPr>
            </w:pPr>
          </w:p>
        </w:tc>
        <w:tc>
          <w:tcPr>
            <w:tcW w:w="3300" w:type="dxa"/>
            <w:vAlign w:val="bottom"/>
          </w:tcPr>
          <w:p>
            <w:pPr>
              <w:spacing w:after="0"/>
              <w:rPr>
                <w:sz w:val="14"/>
                <w:szCs w:val="14"/>
                <w:color w:val="auto"/>
              </w:rPr>
            </w:pPr>
          </w:p>
        </w:tc>
        <w:tc>
          <w:tcPr>
            <w:tcW w:w="1020" w:type="dxa"/>
            <w:vAlign w:val="bottom"/>
            <w:gridSpan w:val="2"/>
          </w:tcPr>
          <w:p>
            <w:pPr>
              <w:jc w:val="center"/>
              <w:ind w:right="120"/>
              <w:spacing w:after="0"/>
              <w:rPr>
                <w:sz w:val="20"/>
                <w:szCs w:val="20"/>
                <w:color w:val="auto"/>
              </w:rPr>
            </w:pPr>
            <w:r>
              <w:rPr>
                <w:rFonts w:ascii="Arial" w:cs="Arial" w:eastAsia="Arial" w:hAnsi="Arial"/>
                <w:sz w:val="14"/>
                <w:szCs w:val="14"/>
                <w:b w:val="1"/>
                <w:bCs w:val="1"/>
                <w:color w:val="auto"/>
                <w:w w:val="88"/>
              </w:rPr>
              <w:t>Year of</w:t>
            </w:r>
          </w:p>
        </w:tc>
        <w:tc>
          <w:tcPr>
            <w:tcW w:w="100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w w:val="83"/>
              </w:rPr>
              <w:t>Total</w:t>
            </w:r>
          </w:p>
        </w:tc>
        <w:tc>
          <w:tcPr>
            <w:tcW w:w="108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w w:val="84"/>
              </w:rPr>
              <w:t>Delivered as of</w:t>
            </w:r>
          </w:p>
        </w:tc>
        <w:tc>
          <w:tcPr>
            <w:tcW w:w="100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w w:val="86"/>
              </w:rPr>
              <w:t>Owned as of</w:t>
            </w:r>
          </w:p>
        </w:tc>
        <w:tc>
          <w:tcPr>
            <w:tcW w:w="100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w w:val="83"/>
              </w:rPr>
              <w:t>Backlog as of</w:t>
            </w:r>
          </w:p>
        </w:tc>
        <w:tc>
          <w:tcPr>
            <w:tcW w:w="980" w:type="dxa"/>
            <w:vAlign w:val="bottom"/>
          </w:tcPr>
          <w:p>
            <w:pPr>
              <w:jc w:val="center"/>
              <w:spacing w:after="0"/>
              <w:rPr>
                <w:sz w:val="20"/>
                <w:szCs w:val="20"/>
                <w:color w:val="auto"/>
              </w:rPr>
            </w:pPr>
            <w:r>
              <w:rPr>
                <w:rFonts w:ascii="Arial" w:cs="Arial" w:eastAsia="Arial" w:hAnsi="Arial"/>
                <w:sz w:val="14"/>
                <w:szCs w:val="14"/>
                <w:b w:val="1"/>
                <w:bCs w:val="1"/>
                <w:color w:val="auto"/>
                <w:w w:val="87"/>
              </w:rPr>
              <w:t>Months Ended</w:t>
            </w:r>
          </w:p>
        </w:tc>
        <w:tc>
          <w:tcPr>
            <w:tcW w:w="220" w:type="dxa"/>
            <w:vAlign w:val="bottom"/>
          </w:tcPr>
          <w:p>
            <w:pPr>
              <w:spacing w:after="0"/>
              <w:rPr>
                <w:sz w:val="14"/>
                <w:szCs w:val="14"/>
                <w:color w:val="auto"/>
              </w:rPr>
            </w:pPr>
          </w:p>
        </w:tc>
        <w:tc>
          <w:tcPr>
            <w:tcW w:w="900" w:type="dxa"/>
            <w:vAlign w:val="bottom"/>
            <w:gridSpan w:val="2"/>
          </w:tcPr>
          <w:p>
            <w:pPr>
              <w:jc w:val="center"/>
              <w:spacing w:after="0"/>
              <w:rPr>
                <w:sz w:val="20"/>
                <w:szCs w:val="20"/>
                <w:color w:val="auto"/>
              </w:rPr>
            </w:pPr>
            <w:r>
              <w:rPr>
                <w:rFonts w:ascii="Arial" w:cs="Arial" w:eastAsia="Arial" w:hAnsi="Arial"/>
                <w:sz w:val="14"/>
                <w:szCs w:val="14"/>
                <w:b w:val="1"/>
                <w:bCs w:val="1"/>
                <w:color w:val="auto"/>
                <w:w w:val="85"/>
              </w:rPr>
              <w:t>Sales Price</w:t>
            </w:r>
          </w:p>
        </w:tc>
        <w:tc>
          <w:tcPr>
            <w:tcW w:w="0" w:type="dxa"/>
            <w:vAlign w:val="bottom"/>
          </w:tcPr>
          <w:p>
            <w:pPr>
              <w:spacing w:after="0"/>
              <w:rPr>
                <w:sz w:val="1"/>
                <w:szCs w:val="1"/>
                <w:color w:val="auto"/>
              </w:rPr>
            </w:pPr>
          </w:p>
        </w:tc>
      </w:tr>
      <w:tr>
        <w:trPr>
          <w:trHeight w:val="162"/>
        </w:trPr>
        <w:tc>
          <w:tcPr>
            <w:tcW w:w="920" w:type="dxa"/>
            <w:vAlign w:val="bottom"/>
          </w:tcPr>
          <w:p>
            <w:pPr>
              <w:spacing w:after="0"/>
              <w:rPr>
                <w:sz w:val="14"/>
                <w:szCs w:val="14"/>
                <w:color w:val="auto"/>
              </w:rPr>
            </w:pPr>
          </w:p>
        </w:tc>
        <w:tc>
          <w:tcPr>
            <w:tcW w:w="3300" w:type="dxa"/>
            <w:vAlign w:val="bottom"/>
          </w:tcPr>
          <w:p>
            <w:pPr>
              <w:spacing w:after="0"/>
              <w:rPr>
                <w:sz w:val="14"/>
                <w:szCs w:val="14"/>
                <w:color w:val="auto"/>
              </w:rPr>
            </w:pPr>
          </w:p>
        </w:tc>
        <w:tc>
          <w:tcPr>
            <w:tcW w:w="1020" w:type="dxa"/>
            <w:vAlign w:val="bottom"/>
            <w:gridSpan w:val="2"/>
          </w:tcPr>
          <w:p>
            <w:pPr>
              <w:jc w:val="center"/>
              <w:ind w:right="140"/>
              <w:spacing w:after="0"/>
              <w:rPr>
                <w:sz w:val="20"/>
                <w:szCs w:val="20"/>
                <w:color w:val="auto"/>
              </w:rPr>
            </w:pPr>
            <w:r>
              <w:rPr>
                <w:rFonts w:ascii="Arial" w:cs="Arial" w:eastAsia="Arial" w:hAnsi="Arial"/>
                <w:sz w:val="14"/>
                <w:szCs w:val="14"/>
                <w:b w:val="1"/>
                <w:bCs w:val="1"/>
                <w:color w:val="auto"/>
                <w:w w:val="92"/>
              </w:rPr>
              <w:t>First</w:t>
            </w:r>
          </w:p>
        </w:tc>
        <w:tc>
          <w:tcPr>
            <w:tcW w:w="100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w w:val="91"/>
              </w:rPr>
              <w:t>Number of</w:t>
            </w:r>
          </w:p>
        </w:tc>
        <w:tc>
          <w:tcPr>
            <w:tcW w:w="108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w w:val="92"/>
              </w:rPr>
              <w:t>March 31,</w:t>
            </w:r>
          </w:p>
        </w:tc>
        <w:tc>
          <w:tcPr>
            <w:tcW w:w="100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w w:val="92"/>
              </w:rPr>
              <w:t>March 31,</w:t>
            </w:r>
          </w:p>
        </w:tc>
        <w:tc>
          <w:tcPr>
            <w:tcW w:w="100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w w:val="92"/>
              </w:rPr>
              <w:t>March 31,</w:t>
            </w:r>
          </w:p>
        </w:tc>
        <w:tc>
          <w:tcPr>
            <w:tcW w:w="980" w:type="dxa"/>
            <w:vAlign w:val="bottom"/>
          </w:tcPr>
          <w:p>
            <w:pPr>
              <w:jc w:val="center"/>
              <w:spacing w:after="0"/>
              <w:rPr>
                <w:sz w:val="20"/>
                <w:szCs w:val="20"/>
                <w:color w:val="auto"/>
              </w:rPr>
            </w:pPr>
            <w:r>
              <w:rPr>
                <w:rFonts w:ascii="Arial" w:cs="Arial" w:eastAsia="Arial" w:hAnsi="Arial"/>
                <w:sz w:val="14"/>
                <w:szCs w:val="14"/>
                <w:b w:val="1"/>
                <w:bCs w:val="1"/>
                <w:color w:val="auto"/>
                <w:w w:val="92"/>
              </w:rPr>
              <w:t>March 31,</w:t>
            </w:r>
          </w:p>
        </w:tc>
        <w:tc>
          <w:tcPr>
            <w:tcW w:w="220" w:type="dxa"/>
            <w:vAlign w:val="bottom"/>
          </w:tcPr>
          <w:p>
            <w:pPr>
              <w:spacing w:after="0"/>
              <w:rPr>
                <w:sz w:val="14"/>
                <w:szCs w:val="14"/>
                <w:color w:val="auto"/>
              </w:rPr>
            </w:pPr>
          </w:p>
        </w:tc>
        <w:tc>
          <w:tcPr>
            <w:tcW w:w="900" w:type="dxa"/>
            <w:vAlign w:val="bottom"/>
            <w:gridSpan w:val="2"/>
          </w:tcPr>
          <w:p>
            <w:pPr>
              <w:jc w:val="center"/>
              <w:spacing w:after="0"/>
              <w:rPr>
                <w:sz w:val="20"/>
                <w:szCs w:val="20"/>
                <w:color w:val="auto"/>
              </w:rPr>
            </w:pPr>
            <w:r>
              <w:rPr>
                <w:rFonts w:ascii="Arial" w:cs="Arial" w:eastAsia="Arial" w:hAnsi="Arial"/>
                <w:sz w:val="14"/>
                <w:szCs w:val="14"/>
                <w:b w:val="1"/>
                <w:bCs w:val="1"/>
                <w:color w:val="auto"/>
                <w:w w:val="84"/>
              </w:rPr>
              <w:t>Range</w:t>
            </w:r>
          </w:p>
        </w:tc>
        <w:tc>
          <w:tcPr>
            <w:tcW w:w="0" w:type="dxa"/>
            <w:vAlign w:val="bottom"/>
          </w:tcPr>
          <w:p>
            <w:pPr>
              <w:spacing w:after="0"/>
              <w:rPr>
                <w:sz w:val="1"/>
                <w:szCs w:val="1"/>
                <w:color w:val="auto"/>
              </w:rPr>
            </w:pPr>
          </w:p>
        </w:tc>
      </w:tr>
      <w:tr>
        <w:trPr>
          <w:trHeight w:val="155"/>
        </w:trPr>
        <w:tc>
          <w:tcPr>
            <w:tcW w:w="920" w:type="dxa"/>
            <w:vAlign w:val="bottom"/>
            <w:vMerge w:val="restart"/>
          </w:tcPr>
          <w:p>
            <w:pPr>
              <w:spacing w:after="0"/>
              <w:rPr>
                <w:sz w:val="20"/>
                <w:szCs w:val="20"/>
                <w:color w:val="auto"/>
              </w:rPr>
            </w:pPr>
            <w:r>
              <w:rPr>
                <w:rFonts w:ascii="Arial" w:cs="Arial" w:eastAsia="Arial" w:hAnsi="Arial"/>
                <w:sz w:val="14"/>
                <w:szCs w:val="14"/>
                <w:b w:val="1"/>
                <w:bCs w:val="1"/>
                <w:color w:val="auto"/>
                <w:w w:val="86"/>
              </w:rPr>
              <w:t>County, Project</w:t>
            </w:r>
          </w:p>
        </w:tc>
        <w:tc>
          <w:tcPr>
            <w:tcW w:w="3300" w:type="dxa"/>
            <w:vAlign w:val="bottom"/>
            <w:vMerge w:val="restart"/>
          </w:tcPr>
          <w:p>
            <w:pPr>
              <w:spacing w:after="0"/>
              <w:rPr>
                <w:sz w:val="13"/>
                <w:szCs w:val="13"/>
                <w:color w:val="auto"/>
              </w:rPr>
            </w:pPr>
          </w:p>
        </w:tc>
        <w:tc>
          <w:tcPr>
            <w:tcW w:w="1020" w:type="dxa"/>
            <w:vAlign w:val="bottom"/>
            <w:gridSpan w:val="2"/>
            <w:vMerge w:val="restart"/>
          </w:tcPr>
          <w:p>
            <w:pPr>
              <w:jc w:val="center"/>
              <w:ind w:right="120"/>
              <w:spacing w:after="0"/>
              <w:rPr>
                <w:sz w:val="20"/>
                <w:szCs w:val="20"/>
                <w:color w:val="auto"/>
              </w:rPr>
            </w:pPr>
            <w:r>
              <w:rPr>
                <w:rFonts w:ascii="Arial" w:cs="Arial" w:eastAsia="Arial" w:hAnsi="Arial"/>
                <w:sz w:val="14"/>
                <w:szCs w:val="14"/>
                <w:b w:val="1"/>
                <w:bCs w:val="1"/>
                <w:color w:val="auto"/>
                <w:w w:val="91"/>
              </w:rPr>
              <w:t>Delivery</w:t>
            </w:r>
            <w:r>
              <w:rPr>
                <w:rFonts w:ascii="Arial" w:cs="Arial" w:eastAsia="Arial" w:hAnsi="Arial"/>
                <w:sz w:val="11"/>
                <w:szCs w:val="11"/>
                <w:b w:val="1"/>
                <w:bCs w:val="1"/>
                <w:color w:val="auto"/>
                <w:w w:val="91"/>
              </w:rPr>
              <w:t>(1)</w:t>
            </w:r>
          </w:p>
        </w:tc>
        <w:tc>
          <w:tcPr>
            <w:tcW w:w="1000" w:type="dxa"/>
            <w:vAlign w:val="bottom"/>
            <w:gridSpan w:val="2"/>
            <w:vMerge w:val="restart"/>
          </w:tcPr>
          <w:p>
            <w:pPr>
              <w:jc w:val="center"/>
              <w:ind w:right="240"/>
              <w:spacing w:after="0"/>
              <w:rPr>
                <w:sz w:val="20"/>
                <w:szCs w:val="20"/>
                <w:color w:val="auto"/>
              </w:rPr>
            </w:pPr>
            <w:r>
              <w:rPr>
                <w:rFonts w:ascii="Arial" w:cs="Arial" w:eastAsia="Arial" w:hAnsi="Arial"/>
                <w:sz w:val="14"/>
                <w:szCs w:val="14"/>
                <w:b w:val="1"/>
                <w:bCs w:val="1"/>
                <w:color w:val="auto"/>
                <w:w w:val="92"/>
              </w:rPr>
              <w:t>Lots</w:t>
            </w:r>
            <w:r>
              <w:rPr>
                <w:rFonts w:ascii="Arial" w:cs="Arial" w:eastAsia="Arial" w:hAnsi="Arial"/>
                <w:sz w:val="11"/>
                <w:szCs w:val="11"/>
                <w:b w:val="1"/>
                <w:bCs w:val="1"/>
                <w:color w:val="auto"/>
                <w:w w:val="92"/>
              </w:rPr>
              <w:t>(2)</w:t>
            </w:r>
          </w:p>
        </w:tc>
        <w:tc>
          <w:tcPr>
            <w:tcW w:w="86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89"/>
              </w:rPr>
              <w:t>2015</w:t>
            </w:r>
          </w:p>
        </w:tc>
        <w:tc>
          <w:tcPr>
            <w:tcW w:w="220" w:type="dxa"/>
            <w:vAlign w:val="bottom"/>
          </w:tcPr>
          <w:p>
            <w:pPr>
              <w:spacing w:after="0"/>
              <w:rPr>
                <w:sz w:val="13"/>
                <w:szCs w:val="13"/>
                <w:color w:val="auto"/>
              </w:rPr>
            </w:pPr>
          </w:p>
        </w:tc>
        <w:tc>
          <w:tcPr>
            <w:tcW w:w="78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89"/>
              </w:rPr>
              <w:t>2015</w:t>
            </w:r>
            <w:r>
              <w:rPr>
                <w:rFonts w:ascii="Arial" w:cs="Arial" w:eastAsia="Arial" w:hAnsi="Arial"/>
                <w:sz w:val="11"/>
                <w:szCs w:val="11"/>
                <w:b w:val="1"/>
                <w:bCs w:val="1"/>
                <w:color w:val="auto"/>
                <w:w w:val="89"/>
              </w:rPr>
              <w:t>(3)</w:t>
            </w:r>
          </w:p>
        </w:tc>
        <w:tc>
          <w:tcPr>
            <w:tcW w:w="220" w:type="dxa"/>
            <w:vAlign w:val="bottom"/>
          </w:tcPr>
          <w:p>
            <w:pPr>
              <w:spacing w:after="0"/>
              <w:rPr>
                <w:sz w:val="13"/>
                <w:szCs w:val="13"/>
                <w:color w:val="auto"/>
              </w:rPr>
            </w:pPr>
          </w:p>
        </w:tc>
        <w:tc>
          <w:tcPr>
            <w:tcW w:w="78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92"/>
              </w:rPr>
              <w:t>2015</w:t>
            </w:r>
            <w:r>
              <w:rPr>
                <w:rFonts w:ascii="Arial" w:cs="Arial" w:eastAsia="Arial" w:hAnsi="Arial"/>
                <w:sz w:val="11"/>
                <w:szCs w:val="11"/>
                <w:b w:val="1"/>
                <w:bCs w:val="1"/>
                <w:color w:val="auto"/>
                <w:w w:val="92"/>
              </w:rPr>
              <w:t>(4)(5)</w:t>
            </w:r>
          </w:p>
        </w:tc>
        <w:tc>
          <w:tcPr>
            <w:tcW w:w="220" w:type="dxa"/>
            <w:vAlign w:val="bottom"/>
          </w:tcPr>
          <w:p>
            <w:pPr>
              <w:spacing w:after="0"/>
              <w:rPr>
                <w:sz w:val="13"/>
                <w:szCs w:val="13"/>
                <w:color w:val="auto"/>
              </w:rPr>
            </w:pPr>
          </w:p>
        </w:tc>
        <w:tc>
          <w:tcPr>
            <w:tcW w:w="98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89"/>
              </w:rPr>
              <w:t>2015</w:t>
            </w:r>
          </w:p>
        </w:tc>
        <w:tc>
          <w:tcPr>
            <w:tcW w:w="220" w:type="dxa"/>
            <w:vAlign w:val="bottom"/>
          </w:tcPr>
          <w:p>
            <w:pPr>
              <w:spacing w:after="0"/>
              <w:rPr>
                <w:sz w:val="13"/>
                <w:szCs w:val="13"/>
                <w:color w:val="auto"/>
              </w:rPr>
            </w:pPr>
          </w:p>
        </w:tc>
        <w:tc>
          <w:tcPr>
            <w:tcW w:w="900" w:type="dxa"/>
            <w:vAlign w:val="bottom"/>
            <w:gridSpan w:val="2"/>
          </w:tcPr>
          <w:p>
            <w:pPr>
              <w:jc w:val="center"/>
              <w:spacing w:after="0" w:line="155" w:lineRule="exact"/>
              <w:rPr>
                <w:sz w:val="20"/>
                <w:szCs w:val="20"/>
                <w:color w:val="auto"/>
              </w:rPr>
            </w:pPr>
            <w:r>
              <w:rPr>
                <w:rFonts w:ascii="Arial" w:cs="Arial" w:eastAsia="Arial" w:hAnsi="Arial"/>
                <w:sz w:val="14"/>
                <w:szCs w:val="14"/>
                <w:b w:val="1"/>
                <w:bCs w:val="1"/>
                <w:color w:val="auto"/>
                <w:w w:val="87"/>
              </w:rPr>
              <w:t>(in thousands)</w:t>
            </w:r>
          </w:p>
        </w:tc>
        <w:tc>
          <w:tcPr>
            <w:tcW w:w="0" w:type="dxa"/>
            <w:vAlign w:val="bottom"/>
          </w:tcPr>
          <w:p>
            <w:pPr>
              <w:spacing w:after="0"/>
              <w:rPr>
                <w:sz w:val="1"/>
                <w:szCs w:val="1"/>
                <w:color w:val="auto"/>
              </w:rPr>
            </w:pPr>
          </w:p>
        </w:tc>
      </w:tr>
      <w:tr>
        <w:trPr>
          <w:trHeight w:val="148"/>
        </w:trPr>
        <w:tc>
          <w:tcPr>
            <w:tcW w:w="920" w:type="dxa"/>
            <w:vAlign w:val="bottom"/>
            <w:tcBorders>
              <w:bottom w:val="single" w:sz="8" w:color="auto"/>
            </w:tcBorders>
            <w:vMerge w:val="continue"/>
          </w:tcPr>
          <w:p>
            <w:pPr>
              <w:spacing w:after="0"/>
              <w:rPr>
                <w:sz w:val="12"/>
                <w:szCs w:val="12"/>
                <w:color w:val="auto"/>
              </w:rPr>
            </w:pPr>
          </w:p>
        </w:tc>
        <w:tc>
          <w:tcPr>
            <w:tcW w:w="3300" w:type="dxa"/>
            <w:vAlign w:val="bottom"/>
            <w:vMerge w:val="continue"/>
          </w:tcPr>
          <w:p>
            <w:pPr>
              <w:spacing w:after="0"/>
              <w:rPr>
                <w:sz w:val="12"/>
                <w:szCs w:val="12"/>
                <w:color w:val="auto"/>
              </w:rPr>
            </w:pPr>
          </w:p>
        </w:tc>
        <w:tc>
          <w:tcPr>
            <w:tcW w:w="1020" w:type="dxa"/>
            <w:vAlign w:val="bottom"/>
            <w:gridSpan w:val="2"/>
            <w:vMerge w:val="continue"/>
          </w:tcPr>
          <w:p>
            <w:pPr>
              <w:spacing w:after="0"/>
              <w:rPr>
                <w:sz w:val="12"/>
                <w:szCs w:val="12"/>
                <w:color w:val="auto"/>
              </w:rPr>
            </w:pPr>
          </w:p>
        </w:tc>
        <w:tc>
          <w:tcPr>
            <w:tcW w:w="1000" w:type="dxa"/>
            <w:vAlign w:val="bottom"/>
            <w:gridSpan w:val="2"/>
            <w:vMerge w:val="continue"/>
          </w:tcPr>
          <w:p>
            <w:pPr>
              <w:spacing w:after="0"/>
              <w:rPr>
                <w:sz w:val="12"/>
                <w:szCs w:val="12"/>
                <w:color w:val="auto"/>
              </w:rPr>
            </w:pPr>
          </w:p>
        </w:tc>
        <w:tc>
          <w:tcPr>
            <w:tcW w:w="860" w:type="dxa"/>
            <w:vAlign w:val="bottom"/>
            <w:vMerge w:val="continue"/>
          </w:tcPr>
          <w:p>
            <w:pPr>
              <w:spacing w:after="0"/>
              <w:rPr>
                <w:sz w:val="12"/>
                <w:szCs w:val="12"/>
                <w:color w:val="auto"/>
              </w:rPr>
            </w:pPr>
          </w:p>
        </w:tc>
        <w:tc>
          <w:tcPr>
            <w:tcW w:w="220" w:type="dxa"/>
            <w:vAlign w:val="bottom"/>
          </w:tcPr>
          <w:p>
            <w:pPr>
              <w:spacing w:after="0"/>
              <w:rPr>
                <w:sz w:val="12"/>
                <w:szCs w:val="12"/>
                <w:color w:val="auto"/>
              </w:rPr>
            </w:pPr>
          </w:p>
        </w:tc>
        <w:tc>
          <w:tcPr>
            <w:tcW w:w="780" w:type="dxa"/>
            <w:vAlign w:val="bottom"/>
            <w:vMerge w:val="continue"/>
          </w:tcPr>
          <w:p>
            <w:pPr>
              <w:spacing w:after="0"/>
              <w:rPr>
                <w:sz w:val="12"/>
                <w:szCs w:val="12"/>
                <w:color w:val="auto"/>
              </w:rPr>
            </w:pPr>
          </w:p>
        </w:tc>
        <w:tc>
          <w:tcPr>
            <w:tcW w:w="220" w:type="dxa"/>
            <w:vAlign w:val="bottom"/>
          </w:tcPr>
          <w:p>
            <w:pPr>
              <w:spacing w:after="0"/>
              <w:rPr>
                <w:sz w:val="12"/>
                <w:szCs w:val="12"/>
                <w:color w:val="auto"/>
              </w:rPr>
            </w:pPr>
          </w:p>
        </w:tc>
        <w:tc>
          <w:tcPr>
            <w:tcW w:w="780" w:type="dxa"/>
            <w:vAlign w:val="bottom"/>
            <w:vMerge w:val="continue"/>
          </w:tcPr>
          <w:p>
            <w:pPr>
              <w:spacing w:after="0"/>
              <w:rPr>
                <w:sz w:val="12"/>
                <w:szCs w:val="12"/>
                <w:color w:val="auto"/>
              </w:rPr>
            </w:pPr>
          </w:p>
        </w:tc>
        <w:tc>
          <w:tcPr>
            <w:tcW w:w="220" w:type="dxa"/>
            <w:vAlign w:val="bottom"/>
          </w:tcPr>
          <w:p>
            <w:pPr>
              <w:spacing w:after="0"/>
              <w:rPr>
                <w:sz w:val="12"/>
                <w:szCs w:val="12"/>
                <w:color w:val="auto"/>
              </w:rPr>
            </w:pPr>
          </w:p>
        </w:tc>
        <w:tc>
          <w:tcPr>
            <w:tcW w:w="980" w:type="dxa"/>
            <w:vAlign w:val="bottom"/>
            <w:vMerge w:val="continue"/>
          </w:tcPr>
          <w:p>
            <w:pPr>
              <w:spacing w:after="0"/>
              <w:rPr>
                <w:sz w:val="12"/>
                <w:szCs w:val="12"/>
                <w:color w:val="auto"/>
              </w:rPr>
            </w:pPr>
          </w:p>
        </w:tc>
        <w:tc>
          <w:tcPr>
            <w:tcW w:w="1120" w:type="dxa"/>
            <w:vAlign w:val="bottom"/>
            <w:gridSpan w:val="3"/>
          </w:tcPr>
          <w:p>
            <w:pPr>
              <w:jc w:val="center"/>
              <w:ind w:left="133"/>
              <w:spacing w:after="0"/>
              <w:rPr>
                <w:sz w:val="20"/>
                <w:szCs w:val="20"/>
                <w:color w:val="auto"/>
              </w:rPr>
            </w:pPr>
            <w:r>
              <w:rPr>
                <w:rFonts w:ascii="Arial" w:cs="Arial" w:eastAsia="Arial" w:hAnsi="Arial"/>
                <w:sz w:val="11"/>
                <w:szCs w:val="11"/>
                <w:b w:val="1"/>
                <w:bCs w:val="1"/>
                <w:color w:val="auto"/>
                <w:w w:val="88"/>
              </w:rPr>
              <w:t>(6)</w:t>
            </w:r>
          </w:p>
        </w:tc>
        <w:tc>
          <w:tcPr>
            <w:tcW w:w="0" w:type="dxa"/>
            <w:vAlign w:val="bottom"/>
          </w:tcPr>
          <w:p>
            <w:pPr>
              <w:spacing w:after="0"/>
              <w:rPr>
                <w:sz w:val="1"/>
                <w:szCs w:val="1"/>
                <w:color w:val="auto"/>
              </w:rPr>
            </w:pPr>
          </w:p>
        </w:tc>
      </w:tr>
      <w:tr>
        <w:trPr>
          <w:trHeight w:val="149"/>
        </w:trPr>
        <w:tc>
          <w:tcPr>
            <w:tcW w:w="4220" w:type="dxa"/>
            <w:vAlign w:val="bottom"/>
            <w:tcBorders>
              <w:top w:val="single" w:sz="8" w:color="CFF0FC"/>
            </w:tcBorders>
            <w:gridSpan w:val="2"/>
            <w:shd w:val="clear" w:color="auto" w:fill="CFF0FC"/>
          </w:tcPr>
          <w:p>
            <w:pPr>
              <w:spacing w:after="0" w:line="149" w:lineRule="exact"/>
              <w:rPr>
                <w:sz w:val="20"/>
                <w:szCs w:val="20"/>
                <w:color w:val="auto"/>
              </w:rPr>
            </w:pPr>
            <w:r>
              <w:rPr>
                <w:rFonts w:ascii="Arial" w:cs="Arial" w:eastAsia="Arial" w:hAnsi="Arial"/>
                <w:sz w:val="14"/>
                <w:szCs w:val="14"/>
                <w:b w:val="1"/>
                <w:bCs w:val="1"/>
                <w:color w:val="auto"/>
              </w:rPr>
              <w:t>California</w:t>
            </w:r>
          </w:p>
        </w:tc>
        <w:tc>
          <w:tcPr>
            <w:tcW w:w="900" w:type="dxa"/>
            <w:vAlign w:val="bottom"/>
            <w:tcBorders>
              <w:top w:val="single" w:sz="8" w:color="auto"/>
            </w:tcBorders>
            <w:shd w:val="clear" w:color="auto" w:fill="CFF0FC"/>
          </w:tcPr>
          <w:p>
            <w:pPr>
              <w:spacing w:after="0"/>
              <w:rPr>
                <w:sz w:val="12"/>
                <w:szCs w:val="12"/>
                <w:color w:val="auto"/>
              </w:rPr>
            </w:pPr>
          </w:p>
        </w:tc>
        <w:tc>
          <w:tcPr>
            <w:tcW w:w="120" w:type="dxa"/>
            <w:vAlign w:val="bottom"/>
            <w:tcBorders>
              <w:top w:val="single" w:sz="8" w:color="CFF0FC"/>
            </w:tcBorders>
            <w:shd w:val="clear" w:color="auto" w:fill="CFF0FC"/>
          </w:tcPr>
          <w:p>
            <w:pPr>
              <w:spacing w:after="0"/>
              <w:rPr>
                <w:sz w:val="12"/>
                <w:szCs w:val="12"/>
                <w:color w:val="auto"/>
              </w:rPr>
            </w:pPr>
          </w:p>
        </w:tc>
        <w:tc>
          <w:tcPr>
            <w:tcW w:w="780" w:type="dxa"/>
            <w:vAlign w:val="bottom"/>
            <w:tcBorders>
              <w:top w:val="single" w:sz="8" w:color="auto"/>
            </w:tcBorders>
            <w:shd w:val="clear" w:color="auto" w:fill="CFF0FC"/>
          </w:tcPr>
          <w:p>
            <w:pPr>
              <w:spacing w:after="0"/>
              <w:rPr>
                <w:sz w:val="12"/>
                <w:szCs w:val="12"/>
                <w:color w:val="auto"/>
              </w:rPr>
            </w:pPr>
          </w:p>
        </w:tc>
        <w:tc>
          <w:tcPr>
            <w:tcW w:w="220" w:type="dxa"/>
            <w:vAlign w:val="bottom"/>
            <w:tcBorders>
              <w:top w:val="single" w:sz="8" w:color="CFF0FC"/>
            </w:tcBorders>
            <w:shd w:val="clear" w:color="auto" w:fill="CFF0FC"/>
          </w:tcPr>
          <w:p>
            <w:pPr>
              <w:spacing w:after="0"/>
              <w:rPr>
                <w:sz w:val="12"/>
                <w:szCs w:val="12"/>
                <w:color w:val="auto"/>
              </w:rPr>
            </w:pPr>
          </w:p>
        </w:tc>
        <w:tc>
          <w:tcPr>
            <w:tcW w:w="860" w:type="dxa"/>
            <w:vAlign w:val="bottom"/>
            <w:tcBorders>
              <w:top w:val="single" w:sz="8" w:color="auto"/>
            </w:tcBorders>
            <w:shd w:val="clear" w:color="auto" w:fill="CFF0FC"/>
          </w:tcPr>
          <w:p>
            <w:pPr>
              <w:spacing w:after="0"/>
              <w:rPr>
                <w:sz w:val="12"/>
                <w:szCs w:val="12"/>
                <w:color w:val="auto"/>
              </w:rPr>
            </w:pPr>
          </w:p>
        </w:tc>
        <w:tc>
          <w:tcPr>
            <w:tcW w:w="220" w:type="dxa"/>
            <w:vAlign w:val="bottom"/>
            <w:tcBorders>
              <w:top w:val="single" w:sz="8" w:color="CFF0FC"/>
            </w:tcBorders>
            <w:shd w:val="clear" w:color="auto" w:fill="CFF0FC"/>
          </w:tcPr>
          <w:p>
            <w:pPr>
              <w:spacing w:after="0"/>
              <w:rPr>
                <w:sz w:val="12"/>
                <w:szCs w:val="12"/>
                <w:color w:val="auto"/>
              </w:rPr>
            </w:pPr>
          </w:p>
        </w:tc>
        <w:tc>
          <w:tcPr>
            <w:tcW w:w="780" w:type="dxa"/>
            <w:vAlign w:val="bottom"/>
            <w:tcBorders>
              <w:top w:val="single" w:sz="8" w:color="auto"/>
            </w:tcBorders>
            <w:shd w:val="clear" w:color="auto" w:fill="CFF0FC"/>
          </w:tcPr>
          <w:p>
            <w:pPr>
              <w:spacing w:after="0"/>
              <w:rPr>
                <w:sz w:val="12"/>
                <w:szCs w:val="12"/>
                <w:color w:val="auto"/>
              </w:rPr>
            </w:pPr>
          </w:p>
        </w:tc>
        <w:tc>
          <w:tcPr>
            <w:tcW w:w="220" w:type="dxa"/>
            <w:vAlign w:val="bottom"/>
            <w:tcBorders>
              <w:top w:val="single" w:sz="8" w:color="CFF0FC"/>
            </w:tcBorders>
            <w:shd w:val="clear" w:color="auto" w:fill="CFF0FC"/>
          </w:tcPr>
          <w:p>
            <w:pPr>
              <w:spacing w:after="0"/>
              <w:rPr>
                <w:sz w:val="12"/>
                <w:szCs w:val="12"/>
                <w:color w:val="auto"/>
              </w:rPr>
            </w:pPr>
          </w:p>
        </w:tc>
        <w:tc>
          <w:tcPr>
            <w:tcW w:w="780" w:type="dxa"/>
            <w:vAlign w:val="bottom"/>
            <w:tcBorders>
              <w:top w:val="single" w:sz="8" w:color="auto"/>
            </w:tcBorders>
            <w:shd w:val="clear" w:color="auto" w:fill="CFF0FC"/>
          </w:tcPr>
          <w:p>
            <w:pPr>
              <w:spacing w:after="0"/>
              <w:rPr>
                <w:sz w:val="12"/>
                <w:szCs w:val="12"/>
                <w:color w:val="auto"/>
              </w:rPr>
            </w:pPr>
          </w:p>
        </w:tc>
        <w:tc>
          <w:tcPr>
            <w:tcW w:w="220" w:type="dxa"/>
            <w:vAlign w:val="bottom"/>
            <w:tcBorders>
              <w:top w:val="single" w:sz="8" w:color="CFF0FC"/>
            </w:tcBorders>
            <w:shd w:val="clear" w:color="auto" w:fill="CFF0FC"/>
          </w:tcPr>
          <w:p>
            <w:pPr>
              <w:spacing w:after="0"/>
              <w:rPr>
                <w:sz w:val="12"/>
                <w:szCs w:val="12"/>
                <w:color w:val="auto"/>
              </w:rPr>
            </w:pPr>
          </w:p>
        </w:tc>
        <w:tc>
          <w:tcPr>
            <w:tcW w:w="980" w:type="dxa"/>
            <w:vAlign w:val="bottom"/>
            <w:tcBorders>
              <w:top w:val="single" w:sz="8" w:color="auto"/>
            </w:tcBorders>
            <w:shd w:val="clear" w:color="auto" w:fill="CFF0FC"/>
          </w:tcPr>
          <w:p>
            <w:pPr>
              <w:spacing w:after="0"/>
              <w:rPr>
                <w:sz w:val="12"/>
                <w:szCs w:val="12"/>
                <w:color w:val="auto"/>
              </w:rPr>
            </w:pPr>
          </w:p>
        </w:tc>
        <w:tc>
          <w:tcPr>
            <w:tcW w:w="220" w:type="dxa"/>
            <w:vAlign w:val="bottom"/>
            <w:tcBorders>
              <w:top w:val="single" w:sz="8" w:color="CFF0FC"/>
            </w:tcBorders>
            <w:shd w:val="clear" w:color="auto" w:fill="CFF0FC"/>
          </w:tcPr>
          <w:p>
            <w:pPr>
              <w:spacing w:after="0"/>
              <w:rPr>
                <w:sz w:val="12"/>
                <w:szCs w:val="12"/>
                <w:color w:val="auto"/>
              </w:rPr>
            </w:pPr>
          </w:p>
        </w:tc>
        <w:tc>
          <w:tcPr>
            <w:tcW w:w="400" w:type="dxa"/>
            <w:vAlign w:val="bottom"/>
            <w:tcBorders>
              <w:top w:val="single" w:sz="8" w:color="auto"/>
            </w:tcBorders>
            <w:shd w:val="clear" w:color="auto" w:fill="CFF0FC"/>
          </w:tcPr>
          <w:p>
            <w:pPr>
              <w:spacing w:after="0"/>
              <w:rPr>
                <w:sz w:val="12"/>
                <w:szCs w:val="12"/>
                <w:color w:val="auto"/>
              </w:rPr>
            </w:pPr>
          </w:p>
        </w:tc>
        <w:tc>
          <w:tcPr>
            <w:tcW w:w="500" w:type="dxa"/>
            <w:vAlign w:val="bottom"/>
            <w:tcBorders>
              <w:top w:val="single" w:sz="8" w:color="auto"/>
            </w:tcBorders>
            <w:shd w:val="clear" w:color="auto" w:fill="CFF0FC"/>
          </w:tcPr>
          <w:p>
            <w:pPr>
              <w:spacing w:after="0"/>
              <w:rPr>
                <w:sz w:val="12"/>
                <w:szCs w:val="12"/>
                <w:color w:val="auto"/>
              </w:rPr>
            </w:pPr>
          </w:p>
        </w:tc>
        <w:tc>
          <w:tcPr>
            <w:tcW w:w="0" w:type="dxa"/>
            <w:vAlign w:val="bottom"/>
          </w:tcPr>
          <w:p>
            <w:pPr>
              <w:spacing w:after="0"/>
              <w:rPr>
                <w:sz w:val="1"/>
                <w:szCs w:val="1"/>
                <w:color w:val="auto"/>
              </w:rPr>
            </w:pPr>
          </w:p>
        </w:tc>
      </w:tr>
      <w:tr>
        <w:trPr>
          <w:trHeight w:val="162"/>
        </w:trPr>
        <w:tc>
          <w:tcPr>
            <w:tcW w:w="4220" w:type="dxa"/>
            <w:vAlign w:val="bottom"/>
            <w:gridSpan w:val="2"/>
          </w:tcPr>
          <w:p>
            <w:pPr>
              <w:spacing w:after="0"/>
              <w:rPr>
                <w:sz w:val="20"/>
                <w:szCs w:val="20"/>
                <w:color w:val="auto"/>
              </w:rPr>
            </w:pPr>
            <w:r>
              <w:rPr>
                <w:rFonts w:ascii="Arial" w:cs="Arial" w:eastAsia="Arial" w:hAnsi="Arial"/>
                <w:sz w:val="14"/>
                <w:szCs w:val="14"/>
                <w:color w:val="auto"/>
              </w:rPr>
              <w:t>San Diego County:</w:t>
            </w:r>
          </w:p>
        </w:tc>
        <w:tc>
          <w:tcPr>
            <w:tcW w:w="9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4220" w:type="dxa"/>
            <w:vAlign w:val="bottom"/>
            <w:gridSpan w:val="2"/>
            <w:shd w:val="clear" w:color="auto" w:fill="CFF0FC"/>
          </w:tcPr>
          <w:p>
            <w:pPr>
              <w:ind w:left="380"/>
              <w:spacing w:after="0"/>
              <w:rPr>
                <w:sz w:val="20"/>
                <w:szCs w:val="20"/>
                <w:color w:val="auto"/>
              </w:rPr>
            </w:pPr>
            <w:r>
              <w:rPr>
                <w:rFonts w:ascii="Arial" w:cs="Arial" w:eastAsia="Arial" w:hAnsi="Arial"/>
                <w:sz w:val="14"/>
                <w:szCs w:val="14"/>
                <w:color w:val="auto"/>
              </w:rPr>
              <w:t>Alta Del Mar Homes</w:t>
            </w:r>
          </w:p>
        </w:tc>
        <w:tc>
          <w:tcPr>
            <w:tcW w:w="900" w:type="dxa"/>
            <w:vAlign w:val="bottom"/>
            <w:shd w:val="clear" w:color="auto" w:fill="CFF0FC"/>
          </w:tcPr>
          <w:p>
            <w:pPr>
              <w:jc w:val="center"/>
              <w:spacing w:after="0"/>
              <w:rPr>
                <w:sz w:val="20"/>
                <w:szCs w:val="20"/>
                <w:color w:val="auto"/>
              </w:rPr>
            </w:pPr>
            <w:r>
              <w:rPr>
                <w:rFonts w:ascii="Arial" w:cs="Arial" w:eastAsia="Arial" w:hAnsi="Arial"/>
                <w:sz w:val="14"/>
                <w:szCs w:val="14"/>
                <w:color w:val="auto"/>
                <w:w w:val="83"/>
              </w:rPr>
              <w:t>2013</w:t>
            </w:r>
          </w:p>
        </w:tc>
        <w:tc>
          <w:tcPr>
            <w:tcW w:w="120" w:type="dxa"/>
            <w:vAlign w:val="bottom"/>
            <w:shd w:val="clear" w:color="auto" w:fill="CFF0FC"/>
          </w:tcPr>
          <w:p>
            <w:pPr>
              <w:spacing w:after="0"/>
              <w:rPr>
                <w:sz w:val="14"/>
                <w:szCs w:val="14"/>
                <w:color w:val="auto"/>
              </w:rPr>
            </w:pPr>
          </w:p>
        </w:tc>
        <w:tc>
          <w:tcPr>
            <w:tcW w:w="7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117</w:t>
            </w:r>
          </w:p>
        </w:tc>
        <w:tc>
          <w:tcPr>
            <w:tcW w:w="220" w:type="dxa"/>
            <w:vAlign w:val="bottom"/>
            <w:shd w:val="clear" w:color="auto" w:fill="CFF0FC"/>
          </w:tcPr>
          <w:p>
            <w:pPr>
              <w:spacing w:after="0"/>
              <w:rPr>
                <w:sz w:val="14"/>
                <w:szCs w:val="14"/>
                <w:color w:val="auto"/>
              </w:rPr>
            </w:pPr>
          </w:p>
        </w:tc>
        <w:tc>
          <w:tcPr>
            <w:tcW w:w="860" w:type="dxa"/>
            <w:vAlign w:val="bottom"/>
            <w:shd w:val="clear" w:color="auto" w:fill="CFF0FC"/>
          </w:tcPr>
          <w:p>
            <w:pPr>
              <w:jc w:val="right"/>
              <w:spacing w:after="0"/>
              <w:rPr>
                <w:sz w:val="20"/>
                <w:szCs w:val="20"/>
                <w:color w:val="auto"/>
              </w:rPr>
            </w:pPr>
            <w:r>
              <w:rPr>
                <w:rFonts w:ascii="Arial" w:cs="Arial" w:eastAsia="Arial" w:hAnsi="Arial"/>
                <w:sz w:val="14"/>
                <w:szCs w:val="14"/>
                <w:color w:val="auto"/>
              </w:rPr>
              <w:t>45</w:t>
            </w:r>
          </w:p>
        </w:tc>
        <w:tc>
          <w:tcPr>
            <w:tcW w:w="220" w:type="dxa"/>
            <w:vAlign w:val="bottom"/>
            <w:shd w:val="clear" w:color="auto" w:fill="CFF0FC"/>
          </w:tcPr>
          <w:p>
            <w:pPr>
              <w:spacing w:after="0"/>
              <w:rPr>
                <w:sz w:val="14"/>
                <w:szCs w:val="14"/>
                <w:color w:val="auto"/>
              </w:rPr>
            </w:pPr>
          </w:p>
        </w:tc>
        <w:tc>
          <w:tcPr>
            <w:tcW w:w="7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72</w:t>
            </w:r>
          </w:p>
        </w:tc>
        <w:tc>
          <w:tcPr>
            <w:tcW w:w="220" w:type="dxa"/>
            <w:vAlign w:val="bottom"/>
            <w:shd w:val="clear" w:color="auto" w:fill="CFF0FC"/>
          </w:tcPr>
          <w:p>
            <w:pPr>
              <w:spacing w:after="0"/>
              <w:rPr>
                <w:sz w:val="14"/>
                <w:szCs w:val="14"/>
                <w:color w:val="auto"/>
              </w:rPr>
            </w:pPr>
          </w:p>
        </w:tc>
        <w:tc>
          <w:tcPr>
            <w:tcW w:w="7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30</w:t>
            </w:r>
          </w:p>
        </w:tc>
        <w:tc>
          <w:tcPr>
            <w:tcW w:w="220" w:type="dxa"/>
            <w:vAlign w:val="bottom"/>
            <w:shd w:val="clear" w:color="auto" w:fill="CFF0FC"/>
          </w:tcPr>
          <w:p>
            <w:pPr>
              <w:spacing w:after="0"/>
              <w:rPr>
                <w:sz w:val="14"/>
                <w:szCs w:val="14"/>
                <w:color w:val="auto"/>
              </w:rPr>
            </w:pPr>
          </w:p>
        </w:tc>
        <w:tc>
          <w:tcPr>
            <w:tcW w:w="9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7</w:t>
            </w:r>
          </w:p>
        </w:tc>
        <w:tc>
          <w:tcPr>
            <w:tcW w:w="620" w:type="dxa"/>
            <w:vAlign w:val="bottom"/>
            <w:gridSpan w:val="2"/>
            <w:shd w:val="clear" w:color="auto" w:fill="CFF0FC"/>
          </w:tcPr>
          <w:p>
            <w:pPr>
              <w:jc w:val="right"/>
              <w:spacing w:after="0"/>
              <w:rPr>
                <w:sz w:val="20"/>
                <w:szCs w:val="20"/>
                <w:color w:val="auto"/>
              </w:rPr>
            </w:pPr>
            <w:r>
              <w:rPr>
                <w:rFonts w:ascii="Arial" w:cs="Arial" w:eastAsia="Arial" w:hAnsi="Arial"/>
                <w:sz w:val="14"/>
                <w:szCs w:val="14"/>
                <w:color w:val="auto"/>
              </w:rPr>
              <w:t>$1,800</w:t>
            </w:r>
          </w:p>
        </w:tc>
        <w:tc>
          <w:tcPr>
            <w:tcW w:w="500" w:type="dxa"/>
            <w:vAlign w:val="bottom"/>
            <w:shd w:val="clear" w:color="auto" w:fill="CFF0FC"/>
          </w:tcPr>
          <w:p>
            <w:pPr>
              <w:ind w:left="20"/>
              <w:spacing w:after="0"/>
              <w:rPr>
                <w:sz w:val="20"/>
                <w:szCs w:val="20"/>
                <w:color w:val="auto"/>
              </w:rPr>
            </w:pPr>
            <w:r>
              <w:rPr>
                <w:rFonts w:ascii="Arial" w:cs="Arial" w:eastAsia="Arial" w:hAnsi="Arial"/>
                <w:sz w:val="14"/>
                <w:szCs w:val="14"/>
                <w:color w:val="auto"/>
                <w:w w:val="89"/>
              </w:rPr>
              <w:t>- $2,300</w:t>
            </w:r>
          </w:p>
        </w:tc>
        <w:tc>
          <w:tcPr>
            <w:tcW w:w="0" w:type="dxa"/>
            <w:vAlign w:val="bottom"/>
          </w:tcPr>
          <w:p>
            <w:pPr>
              <w:spacing w:after="0"/>
              <w:rPr>
                <w:sz w:val="1"/>
                <w:szCs w:val="1"/>
                <w:color w:val="auto"/>
              </w:rPr>
            </w:pPr>
          </w:p>
        </w:tc>
      </w:tr>
      <w:tr>
        <w:trPr>
          <w:trHeight w:val="162"/>
        </w:trPr>
        <w:tc>
          <w:tcPr>
            <w:tcW w:w="4220" w:type="dxa"/>
            <w:vAlign w:val="bottom"/>
            <w:gridSpan w:val="2"/>
          </w:tcPr>
          <w:p>
            <w:pPr>
              <w:ind w:left="380"/>
              <w:spacing w:after="0"/>
              <w:rPr>
                <w:sz w:val="20"/>
                <w:szCs w:val="20"/>
                <w:color w:val="auto"/>
              </w:rPr>
            </w:pPr>
            <w:r>
              <w:rPr>
                <w:rFonts w:ascii="Arial" w:cs="Arial" w:eastAsia="Arial" w:hAnsi="Arial"/>
                <w:sz w:val="14"/>
                <w:szCs w:val="14"/>
                <w:color w:val="auto"/>
              </w:rPr>
              <w:t>Sorrento Heights Prestige Collection</w:t>
            </w:r>
          </w:p>
        </w:tc>
        <w:tc>
          <w:tcPr>
            <w:tcW w:w="900" w:type="dxa"/>
            <w:vAlign w:val="bottom"/>
          </w:tcPr>
          <w:p>
            <w:pPr>
              <w:jc w:val="center"/>
              <w:spacing w:after="0"/>
              <w:rPr>
                <w:sz w:val="20"/>
                <w:szCs w:val="20"/>
                <w:color w:val="auto"/>
              </w:rPr>
            </w:pPr>
            <w:r>
              <w:rPr>
                <w:rFonts w:ascii="Arial" w:cs="Arial" w:eastAsia="Arial" w:hAnsi="Arial"/>
                <w:sz w:val="14"/>
                <w:szCs w:val="14"/>
                <w:color w:val="auto"/>
                <w:w w:val="83"/>
              </w:rPr>
              <w:t>2014</w:t>
            </w:r>
          </w:p>
        </w:tc>
        <w:tc>
          <w:tcPr>
            <w:tcW w:w="120" w:type="dxa"/>
            <w:vAlign w:val="bottom"/>
          </w:tcPr>
          <w:p>
            <w:pPr>
              <w:spacing w:after="0"/>
              <w:rPr>
                <w:sz w:val="14"/>
                <w:szCs w:val="14"/>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20</w:t>
            </w:r>
          </w:p>
        </w:tc>
        <w:tc>
          <w:tcPr>
            <w:tcW w:w="220" w:type="dxa"/>
            <w:vAlign w:val="bottom"/>
          </w:tcPr>
          <w:p>
            <w:pPr>
              <w:spacing w:after="0"/>
              <w:rPr>
                <w:sz w:val="14"/>
                <w:szCs w:val="14"/>
                <w:color w:val="auto"/>
              </w:rPr>
            </w:pPr>
          </w:p>
        </w:tc>
        <w:tc>
          <w:tcPr>
            <w:tcW w:w="860" w:type="dxa"/>
            <w:vAlign w:val="bottom"/>
          </w:tcPr>
          <w:p>
            <w:pPr>
              <w:jc w:val="right"/>
              <w:spacing w:after="0"/>
              <w:rPr>
                <w:sz w:val="20"/>
                <w:szCs w:val="20"/>
                <w:color w:val="auto"/>
              </w:rPr>
            </w:pPr>
            <w:r>
              <w:rPr>
                <w:rFonts w:ascii="Arial" w:cs="Arial" w:eastAsia="Arial" w:hAnsi="Arial"/>
                <w:sz w:val="14"/>
                <w:szCs w:val="14"/>
                <w:color w:val="auto"/>
              </w:rPr>
              <w:t>20</w:t>
            </w:r>
          </w:p>
        </w:tc>
        <w:tc>
          <w:tcPr>
            <w:tcW w:w="220" w:type="dxa"/>
            <w:vAlign w:val="bottom"/>
          </w:tcPr>
          <w:p>
            <w:pPr>
              <w:spacing w:after="0"/>
              <w:rPr>
                <w:sz w:val="14"/>
                <w:szCs w:val="14"/>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w:t>
            </w:r>
          </w:p>
        </w:tc>
        <w:tc>
          <w:tcPr>
            <w:tcW w:w="220" w:type="dxa"/>
            <w:vAlign w:val="bottom"/>
          </w:tcPr>
          <w:p>
            <w:pPr>
              <w:spacing w:after="0"/>
              <w:rPr>
                <w:sz w:val="14"/>
                <w:szCs w:val="14"/>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w:t>
            </w:r>
          </w:p>
        </w:tc>
        <w:tc>
          <w:tcPr>
            <w:tcW w:w="220" w:type="dxa"/>
            <w:vAlign w:val="bottom"/>
          </w:tcPr>
          <w:p>
            <w:pPr>
              <w:spacing w:after="0"/>
              <w:rPr>
                <w:sz w:val="14"/>
                <w:szCs w:val="14"/>
                <w:color w:val="auto"/>
              </w:rPr>
            </w:pPr>
          </w:p>
        </w:tc>
        <w:tc>
          <w:tcPr>
            <w:tcW w:w="980" w:type="dxa"/>
            <w:vAlign w:val="bottom"/>
          </w:tcPr>
          <w:p>
            <w:pPr>
              <w:jc w:val="right"/>
              <w:spacing w:after="0"/>
              <w:rPr>
                <w:sz w:val="20"/>
                <w:szCs w:val="20"/>
                <w:color w:val="auto"/>
              </w:rPr>
            </w:pPr>
            <w:r>
              <w:rPr>
                <w:rFonts w:ascii="Arial" w:cs="Arial" w:eastAsia="Arial" w:hAnsi="Arial"/>
                <w:sz w:val="14"/>
                <w:szCs w:val="14"/>
                <w:color w:val="auto"/>
              </w:rPr>
              <w:t>2</w:t>
            </w:r>
          </w:p>
        </w:tc>
        <w:tc>
          <w:tcPr>
            <w:tcW w:w="620" w:type="dxa"/>
            <w:vAlign w:val="bottom"/>
            <w:gridSpan w:val="2"/>
          </w:tcPr>
          <w:p>
            <w:pPr>
              <w:jc w:val="right"/>
              <w:spacing w:after="0"/>
              <w:rPr>
                <w:sz w:val="20"/>
                <w:szCs w:val="20"/>
                <w:color w:val="auto"/>
              </w:rPr>
            </w:pPr>
            <w:r>
              <w:rPr>
                <w:rFonts w:ascii="Arial" w:cs="Arial" w:eastAsia="Arial" w:hAnsi="Arial"/>
                <w:sz w:val="14"/>
                <w:szCs w:val="14"/>
                <w:color w:val="auto"/>
              </w:rPr>
              <w:t>$890</w:t>
            </w:r>
          </w:p>
        </w:tc>
        <w:tc>
          <w:tcPr>
            <w:tcW w:w="500" w:type="dxa"/>
            <w:vAlign w:val="bottom"/>
          </w:tcPr>
          <w:p>
            <w:pPr>
              <w:ind w:left="20"/>
              <w:spacing w:after="0"/>
              <w:rPr>
                <w:sz w:val="20"/>
                <w:szCs w:val="20"/>
                <w:color w:val="auto"/>
              </w:rPr>
            </w:pPr>
            <w:r>
              <w:rPr>
                <w:rFonts w:ascii="Arial" w:cs="Arial" w:eastAsia="Arial" w:hAnsi="Arial"/>
                <w:sz w:val="14"/>
                <w:szCs w:val="14"/>
                <w:color w:val="auto"/>
              </w:rPr>
              <w:t>- $950</w:t>
            </w:r>
          </w:p>
        </w:tc>
        <w:tc>
          <w:tcPr>
            <w:tcW w:w="0" w:type="dxa"/>
            <w:vAlign w:val="bottom"/>
          </w:tcPr>
          <w:p>
            <w:pPr>
              <w:spacing w:after="0"/>
              <w:rPr>
                <w:sz w:val="1"/>
                <w:szCs w:val="1"/>
                <w:color w:val="auto"/>
              </w:rPr>
            </w:pPr>
          </w:p>
        </w:tc>
      </w:tr>
      <w:tr>
        <w:trPr>
          <w:trHeight w:val="162"/>
        </w:trPr>
        <w:tc>
          <w:tcPr>
            <w:tcW w:w="4220" w:type="dxa"/>
            <w:vAlign w:val="bottom"/>
            <w:gridSpan w:val="2"/>
            <w:shd w:val="clear" w:color="auto" w:fill="CFF0FC"/>
          </w:tcPr>
          <w:p>
            <w:pPr>
              <w:ind w:left="380"/>
              <w:spacing w:after="0"/>
              <w:rPr>
                <w:sz w:val="20"/>
                <w:szCs w:val="20"/>
                <w:color w:val="auto"/>
              </w:rPr>
            </w:pPr>
            <w:r>
              <w:rPr>
                <w:rFonts w:ascii="Arial" w:cs="Arial" w:eastAsia="Arial" w:hAnsi="Arial"/>
                <w:sz w:val="14"/>
                <w:szCs w:val="14"/>
                <w:color w:val="auto"/>
              </w:rPr>
              <w:t>Watermark</w:t>
            </w:r>
          </w:p>
        </w:tc>
        <w:tc>
          <w:tcPr>
            <w:tcW w:w="900" w:type="dxa"/>
            <w:vAlign w:val="bottom"/>
            <w:shd w:val="clear" w:color="auto" w:fill="CFF0FC"/>
          </w:tcPr>
          <w:p>
            <w:pPr>
              <w:jc w:val="center"/>
              <w:spacing w:after="0"/>
              <w:rPr>
                <w:sz w:val="20"/>
                <w:szCs w:val="20"/>
                <w:color w:val="auto"/>
              </w:rPr>
            </w:pPr>
            <w:r>
              <w:rPr>
                <w:rFonts w:ascii="Arial" w:cs="Arial" w:eastAsia="Arial" w:hAnsi="Arial"/>
                <w:sz w:val="14"/>
                <w:szCs w:val="14"/>
                <w:color w:val="auto"/>
                <w:w w:val="83"/>
              </w:rPr>
              <w:t>2013</w:t>
            </w:r>
          </w:p>
        </w:tc>
        <w:tc>
          <w:tcPr>
            <w:tcW w:w="120" w:type="dxa"/>
            <w:vAlign w:val="bottom"/>
            <w:shd w:val="clear" w:color="auto" w:fill="CFF0FC"/>
          </w:tcPr>
          <w:p>
            <w:pPr>
              <w:spacing w:after="0"/>
              <w:rPr>
                <w:sz w:val="14"/>
                <w:szCs w:val="14"/>
                <w:color w:val="auto"/>
              </w:rPr>
            </w:pPr>
          </w:p>
        </w:tc>
        <w:tc>
          <w:tcPr>
            <w:tcW w:w="7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160</w:t>
            </w:r>
          </w:p>
        </w:tc>
        <w:tc>
          <w:tcPr>
            <w:tcW w:w="220" w:type="dxa"/>
            <w:vAlign w:val="bottom"/>
            <w:shd w:val="clear" w:color="auto" w:fill="CFF0FC"/>
          </w:tcPr>
          <w:p>
            <w:pPr>
              <w:spacing w:after="0"/>
              <w:rPr>
                <w:sz w:val="14"/>
                <w:szCs w:val="14"/>
                <w:color w:val="auto"/>
              </w:rPr>
            </w:pPr>
          </w:p>
        </w:tc>
        <w:tc>
          <w:tcPr>
            <w:tcW w:w="860" w:type="dxa"/>
            <w:vAlign w:val="bottom"/>
            <w:shd w:val="clear" w:color="auto" w:fill="CFF0FC"/>
          </w:tcPr>
          <w:p>
            <w:pPr>
              <w:jc w:val="right"/>
              <w:spacing w:after="0"/>
              <w:rPr>
                <w:sz w:val="20"/>
                <w:szCs w:val="20"/>
                <w:color w:val="auto"/>
              </w:rPr>
            </w:pPr>
            <w:r>
              <w:rPr>
                <w:rFonts w:ascii="Arial" w:cs="Arial" w:eastAsia="Arial" w:hAnsi="Arial"/>
                <w:sz w:val="14"/>
                <w:szCs w:val="14"/>
                <w:color w:val="auto"/>
              </w:rPr>
              <w:t>76</w:t>
            </w:r>
          </w:p>
        </w:tc>
        <w:tc>
          <w:tcPr>
            <w:tcW w:w="220" w:type="dxa"/>
            <w:vAlign w:val="bottom"/>
            <w:shd w:val="clear" w:color="auto" w:fill="CFF0FC"/>
          </w:tcPr>
          <w:p>
            <w:pPr>
              <w:spacing w:after="0"/>
              <w:rPr>
                <w:sz w:val="14"/>
                <w:szCs w:val="14"/>
                <w:color w:val="auto"/>
              </w:rPr>
            </w:pPr>
          </w:p>
        </w:tc>
        <w:tc>
          <w:tcPr>
            <w:tcW w:w="7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84</w:t>
            </w:r>
          </w:p>
        </w:tc>
        <w:tc>
          <w:tcPr>
            <w:tcW w:w="220" w:type="dxa"/>
            <w:vAlign w:val="bottom"/>
            <w:shd w:val="clear" w:color="auto" w:fill="CFF0FC"/>
          </w:tcPr>
          <w:p>
            <w:pPr>
              <w:spacing w:after="0"/>
              <w:rPr>
                <w:sz w:val="14"/>
                <w:szCs w:val="14"/>
                <w:color w:val="auto"/>
              </w:rPr>
            </w:pPr>
          </w:p>
        </w:tc>
        <w:tc>
          <w:tcPr>
            <w:tcW w:w="7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37</w:t>
            </w:r>
          </w:p>
        </w:tc>
        <w:tc>
          <w:tcPr>
            <w:tcW w:w="220" w:type="dxa"/>
            <w:vAlign w:val="bottom"/>
            <w:shd w:val="clear" w:color="auto" w:fill="CFF0FC"/>
          </w:tcPr>
          <w:p>
            <w:pPr>
              <w:spacing w:after="0"/>
              <w:rPr>
                <w:sz w:val="14"/>
                <w:szCs w:val="14"/>
                <w:color w:val="auto"/>
              </w:rPr>
            </w:pPr>
          </w:p>
        </w:tc>
        <w:tc>
          <w:tcPr>
            <w:tcW w:w="9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13</w:t>
            </w:r>
          </w:p>
        </w:tc>
        <w:tc>
          <w:tcPr>
            <w:tcW w:w="620" w:type="dxa"/>
            <w:vAlign w:val="bottom"/>
            <w:gridSpan w:val="2"/>
            <w:shd w:val="clear" w:color="auto" w:fill="CFF0FC"/>
          </w:tcPr>
          <w:p>
            <w:pPr>
              <w:jc w:val="right"/>
              <w:spacing w:after="0"/>
              <w:rPr>
                <w:sz w:val="20"/>
                <w:szCs w:val="20"/>
                <w:color w:val="auto"/>
              </w:rPr>
            </w:pPr>
            <w:r>
              <w:rPr>
                <w:rFonts w:ascii="Arial" w:cs="Arial" w:eastAsia="Arial" w:hAnsi="Arial"/>
                <w:sz w:val="14"/>
                <w:szCs w:val="14"/>
                <w:color w:val="auto"/>
              </w:rPr>
              <w:t>$1,155</w:t>
            </w:r>
          </w:p>
        </w:tc>
        <w:tc>
          <w:tcPr>
            <w:tcW w:w="500" w:type="dxa"/>
            <w:vAlign w:val="bottom"/>
            <w:shd w:val="clear" w:color="auto" w:fill="CFF0FC"/>
          </w:tcPr>
          <w:p>
            <w:pPr>
              <w:ind w:left="20"/>
              <w:spacing w:after="0"/>
              <w:rPr>
                <w:sz w:val="20"/>
                <w:szCs w:val="20"/>
                <w:color w:val="auto"/>
              </w:rPr>
            </w:pPr>
            <w:r>
              <w:rPr>
                <w:rFonts w:ascii="Arial" w:cs="Arial" w:eastAsia="Arial" w:hAnsi="Arial"/>
                <w:sz w:val="14"/>
                <w:szCs w:val="14"/>
                <w:color w:val="auto"/>
                <w:w w:val="89"/>
              </w:rPr>
              <w:t>- $1,300</w:t>
            </w:r>
          </w:p>
        </w:tc>
        <w:tc>
          <w:tcPr>
            <w:tcW w:w="0" w:type="dxa"/>
            <w:vAlign w:val="bottom"/>
          </w:tcPr>
          <w:p>
            <w:pPr>
              <w:spacing w:after="0"/>
              <w:rPr>
                <w:sz w:val="1"/>
                <w:szCs w:val="1"/>
                <w:color w:val="auto"/>
              </w:rPr>
            </w:pPr>
          </w:p>
        </w:tc>
      </w:tr>
      <w:tr>
        <w:trPr>
          <w:trHeight w:val="162"/>
        </w:trPr>
        <w:tc>
          <w:tcPr>
            <w:tcW w:w="4220" w:type="dxa"/>
            <w:vAlign w:val="bottom"/>
            <w:gridSpan w:val="2"/>
          </w:tcPr>
          <w:p>
            <w:pPr>
              <w:ind w:left="380"/>
              <w:spacing w:after="0"/>
              <w:rPr>
                <w:sz w:val="20"/>
                <w:szCs w:val="20"/>
                <w:color w:val="auto"/>
              </w:rPr>
            </w:pPr>
            <w:r>
              <w:rPr>
                <w:rFonts w:ascii="Arial" w:cs="Arial" w:eastAsia="Arial" w:hAnsi="Arial"/>
                <w:sz w:val="14"/>
                <w:szCs w:val="14"/>
                <w:color w:val="auto"/>
              </w:rPr>
              <w:t>Canterra</w:t>
            </w:r>
          </w:p>
        </w:tc>
        <w:tc>
          <w:tcPr>
            <w:tcW w:w="900" w:type="dxa"/>
            <w:vAlign w:val="bottom"/>
          </w:tcPr>
          <w:p>
            <w:pPr>
              <w:jc w:val="center"/>
              <w:spacing w:after="0"/>
              <w:rPr>
                <w:sz w:val="20"/>
                <w:szCs w:val="20"/>
                <w:color w:val="auto"/>
              </w:rPr>
            </w:pPr>
            <w:r>
              <w:rPr>
                <w:rFonts w:ascii="Arial" w:cs="Arial" w:eastAsia="Arial" w:hAnsi="Arial"/>
                <w:sz w:val="14"/>
                <w:szCs w:val="14"/>
                <w:color w:val="auto"/>
                <w:w w:val="83"/>
              </w:rPr>
              <w:t>2015</w:t>
            </w:r>
          </w:p>
        </w:tc>
        <w:tc>
          <w:tcPr>
            <w:tcW w:w="120" w:type="dxa"/>
            <w:vAlign w:val="bottom"/>
          </w:tcPr>
          <w:p>
            <w:pPr>
              <w:spacing w:after="0"/>
              <w:rPr>
                <w:sz w:val="14"/>
                <w:szCs w:val="14"/>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89</w:t>
            </w:r>
          </w:p>
        </w:tc>
        <w:tc>
          <w:tcPr>
            <w:tcW w:w="220" w:type="dxa"/>
            <w:vAlign w:val="bottom"/>
          </w:tcPr>
          <w:p>
            <w:pPr>
              <w:spacing w:after="0"/>
              <w:rPr>
                <w:sz w:val="14"/>
                <w:szCs w:val="14"/>
                <w:color w:val="auto"/>
              </w:rPr>
            </w:pPr>
          </w:p>
        </w:tc>
        <w:tc>
          <w:tcPr>
            <w:tcW w:w="860" w:type="dxa"/>
            <w:vAlign w:val="bottom"/>
          </w:tcPr>
          <w:p>
            <w:pPr>
              <w:jc w:val="right"/>
              <w:spacing w:after="0"/>
              <w:rPr>
                <w:sz w:val="20"/>
                <w:szCs w:val="20"/>
                <w:color w:val="auto"/>
              </w:rPr>
            </w:pPr>
            <w:r>
              <w:rPr>
                <w:rFonts w:ascii="Arial" w:cs="Arial" w:eastAsia="Arial" w:hAnsi="Arial"/>
                <w:sz w:val="14"/>
                <w:szCs w:val="14"/>
                <w:color w:val="auto"/>
              </w:rPr>
              <w:t>-</w:t>
            </w:r>
          </w:p>
        </w:tc>
        <w:tc>
          <w:tcPr>
            <w:tcW w:w="220" w:type="dxa"/>
            <w:vAlign w:val="bottom"/>
          </w:tcPr>
          <w:p>
            <w:pPr>
              <w:spacing w:after="0"/>
              <w:rPr>
                <w:sz w:val="14"/>
                <w:szCs w:val="14"/>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89</w:t>
            </w:r>
          </w:p>
        </w:tc>
        <w:tc>
          <w:tcPr>
            <w:tcW w:w="220" w:type="dxa"/>
            <w:vAlign w:val="bottom"/>
          </w:tcPr>
          <w:p>
            <w:pPr>
              <w:spacing w:after="0"/>
              <w:rPr>
                <w:sz w:val="14"/>
                <w:szCs w:val="14"/>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w:t>
            </w:r>
          </w:p>
        </w:tc>
        <w:tc>
          <w:tcPr>
            <w:tcW w:w="220" w:type="dxa"/>
            <w:vAlign w:val="bottom"/>
          </w:tcPr>
          <w:p>
            <w:pPr>
              <w:spacing w:after="0"/>
              <w:rPr>
                <w:sz w:val="14"/>
                <w:szCs w:val="14"/>
                <w:color w:val="auto"/>
              </w:rPr>
            </w:pPr>
          </w:p>
        </w:tc>
        <w:tc>
          <w:tcPr>
            <w:tcW w:w="980" w:type="dxa"/>
            <w:vAlign w:val="bottom"/>
          </w:tcPr>
          <w:p>
            <w:pPr>
              <w:jc w:val="right"/>
              <w:spacing w:after="0"/>
              <w:rPr>
                <w:sz w:val="20"/>
                <w:szCs w:val="20"/>
                <w:color w:val="auto"/>
              </w:rPr>
            </w:pPr>
            <w:r>
              <w:rPr>
                <w:rFonts w:ascii="Arial" w:cs="Arial" w:eastAsia="Arial" w:hAnsi="Arial"/>
                <w:sz w:val="14"/>
                <w:szCs w:val="14"/>
                <w:color w:val="auto"/>
              </w:rPr>
              <w:t>-</w:t>
            </w:r>
          </w:p>
        </w:tc>
        <w:tc>
          <w:tcPr>
            <w:tcW w:w="620" w:type="dxa"/>
            <w:vAlign w:val="bottom"/>
            <w:gridSpan w:val="2"/>
          </w:tcPr>
          <w:p>
            <w:pPr>
              <w:jc w:val="right"/>
              <w:spacing w:after="0"/>
              <w:rPr>
                <w:sz w:val="20"/>
                <w:szCs w:val="20"/>
                <w:color w:val="auto"/>
              </w:rPr>
            </w:pPr>
            <w:r>
              <w:rPr>
                <w:rFonts w:ascii="Arial" w:cs="Arial" w:eastAsia="Arial" w:hAnsi="Arial"/>
                <w:sz w:val="14"/>
                <w:szCs w:val="14"/>
                <w:color w:val="auto"/>
              </w:rPr>
              <w:t>$720</w:t>
            </w:r>
          </w:p>
        </w:tc>
        <w:tc>
          <w:tcPr>
            <w:tcW w:w="500" w:type="dxa"/>
            <w:vAlign w:val="bottom"/>
          </w:tcPr>
          <w:p>
            <w:pPr>
              <w:ind w:left="20"/>
              <w:spacing w:after="0"/>
              <w:rPr>
                <w:sz w:val="20"/>
                <w:szCs w:val="20"/>
                <w:color w:val="auto"/>
              </w:rPr>
            </w:pPr>
            <w:r>
              <w:rPr>
                <w:rFonts w:ascii="Arial" w:cs="Arial" w:eastAsia="Arial" w:hAnsi="Arial"/>
                <w:sz w:val="14"/>
                <w:szCs w:val="14"/>
                <w:color w:val="auto"/>
              </w:rPr>
              <w:t>- $740</w:t>
            </w:r>
          </w:p>
        </w:tc>
        <w:tc>
          <w:tcPr>
            <w:tcW w:w="0" w:type="dxa"/>
            <w:vAlign w:val="bottom"/>
          </w:tcPr>
          <w:p>
            <w:pPr>
              <w:spacing w:after="0"/>
              <w:rPr>
                <w:sz w:val="1"/>
                <w:szCs w:val="1"/>
                <w:color w:val="auto"/>
              </w:rPr>
            </w:pPr>
          </w:p>
        </w:tc>
      </w:tr>
      <w:tr>
        <w:trPr>
          <w:trHeight w:val="162"/>
        </w:trPr>
        <w:tc>
          <w:tcPr>
            <w:tcW w:w="4220" w:type="dxa"/>
            <w:vAlign w:val="bottom"/>
            <w:gridSpan w:val="2"/>
            <w:shd w:val="clear" w:color="auto" w:fill="CFF0FC"/>
          </w:tcPr>
          <w:p>
            <w:pPr>
              <w:ind w:left="380"/>
              <w:spacing w:after="0"/>
              <w:rPr>
                <w:sz w:val="20"/>
                <w:szCs w:val="20"/>
                <w:color w:val="auto"/>
              </w:rPr>
            </w:pPr>
            <w:r>
              <w:rPr>
                <w:rFonts w:ascii="Arial" w:cs="Arial" w:eastAsia="Arial" w:hAnsi="Arial"/>
                <w:sz w:val="14"/>
                <w:szCs w:val="14"/>
                <w:color w:val="auto"/>
              </w:rPr>
              <w:t>Casabella</w:t>
            </w:r>
          </w:p>
        </w:tc>
        <w:tc>
          <w:tcPr>
            <w:tcW w:w="900" w:type="dxa"/>
            <w:vAlign w:val="bottom"/>
            <w:shd w:val="clear" w:color="auto" w:fill="CFF0FC"/>
          </w:tcPr>
          <w:p>
            <w:pPr>
              <w:jc w:val="center"/>
              <w:spacing w:after="0"/>
              <w:rPr>
                <w:sz w:val="20"/>
                <w:szCs w:val="20"/>
                <w:color w:val="auto"/>
              </w:rPr>
            </w:pPr>
            <w:r>
              <w:rPr>
                <w:rFonts w:ascii="Arial" w:cs="Arial" w:eastAsia="Arial" w:hAnsi="Arial"/>
                <w:sz w:val="14"/>
                <w:szCs w:val="14"/>
                <w:color w:val="auto"/>
                <w:w w:val="83"/>
              </w:rPr>
              <w:t>2015</w:t>
            </w:r>
          </w:p>
        </w:tc>
        <w:tc>
          <w:tcPr>
            <w:tcW w:w="120" w:type="dxa"/>
            <w:vAlign w:val="bottom"/>
            <w:shd w:val="clear" w:color="auto" w:fill="CFF0FC"/>
          </w:tcPr>
          <w:p>
            <w:pPr>
              <w:spacing w:after="0"/>
              <w:rPr>
                <w:sz w:val="14"/>
                <w:szCs w:val="14"/>
                <w:color w:val="auto"/>
              </w:rPr>
            </w:pPr>
          </w:p>
        </w:tc>
        <w:tc>
          <w:tcPr>
            <w:tcW w:w="7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122</w:t>
            </w:r>
          </w:p>
        </w:tc>
        <w:tc>
          <w:tcPr>
            <w:tcW w:w="220" w:type="dxa"/>
            <w:vAlign w:val="bottom"/>
            <w:shd w:val="clear" w:color="auto" w:fill="CFF0FC"/>
          </w:tcPr>
          <w:p>
            <w:pPr>
              <w:spacing w:after="0"/>
              <w:rPr>
                <w:sz w:val="14"/>
                <w:szCs w:val="14"/>
                <w:color w:val="auto"/>
              </w:rPr>
            </w:pPr>
          </w:p>
        </w:tc>
        <w:tc>
          <w:tcPr>
            <w:tcW w:w="860" w:type="dxa"/>
            <w:vAlign w:val="bottom"/>
            <w:shd w:val="clear" w:color="auto" w:fill="CFF0FC"/>
          </w:tcPr>
          <w:p>
            <w:pPr>
              <w:jc w:val="right"/>
              <w:spacing w:after="0"/>
              <w:rPr>
                <w:sz w:val="20"/>
                <w:szCs w:val="20"/>
                <w:color w:val="auto"/>
              </w:rPr>
            </w:pPr>
            <w:r>
              <w:rPr>
                <w:rFonts w:ascii="Arial" w:cs="Arial" w:eastAsia="Arial" w:hAnsi="Arial"/>
                <w:sz w:val="14"/>
                <w:szCs w:val="14"/>
                <w:color w:val="auto"/>
              </w:rPr>
              <w:t>-</w:t>
            </w:r>
          </w:p>
        </w:tc>
        <w:tc>
          <w:tcPr>
            <w:tcW w:w="220" w:type="dxa"/>
            <w:vAlign w:val="bottom"/>
            <w:shd w:val="clear" w:color="auto" w:fill="CFF0FC"/>
          </w:tcPr>
          <w:p>
            <w:pPr>
              <w:spacing w:after="0"/>
              <w:rPr>
                <w:sz w:val="14"/>
                <w:szCs w:val="14"/>
                <w:color w:val="auto"/>
              </w:rPr>
            </w:pPr>
          </w:p>
        </w:tc>
        <w:tc>
          <w:tcPr>
            <w:tcW w:w="7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122</w:t>
            </w:r>
          </w:p>
        </w:tc>
        <w:tc>
          <w:tcPr>
            <w:tcW w:w="220" w:type="dxa"/>
            <w:vAlign w:val="bottom"/>
            <w:shd w:val="clear" w:color="auto" w:fill="CFF0FC"/>
          </w:tcPr>
          <w:p>
            <w:pPr>
              <w:spacing w:after="0"/>
              <w:rPr>
                <w:sz w:val="14"/>
                <w:szCs w:val="14"/>
                <w:color w:val="auto"/>
              </w:rPr>
            </w:pPr>
          </w:p>
        </w:tc>
        <w:tc>
          <w:tcPr>
            <w:tcW w:w="7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w:t>
            </w:r>
          </w:p>
        </w:tc>
        <w:tc>
          <w:tcPr>
            <w:tcW w:w="220" w:type="dxa"/>
            <w:vAlign w:val="bottom"/>
            <w:shd w:val="clear" w:color="auto" w:fill="CFF0FC"/>
          </w:tcPr>
          <w:p>
            <w:pPr>
              <w:spacing w:after="0"/>
              <w:rPr>
                <w:sz w:val="14"/>
                <w:szCs w:val="14"/>
                <w:color w:val="auto"/>
              </w:rPr>
            </w:pPr>
          </w:p>
        </w:tc>
        <w:tc>
          <w:tcPr>
            <w:tcW w:w="9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w:t>
            </w:r>
          </w:p>
        </w:tc>
        <w:tc>
          <w:tcPr>
            <w:tcW w:w="620" w:type="dxa"/>
            <w:vAlign w:val="bottom"/>
            <w:gridSpan w:val="2"/>
            <w:shd w:val="clear" w:color="auto" w:fill="CFF0FC"/>
          </w:tcPr>
          <w:p>
            <w:pPr>
              <w:jc w:val="right"/>
              <w:spacing w:after="0"/>
              <w:rPr>
                <w:sz w:val="20"/>
                <w:szCs w:val="20"/>
                <w:color w:val="auto"/>
              </w:rPr>
            </w:pPr>
            <w:r>
              <w:rPr>
                <w:rFonts w:ascii="Arial" w:cs="Arial" w:eastAsia="Arial" w:hAnsi="Arial"/>
                <w:sz w:val="14"/>
                <w:szCs w:val="14"/>
                <w:color w:val="auto"/>
              </w:rPr>
              <w:t>$825</w:t>
            </w:r>
          </w:p>
        </w:tc>
        <w:tc>
          <w:tcPr>
            <w:tcW w:w="500" w:type="dxa"/>
            <w:vAlign w:val="bottom"/>
            <w:shd w:val="clear" w:color="auto" w:fill="CFF0FC"/>
          </w:tcPr>
          <w:p>
            <w:pPr>
              <w:ind w:left="20"/>
              <w:spacing w:after="0"/>
              <w:rPr>
                <w:sz w:val="20"/>
                <w:szCs w:val="20"/>
                <w:color w:val="auto"/>
              </w:rPr>
            </w:pPr>
            <w:r>
              <w:rPr>
                <w:rFonts w:ascii="Arial" w:cs="Arial" w:eastAsia="Arial" w:hAnsi="Arial"/>
                <w:sz w:val="14"/>
                <w:szCs w:val="14"/>
                <w:color w:val="auto"/>
              </w:rPr>
              <w:t>- $855</w:t>
            </w:r>
          </w:p>
        </w:tc>
        <w:tc>
          <w:tcPr>
            <w:tcW w:w="0" w:type="dxa"/>
            <w:vAlign w:val="bottom"/>
          </w:tcPr>
          <w:p>
            <w:pPr>
              <w:spacing w:after="0"/>
              <w:rPr>
                <w:sz w:val="1"/>
                <w:szCs w:val="1"/>
                <w:color w:val="auto"/>
              </w:rPr>
            </w:pPr>
          </w:p>
        </w:tc>
      </w:tr>
      <w:tr>
        <w:trPr>
          <w:trHeight w:val="162"/>
        </w:trPr>
        <w:tc>
          <w:tcPr>
            <w:tcW w:w="4220" w:type="dxa"/>
            <w:vAlign w:val="bottom"/>
            <w:gridSpan w:val="2"/>
          </w:tcPr>
          <w:p>
            <w:pPr>
              <w:ind w:left="380"/>
              <w:spacing w:after="0"/>
              <w:rPr>
                <w:sz w:val="20"/>
                <w:szCs w:val="20"/>
                <w:color w:val="auto"/>
              </w:rPr>
            </w:pPr>
            <w:r>
              <w:rPr>
                <w:rFonts w:ascii="Arial" w:cs="Arial" w:eastAsia="Arial" w:hAnsi="Arial"/>
                <w:sz w:val="14"/>
                <w:szCs w:val="14"/>
                <w:color w:val="auto"/>
              </w:rPr>
              <w:t>Verana</w:t>
            </w:r>
          </w:p>
        </w:tc>
        <w:tc>
          <w:tcPr>
            <w:tcW w:w="900" w:type="dxa"/>
            <w:vAlign w:val="bottom"/>
          </w:tcPr>
          <w:p>
            <w:pPr>
              <w:jc w:val="center"/>
              <w:spacing w:after="0"/>
              <w:rPr>
                <w:sz w:val="20"/>
                <w:szCs w:val="20"/>
                <w:color w:val="auto"/>
              </w:rPr>
            </w:pPr>
            <w:r>
              <w:rPr>
                <w:rFonts w:ascii="Arial" w:cs="Arial" w:eastAsia="Arial" w:hAnsi="Arial"/>
                <w:sz w:val="14"/>
                <w:szCs w:val="14"/>
                <w:color w:val="auto"/>
                <w:w w:val="83"/>
              </w:rPr>
              <w:t>2015</w:t>
            </w:r>
          </w:p>
        </w:tc>
        <w:tc>
          <w:tcPr>
            <w:tcW w:w="120" w:type="dxa"/>
            <w:vAlign w:val="bottom"/>
          </w:tcPr>
          <w:p>
            <w:pPr>
              <w:spacing w:after="0"/>
              <w:rPr>
                <w:sz w:val="14"/>
                <w:szCs w:val="14"/>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78</w:t>
            </w:r>
          </w:p>
        </w:tc>
        <w:tc>
          <w:tcPr>
            <w:tcW w:w="220" w:type="dxa"/>
            <w:vAlign w:val="bottom"/>
          </w:tcPr>
          <w:p>
            <w:pPr>
              <w:spacing w:after="0"/>
              <w:rPr>
                <w:sz w:val="14"/>
                <w:szCs w:val="14"/>
                <w:color w:val="auto"/>
              </w:rPr>
            </w:pPr>
          </w:p>
        </w:tc>
        <w:tc>
          <w:tcPr>
            <w:tcW w:w="860" w:type="dxa"/>
            <w:vAlign w:val="bottom"/>
          </w:tcPr>
          <w:p>
            <w:pPr>
              <w:jc w:val="right"/>
              <w:spacing w:after="0"/>
              <w:rPr>
                <w:sz w:val="20"/>
                <w:szCs w:val="20"/>
                <w:color w:val="auto"/>
              </w:rPr>
            </w:pPr>
            <w:r>
              <w:rPr>
                <w:rFonts w:ascii="Arial" w:cs="Arial" w:eastAsia="Arial" w:hAnsi="Arial"/>
                <w:sz w:val="14"/>
                <w:szCs w:val="14"/>
                <w:color w:val="auto"/>
              </w:rPr>
              <w:t>-</w:t>
            </w:r>
          </w:p>
        </w:tc>
        <w:tc>
          <w:tcPr>
            <w:tcW w:w="220" w:type="dxa"/>
            <w:vAlign w:val="bottom"/>
          </w:tcPr>
          <w:p>
            <w:pPr>
              <w:spacing w:after="0"/>
              <w:rPr>
                <w:sz w:val="14"/>
                <w:szCs w:val="14"/>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78</w:t>
            </w:r>
          </w:p>
        </w:tc>
        <w:tc>
          <w:tcPr>
            <w:tcW w:w="220" w:type="dxa"/>
            <w:vAlign w:val="bottom"/>
          </w:tcPr>
          <w:p>
            <w:pPr>
              <w:spacing w:after="0"/>
              <w:rPr>
                <w:sz w:val="14"/>
                <w:szCs w:val="14"/>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5</w:t>
            </w:r>
          </w:p>
        </w:tc>
        <w:tc>
          <w:tcPr>
            <w:tcW w:w="220" w:type="dxa"/>
            <w:vAlign w:val="bottom"/>
          </w:tcPr>
          <w:p>
            <w:pPr>
              <w:spacing w:after="0"/>
              <w:rPr>
                <w:sz w:val="14"/>
                <w:szCs w:val="14"/>
                <w:color w:val="auto"/>
              </w:rPr>
            </w:pPr>
          </w:p>
        </w:tc>
        <w:tc>
          <w:tcPr>
            <w:tcW w:w="980" w:type="dxa"/>
            <w:vAlign w:val="bottom"/>
          </w:tcPr>
          <w:p>
            <w:pPr>
              <w:jc w:val="right"/>
              <w:spacing w:after="0"/>
              <w:rPr>
                <w:sz w:val="20"/>
                <w:szCs w:val="20"/>
                <w:color w:val="auto"/>
              </w:rPr>
            </w:pPr>
            <w:r>
              <w:rPr>
                <w:rFonts w:ascii="Arial" w:cs="Arial" w:eastAsia="Arial" w:hAnsi="Arial"/>
                <w:sz w:val="14"/>
                <w:szCs w:val="14"/>
                <w:color w:val="auto"/>
              </w:rPr>
              <w:t>-</w:t>
            </w:r>
          </w:p>
        </w:tc>
        <w:tc>
          <w:tcPr>
            <w:tcW w:w="1120" w:type="dxa"/>
            <w:vAlign w:val="bottom"/>
            <w:gridSpan w:val="3"/>
          </w:tcPr>
          <w:p>
            <w:pPr>
              <w:jc w:val="center"/>
              <w:ind w:left="133"/>
              <w:spacing w:after="0"/>
              <w:rPr>
                <w:sz w:val="20"/>
                <w:szCs w:val="20"/>
                <w:color w:val="auto"/>
              </w:rPr>
            </w:pPr>
            <w:r>
              <w:rPr>
                <w:rFonts w:ascii="Arial" w:cs="Arial" w:eastAsia="Arial" w:hAnsi="Arial"/>
                <w:sz w:val="14"/>
                <w:szCs w:val="14"/>
                <w:color w:val="auto"/>
                <w:w w:val="87"/>
              </w:rPr>
              <w:t>$975 - $1,040</w:t>
            </w:r>
          </w:p>
        </w:tc>
        <w:tc>
          <w:tcPr>
            <w:tcW w:w="0" w:type="dxa"/>
            <w:vAlign w:val="bottom"/>
          </w:tcPr>
          <w:p>
            <w:pPr>
              <w:spacing w:after="0"/>
              <w:rPr>
                <w:sz w:val="1"/>
                <w:szCs w:val="1"/>
                <w:color w:val="auto"/>
              </w:rPr>
            </w:pPr>
          </w:p>
        </w:tc>
      </w:tr>
      <w:tr>
        <w:trPr>
          <w:trHeight w:val="162"/>
        </w:trPr>
        <w:tc>
          <w:tcPr>
            <w:tcW w:w="4220" w:type="dxa"/>
            <w:vAlign w:val="bottom"/>
            <w:gridSpan w:val="2"/>
            <w:shd w:val="clear" w:color="auto" w:fill="CFF0FC"/>
          </w:tcPr>
          <w:p>
            <w:pPr>
              <w:ind w:left="380"/>
              <w:spacing w:after="0"/>
              <w:rPr>
                <w:sz w:val="20"/>
                <w:szCs w:val="20"/>
                <w:color w:val="auto"/>
              </w:rPr>
            </w:pPr>
            <w:r>
              <w:rPr>
                <w:rFonts w:ascii="Arial" w:cs="Arial" w:eastAsia="Arial" w:hAnsi="Arial"/>
                <w:sz w:val="14"/>
                <w:szCs w:val="14"/>
                <w:color w:val="auto"/>
              </w:rPr>
              <w:t>Pacific Highlands Ranch Future</w:t>
            </w:r>
          </w:p>
        </w:tc>
        <w:tc>
          <w:tcPr>
            <w:tcW w:w="1020" w:type="dxa"/>
            <w:vAlign w:val="bottom"/>
            <w:gridSpan w:val="2"/>
            <w:shd w:val="clear" w:color="auto" w:fill="CFF0FC"/>
          </w:tcPr>
          <w:p>
            <w:pPr>
              <w:jc w:val="center"/>
              <w:ind w:right="120"/>
              <w:spacing w:after="0"/>
              <w:rPr>
                <w:sz w:val="20"/>
                <w:szCs w:val="20"/>
                <w:color w:val="auto"/>
              </w:rPr>
            </w:pPr>
            <w:r>
              <w:rPr>
                <w:rFonts w:ascii="Arial" w:cs="Arial" w:eastAsia="Arial" w:hAnsi="Arial"/>
                <w:sz w:val="14"/>
                <w:szCs w:val="14"/>
                <w:color w:val="auto"/>
                <w:w w:val="92"/>
              </w:rPr>
              <w:t>TBD</w:t>
            </w:r>
          </w:p>
        </w:tc>
        <w:tc>
          <w:tcPr>
            <w:tcW w:w="7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963</w:t>
            </w:r>
          </w:p>
        </w:tc>
        <w:tc>
          <w:tcPr>
            <w:tcW w:w="220" w:type="dxa"/>
            <w:vAlign w:val="bottom"/>
            <w:shd w:val="clear" w:color="auto" w:fill="CFF0FC"/>
          </w:tcPr>
          <w:p>
            <w:pPr>
              <w:spacing w:after="0"/>
              <w:rPr>
                <w:sz w:val="14"/>
                <w:szCs w:val="14"/>
                <w:color w:val="auto"/>
              </w:rPr>
            </w:pPr>
          </w:p>
        </w:tc>
        <w:tc>
          <w:tcPr>
            <w:tcW w:w="860" w:type="dxa"/>
            <w:vAlign w:val="bottom"/>
            <w:shd w:val="clear" w:color="auto" w:fill="CFF0FC"/>
          </w:tcPr>
          <w:p>
            <w:pPr>
              <w:jc w:val="right"/>
              <w:spacing w:after="0"/>
              <w:rPr>
                <w:sz w:val="20"/>
                <w:szCs w:val="20"/>
                <w:color w:val="auto"/>
              </w:rPr>
            </w:pPr>
            <w:r>
              <w:rPr>
                <w:rFonts w:ascii="Arial" w:cs="Arial" w:eastAsia="Arial" w:hAnsi="Arial"/>
                <w:sz w:val="14"/>
                <w:szCs w:val="14"/>
                <w:color w:val="auto"/>
              </w:rPr>
              <w:t>-</w:t>
            </w:r>
          </w:p>
        </w:tc>
        <w:tc>
          <w:tcPr>
            <w:tcW w:w="220" w:type="dxa"/>
            <w:vAlign w:val="bottom"/>
            <w:shd w:val="clear" w:color="auto" w:fill="CFF0FC"/>
          </w:tcPr>
          <w:p>
            <w:pPr>
              <w:spacing w:after="0"/>
              <w:rPr>
                <w:sz w:val="14"/>
                <w:szCs w:val="14"/>
                <w:color w:val="auto"/>
              </w:rPr>
            </w:pPr>
          </w:p>
        </w:tc>
        <w:tc>
          <w:tcPr>
            <w:tcW w:w="7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963</w:t>
            </w:r>
          </w:p>
        </w:tc>
        <w:tc>
          <w:tcPr>
            <w:tcW w:w="220" w:type="dxa"/>
            <w:vAlign w:val="bottom"/>
            <w:shd w:val="clear" w:color="auto" w:fill="CFF0FC"/>
          </w:tcPr>
          <w:p>
            <w:pPr>
              <w:spacing w:after="0"/>
              <w:rPr>
                <w:sz w:val="14"/>
                <w:szCs w:val="14"/>
                <w:color w:val="auto"/>
              </w:rPr>
            </w:pPr>
          </w:p>
        </w:tc>
        <w:tc>
          <w:tcPr>
            <w:tcW w:w="7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w:t>
            </w:r>
          </w:p>
        </w:tc>
        <w:tc>
          <w:tcPr>
            <w:tcW w:w="220" w:type="dxa"/>
            <w:vAlign w:val="bottom"/>
            <w:shd w:val="clear" w:color="auto" w:fill="CFF0FC"/>
          </w:tcPr>
          <w:p>
            <w:pPr>
              <w:spacing w:after="0"/>
              <w:rPr>
                <w:sz w:val="14"/>
                <w:szCs w:val="14"/>
                <w:color w:val="auto"/>
              </w:rPr>
            </w:pPr>
          </w:p>
        </w:tc>
        <w:tc>
          <w:tcPr>
            <w:tcW w:w="9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w:t>
            </w:r>
          </w:p>
        </w:tc>
        <w:tc>
          <w:tcPr>
            <w:tcW w:w="220" w:type="dxa"/>
            <w:vAlign w:val="bottom"/>
            <w:shd w:val="clear" w:color="auto" w:fill="CFF0FC"/>
          </w:tcPr>
          <w:p>
            <w:pPr>
              <w:spacing w:after="0"/>
              <w:rPr>
                <w:sz w:val="14"/>
                <w:szCs w:val="14"/>
                <w:color w:val="auto"/>
              </w:rPr>
            </w:pPr>
          </w:p>
        </w:tc>
        <w:tc>
          <w:tcPr>
            <w:tcW w:w="900" w:type="dxa"/>
            <w:vAlign w:val="bottom"/>
            <w:gridSpan w:val="2"/>
            <w:shd w:val="clear" w:color="auto" w:fill="CFF0FC"/>
          </w:tcPr>
          <w:p>
            <w:pPr>
              <w:jc w:val="center"/>
              <w:spacing w:after="0"/>
              <w:rPr>
                <w:sz w:val="20"/>
                <w:szCs w:val="20"/>
                <w:color w:val="auto"/>
              </w:rPr>
            </w:pPr>
            <w:r>
              <w:rPr>
                <w:rFonts w:ascii="Arial" w:cs="Arial" w:eastAsia="Arial" w:hAnsi="Arial"/>
                <w:sz w:val="14"/>
                <w:szCs w:val="14"/>
                <w:color w:val="auto"/>
                <w:w w:val="99"/>
              </w:rPr>
              <w:t>TBD</w:t>
            </w:r>
          </w:p>
        </w:tc>
        <w:tc>
          <w:tcPr>
            <w:tcW w:w="0" w:type="dxa"/>
            <w:vAlign w:val="bottom"/>
          </w:tcPr>
          <w:p>
            <w:pPr>
              <w:spacing w:after="0"/>
              <w:rPr>
                <w:sz w:val="1"/>
                <w:szCs w:val="1"/>
                <w:color w:val="auto"/>
              </w:rPr>
            </w:pPr>
          </w:p>
        </w:tc>
      </w:tr>
      <w:tr>
        <w:trPr>
          <w:trHeight w:val="162"/>
        </w:trPr>
        <w:tc>
          <w:tcPr>
            <w:tcW w:w="4220" w:type="dxa"/>
            <w:vAlign w:val="bottom"/>
            <w:gridSpan w:val="2"/>
          </w:tcPr>
          <w:p>
            <w:pPr>
              <w:ind w:left="380"/>
              <w:spacing w:after="0"/>
              <w:rPr>
                <w:sz w:val="20"/>
                <w:szCs w:val="20"/>
                <w:color w:val="auto"/>
              </w:rPr>
            </w:pPr>
            <w:r>
              <w:rPr>
                <w:rFonts w:ascii="Arial" w:cs="Arial" w:eastAsia="Arial" w:hAnsi="Arial"/>
                <w:sz w:val="14"/>
                <w:szCs w:val="14"/>
                <w:color w:val="auto"/>
              </w:rPr>
              <w:t>Olive Hill Estate</w:t>
            </w:r>
          </w:p>
        </w:tc>
        <w:tc>
          <w:tcPr>
            <w:tcW w:w="900" w:type="dxa"/>
            <w:vAlign w:val="bottom"/>
          </w:tcPr>
          <w:p>
            <w:pPr>
              <w:jc w:val="center"/>
              <w:spacing w:after="0"/>
              <w:rPr>
                <w:sz w:val="20"/>
                <w:szCs w:val="20"/>
                <w:color w:val="auto"/>
              </w:rPr>
            </w:pPr>
            <w:r>
              <w:rPr>
                <w:rFonts w:ascii="Arial" w:cs="Arial" w:eastAsia="Arial" w:hAnsi="Arial"/>
                <w:sz w:val="14"/>
                <w:szCs w:val="14"/>
                <w:color w:val="auto"/>
                <w:w w:val="83"/>
              </w:rPr>
              <w:t>2015</w:t>
            </w:r>
          </w:p>
        </w:tc>
        <w:tc>
          <w:tcPr>
            <w:tcW w:w="120" w:type="dxa"/>
            <w:vAlign w:val="bottom"/>
          </w:tcPr>
          <w:p>
            <w:pPr>
              <w:spacing w:after="0"/>
              <w:rPr>
                <w:sz w:val="14"/>
                <w:szCs w:val="14"/>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37</w:t>
            </w:r>
          </w:p>
        </w:tc>
        <w:tc>
          <w:tcPr>
            <w:tcW w:w="220" w:type="dxa"/>
            <w:vAlign w:val="bottom"/>
          </w:tcPr>
          <w:p>
            <w:pPr>
              <w:spacing w:after="0"/>
              <w:rPr>
                <w:sz w:val="14"/>
                <w:szCs w:val="14"/>
                <w:color w:val="auto"/>
              </w:rPr>
            </w:pPr>
          </w:p>
        </w:tc>
        <w:tc>
          <w:tcPr>
            <w:tcW w:w="860" w:type="dxa"/>
            <w:vAlign w:val="bottom"/>
          </w:tcPr>
          <w:p>
            <w:pPr>
              <w:jc w:val="right"/>
              <w:spacing w:after="0"/>
              <w:rPr>
                <w:sz w:val="20"/>
                <w:szCs w:val="20"/>
                <w:color w:val="auto"/>
              </w:rPr>
            </w:pPr>
            <w:r>
              <w:rPr>
                <w:rFonts w:ascii="Arial" w:cs="Arial" w:eastAsia="Arial" w:hAnsi="Arial"/>
                <w:sz w:val="14"/>
                <w:szCs w:val="14"/>
                <w:color w:val="auto"/>
              </w:rPr>
              <w:t>-</w:t>
            </w:r>
          </w:p>
        </w:tc>
        <w:tc>
          <w:tcPr>
            <w:tcW w:w="220" w:type="dxa"/>
            <w:vAlign w:val="bottom"/>
          </w:tcPr>
          <w:p>
            <w:pPr>
              <w:spacing w:after="0"/>
              <w:rPr>
                <w:sz w:val="14"/>
                <w:szCs w:val="14"/>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37</w:t>
            </w:r>
          </w:p>
        </w:tc>
        <w:tc>
          <w:tcPr>
            <w:tcW w:w="220" w:type="dxa"/>
            <w:vAlign w:val="bottom"/>
          </w:tcPr>
          <w:p>
            <w:pPr>
              <w:spacing w:after="0"/>
              <w:rPr>
                <w:sz w:val="14"/>
                <w:szCs w:val="14"/>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w:t>
            </w:r>
          </w:p>
        </w:tc>
        <w:tc>
          <w:tcPr>
            <w:tcW w:w="220" w:type="dxa"/>
            <w:vAlign w:val="bottom"/>
          </w:tcPr>
          <w:p>
            <w:pPr>
              <w:spacing w:after="0"/>
              <w:rPr>
                <w:sz w:val="14"/>
                <w:szCs w:val="14"/>
                <w:color w:val="auto"/>
              </w:rPr>
            </w:pPr>
          </w:p>
        </w:tc>
        <w:tc>
          <w:tcPr>
            <w:tcW w:w="980" w:type="dxa"/>
            <w:vAlign w:val="bottom"/>
          </w:tcPr>
          <w:p>
            <w:pPr>
              <w:jc w:val="right"/>
              <w:spacing w:after="0"/>
              <w:rPr>
                <w:sz w:val="20"/>
                <w:szCs w:val="20"/>
                <w:color w:val="auto"/>
              </w:rPr>
            </w:pPr>
            <w:r>
              <w:rPr>
                <w:rFonts w:ascii="Arial" w:cs="Arial" w:eastAsia="Arial" w:hAnsi="Arial"/>
                <w:sz w:val="14"/>
                <w:szCs w:val="14"/>
                <w:color w:val="auto"/>
              </w:rPr>
              <w:t>-</w:t>
            </w:r>
          </w:p>
        </w:tc>
        <w:tc>
          <w:tcPr>
            <w:tcW w:w="620" w:type="dxa"/>
            <w:vAlign w:val="bottom"/>
            <w:gridSpan w:val="2"/>
          </w:tcPr>
          <w:p>
            <w:pPr>
              <w:jc w:val="right"/>
              <w:spacing w:after="0"/>
              <w:rPr>
                <w:sz w:val="20"/>
                <w:szCs w:val="20"/>
                <w:color w:val="auto"/>
              </w:rPr>
            </w:pPr>
            <w:r>
              <w:rPr>
                <w:rFonts w:ascii="Arial" w:cs="Arial" w:eastAsia="Arial" w:hAnsi="Arial"/>
                <w:sz w:val="14"/>
                <w:szCs w:val="14"/>
                <w:color w:val="auto"/>
              </w:rPr>
              <w:t>$638</w:t>
            </w:r>
          </w:p>
        </w:tc>
        <w:tc>
          <w:tcPr>
            <w:tcW w:w="500" w:type="dxa"/>
            <w:vAlign w:val="bottom"/>
          </w:tcPr>
          <w:p>
            <w:pPr>
              <w:ind w:left="20"/>
              <w:spacing w:after="0"/>
              <w:rPr>
                <w:sz w:val="20"/>
                <w:szCs w:val="20"/>
                <w:color w:val="auto"/>
              </w:rPr>
            </w:pPr>
            <w:r>
              <w:rPr>
                <w:rFonts w:ascii="Arial" w:cs="Arial" w:eastAsia="Arial" w:hAnsi="Arial"/>
                <w:sz w:val="14"/>
                <w:szCs w:val="14"/>
                <w:color w:val="auto"/>
              </w:rPr>
              <w:t>- $750</w:t>
            </w:r>
          </w:p>
        </w:tc>
        <w:tc>
          <w:tcPr>
            <w:tcW w:w="0" w:type="dxa"/>
            <w:vAlign w:val="bottom"/>
          </w:tcPr>
          <w:p>
            <w:pPr>
              <w:spacing w:after="0"/>
              <w:rPr>
                <w:sz w:val="1"/>
                <w:szCs w:val="1"/>
                <w:color w:val="auto"/>
              </w:rPr>
            </w:pPr>
          </w:p>
        </w:tc>
      </w:tr>
      <w:tr>
        <w:trPr>
          <w:trHeight w:val="162"/>
        </w:trPr>
        <w:tc>
          <w:tcPr>
            <w:tcW w:w="4220" w:type="dxa"/>
            <w:vAlign w:val="bottom"/>
            <w:gridSpan w:val="2"/>
            <w:shd w:val="clear" w:color="auto" w:fill="CFF0FC"/>
          </w:tcPr>
          <w:p>
            <w:pPr>
              <w:ind w:left="380"/>
              <w:spacing w:after="0"/>
              <w:rPr>
                <w:sz w:val="20"/>
                <w:szCs w:val="20"/>
                <w:color w:val="auto"/>
              </w:rPr>
            </w:pPr>
            <w:r>
              <w:rPr>
                <w:rFonts w:ascii="Arial" w:cs="Arial" w:eastAsia="Arial" w:hAnsi="Arial"/>
                <w:sz w:val="14"/>
                <w:szCs w:val="14"/>
                <w:color w:val="auto"/>
              </w:rPr>
              <w:t>Castlerock</w:t>
            </w:r>
          </w:p>
        </w:tc>
        <w:tc>
          <w:tcPr>
            <w:tcW w:w="1020" w:type="dxa"/>
            <w:vAlign w:val="bottom"/>
            <w:gridSpan w:val="2"/>
            <w:shd w:val="clear" w:color="auto" w:fill="CFF0FC"/>
          </w:tcPr>
          <w:p>
            <w:pPr>
              <w:jc w:val="center"/>
              <w:ind w:right="120"/>
              <w:spacing w:after="0"/>
              <w:rPr>
                <w:sz w:val="20"/>
                <w:szCs w:val="20"/>
                <w:color w:val="auto"/>
              </w:rPr>
            </w:pPr>
            <w:r>
              <w:rPr>
                <w:rFonts w:ascii="Arial" w:cs="Arial" w:eastAsia="Arial" w:hAnsi="Arial"/>
                <w:sz w:val="14"/>
                <w:szCs w:val="14"/>
                <w:color w:val="auto"/>
                <w:w w:val="92"/>
              </w:rPr>
              <w:t>TBD</w:t>
            </w:r>
          </w:p>
        </w:tc>
        <w:tc>
          <w:tcPr>
            <w:tcW w:w="7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415</w:t>
            </w:r>
          </w:p>
        </w:tc>
        <w:tc>
          <w:tcPr>
            <w:tcW w:w="220" w:type="dxa"/>
            <w:vAlign w:val="bottom"/>
            <w:shd w:val="clear" w:color="auto" w:fill="CFF0FC"/>
          </w:tcPr>
          <w:p>
            <w:pPr>
              <w:spacing w:after="0"/>
              <w:rPr>
                <w:sz w:val="14"/>
                <w:szCs w:val="14"/>
                <w:color w:val="auto"/>
              </w:rPr>
            </w:pPr>
          </w:p>
        </w:tc>
        <w:tc>
          <w:tcPr>
            <w:tcW w:w="860" w:type="dxa"/>
            <w:vAlign w:val="bottom"/>
            <w:shd w:val="clear" w:color="auto" w:fill="CFF0FC"/>
          </w:tcPr>
          <w:p>
            <w:pPr>
              <w:jc w:val="right"/>
              <w:spacing w:after="0"/>
              <w:rPr>
                <w:sz w:val="20"/>
                <w:szCs w:val="20"/>
                <w:color w:val="auto"/>
              </w:rPr>
            </w:pPr>
            <w:r>
              <w:rPr>
                <w:rFonts w:ascii="Arial" w:cs="Arial" w:eastAsia="Arial" w:hAnsi="Arial"/>
                <w:sz w:val="14"/>
                <w:szCs w:val="14"/>
                <w:color w:val="auto"/>
              </w:rPr>
              <w:t>-</w:t>
            </w:r>
          </w:p>
        </w:tc>
        <w:tc>
          <w:tcPr>
            <w:tcW w:w="220" w:type="dxa"/>
            <w:vAlign w:val="bottom"/>
            <w:shd w:val="clear" w:color="auto" w:fill="CFF0FC"/>
          </w:tcPr>
          <w:p>
            <w:pPr>
              <w:spacing w:after="0"/>
              <w:rPr>
                <w:sz w:val="14"/>
                <w:szCs w:val="14"/>
                <w:color w:val="auto"/>
              </w:rPr>
            </w:pPr>
          </w:p>
        </w:tc>
        <w:tc>
          <w:tcPr>
            <w:tcW w:w="7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415</w:t>
            </w:r>
          </w:p>
        </w:tc>
        <w:tc>
          <w:tcPr>
            <w:tcW w:w="220" w:type="dxa"/>
            <w:vAlign w:val="bottom"/>
            <w:shd w:val="clear" w:color="auto" w:fill="CFF0FC"/>
          </w:tcPr>
          <w:p>
            <w:pPr>
              <w:spacing w:after="0"/>
              <w:rPr>
                <w:sz w:val="14"/>
                <w:szCs w:val="14"/>
                <w:color w:val="auto"/>
              </w:rPr>
            </w:pPr>
          </w:p>
        </w:tc>
        <w:tc>
          <w:tcPr>
            <w:tcW w:w="7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w:t>
            </w:r>
          </w:p>
        </w:tc>
        <w:tc>
          <w:tcPr>
            <w:tcW w:w="220" w:type="dxa"/>
            <w:vAlign w:val="bottom"/>
            <w:shd w:val="clear" w:color="auto" w:fill="CFF0FC"/>
          </w:tcPr>
          <w:p>
            <w:pPr>
              <w:spacing w:after="0"/>
              <w:rPr>
                <w:sz w:val="14"/>
                <w:szCs w:val="14"/>
                <w:color w:val="auto"/>
              </w:rPr>
            </w:pPr>
          </w:p>
        </w:tc>
        <w:tc>
          <w:tcPr>
            <w:tcW w:w="9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w:t>
            </w:r>
          </w:p>
        </w:tc>
        <w:tc>
          <w:tcPr>
            <w:tcW w:w="620" w:type="dxa"/>
            <w:vAlign w:val="bottom"/>
            <w:gridSpan w:val="2"/>
            <w:shd w:val="clear" w:color="auto" w:fill="CFF0FC"/>
          </w:tcPr>
          <w:p>
            <w:pPr>
              <w:jc w:val="right"/>
              <w:spacing w:after="0"/>
              <w:rPr>
                <w:sz w:val="20"/>
                <w:szCs w:val="20"/>
                <w:color w:val="auto"/>
              </w:rPr>
            </w:pPr>
            <w:r>
              <w:rPr>
                <w:rFonts w:ascii="Arial" w:cs="Arial" w:eastAsia="Arial" w:hAnsi="Arial"/>
                <w:sz w:val="14"/>
                <w:szCs w:val="14"/>
                <w:color w:val="auto"/>
              </w:rPr>
              <w:t>$473</w:t>
            </w:r>
          </w:p>
        </w:tc>
        <w:tc>
          <w:tcPr>
            <w:tcW w:w="500" w:type="dxa"/>
            <w:vAlign w:val="bottom"/>
            <w:shd w:val="clear" w:color="auto" w:fill="CFF0FC"/>
          </w:tcPr>
          <w:p>
            <w:pPr>
              <w:ind w:left="20"/>
              <w:spacing w:after="0"/>
              <w:rPr>
                <w:sz w:val="20"/>
                <w:szCs w:val="20"/>
                <w:color w:val="auto"/>
              </w:rPr>
            </w:pPr>
            <w:r>
              <w:rPr>
                <w:rFonts w:ascii="Arial" w:cs="Arial" w:eastAsia="Arial" w:hAnsi="Arial"/>
                <w:sz w:val="14"/>
                <w:szCs w:val="14"/>
                <w:color w:val="auto"/>
              </w:rPr>
              <w:t>- $708</w:t>
            </w:r>
          </w:p>
        </w:tc>
        <w:tc>
          <w:tcPr>
            <w:tcW w:w="0" w:type="dxa"/>
            <w:vAlign w:val="bottom"/>
          </w:tcPr>
          <w:p>
            <w:pPr>
              <w:spacing w:after="0"/>
              <w:rPr>
                <w:sz w:val="1"/>
                <w:szCs w:val="1"/>
                <w:color w:val="auto"/>
              </w:rPr>
            </w:pPr>
          </w:p>
        </w:tc>
      </w:tr>
      <w:tr>
        <w:trPr>
          <w:trHeight w:val="162"/>
        </w:trPr>
        <w:tc>
          <w:tcPr>
            <w:tcW w:w="4220" w:type="dxa"/>
            <w:vAlign w:val="bottom"/>
            <w:gridSpan w:val="2"/>
          </w:tcPr>
          <w:p>
            <w:pPr>
              <w:ind w:left="380"/>
              <w:spacing w:after="0"/>
              <w:rPr>
                <w:sz w:val="20"/>
                <w:szCs w:val="20"/>
                <w:color w:val="auto"/>
              </w:rPr>
            </w:pPr>
            <w:r>
              <w:rPr>
                <w:rFonts w:ascii="Arial" w:cs="Arial" w:eastAsia="Arial" w:hAnsi="Arial"/>
                <w:sz w:val="14"/>
                <w:szCs w:val="14"/>
                <w:color w:val="auto"/>
              </w:rPr>
              <w:t>Meadowood</w:t>
            </w:r>
          </w:p>
        </w:tc>
        <w:tc>
          <w:tcPr>
            <w:tcW w:w="1020" w:type="dxa"/>
            <w:vAlign w:val="bottom"/>
            <w:gridSpan w:val="2"/>
          </w:tcPr>
          <w:p>
            <w:pPr>
              <w:jc w:val="center"/>
              <w:ind w:right="120"/>
              <w:spacing w:after="0"/>
              <w:rPr>
                <w:sz w:val="20"/>
                <w:szCs w:val="20"/>
                <w:color w:val="auto"/>
              </w:rPr>
            </w:pPr>
            <w:r>
              <w:rPr>
                <w:rFonts w:ascii="Arial" w:cs="Arial" w:eastAsia="Arial" w:hAnsi="Arial"/>
                <w:sz w:val="14"/>
                <w:szCs w:val="14"/>
                <w:color w:val="auto"/>
                <w:w w:val="92"/>
              </w:rPr>
              <w:t>TBD</w:t>
            </w:r>
          </w:p>
        </w:tc>
        <w:tc>
          <w:tcPr>
            <w:tcW w:w="780" w:type="dxa"/>
            <w:vAlign w:val="bottom"/>
          </w:tcPr>
          <w:p>
            <w:pPr>
              <w:jc w:val="right"/>
              <w:spacing w:after="0"/>
              <w:rPr>
                <w:sz w:val="20"/>
                <w:szCs w:val="20"/>
                <w:color w:val="auto"/>
              </w:rPr>
            </w:pPr>
            <w:r>
              <w:rPr>
                <w:rFonts w:ascii="Arial" w:cs="Arial" w:eastAsia="Arial" w:hAnsi="Arial"/>
                <w:sz w:val="14"/>
                <w:szCs w:val="14"/>
                <w:color w:val="auto"/>
              </w:rPr>
              <w:t>844</w:t>
            </w:r>
          </w:p>
        </w:tc>
        <w:tc>
          <w:tcPr>
            <w:tcW w:w="220" w:type="dxa"/>
            <w:vAlign w:val="bottom"/>
          </w:tcPr>
          <w:p>
            <w:pPr>
              <w:spacing w:after="0"/>
              <w:rPr>
                <w:sz w:val="14"/>
                <w:szCs w:val="14"/>
                <w:color w:val="auto"/>
              </w:rPr>
            </w:pPr>
          </w:p>
        </w:tc>
        <w:tc>
          <w:tcPr>
            <w:tcW w:w="860" w:type="dxa"/>
            <w:vAlign w:val="bottom"/>
          </w:tcPr>
          <w:p>
            <w:pPr>
              <w:jc w:val="right"/>
              <w:spacing w:after="0"/>
              <w:rPr>
                <w:sz w:val="20"/>
                <w:szCs w:val="20"/>
                <w:color w:val="auto"/>
              </w:rPr>
            </w:pPr>
            <w:r>
              <w:rPr>
                <w:rFonts w:ascii="Arial" w:cs="Arial" w:eastAsia="Arial" w:hAnsi="Arial"/>
                <w:sz w:val="14"/>
                <w:szCs w:val="14"/>
                <w:color w:val="auto"/>
              </w:rPr>
              <w:t>-</w:t>
            </w:r>
          </w:p>
        </w:tc>
        <w:tc>
          <w:tcPr>
            <w:tcW w:w="220" w:type="dxa"/>
            <w:vAlign w:val="bottom"/>
          </w:tcPr>
          <w:p>
            <w:pPr>
              <w:spacing w:after="0"/>
              <w:rPr>
                <w:sz w:val="14"/>
                <w:szCs w:val="14"/>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844</w:t>
            </w:r>
          </w:p>
        </w:tc>
        <w:tc>
          <w:tcPr>
            <w:tcW w:w="220" w:type="dxa"/>
            <w:vAlign w:val="bottom"/>
          </w:tcPr>
          <w:p>
            <w:pPr>
              <w:spacing w:after="0"/>
              <w:rPr>
                <w:sz w:val="14"/>
                <w:szCs w:val="14"/>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w:t>
            </w:r>
          </w:p>
        </w:tc>
        <w:tc>
          <w:tcPr>
            <w:tcW w:w="220" w:type="dxa"/>
            <w:vAlign w:val="bottom"/>
          </w:tcPr>
          <w:p>
            <w:pPr>
              <w:spacing w:after="0"/>
              <w:rPr>
                <w:sz w:val="14"/>
                <w:szCs w:val="14"/>
                <w:color w:val="auto"/>
              </w:rPr>
            </w:pPr>
          </w:p>
        </w:tc>
        <w:tc>
          <w:tcPr>
            <w:tcW w:w="980" w:type="dxa"/>
            <w:vAlign w:val="bottom"/>
          </w:tcPr>
          <w:p>
            <w:pPr>
              <w:jc w:val="right"/>
              <w:spacing w:after="0"/>
              <w:rPr>
                <w:sz w:val="20"/>
                <w:szCs w:val="20"/>
                <w:color w:val="auto"/>
              </w:rPr>
            </w:pPr>
            <w:r>
              <w:rPr>
                <w:rFonts w:ascii="Arial" w:cs="Arial" w:eastAsia="Arial" w:hAnsi="Arial"/>
                <w:sz w:val="14"/>
                <w:szCs w:val="14"/>
                <w:color w:val="auto"/>
              </w:rPr>
              <w:t>-</w:t>
            </w:r>
          </w:p>
        </w:tc>
        <w:tc>
          <w:tcPr>
            <w:tcW w:w="620" w:type="dxa"/>
            <w:vAlign w:val="bottom"/>
            <w:gridSpan w:val="2"/>
          </w:tcPr>
          <w:p>
            <w:pPr>
              <w:jc w:val="right"/>
              <w:spacing w:after="0"/>
              <w:rPr>
                <w:sz w:val="20"/>
                <w:szCs w:val="20"/>
                <w:color w:val="auto"/>
              </w:rPr>
            </w:pPr>
            <w:r>
              <w:rPr>
                <w:rFonts w:ascii="Arial" w:cs="Arial" w:eastAsia="Arial" w:hAnsi="Arial"/>
                <w:sz w:val="14"/>
                <w:szCs w:val="14"/>
                <w:color w:val="auto"/>
              </w:rPr>
              <w:t>$290</w:t>
            </w:r>
          </w:p>
        </w:tc>
        <w:tc>
          <w:tcPr>
            <w:tcW w:w="500" w:type="dxa"/>
            <w:vAlign w:val="bottom"/>
          </w:tcPr>
          <w:p>
            <w:pPr>
              <w:ind w:left="20"/>
              <w:spacing w:after="0"/>
              <w:rPr>
                <w:sz w:val="20"/>
                <w:szCs w:val="20"/>
                <w:color w:val="auto"/>
              </w:rPr>
            </w:pPr>
            <w:r>
              <w:rPr>
                <w:rFonts w:ascii="Arial" w:cs="Arial" w:eastAsia="Arial" w:hAnsi="Arial"/>
                <w:sz w:val="14"/>
                <w:szCs w:val="14"/>
                <w:color w:val="auto"/>
              </w:rPr>
              <w:t>- $590</w:t>
            </w:r>
          </w:p>
        </w:tc>
        <w:tc>
          <w:tcPr>
            <w:tcW w:w="0" w:type="dxa"/>
            <w:vAlign w:val="bottom"/>
          </w:tcPr>
          <w:p>
            <w:pPr>
              <w:spacing w:after="0"/>
              <w:rPr>
                <w:sz w:val="1"/>
                <w:szCs w:val="1"/>
                <w:color w:val="auto"/>
              </w:rPr>
            </w:pPr>
          </w:p>
        </w:tc>
      </w:tr>
      <w:tr>
        <w:trPr>
          <w:trHeight w:val="162"/>
        </w:trPr>
        <w:tc>
          <w:tcPr>
            <w:tcW w:w="4220" w:type="dxa"/>
            <w:vAlign w:val="bottom"/>
            <w:gridSpan w:val="2"/>
            <w:shd w:val="clear" w:color="auto" w:fill="CFF0FC"/>
          </w:tcPr>
          <w:p>
            <w:pPr>
              <w:ind w:left="380"/>
              <w:spacing w:after="0"/>
              <w:rPr>
                <w:sz w:val="20"/>
                <w:szCs w:val="20"/>
                <w:color w:val="auto"/>
              </w:rPr>
            </w:pPr>
            <w:r>
              <w:rPr>
                <w:rFonts w:ascii="Arial" w:cs="Arial" w:eastAsia="Arial" w:hAnsi="Arial"/>
                <w:sz w:val="14"/>
                <w:szCs w:val="14"/>
                <w:color w:val="auto"/>
              </w:rPr>
              <w:t>Sea View Terrace</w:t>
            </w:r>
          </w:p>
        </w:tc>
        <w:tc>
          <w:tcPr>
            <w:tcW w:w="900" w:type="dxa"/>
            <w:vAlign w:val="bottom"/>
            <w:shd w:val="clear" w:color="auto" w:fill="CFF0FC"/>
          </w:tcPr>
          <w:p>
            <w:pPr>
              <w:jc w:val="center"/>
              <w:spacing w:after="0"/>
              <w:rPr>
                <w:sz w:val="20"/>
                <w:szCs w:val="20"/>
                <w:color w:val="auto"/>
              </w:rPr>
            </w:pPr>
            <w:r>
              <w:rPr>
                <w:rFonts w:ascii="Arial" w:cs="Arial" w:eastAsia="Arial" w:hAnsi="Arial"/>
                <w:sz w:val="14"/>
                <w:szCs w:val="14"/>
                <w:color w:val="auto"/>
                <w:w w:val="83"/>
              </w:rPr>
              <w:t>2015</w:t>
            </w:r>
          </w:p>
        </w:tc>
        <w:tc>
          <w:tcPr>
            <w:tcW w:w="120" w:type="dxa"/>
            <w:vAlign w:val="bottom"/>
            <w:shd w:val="clear" w:color="auto" w:fill="CFF0FC"/>
          </w:tcPr>
          <w:p>
            <w:pPr>
              <w:spacing w:after="0"/>
              <w:rPr>
                <w:sz w:val="14"/>
                <w:szCs w:val="14"/>
                <w:color w:val="auto"/>
              </w:rPr>
            </w:pPr>
          </w:p>
        </w:tc>
        <w:tc>
          <w:tcPr>
            <w:tcW w:w="7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40</w:t>
            </w:r>
          </w:p>
        </w:tc>
        <w:tc>
          <w:tcPr>
            <w:tcW w:w="220" w:type="dxa"/>
            <w:vAlign w:val="bottom"/>
            <w:shd w:val="clear" w:color="auto" w:fill="CFF0FC"/>
          </w:tcPr>
          <w:p>
            <w:pPr>
              <w:spacing w:after="0"/>
              <w:rPr>
                <w:sz w:val="14"/>
                <w:szCs w:val="14"/>
                <w:color w:val="auto"/>
              </w:rPr>
            </w:pPr>
          </w:p>
        </w:tc>
        <w:tc>
          <w:tcPr>
            <w:tcW w:w="860" w:type="dxa"/>
            <w:vAlign w:val="bottom"/>
            <w:shd w:val="clear" w:color="auto" w:fill="CFF0FC"/>
          </w:tcPr>
          <w:p>
            <w:pPr>
              <w:jc w:val="right"/>
              <w:spacing w:after="0"/>
              <w:rPr>
                <w:sz w:val="20"/>
                <w:szCs w:val="20"/>
                <w:color w:val="auto"/>
              </w:rPr>
            </w:pPr>
            <w:r>
              <w:rPr>
                <w:rFonts w:ascii="Arial" w:cs="Arial" w:eastAsia="Arial" w:hAnsi="Arial"/>
                <w:sz w:val="14"/>
                <w:szCs w:val="14"/>
                <w:color w:val="auto"/>
              </w:rPr>
              <w:t>12</w:t>
            </w:r>
          </w:p>
        </w:tc>
        <w:tc>
          <w:tcPr>
            <w:tcW w:w="220" w:type="dxa"/>
            <w:vAlign w:val="bottom"/>
            <w:shd w:val="clear" w:color="auto" w:fill="CFF0FC"/>
          </w:tcPr>
          <w:p>
            <w:pPr>
              <w:spacing w:after="0"/>
              <w:rPr>
                <w:sz w:val="14"/>
                <w:szCs w:val="14"/>
                <w:color w:val="auto"/>
              </w:rPr>
            </w:pPr>
          </w:p>
        </w:tc>
        <w:tc>
          <w:tcPr>
            <w:tcW w:w="7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28</w:t>
            </w:r>
          </w:p>
        </w:tc>
        <w:tc>
          <w:tcPr>
            <w:tcW w:w="220" w:type="dxa"/>
            <w:vAlign w:val="bottom"/>
            <w:shd w:val="clear" w:color="auto" w:fill="CFF0FC"/>
          </w:tcPr>
          <w:p>
            <w:pPr>
              <w:spacing w:after="0"/>
              <w:rPr>
                <w:sz w:val="14"/>
                <w:szCs w:val="14"/>
                <w:color w:val="auto"/>
              </w:rPr>
            </w:pPr>
          </w:p>
        </w:tc>
        <w:tc>
          <w:tcPr>
            <w:tcW w:w="7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23</w:t>
            </w:r>
          </w:p>
        </w:tc>
        <w:tc>
          <w:tcPr>
            <w:tcW w:w="220" w:type="dxa"/>
            <w:vAlign w:val="bottom"/>
            <w:shd w:val="clear" w:color="auto" w:fill="CFF0FC"/>
          </w:tcPr>
          <w:p>
            <w:pPr>
              <w:spacing w:after="0"/>
              <w:rPr>
                <w:sz w:val="14"/>
                <w:szCs w:val="14"/>
                <w:color w:val="auto"/>
              </w:rPr>
            </w:pPr>
          </w:p>
        </w:tc>
        <w:tc>
          <w:tcPr>
            <w:tcW w:w="9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11</w:t>
            </w:r>
          </w:p>
        </w:tc>
        <w:tc>
          <w:tcPr>
            <w:tcW w:w="620" w:type="dxa"/>
            <w:vAlign w:val="bottom"/>
            <w:gridSpan w:val="2"/>
            <w:shd w:val="clear" w:color="auto" w:fill="CFF0FC"/>
          </w:tcPr>
          <w:p>
            <w:pPr>
              <w:jc w:val="right"/>
              <w:spacing w:after="0"/>
              <w:rPr>
                <w:sz w:val="20"/>
                <w:szCs w:val="20"/>
                <w:color w:val="auto"/>
              </w:rPr>
            </w:pPr>
            <w:r>
              <w:rPr>
                <w:rFonts w:ascii="Arial" w:cs="Arial" w:eastAsia="Arial" w:hAnsi="Arial"/>
                <w:sz w:val="14"/>
                <w:szCs w:val="14"/>
                <w:color w:val="auto"/>
              </w:rPr>
              <w:t>$308</w:t>
            </w:r>
          </w:p>
        </w:tc>
        <w:tc>
          <w:tcPr>
            <w:tcW w:w="500" w:type="dxa"/>
            <w:vAlign w:val="bottom"/>
            <w:shd w:val="clear" w:color="auto" w:fill="CFF0FC"/>
          </w:tcPr>
          <w:p>
            <w:pPr>
              <w:ind w:left="20"/>
              <w:spacing w:after="0"/>
              <w:rPr>
                <w:sz w:val="20"/>
                <w:szCs w:val="20"/>
                <w:color w:val="auto"/>
              </w:rPr>
            </w:pPr>
            <w:r>
              <w:rPr>
                <w:rFonts w:ascii="Arial" w:cs="Arial" w:eastAsia="Arial" w:hAnsi="Arial"/>
                <w:sz w:val="14"/>
                <w:szCs w:val="14"/>
                <w:color w:val="auto"/>
              </w:rPr>
              <w:t>- $340</w:t>
            </w:r>
          </w:p>
        </w:tc>
        <w:tc>
          <w:tcPr>
            <w:tcW w:w="0" w:type="dxa"/>
            <w:vAlign w:val="bottom"/>
          </w:tcPr>
          <w:p>
            <w:pPr>
              <w:spacing w:after="0"/>
              <w:rPr>
                <w:sz w:val="1"/>
                <w:szCs w:val="1"/>
                <w:color w:val="auto"/>
              </w:rPr>
            </w:pPr>
          </w:p>
        </w:tc>
      </w:tr>
      <w:tr>
        <w:trPr>
          <w:trHeight w:val="162"/>
        </w:trPr>
        <w:tc>
          <w:tcPr>
            <w:tcW w:w="4220" w:type="dxa"/>
            <w:vAlign w:val="bottom"/>
            <w:gridSpan w:val="2"/>
          </w:tcPr>
          <w:p>
            <w:pPr>
              <w:ind w:left="380"/>
              <w:spacing w:after="0"/>
              <w:rPr>
                <w:sz w:val="20"/>
                <w:szCs w:val="20"/>
                <w:color w:val="auto"/>
              </w:rPr>
            </w:pPr>
            <w:r>
              <w:rPr>
                <w:rFonts w:ascii="Arial" w:cs="Arial" w:eastAsia="Arial" w:hAnsi="Arial"/>
                <w:sz w:val="14"/>
                <w:szCs w:val="14"/>
                <w:color w:val="auto"/>
              </w:rPr>
              <w:t>Parkview Condos</w:t>
            </w:r>
          </w:p>
        </w:tc>
        <w:tc>
          <w:tcPr>
            <w:tcW w:w="900" w:type="dxa"/>
            <w:vAlign w:val="bottom"/>
          </w:tcPr>
          <w:p>
            <w:pPr>
              <w:jc w:val="center"/>
              <w:spacing w:after="0"/>
              <w:rPr>
                <w:sz w:val="20"/>
                <w:szCs w:val="20"/>
                <w:color w:val="auto"/>
              </w:rPr>
            </w:pPr>
            <w:r>
              <w:rPr>
                <w:rFonts w:ascii="Arial" w:cs="Arial" w:eastAsia="Arial" w:hAnsi="Arial"/>
                <w:sz w:val="14"/>
                <w:szCs w:val="14"/>
                <w:color w:val="auto"/>
                <w:w w:val="83"/>
              </w:rPr>
              <w:t>2016</w:t>
            </w:r>
          </w:p>
        </w:tc>
        <w:tc>
          <w:tcPr>
            <w:tcW w:w="120" w:type="dxa"/>
            <w:vAlign w:val="bottom"/>
          </w:tcPr>
          <w:p>
            <w:pPr>
              <w:spacing w:after="0"/>
              <w:rPr>
                <w:sz w:val="14"/>
                <w:szCs w:val="14"/>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73</w:t>
            </w:r>
          </w:p>
        </w:tc>
        <w:tc>
          <w:tcPr>
            <w:tcW w:w="220" w:type="dxa"/>
            <w:vAlign w:val="bottom"/>
          </w:tcPr>
          <w:p>
            <w:pPr>
              <w:spacing w:after="0"/>
              <w:rPr>
                <w:sz w:val="14"/>
                <w:szCs w:val="14"/>
                <w:color w:val="auto"/>
              </w:rPr>
            </w:pPr>
          </w:p>
        </w:tc>
        <w:tc>
          <w:tcPr>
            <w:tcW w:w="860" w:type="dxa"/>
            <w:vAlign w:val="bottom"/>
          </w:tcPr>
          <w:p>
            <w:pPr>
              <w:jc w:val="right"/>
              <w:spacing w:after="0"/>
              <w:rPr>
                <w:sz w:val="20"/>
                <w:szCs w:val="20"/>
                <w:color w:val="auto"/>
              </w:rPr>
            </w:pPr>
            <w:r>
              <w:rPr>
                <w:rFonts w:ascii="Arial" w:cs="Arial" w:eastAsia="Arial" w:hAnsi="Arial"/>
                <w:sz w:val="14"/>
                <w:szCs w:val="14"/>
                <w:color w:val="auto"/>
              </w:rPr>
              <w:t>-</w:t>
            </w:r>
          </w:p>
        </w:tc>
        <w:tc>
          <w:tcPr>
            <w:tcW w:w="220" w:type="dxa"/>
            <w:vAlign w:val="bottom"/>
          </w:tcPr>
          <w:p>
            <w:pPr>
              <w:spacing w:after="0"/>
              <w:rPr>
                <w:sz w:val="14"/>
                <w:szCs w:val="14"/>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73</w:t>
            </w:r>
          </w:p>
        </w:tc>
        <w:tc>
          <w:tcPr>
            <w:tcW w:w="220" w:type="dxa"/>
            <w:vAlign w:val="bottom"/>
          </w:tcPr>
          <w:p>
            <w:pPr>
              <w:spacing w:after="0"/>
              <w:rPr>
                <w:sz w:val="14"/>
                <w:szCs w:val="14"/>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w:t>
            </w:r>
          </w:p>
        </w:tc>
        <w:tc>
          <w:tcPr>
            <w:tcW w:w="220" w:type="dxa"/>
            <w:vAlign w:val="bottom"/>
          </w:tcPr>
          <w:p>
            <w:pPr>
              <w:spacing w:after="0"/>
              <w:rPr>
                <w:sz w:val="14"/>
                <w:szCs w:val="14"/>
                <w:color w:val="auto"/>
              </w:rPr>
            </w:pPr>
          </w:p>
        </w:tc>
        <w:tc>
          <w:tcPr>
            <w:tcW w:w="980" w:type="dxa"/>
            <w:vAlign w:val="bottom"/>
          </w:tcPr>
          <w:p>
            <w:pPr>
              <w:jc w:val="right"/>
              <w:spacing w:after="0"/>
              <w:rPr>
                <w:sz w:val="20"/>
                <w:szCs w:val="20"/>
                <w:color w:val="auto"/>
              </w:rPr>
            </w:pPr>
            <w:r>
              <w:rPr>
                <w:rFonts w:ascii="Arial" w:cs="Arial" w:eastAsia="Arial" w:hAnsi="Arial"/>
                <w:sz w:val="14"/>
                <w:szCs w:val="14"/>
                <w:color w:val="auto"/>
              </w:rPr>
              <w:t>-</w:t>
            </w:r>
          </w:p>
        </w:tc>
        <w:tc>
          <w:tcPr>
            <w:tcW w:w="620" w:type="dxa"/>
            <w:vAlign w:val="bottom"/>
            <w:gridSpan w:val="2"/>
          </w:tcPr>
          <w:p>
            <w:pPr>
              <w:jc w:val="right"/>
              <w:spacing w:after="0"/>
              <w:rPr>
                <w:sz w:val="20"/>
                <w:szCs w:val="20"/>
                <w:color w:val="auto"/>
              </w:rPr>
            </w:pPr>
            <w:r>
              <w:rPr>
                <w:rFonts w:ascii="Arial" w:cs="Arial" w:eastAsia="Arial" w:hAnsi="Arial"/>
                <w:sz w:val="14"/>
                <w:szCs w:val="14"/>
                <w:color w:val="auto"/>
              </w:rPr>
              <w:t>$345</w:t>
            </w:r>
          </w:p>
        </w:tc>
        <w:tc>
          <w:tcPr>
            <w:tcW w:w="500" w:type="dxa"/>
            <w:vAlign w:val="bottom"/>
          </w:tcPr>
          <w:p>
            <w:pPr>
              <w:ind w:left="20"/>
              <w:spacing w:after="0"/>
              <w:rPr>
                <w:sz w:val="20"/>
                <w:szCs w:val="20"/>
                <w:color w:val="auto"/>
              </w:rPr>
            </w:pPr>
            <w:r>
              <w:rPr>
                <w:rFonts w:ascii="Arial" w:cs="Arial" w:eastAsia="Arial" w:hAnsi="Arial"/>
                <w:sz w:val="14"/>
                <w:szCs w:val="14"/>
                <w:color w:val="auto"/>
              </w:rPr>
              <w:t>- $370</w:t>
            </w:r>
          </w:p>
        </w:tc>
        <w:tc>
          <w:tcPr>
            <w:tcW w:w="0" w:type="dxa"/>
            <w:vAlign w:val="bottom"/>
          </w:tcPr>
          <w:p>
            <w:pPr>
              <w:spacing w:after="0"/>
              <w:rPr>
                <w:sz w:val="1"/>
                <w:szCs w:val="1"/>
                <w:color w:val="auto"/>
              </w:rPr>
            </w:pPr>
          </w:p>
        </w:tc>
      </w:tr>
      <w:tr>
        <w:trPr>
          <w:trHeight w:val="162"/>
        </w:trPr>
        <w:tc>
          <w:tcPr>
            <w:tcW w:w="4220" w:type="dxa"/>
            <w:vAlign w:val="bottom"/>
            <w:gridSpan w:val="2"/>
            <w:shd w:val="clear" w:color="auto" w:fill="CFF0FC"/>
          </w:tcPr>
          <w:p>
            <w:pPr>
              <w:ind w:left="380"/>
              <w:spacing w:after="0"/>
              <w:rPr>
                <w:sz w:val="20"/>
                <w:szCs w:val="20"/>
                <w:color w:val="auto"/>
              </w:rPr>
            </w:pPr>
            <w:r>
              <w:rPr>
                <w:rFonts w:ascii="Arial" w:cs="Arial" w:eastAsia="Arial" w:hAnsi="Arial"/>
                <w:sz w:val="14"/>
                <w:szCs w:val="14"/>
                <w:color w:val="auto"/>
              </w:rPr>
              <w:t>Ocean View HillsFuture</w:t>
            </w:r>
          </w:p>
        </w:tc>
        <w:tc>
          <w:tcPr>
            <w:tcW w:w="1020" w:type="dxa"/>
            <w:vAlign w:val="bottom"/>
            <w:gridSpan w:val="2"/>
            <w:shd w:val="clear" w:color="auto" w:fill="CFF0FC"/>
          </w:tcPr>
          <w:p>
            <w:pPr>
              <w:jc w:val="center"/>
              <w:ind w:right="120"/>
              <w:spacing w:after="0"/>
              <w:rPr>
                <w:sz w:val="20"/>
                <w:szCs w:val="20"/>
                <w:color w:val="auto"/>
              </w:rPr>
            </w:pPr>
            <w:r>
              <w:rPr>
                <w:rFonts w:ascii="Arial" w:cs="Arial" w:eastAsia="Arial" w:hAnsi="Arial"/>
                <w:sz w:val="14"/>
                <w:szCs w:val="14"/>
                <w:color w:val="auto"/>
                <w:w w:val="92"/>
              </w:rPr>
              <w:t>TBD</w:t>
            </w:r>
          </w:p>
        </w:tc>
        <w:tc>
          <w:tcPr>
            <w:tcW w:w="7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1,020</w:t>
            </w:r>
          </w:p>
        </w:tc>
        <w:tc>
          <w:tcPr>
            <w:tcW w:w="220" w:type="dxa"/>
            <w:vAlign w:val="bottom"/>
            <w:shd w:val="clear" w:color="auto" w:fill="CFF0FC"/>
          </w:tcPr>
          <w:p>
            <w:pPr>
              <w:spacing w:after="0"/>
              <w:rPr>
                <w:sz w:val="14"/>
                <w:szCs w:val="14"/>
                <w:color w:val="auto"/>
              </w:rPr>
            </w:pPr>
          </w:p>
        </w:tc>
        <w:tc>
          <w:tcPr>
            <w:tcW w:w="860" w:type="dxa"/>
            <w:vAlign w:val="bottom"/>
            <w:shd w:val="clear" w:color="auto" w:fill="CFF0FC"/>
          </w:tcPr>
          <w:p>
            <w:pPr>
              <w:jc w:val="right"/>
              <w:spacing w:after="0"/>
              <w:rPr>
                <w:sz w:val="20"/>
                <w:szCs w:val="20"/>
                <w:color w:val="auto"/>
              </w:rPr>
            </w:pPr>
            <w:r>
              <w:rPr>
                <w:rFonts w:ascii="Arial" w:cs="Arial" w:eastAsia="Arial" w:hAnsi="Arial"/>
                <w:sz w:val="14"/>
                <w:szCs w:val="14"/>
                <w:color w:val="auto"/>
              </w:rPr>
              <w:t>-</w:t>
            </w:r>
          </w:p>
        </w:tc>
        <w:tc>
          <w:tcPr>
            <w:tcW w:w="220" w:type="dxa"/>
            <w:vAlign w:val="bottom"/>
            <w:shd w:val="clear" w:color="auto" w:fill="CFF0FC"/>
          </w:tcPr>
          <w:p>
            <w:pPr>
              <w:spacing w:after="0"/>
              <w:rPr>
                <w:sz w:val="14"/>
                <w:szCs w:val="14"/>
                <w:color w:val="auto"/>
              </w:rPr>
            </w:pPr>
          </w:p>
        </w:tc>
        <w:tc>
          <w:tcPr>
            <w:tcW w:w="7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1,020</w:t>
            </w:r>
          </w:p>
        </w:tc>
        <w:tc>
          <w:tcPr>
            <w:tcW w:w="220" w:type="dxa"/>
            <w:vAlign w:val="bottom"/>
            <w:shd w:val="clear" w:color="auto" w:fill="CFF0FC"/>
          </w:tcPr>
          <w:p>
            <w:pPr>
              <w:spacing w:after="0"/>
              <w:rPr>
                <w:sz w:val="14"/>
                <w:szCs w:val="14"/>
                <w:color w:val="auto"/>
              </w:rPr>
            </w:pPr>
          </w:p>
        </w:tc>
        <w:tc>
          <w:tcPr>
            <w:tcW w:w="7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w:t>
            </w:r>
          </w:p>
        </w:tc>
        <w:tc>
          <w:tcPr>
            <w:tcW w:w="220" w:type="dxa"/>
            <w:vAlign w:val="bottom"/>
            <w:shd w:val="clear" w:color="auto" w:fill="CFF0FC"/>
          </w:tcPr>
          <w:p>
            <w:pPr>
              <w:spacing w:after="0"/>
              <w:rPr>
                <w:sz w:val="14"/>
                <w:szCs w:val="14"/>
                <w:color w:val="auto"/>
              </w:rPr>
            </w:pPr>
          </w:p>
        </w:tc>
        <w:tc>
          <w:tcPr>
            <w:tcW w:w="9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w:t>
            </w:r>
          </w:p>
        </w:tc>
        <w:tc>
          <w:tcPr>
            <w:tcW w:w="220" w:type="dxa"/>
            <w:vAlign w:val="bottom"/>
            <w:shd w:val="clear" w:color="auto" w:fill="CFF0FC"/>
          </w:tcPr>
          <w:p>
            <w:pPr>
              <w:spacing w:after="0"/>
              <w:rPr>
                <w:sz w:val="14"/>
                <w:szCs w:val="14"/>
                <w:color w:val="auto"/>
              </w:rPr>
            </w:pPr>
          </w:p>
        </w:tc>
        <w:tc>
          <w:tcPr>
            <w:tcW w:w="900" w:type="dxa"/>
            <w:vAlign w:val="bottom"/>
            <w:gridSpan w:val="2"/>
            <w:shd w:val="clear" w:color="auto" w:fill="CFF0FC"/>
          </w:tcPr>
          <w:p>
            <w:pPr>
              <w:jc w:val="center"/>
              <w:spacing w:after="0"/>
              <w:rPr>
                <w:sz w:val="20"/>
                <w:szCs w:val="20"/>
                <w:color w:val="auto"/>
              </w:rPr>
            </w:pPr>
            <w:r>
              <w:rPr>
                <w:rFonts w:ascii="Arial" w:cs="Arial" w:eastAsia="Arial" w:hAnsi="Arial"/>
                <w:sz w:val="14"/>
                <w:szCs w:val="14"/>
                <w:color w:val="auto"/>
                <w:w w:val="99"/>
              </w:rPr>
              <w:t>TBD</w:t>
            </w:r>
          </w:p>
        </w:tc>
        <w:tc>
          <w:tcPr>
            <w:tcW w:w="0" w:type="dxa"/>
            <w:vAlign w:val="bottom"/>
          </w:tcPr>
          <w:p>
            <w:pPr>
              <w:spacing w:after="0"/>
              <w:rPr>
                <w:sz w:val="1"/>
                <w:szCs w:val="1"/>
                <w:color w:val="auto"/>
              </w:rPr>
            </w:pPr>
          </w:p>
        </w:tc>
      </w:tr>
      <w:tr>
        <w:trPr>
          <w:trHeight w:val="162"/>
        </w:trPr>
        <w:tc>
          <w:tcPr>
            <w:tcW w:w="4220" w:type="dxa"/>
            <w:vAlign w:val="bottom"/>
            <w:gridSpan w:val="2"/>
          </w:tcPr>
          <w:p>
            <w:pPr>
              <w:ind w:left="380"/>
              <w:spacing w:after="0"/>
              <w:rPr>
                <w:sz w:val="20"/>
                <w:szCs w:val="20"/>
                <w:color w:val="auto"/>
              </w:rPr>
            </w:pPr>
            <w:r>
              <w:rPr>
                <w:rFonts w:ascii="Arial" w:cs="Arial" w:eastAsia="Arial" w:hAnsi="Arial"/>
                <w:sz w:val="14"/>
                <w:szCs w:val="14"/>
                <w:color w:val="auto"/>
              </w:rPr>
              <w:t>South Otay Mesa</w:t>
            </w:r>
          </w:p>
        </w:tc>
        <w:tc>
          <w:tcPr>
            <w:tcW w:w="1020" w:type="dxa"/>
            <w:vAlign w:val="bottom"/>
            <w:gridSpan w:val="2"/>
          </w:tcPr>
          <w:p>
            <w:pPr>
              <w:jc w:val="center"/>
              <w:ind w:right="120"/>
              <w:spacing w:after="0"/>
              <w:rPr>
                <w:sz w:val="20"/>
                <w:szCs w:val="20"/>
                <w:color w:val="auto"/>
              </w:rPr>
            </w:pPr>
            <w:r>
              <w:rPr>
                <w:rFonts w:ascii="Arial" w:cs="Arial" w:eastAsia="Arial" w:hAnsi="Arial"/>
                <w:sz w:val="14"/>
                <w:szCs w:val="14"/>
                <w:color w:val="auto"/>
                <w:w w:val="92"/>
              </w:rPr>
              <w:t>TBD</w:t>
            </w:r>
          </w:p>
        </w:tc>
        <w:tc>
          <w:tcPr>
            <w:tcW w:w="780" w:type="dxa"/>
            <w:vAlign w:val="bottom"/>
          </w:tcPr>
          <w:p>
            <w:pPr>
              <w:jc w:val="right"/>
              <w:spacing w:after="0"/>
              <w:rPr>
                <w:sz w:val="20"/>
                <w:szCs w:val="20"/>
                <w:color w:val="auto"/>
              </w:rPr>
            </w:pPr>
            <w:r>
              <w:rPr>
                <w:rFonts w:ascii="Arial" w:cs="Arial" w:eastAsia="Arial" w:hAnsi="Arial"/>
                <w:sz w:val="14"/>
                <w:szCs w:val="14"/>
                <w:color w:val="auto"/>
              </w:rPr>
              <w:t>893</w:t>
            </w:r>
          </w:p>
        </w:tc>
        <w:tc>
          <w:tcPr>
            <w:tcW w:w="220" w:type="dxa"/>
            <w:vAlign w:val="bottom"/>
          </w:tcPr>
          <w:p>
            <w:pPr>
              <w:spacing w:after="0"/>
              <w:rPr>
                <w:sz w:val="14"/>
                <w:szCs w:val="14"/>
                <w:color w:val="auto"/>
              </w:rPr>
            </w:pPr>
          </w:p>
        </w:tc>
        <w:tc>
          <w:tcPr>
            <w:tcW w:w="860" w:type="dxa"/>
            <w:vAlign w:val="bottom"/>
          </w:tcPr>
          <w:p>
            <w:pPr>
              <w:jc w:val="right"/>
              <w:spacing w:after="0"/>
              <w:rPr>
                <w:sz w:val="20"/>
                <w:szCs w:val="20"/>
                <w:color w:val="auto"/>
              </w:rPr>
            </w:pPr>
            <w:r>
              <w:rPr>
                <w:rFonts w:ascii="Arial" w:cs="Arial" w:eastAsia="Arial" w:hAnsi="Arial"/>
                <w:sz w:val="14"/>
                <w:szCs w:val="14"/>
                <w:color w:val="auto"/>
              </w:rPr>
              <w:t>-</w:t>
            </w:r>
          </w:p>
        </w:tc>
        <w:tc>
          <w:tcPr>
            <w:tcW w:w="220" w:type="dxa"/>
            <w:vAlign w:val="bottom"/>
          </w:tcPr>
          <w:p>
            <w:pPr>
              <w:spacing w:after="0"/>
              <w:rPr>
                <w:sz w:val="14"/>
                <w:szCs w:val="14"/>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893</w:t>
            </w:r>
          </w:p>
        </w:tc>
        <w:tc>
          <w:tcPr>
            <w:tcW w:w="220" w:type="dxa"/>
            <w:vAlign w:val="bottom"/>
          </w:tcPr>
          <w:p>
            <w:pPr>
              <w:spacing w:after="0"/>
              <w:rPr>
                <w:sz w:val="14"/>
                <w:szCs w:val="14"/>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w:t>
            </w:r>
          </w:p>
        </w:tc>
        <w:tc>
          <w:tcPr>
            <w:tcW w:w="220" w:type="dxa"/>
            <w:vAlign w:val="bottom"/>
          </w:tcPr>
          <w:p>
            <w:pPr>
              <w:spacing w:after="0"/>
              <w:rPr>
                <w:sz w:val="14"/>
                <w:szCs w:val="14"/>
                <w:color w:val="auto"/>
              </w:rPr>
            </w:pPr>
          </w:p>
        </w:tc>
        <w:tc>
          <w:tcPr>
            <w:tcW w:w="980" w:type="dxa"/>
            <w:vAlign w:val="bottom"/>
          </w:tcPr>
          <w:p>
            <w:pPr>
              <w:jc w:val="right"/>
              <w:spacing w:after="0"/>
              <w:rPr>
                <w:sz w:val="20"/>
                <w:szCs w:val="20"/>
                <w:color w:val="auto"/>
              </w:rPr>
            </w:pPr>
            <w:r>
              <w:rPr>
                <w:rFonts w:ascii="Arial" w:cs="Arial" w:eastAsia="Arial" w:hAnsi="Arial"/>
                <w:sz w:val="14"/>
                <w:szCs w:val="14"/>
                <w:color w:val="auto"/>
              </w:rPr>
              <w:t>-</w:t>
            </w:r>
          </w:p>
        </w:tc>
        <w:tc>
          <w:tcPr>
            <w:tcW w:w="620" w:type="dxa"/>
            <w:vAlign w:val="bottom"/>
            <w:gridSpan w:val="2"/>
          </w:tcPr>
          <w:p>
            <w:pPr>
              <w:jc w:val="right"/>
              <w:spacing w:after="0"/>
              <w:rPr>
                <w:sz w:val="20"/>
                <w:szCs w:val="20"/>
                <w:color w:val="auto"/>
              </w:rPr>
            </w:pPr>
            <w:r>
              <w:rPr>
                <w:rFonts w:ascii="Arial" w:cs="Arial" w:eastAsia="Arial" w:hAnsi="Arial"/>
                <w:sz w:val="14"/>
                <w:szCs w:val="14"/>
                <w:color w:val="auto"/>
              </w:rPr>
              <w:t>$185</w:t>
            </w:r>
          </w:p>
        </w:tc>
        <w:tc>
          <w:tcPr>
            <w:tcW w:w="500" w:type="dxa"/>
            <w:vAlign w:val="bottom"/>
          </w:tcPr>
          <w:p>
            <w:pPr>
              <w:ind w:left="20"/>
              <w:spacing w:after="0"/>
              <w:rPr>
                <w:sz w:val="20"/>
                <w:szCs w:val="20"/>
                <w:color w:val="auto"/>
              </w:rPr>
            </w:pPr>
            <w:r>
              <w:rPr>
                <w:rFonts w:ascii="Arial" w:cs="Arial" w:eastAsia="Arial" w:hAnsi="Arial"/>
                <w:sz w:val="14"/>
                <w:szCs w:val="14"/>
                <w:color w:val="auto"/>
              </w:rPr>
              <w:t>- $530</w:t>
            </w:r>
          </w:p>
        </w:tc>
        <w:tc>
          <w:tcPr>
            <w:tcW w:w="0" w:type="dxa"/>
            <w:vAlign w:val="bottom"/>
          </w:tcPr>
          <w:p>
            <w:pPr>
              <w:spacing w:after="0"/>
              <w:rPr>
                <w:sz w:val="1"/>
                <w:szCs w:val="1"/>
                <w:color w:val="auto"/>
              </w:rPr>
            </w:pPr>
          </w:p>
        </w:tc>
      </w:tr>
      <w:tr>
        <w:trPr>
          <w:trHeight w:val="162"/>
        </w:trPr>
        <w:tc>
          <w:tcPr>
            <w:tcW w:w="4220" w:type="dxa"/>
            <w:vAlign w:val="bottom"/>
            <w:gridSpan w:val="2"/>
            <w:shd w:val="clear" w:color="auto" w:fill="CFF0FC"/>
          </w:tcPr>
          <w:p>
            <w:pPr>
              <w:ind w:left="380"/>
              <w:spacing w:after="0"/>
              <w:rPr>
                <w:sz w:val="20"/>
                <w:szCs w:val="20"/>
                <w:color w:val="auto"/>
              </w:rPr>
            </w:pPr>
            <w:r>
              <w:rPr>
                <w:rFonts w:ascii="Arial" w:cs="Arial" w:eastAsia="Arial" w:hAnsi="Arial"/>
                <w:sz w:val="14"/>
                <w:szCs w:val="14"/>
                <w:color w:val="auto"/>
              </w:rPr>
              <w:t>Alta Del Mar Custom Lots</w:t>
            </w:r>
          </w:p>
        </w:tc>
        <w:tc>
          <w:tcPr>
            <w:tcW w:w="900" w:type="dxa"/>
            <w:vAlign w:val="bottom"/>
            <w:shd w:val="clear" w:color="auto" w:fill="CFF0FC"/>
          </w:tcPr>
          <w:p>
            <w:pPr>
              <w:jc w:val="center"/>
              <w:spacing w:after="0"/>
              <w:rPr>
                <w:sz w:val="20"/>
                <w:szCs w:val="20"/>
                <w:color w:val="auto"/>
              </w:rPr>
            </w:pPr>
            <w:r>
              <w:rPr>
                <w:rFonts w:ascii="Arial" w:cs="Arial" w:eastAsia="Arial" w:hAnsi="Arial"/>
                <w:sz w:val="14"/>
                <w:szCs w:val="14"/>
                <w:color w:val="auto"/>
                <w:w w:val="83"/>
              </w:rPr>
              <w:t>2013</w:t>
            </w:r>
          </w:p>
        </w:tc>
        <w:tc>
          <w:tcPr>
            <w:tcW w:w="120" w:type="dxa"/>
            <w:vAlign w:val="bottom"/>
            <w:shd w:val="clear" w:color="auto" w:fill="CFF0FC"/>
          </w:tcPr>
          <w:p>
            <w:pPr>
              <w:spacing w:after="0"/>
              <w:rPr>
                <w:sz w:val="14"/>
                <w:szCs w:val="14"/>
                <w:color w:val="auto"/>
              </w:rPr>
            </w:pPr>
          </w:p>
        </w:tc>
        <w:tc>
          <w:tcPr>
            <w:tcW w:w="7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29</w:t>
            </w:r>
          </w:p>
        </w:tc>
        <w:tc>
          <w:tcPr>
            <w:tcW w:w="220" w:type="dxa"/>
            <w:vAlign w:val="bottom"/>
            <w:shd w:val="clear" w:color="auto" w:fill="CFF0FC"/>
          </w:tcPr>
          <w:p>
            <w:pPr>
              <w:spacing w:after="0"/>
              <w:rPr>
                <w:sz w:val="14"/>
                <w:szCs w:val="14"/>
                <w:color w:val="auto"/>
              </w:rPr>
            </w:pPr>
          </w:p>
        </w:tc>
        <w:tc>
          <w:tcPr>
            <w:tcW w:w="860" w:type="dxa"/>
            <w:vAlign w:val="bottom"/>
            <w:shd w:val="clear" w:color="auto" w:fill="CFF0FC"/>
          </w:tcPr>
          <w:p>
            <w:pPr>
              <w:jc w:val="right"/>
              <w:spacing w:after="0"/>
              <w:rPr>
                <w:sz w:val="20"/>
                <w:szCs w:val="20"/>
                <w:color w:val="auto"/>
              </w:rPr>
            </w:pPr>
            <w:r>
              <w:rPr>
                <w:rFonts w:ascii="Arial" w:cs="Arial" w:eastAsia="Arial" w:hAnsi="Arial"/>
                <w:sz w:val="14"/>
                <w:szCs w:val="14"/>
                <w:color w:val="auto"/>
              </w:rPr>
              <w:t>23</w:t>
            </w:r>
          </w:p>
        </w:tc>
        <w:tc>
          <w:tcPr>
            <w:tcW w:w="220" w:type="dxa"/>
            <w:vAlign w:val="bottom"/>
            <w:shd w:val="clear" w:color="auto" w:fill="CFF0FC"/>
          </w:tcPr>
          <w:p>
            <w:pPr>
              <w:spacing w:after="0"/>
              <w:rPr>
                <w:sz w:val="14"/>
                <w:szCs w:val="14"/>
                <w:color w:val="auto"/>
              </w:rPr>
            </w:pPr>
          </w:p>
        </w:tc>
        <w:tc>
          <w:tcPr>
            <w:tcW w:w="7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6</w:t>
            </w:r>
          </w:p>
        </w:tc>
        <w:tc>
          <w:tcPr>
            <w:tcW w:w="220" w:type="dxa"/>
            <w:vAlign w:val="bottom"/>
            <w:shd w:val="clear" w:color="auto" w:fill="CFF0FC"/>
          </w:tcPr>
          <w:p>
            <w:pPr>
              <w:spacing w:after="0"/>
              <w:rPr>
                <w:sz w:val="14"/>
                <w:szCs w:val="14"/>
                <w:color w:val="auto"/>
              </w:rPr>
            </w:pPr>
          </w:p>
        </w:tc>
        <w:tc>
          <w:tcPr>
            <w:tcW w:w="7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w:t>
            </w:r>
          </w:p>
        </w:tc>
        <w:tc>
          <w:tcPr>
            <w:tcW w:w="220" w:type="dxa"/>
            <w:vAlign w:val="bottom"/>
            <w:shd w:val="clear" w:color="auto" w:fill="CFF0FC"/>
          </w:tcPr>
          <w:p>
            <w:pPr>
              <w:spacing w:after="0"/>
              <w:rPr>
                <w:sz w:val="14"/>
                <w:szCs w:val="14"/>
                <w:color w:val="auto"/>
              </w:rPr>
            </w:pPr>
          </w:p>
        </w:tc>
        <w:tc>
          <w:tcPr>
            <w:tcW w:w="9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w:t>
            </w:r>
          </w:p>
        </w:tc>
        <w:tc>
          <w:tcPr>
            <w:tcW w:w="1120" w:type="dxa"/>
            <w:vAlign w:val="bottom"/>
            <w:gridSpan w:val="3"/>
            <w:shd w:val="clear" w:color="auto" w:fill="CFF0FC"/>
          </w:tcPr>
          <w:p>
            <w:pPr>
              <w:jc w:val="center"/>
              <w:ind w:left="133"/>
              <w:spacing w:after="0"/>
              <w:rPr>
                <w:sz w:val="20"/>
                <w:szCs w:val="20"/>
                <w:color w:val="auto"/>
              </w:rPr>
            </w:pPr>
            <w:r>
              <w:rPr>
                <w:rFonts w:ascii="Arial" w:cs="Arial" w:eastAsia="Arial" w:hAnsi="Arial"/>
                <w:sz w:val="14"/>
                <w:szCs w:val="14"/>
                <w:color w:val="auto"/>
                <w:w w:val="87"/>
              </w:rPr>
              <w:t>$895 - $1,950</w:t>
            </w:r>
          </w:p>
        </w:tc>
        <w:tc>
          <w:tcPr>
            <w:tcW w:w="0" w:type="dxa"/>
            <w:vAlign w:val="bottom"/>
          </w:tcPr>
          <w:p>
            <w:pPr>
              <w:spacing w:after="0"/>
              <w:rPr>
                <w:sz w:val="1"/>
                <w:szCs w:val="1"/>
                <w:color w:val="auto"/>
              </w:rPr>
            </w:pPr>
          </w:p>
        </w:tc>
      </w:tr>
      <w:tr>
        <w:trPr>
          <w:trHeight w:val="162"/>
        </w:trPr>
        <w:tc>
          <w:tcPr>
            <w:tcW w:w="4220" w:type="dxa"/>
            <w:vAlign w:val="bottom"/>
            <w:gridSpan w:val="2"/>
          </w:tcPr>
          <w:p>
            <w:pPr>
              <w:spacing w:after="0"/>
              <w:rPr>
                <w:sz w:val="20"/>
                <w:szCs w:val="20"/>
                <w:color w:val="auto"/>
              </w:rPr>
            </w:pPr>
            <w:r>
              <w:rPr>
                <w:rFonts w:ascii="Arial" w:cs="Arial" w:eastAsia="Arial" w:hAnsi="Arial"/>
                <w:sz w:val="14"/>
                <w:szCs w:val="14"/>
                <w:color w:val="auto"/>
              </w:rPr>
              <w:t>Los Angeles County:</w:t>
            </w:r>
          </w:p>
        </w:tc>
        <w:tc>
          <w:tcPr>
            <w:tcW w:w="9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4220" w:type="dxa"/>
            <w:vAlign w:val="bottom"/>
            <w:gridSpan w:val="2"/>
            <w:shd w:val="clear" w:color="auto" w:fill="CFF0FC"/>
          </w:tcPr>
          <w:p>
            <w:pPr>
              <w:ind w:left="380"/>
              <w:spacing w:after="0"/>
              <w:rPr>
                <w:sz w:val="20"/>
                <w:szCs w:val="20"/>
                <w:color w:val="auto"/>
              </w:rPr>
            </w:pPr>
            <w:r>
              <w:rPr>
                <w:rFonts w:ascii="Arial" w:cs="Arial" w:eastAsia="Arial" w:hAnsi="Arial"/>
                <w:sz w:val="14"/>
                <w:szCs w:val="14"/>
                <w:color w:val="auto"/>
              </w:rPr>
              <w:t>LivingSmart at Fair Oaks Ranch</w:t>
            </w:r>
          </w:p>
        </w:tc>
        <w:tc>
          <w:tcPr>
            <w:tcW w:w="900" w:type="dxa"/>
            <w:vAlign w:val="bottom"/>
            <w:shd w:val="clear" w:color="auto" w:fill="CFF0FC"/>
          </w:tcPr>
          <w:p>
            <w:pPr>
              <w:jc w:val="center"/>
              <w:spacing w:after="0"/>
              <w:rPr>
                <w:sz w:val="20"/>
                <w:szCs w:val="20"/>
                <w:color w:val="auto"/>
              </w:rPr>
            </w:pPr>
            <w:r>
              <w:rPr>
                <w:rFonts w:ascii="Arial" w:cs="Arial" w:eastAsia="Arial" w:hAnsi="Arial"/>
                <w:sz w:val="14"/>
                <w:szCs w:val="14"/>
                <w:color w:val="auto"/>
                <w:w w:val="83"/>
              </w:rPr>
              <w:t>2011</w:t>
            </w:r>
          </w:p>
        </w:tc>
        <w:tc>
          <w:tcPr>
            <w:tcW w:w="120" w:type="dxa"/>
            <w:vAlign w:val="bottom"/>
            <w:shd w:val="clear" w:color="auto" w:fill="CFF0FC"/>
          </w:tcPr>
          <w:p>
            <w:pPr>
              <w:spacing w:after="0"/>
              <w:rPr>
                <w:sz w:val="14"/>
                <w:szCs w:val="14"/>
                <w:color w:val="auto"/>
              </w:rPr>
            </w:pPr>
          </w:p>
        </w:tc>
        <w:tc>
          <w:tcPr>
            <w:tcW w:w="7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124</w:t>
            </w:r>
          </w:p>
        </w:tc>
        <w:tc>
          <w:tcPr>
            <w:tcW w:w="220" w:type="dxa"/>
            <w:vAlign w:val="bottom"/>
            <w:shd w:val="clear" w:color="auto" w:fill="CFF0FC"/>
          </w:tcPr>
          <w:p>
            <w:pPr>
              <w:spacing w:after="0"/>
              <w:rPr>
                <w:sz w:val="14"/>
                <w:szCs w:val="14"/>
                <w:color w:val="auto"/>
              </w:rPr>
            </w:pPr>
          </w:p>
        </w:tc>
        <w:tc>
          <w:tcPr>
            <w:tcW w:w="860" w:type="dxa"/>
            <w:vAlign w:val="bottom"/>
            <w:shd w:val="clear" w:color="auto" w:fill="CFF0FC"/>
          </w:tcPr>
          <w:p>
            <w:pPr>
              <w:jc w:val="right"/>
              <w:spacing w:after="0"/>
              <w:rPr>
                <w:sz w:val="20"/>
                <w:szCs w:val="20"/>
                <w:color w:val="auto"/>
              </w:rPr>
            </w:pPr>
            <w:r>
              <w:rPr>
                <w:rFonts w:ascii="Arial" w:cs="Arial" w:eastAsia="Arial" w:hAnsi="Arial"/>
                <w:sz w:val="14"/>
                <w:szCs w:val="14"/>
                <w:color w:val="auto"/>
              </w:rPr>
              <w:t>124</w:t>
            </w:r>
          </w:p>
        </w:tc>
        <w:tc>
          <w:tcPr>
            <w:tcW w:w="220" w:type="dxa"/>
            <w:vAlign w:val="bottom"/>
            <w:shd w:val="clear" w:color="auto" w:fill="CFF0FC"/>
          </w:tcPr>
          <w:p>
            <w:pPr>
              <w:spacing w:after="0"/>
              <w:rPr>
                <w:sz w:val="14"/>
                <w:szCs w:val="14"/>
                <w:color w:val="auto"/>
              </w:rPr>
            </w:pPr>
          </w:p>
        </w:tc>
        <w:tc>
          <w:tcPr>
            <w:tcW w:w="7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w:t>
            </w:r>
          </w:p>
        </w:tc>
        <w:tc>
          <w:tcPr>
            <w:tcW w:w="220" w:type="dxa"/>
            <w:vAlign w:val="bottom"/>
            <w:shd w:val="clear" w:color="auto" w:fill="CFF0FC"/>
          </w:tcPr>
          <w:p>
            <w:pPr>
              <w:spacing w:after="0"/>
              <w:rPr>
                <w:sz w:val="14"/>
                <w:szCs w:val="14"/>
                <w:color w:val="auto"/>
              </w:rPr>
            </w:pPr>
          </w:p>
        </w:tc>
        <w:tc>
          <w:tcPr>
            <w:tcW w:w="7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w:t>
            </w:r>
          </w:p>
        </w:tc>
        <w:tc>
          <w:tcPr>
            <w:tcW w:w="220" w:type="dxa"/>
            <w:vAlign w:val="bottom"/>
            <w:shd w:val="clear" w:color="auto" w:fill="CFF0FC"/>
          </w:tcPr>
          <w:p>
            <w:pPr>
              <w:spacing w:after="0"/>
              <w:rPr>
                <w:sz w:val="14"/>
                <w:szCs w:val="14"/>
                <w:color w:val="auto"/>
              </w:rPr>
            </w:pPr>
          </w:p>
        </w:tc>
        <w:tc>
          <w:tcPr>
            <w:tcW w:w="9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1</w:t>
            </w:r>
          </w:p>
        </w:tc>
        <w:tc>
          <w:tcPr>
            <w:tcW w:w="620" w:type="dxa"/>
            <w:vAlign w:val="bottom"/>
            <w:gridSpan w:val="2"/>
            <w:shd w:val="clear" w:color="auto" w:fill="CFF0FC"/>
          </w:tcPr>
          <w:p>
            <w:pPr>
              <w:jc w:val="right"/>
              <w:spacing w:after="0"/>
              <w:rPr>
                <w:sz w:val="20"/>
                <w:szCs w:val="20"/>
                <w:color w:val="auto"/>
              </w:rPr>
            </w:pPr>
            <w:r>
              <w:rPr>
                <w:rFonts w:ascii="Arial" w:cs="Arial" w:eastAsia="Arial" w:hAnsi="Arial"/>
                <w:sz w:val="14"/>
                <w:szCs w:val="14"/>
                <w:color w:val="auto"/>
              </w:rPr>
              <w:t>$483</w:t>
            </w:r>
          </w:p>
        </w:tc>
        <w:tc>
          <w:tcPr>
            <w:tcW w:w="500" w:type="dxa"/>
            <w:vAlign w:val="bottom"/>
            <w:shd w:val="clear" w:color="auto" w:fill="CFF0FC"/>
          </w:tcPr>
          <w:p>
            <w:pPr>
              <w:ind w:left="20"/>
              <w:spacing w:after="0"/>
              <w:rPr>
                <w:sz w:val="20"/>
                <w:szCs w:val="20"/>
                <w:color w:val="auto"/>
              </w:rPr>
            </w:pPr>
            <w:r>
              <w:rPr>
                <w:rFonts w:ascii="Arial" w:cs="Arial" w:eastAsia="Arial" w:hAnsi="Arial"/>
                <w:sz w:val="14"/>
                <w:szCs w:val="14"/>
                <w:color w:val="auto"/>
              </w:rPr>
              <w:t>- $509</w:t>
            </w:r>
          </w:p>
        </w:tc>
        <w:tc>
          <w:tcPr>
            <w:tcW w:w="0" w:type="dxa"/>
            <w:vAlign w:val="bottom"/>
          </w:tcPr>
          <w:p>
            <w:pPr>
              <w:spacing w:after="0"/>
              <w:rPr>
                <w:sz w:val="1"/>
                <w:szCs w:val="1"/>
                <w:color w:val="auto"/>
              </w:rPr>
            </w:pPr>
          </w:p>
        </w:tc>
      </w:tr>
      <w:tr>
        <w:trPr>
          <w:trHeight w:val="162"/>
        </w:trPr>
        <w:tc>
          <w:tcPr>
            <w:tcW w:w="4220" w:type="dxa"/>
            <w:vAlign w:val="bottom"/>
            <w:gridSpan w:val="2"/>
          </w:tcPr>
          <w:p>
            <w:pPr>
              <w:ind w:left="380"/>
              <w:spacing w:after="0"/>
              <w:rPr>
                <w:sz w:val="20"/>
                <w:szCs w:val="20"/>
                <w:color w:val="auto"/>
              </w:rPr>
            </w:pPr>
            <w:r>
              <w:rPr>
                <w:rFonts w:ascii="Arial" w:cs="Arial" w:eastAsia="Arial" w:hAnsi="Arial"/>
                <w:sz w:val="14"/>
                <w:szCs w:val="14"/>
                <w:color w:val="auto"/>
              </w:rPr>
              <w:t>Golden Valley</w:t>
            </w:r>
          </w:p>
        </w:tc>
        <w:tc>
          <w:tcPr>
            <w:tcW w:w="1020" w:type="dxa"/>
            <w:vAlign w:val="bottom"/>
            <w:gridSpan w:val="2"/>
          </w:tcPr>
          <w:p>
            <w:pPr>
              <w:jc w:val="center"/>
              <w:ind w:right="120"/>
              <w:spacing w:after="0"/>
              <w:rPr>
                <w:sz w:val="20"/>
                <w:szCs w:val="20"/>
                <w:color w:val="auto"/>
              </w:rPr>
            </w:pPr>
            <w:r>
              <w:rPr>
                <w:rFonts w:ascii="Arial" w:cs="Arial" w:eastAsia="Arial" w:hAnsi="Arial"/>
                <w:sz w:val="14"/>
                <w:szCs w:val="14"/>
                <w:color w:val="auto"/>
                <w:w w:val="92"/>
              </w:rPr>
              <w:t>TBD</w:t>
            </w:r>
          </w:p>
        </w:tc>
        <w:tc>
          <w:tcPr>
            <w:tcW w:w="780" w:type="dxa"/>
            <w:vAlign w:val="bottom"/>
          </w:tcPr>
          <w:p>
            <w:pPr>
              <w:jc w:val="right"/>
              <w:spacing w:after="0"/>
              <w:rPr>
                <w:sz w:val="20"/>
                <w:szCs w:val="20"/>
                <w:color w:val="auto"/>
              </w:rPr>
            </w:pPr>
            <w:r>
              <w:rPr>
                <w:rFonts w:ascii="Arial" w:cs="Arial" w:eastAsia="Arial" w:hAnsi="Arial"/>
                <w:sz w:val="14"/>
                <w:szCs w:val="14"/>
                <w:color w:val="auto"/>
              </w:rPr>
              <w:t>498</w:t>
            </w:r>
          </w:p>
        </w:tc>
        <w:tc>
          <w:tcPr>
            <w:tcW w:w="220" w:type="dxa"/>
            <w:vAlign w:val="bottom"/>
          </w:tcPr>
          <w:p>
            <w:pPr>
              <w:spacing w:after="0"/>
              <w:rPr>
                <w:sz w:val="14"/>
                <w:szCs w:val="14"/>
                <w:color w:val="auto"/>
              </w:rPr>
            </w:pPr>
          </w:p>
        </w:tc>
        <w:tc>
          <w:tcPr>
            <w:tcW w:w="860" w:type="dxa"/>
            <w:vAlign w:val="bottom"/>
          </w:tcPr>
          <w:p>
            <w:pPr>
              <w:jc w:val="right"/>
              <w:spacing w:after="0"/>
              <w:rPr>
                <w:sz w:val="20"/>
                <w:szCs w:val="20"/>
                <w:color w:val="auto"/>
              </w:rPr>
            </w:pPr>
            <w:r>
              <w:rPr>
                <w:rFonts w:ascii="Arial" w:cs="Arial" w:eastAsia="Arial" w:hAnsi="Arial"/>
                <w:sz w:val="14"/>
                <w:szCs w:val="14"/>
                <w:color w:val="auto"/>
              </w:rPr>
              <w:t>-</w:t>
            </w:r>
          </w:p>
        </w:tc>
        <w:tc>
          <w:tcPr>
            <w:tcW w:w="220" w:type="dxa"/>
            <w:vAlign w:val="bottom"/>
          </w:tcPr>
          <w:p>
            <w:pPr>
              <w:spacing w:after="0"/>
              <w:rPr>
                <w:sz w:val="14"/>
                <w:szCs w:val="14"/>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498</w:t>
            </w:r>
          </w:p>
        </w:tc>
        <w:tc>
          <w:tcPr>
            <w:tcW w:w="220" w:type="dxa"/>
            <w:vAlign w:val="bottom"/>
          </w:tcPr>
          <w:p>
            <w:pPr>
              <w:spacing w:after="0"/>
              <w:rPr>
                <w:sz w:val="14"/>
                <w:szCs w:val="14"/>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w:t>
            </w:r>
          </w:p>
        </w:tc>
        <w:tc>
          <w:tcPr>
            <w:tcW w:w="220" w:type="dxa"/>
            <w:vAlign w:val="bottom"/>
          </w:tcPr>
          <w:p>
            <w:pPr>
              <w:spacing w:after="0"/>
              <w:rPr>
                <w:sz w:val="14"/>
                <w:szCs w:val="14"/>
                <w:color w:val="auto"/>
              </w:rPr>
            </w:pPr>
          </w:p>
        </w:tc>
        <w:tc>
          <w:tcPr>
            <w:tcW w:w="980" w:type="dxa"/>
            <w:vAlign w:val="bottom"/>
          </w:tcPr>
          <w:p>
            <w:pPr>
              <w:jc w:val="right"/>
              <w:spacing w:after="0"/>
              <w:rPr>
                <w:sz w:val="20"/>
                <w:szCs w:val="20"/>
                <w:color w:val="auto"/>
              </w:rPr>
            </w:pPr>
            <w:r>
              <w:rPr>
                <w:rFonts w:ascii="Arial" w:cs="Arial" w:eastAsia="Arial" w:hAnsi="Arial"/>
                <w:sz w:val="14"/>
                <w:szCs w:val="14"/>
                <w:color w:val="auto"/>
              </w:rPr>
              <w:t>-</w:t>
            </w:r>
          </w:p>
        </w:tc>
        <w:tc>
          <w:tcPr>
            <w:tcW w:w="620" w:type="dxa"/>
            <w:vAlign w:val="bottom"/>
            <w:gridSpan w:val="2"/>
          </w:tcPr>
          <w:p>
            <w:pPr>
              <w:jc w:val="right"/>
              <w:spacing w:after="0"/>
              <w:rPr>
                <w:sz w:val="20"/>
                <w:szCs w:val="20"/>
                <w:color w:val="auto"/>
              </w:rPr>
            </w:pPr>
            <w:r>
              <w:rPr>
                <w:rFonts w:ascii="Arial" w:cs="Arial" w:eastAsia="Arial" w:hAnsi="Arial"/>
                <w:sz w:val="14"/>
                <w:szCs w:val="14"/>
                <w:color w:val="auto"/>
              </w:rPr>
              <w:t>$499</w:t>
            </w:r>
          </w:p>
        </w:tc>
        <w:tc>
          <w:tcPr>
            <w:tcW w:w="500" w:type="dxa"/>
            <w:vAlign w:val="bottom"/>
          </w:tcPr>
          <w:p>
            <w:pPr>
              <w:ind w:left="20"/>
              <w:spacing w:after="0"/>
              <w:rPr>
                <w:sz w:val="20"/>
                <w:szCs w:val="20"/>
                <w:color w:val="auto"/>
              </w:rPr>
            </w:pPr>
            <w:r>
              <w:rPr>
                <w:rFonts w:ascii="Arial" w:cs="Arial" w:eastAsia="Arial" w:hAnsi="Arial"/>
                <w:sz w:val="14"/>
                <w:szCs w:val="14"/>
                <w:color w:val="auto"/>
              </w:rPr>
              <w:t>- $807</w:t>
            </w:r>
          </w:p>
        </w:tc>
        <w:tc>
          <w:tcPr>
            <w:tcW w:w="0" w:type="dxa"/>
            <w:vAlign w:val="bottom"/>
          </w:tcPr>
          <w:p>
            <w:pPr>
              <w:spacing w:after="0"/>
              <w:rPr>
                <w:sz w:val="1"/>
                <w:szCs w:val="1"/>
                <w:color w:val="auto"/>
              </w:rPr>
            </w:pPr>
          </w:p>
        </w:tc>
      </w:tr>
      <w:tr>
        <w:trPr>
          <w:trHeight w:val="162"/>
        </w:trPr>
        <w:tc>
          <w:tcPr>
            <w:tcW w:w="4220" w:type="dxa"/>
            <w:vAlign w:val="bottom"/>
            <w:gridSpan w:val="2"/>
            <w:shd w:val="clear" w:color="auto" w:fill="CFF0FC"/>
          </w:tcPr>
          <w:p>
            <w:pPr>
              <w:ind w:left="380"/>
              <w:spacing w:after="0"/>
              <w:rPr>
                <w:sz w:val="20"/>
                <w:szCs w:val="20"/>
                <w:color w:val="auto"/>
              </w:rPr>
            </w:pPr>
            <w:r>
              <w:rPr>
                <w:rFonts w:ascii="Arial" w:cs="Arial" w:eastAsia="Arial" w:hAnsi="Arial"/>
                <w:sz w:val="14"/>
                <w:szCs w:val="14"/>
                <w:color w:val="auto"/>
              </w:rPr>
              <w:t>Skyline Ranch</w:t>
            </w:r>
          </w:p>
        </w:tc>
        <w:tc>
          <w:tcPr>
            <w:tcW w:w="1020" w:type="dxa"/>
            <w:vAlign w:val="bottom"/>
            <w:gridSpan w:val="2"/>
            <w:shd w:val="clear" w:color="auto" w:fill="CFF0FC"/>
          </w:tcPr>
          <w:p>
            <w:pPr>
              <w:jc w:val="center"/>
              <w:ind w:right="120"/>
              <w:spacing w:after="0"/>
              <w:rPr>
                <w:sz w:val="20"/>
                <w:szCs w:val="20"/>
                <w:color w:val="auto"/>
              </w:rPr>
            </w:pPr>
            <w:r>
              <w:rPr>
                <w:rFonts w:ascii="Arial" w:cs="Arial" w:eastAsia="Arial" w:hAnsi="Arial"/>
                <w:sz w:val="14"/>
                <w:szCs w:val="14"/>
                <w:color w:val="auto"/>
                <w:w w:val="92"/>
              </w:rPr>
              <w:t>TBD</w:t>
            </w:r>
          </w:p>
        </w:tc>
        <w:tc>
          <w:tcPr>
            <w:tcW w:w="7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1,260</w:t>
            </w:r>
          </w:p>
        </w:tc>
        <w:tc>
          <w:tcPr>
            <w:tcW w:w="220" w:type="dxa"/>
            <w:vAlign w:val="bottom"/>
            <w:shd w:val="clear" w:color="auto" w:fill="CFF0FC"/>
          </w:tcPr>
          <w:p>
            <w:pPr>
              <w:spacing w:after="0"/>
              <w:rPr>
                <w:sz w:val="14"/>
                <w:szCs w:val="14"/>
                <w:color w:val="auto"/>
              </w:rPr>
            </w:pPr>
          </w:p>
        </w:tc>
        <w:tc>
          <w:tcPr>
            <w:tcW w:w="860" w:type="dxa"/>
            <w:vAlign w:val="bottom"/>
            <w:shd w:val="clear" w:color="auto" w:fill="CFF0FC"/>
          </w:tcPr>
          <w:p>
            <w:pPr>
              <w:jc w:val="right"/>
              <w:spacing w:after="0"/>
              <w:rPr>
                <w:sz w:val="20"/>
                <w:szCs w:val="20"/>
                <w:color w:val="auto"/>
              </w:rPr>
            </w:pPr>
            <w:r>
              <w:rPr>
                <w:rFonts w:ascii="Arial" w:cs="Arial" w:eastAsia="Arial" w:hAnsi="Arial"/>
                <w:sz w:val="14"/>
                <w:szCs w:val="14"/>
                <w:color w:val="auto"/>
              </w:rPr>
              <w:t>-</w:t>
            </w:r>
          </w:p>
        </w:tc>
        <w:tc>
          <w:tcPr>
            <w:tcW w:w="220" w:type="dxa"/>
            <w:vAlign w:val="bottom"/>
            <w:shd w:val="clear" w:color="auto" w:fill="CFF0FC"/>
          </w:tcPr>
          <w:p>
            <w:pPr>
              <w:spacing w:after="0"/>
              <w:rPr>
                <w:sz w:val="14"/>
                <w:szCs w:val="14"/>
                <w:color w:val="auto"/>
              </w:rPr>
            </w:pPr>
          </w:p>
        </w:tc>
        <w:tc>
          <w:tcPr>
            <w:tcW w:w="7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1,260</w:t>
            </w:r>
          </w:p>
        </w:tc>
        <w:tc>
          <w:tcPr>
            <w:tcW w:w="220" w:type="dxa"/>
            <w:vAlign w:val="bottom"/>
            <w:shd w:val="clear" w:color="auto" w:fill="CFF0FC"/>
          </w:tcPr>
          <w:p>
            <w:pPr>
              <w:spacing w:after="0"/>
              <w:rPr>
                <w:sz w:val="14"/>
                <w:szCs w:val="14"/>
                <w:color w:val="auto"/>
              </w:rPr>
            </w:pPr>
          </w:p>
        </w:tc>
        <w:tc>
          <w:tcPr>
            <w:tcW w:w="7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w:t>
            </w:r>
          </w:p>
        </w:tc>
        <w:tc>
          <w:tcPr>
            <w:tcW w:w="220" w:type="dxa"/>
            <w:vAlign w:val="bottom"/>
            <w:shd w:val="clear" w:color="auto" w:fill="CFF0FC"/>
          </w:tcPr>
          <w:p>
            <w:pPr>
              <w:spacing w:after="0"/>
              <w:rPr>
                <w:sz w:val="14"/>
                <w:szCs w:val="14"/>
                <w:color w:val="auto"/>
              </w:rPr>
            </w:pPr>
          </w:p>
        </w:tc>
        <w:tc>
          <w:tcPr>
            <w:tcW w:w="9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w:t>
            </w:r>
          </w:p>
        </w:tc>
        <w:tc>
          <w:tcPr>
            <w:tcW w:w="620" w:type="dxa"/>
            <w:vAlign w:val="bottom"/>
            <w:gridSpan w:val="2"/>
            <w:shd w:val="clear" w:color="auto" w:fill="CFF0FC"/>
          </w:tcPr>
          <w:p>
            <w:pPr>
              <w:jc w:val="right"/>
              <w:spacing w:after="0"/>
              <w:rPr>
                <w:sz w:val="20"/>
                <w:szCs w:val="20"/>
                <w:color w:val="auto"/>
              </w:rPr>
            </w:pPr>
            <w:r>
              <w:rPr>
                <w:rFonts w:ascii="Arial" w:cs="Arial" w:eastAsia="Arial" w:hAnsi="Arial"/>
                <w:sz w:val="14"/>
                <w:szCs w:val="14"/>
                <w:color w:val="auto"/>
              </w:rPr>
              <w:t>$510</w:t>
            </w:r>
          </w:p>
        </w:tc>
        <w:tc>
          <w:tcPr>
            <w:tcW w:w="500" w:type="dxa"/>
            <w:vAlign w:val="bottom"/>
            <w:shd w:val="clear" w:color="auto" w:fill="CFF0FC"/>
          </w:tcPr>
          <w:p>
            <w:pPr>
              <w:ind w:left="20"/>
              <w:spacing w:after="0"/>
              <w:rPr>
                <w:sz w:val="20"/>
                <w:szCs w:val="20"/>
                <w:color w:val="auto"/>
              </w:rPr>
            </w:pPr>
            <w:r>
              <w:rPr>
                <w:rFonts w:ascii="Arial" w:cs="Arial" w:eastAsia="Arial" w:hAnsi="Arial"/>
                <w:sz w:val="14"/>
                <w:szCs w:val="14"/>
                <w:color w:val="auto"/>
              </w:rPr>
              <w:t>- $640</w:t>
            </w:r>
          </w:p>
        </w:tc>
        <w:tc>
          <w:tcPr>
            <w:tcW w:w="0" w:type="dxa"/>
            <w:vAlign w:val="bottom"/>
          </w:tcPr>
          <w:p>
            <w:pPr>
              <w:spacing w:after="0"/>
              <w:rPr>
                <w:sz w:val="1"/>
                <w:szCs w:val="1"/>
                <w:color w:val="auto"/>
              </w:rPr>
            </w:pPr>
          </w:p>
        </w:tc>
      </w:tr>
      <w:tr>
        <w:trPr>
          <w:trHeight w:val="162"/>
        </w:trPr>
        <w:tc>
          <w:tcPr>
            <w:tcW w:w="4220" w:type="dxa"/>
            <w:vAlign w:val="bottom"/>
            <w:gridSpan w:val="2"/>
          </w:tcPr>
          <w:p>
            <w:pPr>
              <w:spacing w:after="0"/>
              <w:rPr>
                <w:sz w:val="20"/>
                <w:szCs w:val="20"/>
                <w:color w:val="auto"/>
              </w:rPr>
            </w:pPr>
            <w:r>
              <w:rPr>
                <w:rFonts w:ascii="Arial" w:cs="Arial" w:eastAsia="Arial" w:hAnsi="Arial"/>
                <w:sz w:val="14"/>
                <w:szCs w:val="14"/>
                <w:color w:val="auto"/>
              </w:rPr>
              <w:t>Ventura County:</w:t>
            </w:r>
          </w:p>
        </w:tc>
        <w:tc>
          <w:tcPr>
            <w:tcW w:w="9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4220" w:type="dxa"/>
            <w:vAlign w:val="bottom"/>
            <w:gridSpan w:val="2"/>
            <w:shd w:val="clear" w:color="auto" w:fill="CFF0FC"/>
          </w:tcPr>
          <w:p>
            <w:pPr>
              <w:ind w:left="380"/>
              <w:spacing w:after="0"/>
              <w:rPr>
                <w:sz w:val="20"/>
                <w:szCs w:val="20"/>
                <w:color w:val="auto"/>
              </w:rPr>
            </w:pPr>
            <w:r>
              <w:rPr>
                <w:rFonts w:ascii="Arial" w:cs="Arial" w:eastAsia="Arial" w:hAnsi="Arial"/>
                <w:sz w:val="14"/>
                <w:szCs w:val="14"/>
                <w:color w:val="auto"/>
              </w:rPr>
              <w:t>LivingSmart at Moorpark Highlands, Moorpark</w:t>
            </w:r>
          </w:p>
        </w:tc>
        <w:tc>
          <w:tcPr>
            <w:tcW w:w="900" w:type="dxa"/>
            <w:vAlign w:val="bottom"/>
            <w:shd w:val="clear" w:color="auto" w:fill="CFF0FC"/>
          </w:tcPr>
          <w:p>
            <w:pPr>
              <w:jc w:val="center"/>
              <w:spacing w:after="0"/>
              <w:rPr>
                <w:sz w:val="20"/>
                <w:szCs w:val="20"/>
                <w:color w:val="auto"/>
              </w:rPr>
            </w:pPr>
            <w:r>
              <w:rPr>
                <w:rFonts w:ascii="Arial" w:cs="Arial" w:eastAsia="Arial" w:hAnsi="Arial"/>
                <w:sz w:val="14"/>
                <w:szCs w:val="14"/>
                <w:color w:val="auto"/>
                <w:w w:val="83"/>
              </w:rPr>
              <w:t>2013</w:t>
            </w:r>
          </w:p>
        </w:tc>
        <w:tc>
          <w:tcPr>
            <w:tcW w:w="120" w:type="dxa"/>
            <w:vAlign w:val="bottom"/>
            <w:shd w:val="clear" w:color="auto" w:fill="CFF0FC"/>
          </w:tcPr>
          <w:p>
            <w:pPr>
              <w:spacing w:after="0"/>
              <w:rPr>
                <w:sz w:val="14"/>
                <w:szCs w:val="14"/>
                <w:color w:val="auto"/>
              </w:rPr>
            </w:pPr>
          </w:p>
        </w:tc>
        <w:tc>
          <w:tcPr>
            <w:tcW w:w="7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133</w:t>
            </w:r>
          </w:p>
        </w:tc>
        <w:tc>
          <w:tcPr>
            <w:tcW w:w="220" w:type="dxa"/>
            <w:vAlign w:val="bottom"/>
            <w:shd w:val="clear" w:color="auto" w:fill="CFF0FC"/>
          </w:tcPr>
          <w:p>
            <w:pPr>
              <w:spacing w:after="0"/>
              <w:rPr>
                <w:sz w:val="14"/>
                <w:szCs w:val="14"/>
                <w:color w:val="auto"/>
              </w:rPr>
            </w:pPr>
          </w:p>
        </w:tc>
        <w:tc>
          <w:tcPr>
            <w:tcW w:w="860" w:type="dxa"/>
            <w:vAlign w:val="bottom"/>
            <w:shd w:val="clear" w:color="auto" w:fill="CFF0FC"/>
          </w:tcPr>
          <w:p>
            <w:pPr>
              <w:jc w:val="right"/>
              <w:spacing w:after="0"/>
              <w:rPr>
                <w:sz w:val="20"/>
                <w:szCs w:val="20"/>
                <w:color w:val="auto"/>
              </w:rPr>
            </w:pPr>
            <w:r>
              <w:rPr>
                <w:rFonts w:ascii="Arial" w:cs="Arial" w:eastAsia="Arial" w:hAnsi="Arial"/>
                <w:sz w:val="14"/>
                <w:szCs w:val="14"/>
                <w:color w:val="auto"/>
              </w:rPr>
              <w:t>98</w:t>
            </w:r>
          </w:p>
        </w:tc>
        <w:tc>
          <w:tcPr>
            <w:tcW w:w="220" w:type="dxa"/>
            <w:vAlign w:val="bottom"/>
            <w:shd w:val="clear" w:color="auto" w:fill="CFF0FC"/>
          </w:tcPr>
          <w:p>
            <w:pPr>
              <w:spacing w:after="0"/>
              <w:rPr>
                <w:sz w:val="14"/>
                <w:szCs w:val="14"/>
                <w:color w:val="auto"/>
              </w:rPr>
            </w:pPr>
          </w:p>
        </w:tc>
        <w:tc>
          <w:tcPr>
            <w:tcW w:w="7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35</w:t>
            </w:r>
          </w:p>
        </w:tc>
        <w:tc>
          <w:tcPr>
            <w:tcW w:w="220" w:type="dxa"/>
            <w:vAlign w:val="bottom"/>
            <w:shd w:val="clear" w:color="auto" w:fill="CFF0FC"/>
          </w:tcPr>
          <w:p>
            <w:pPr>
              <w:spacing w:after="0"/>
              <w:rPr>
                <w:sz w:val="14"/>
                <w:szCs w:val="14"/>
                <w:color w:val="auto"/>
              </w:rPr>
            </w:pPr>
          </w:p>
        </w:tc>
        <w:tc>
          <w:tcPr>
            <w:tcW w:w="7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23</w:t>
            </w:r>
          </w:p>
        </w:tc>
        <w:tc>
          <w:tcPr>
            <w:tcW w:w="220" w:type="dxa"/>
            <w:vAlign w:val="bottom"/>
            <w:shd w:val="clear" w:color="auto" w:fill="CFF0FC"/>
          </w:tcPr>
          <w:p>
            <w:pPr>
              <w:spacing w:after="0"/>
              <w:rPr>
                <w:sz w:val="14"/>
                <w:szCs w:val="14"/>
                <w:color w:val="auto"/>
              </w:rPr>
            </w:pPr>
          </w:p>
        </w:tc>
        <w:tc>
          <w:tcPr>
            <w:tcW w:w="9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14</w:t>
            </w:r>
          </w:p>
        </w:tc>
        <w:tc>
          <w:tcPr>
            <w:tcW w:w="620" w:type="dxa"/>
            <w:vAlign w:val="bottom"/>
            <w:gridSpan w:val="2"/>
            <w:shd w:val="clear" w:color="auto" w:fill="CFF0FC"/>
          </w:tcPr>
          <w:p>
            <w:pPr>
              <w:jc w:val="right"/>
              <w:spacing w:after="0"/>
              <w:rPr>
                <w:sz w:val="20"/>
                <w:szCs w:val="20"/>
                <w:color w:val="auto"/>
              </w:rPr>
            </w:pPr>
            <w:r>
              <w:rPr>
                <w:rFonts w:ascii="Arial" w:cs="Arial" w:eastAsia="Arial" w:hAnsi="Arial"/>
                <w:sz w:val="14"/>
                <w:szCs w:val="14"/>
                <w:color w:val="auto"/>
              </w:rPr>
              <w:t>$587</w:t>
            </w:r>
          </w:p>
        </w:tc>
        <w:tc>
          <w:tcPr>
            <w:tcW w:w="500" w:type="dxa"/>
            <w:vAlign w:val="bottom"/>
            <w:shd w:val="clear" w:color="auto" w:fill="CFF0FC"/>
          </w:tcPr>
          <w:p>
            <w:pPr>
              <w:ind w:left="20"/>
              <w:spacing w:after="0"/>
              <w:rPr>
                <w:sz w:val="20"/>
                <w:szCs w:val="20"/>
                <w:color w:val="auto"/>
              </w:rPr>
            </w:pPr>
            <w:r>
              <w:rPr>
                <w:rFonts w:ascii="Arial" w:cs="Arial" w:eastAsia="Arial" w:hAnsi="Arial"/>
                <w:sz w:val="14"/>
                <w:szCs w:val="14"/>
                <w:color w:val="auto"/>
              </w:rPr>
              <w:t>- $616</w:t>
            </w:r>
          </w:p>
        </w:tc>
        <w:tc>
          <w:tcPr>
            <w:tcW w:w="0" w:type="dxa"/>
            <w:vAlign w:val="bottom"/>
          </w:tcPr>
          <w:p>
            <w:pPr>
              <w:spacing w:after="0"/>
              <w:rPr>
                <w:sz w:val="1"/>
                <w:szCs w:val="1"/>
                <w:color w:val="auto"/>
              </w:rPr>
            </w:pPr>
          </w:p>
        </w:tc>
      </w:tr>
      <w:tr>
        <w:trPr>
          <w:trHeight w:val="162"/>
        </w:trPr>
        <w:tc>
          <w:tcPr>
            <w:tcW w:w="4220" w:type="dxa"/>
            <w:vAlign w:val="bottom"/>
            <w:gridSpan w:val="2"/>
          </w:tcPr>
          <w:p>
            <w:pPr>
              <w:spacing w:after="0"/>
              <w:rPr>
                <w:sz w:val="20"/>
                <w:szCs w:val="20"/>
                <w:color w:val="auto"/>
              </w:rPr>
            </w:pPr>
            <w:r>
              <w:rPr>
                <w:rFonts w:ascii="Arial" w:cs="Arial" w:eastAsia="Arial" w:hAnsi="Arial"/>
                <w:sz w:val="14"/>
                <w:szCs w:val="14"/>
                <w:color w:val="auto"/>
              </w:rPr>
              <w:t>Riverside County:</w:t>
            </w:r>
          </w:p>
        </w:tc>
        <w:tc>
          <w:tcPr>
            <w:tcW w:w="9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4220" w:type="dxa"/>
            <w:vAlign w:val="bottom"/>
            <w:gridSpan w:val="2"/>
            <w:shd w:val="clear" w:color="auto" w:fill="CFF0FC"/>
          </w:tcPr>
          <w:p>
            <w:pPr>
              <w:ind w:left="380"/>
              <w:spacing w:after="0"/>
              <w:rPr>
                <w:sz w:val="20"/>
                <w:szCs w:val="20"/>
                <w:color w:val="auto"/>
              </w:rPr>
            </w:pPr>
            <w:r>
              <w:rPr>
                <w:rFonts w:ascii="Arial" w:cs="Arial" w:eastAsia="Arial" w:hAnsi="Arial"/>
                <w:sz w:val="14"/>
                <w:szCs w:val="14"/>
                <w:color w:val="auto"/>
              </w:rPr>
              <w:t>Hillside</w:t>
            </w:r>
          </w:p>
        </w:tc>
        <w:tc>
          <w:tcPr>
            <w:tcW w:w="900" w:type="dxa"/>
            <w:vAlign w:val="bottom"/>
            <w:shd w:val="clear" w:color="auto" w:fill="CFF0FC"/>
          </w:tcPr>
          <w:p>
            <w:pPr>
              <w:jc w:val="center"/>
              <w:spacing w:after="0"/>
              <w:rPr>
                <w:sz w:val="20"/>
                <w:szCs w:val="20"/>
                <w:color w:val="auto"/>
              </w:rPr>
            </w:pPr>
            <w:r>
              <w:rPr>
                <w:rFonts w:ascii="Arial" w:cs="Arial" w:eastAsia="Arial" w:hAnsi="Arial"/>
                <w:sz w:val="14"/>
                <w:szCs w:val="14"/>
                <w:color w:val="auto"/>
                <w:w w:val="83"/>
              </w:rPr>
              <w:t>2012</w:t>
            </w:r>
          </w:p>
        </w:tc>
        <w:tc>
          <w:tcPr>
            <w:tcW w:w="120" w:type="dxa"/>
            <w:vAlign w:val="bottom"/>
            <w:shd w:val="clear" w:color="auto" w:fill="CFF0FC"/>
          </w:tcPr>
          <w:p>
            <w:pPr>
              <w:spacing w:after="0"/>
              <w:rPr>
                <w:sz w:val="14"/>
                <w:szCs w:val="14"/>
                <w:color w:val="auto"/>
              </w:rPr>
            </w:pPr>
          </w:p>
        </w:tc>
        <w:tc>
          <w:tcPr>
            <w:tcW w:w="7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182</w:t>
            </w:r>
          </w:p>
        </w:tc>
        <w:tc>
          <w:tcPr>
            <w:tcW w:w="220" w:type="dxa"/>
            <w:vAlign w:val="bottom"/>
            <w:shd w:val="clear" w:color="auto" w:fill="CFF0FC"/>
          </w:tcPr>
          <w:p>
            <w:pPr>
              <w:spacing w:after="0"/>
              <w:rPr>
                <w:sz w:val="14"/>
                <w:szCs w:val="14"/>
                <w:color w:val="auto"/>
              </w:rPr>
            </w:pPr>
          </w:p>
        </w:tc>
        <w:tc>
          <w:tcPr>
            <w:tcW w:w="860" w:type="dxa"/>
            <w:vAlign w:val="bottom"/>
            <w:shd w:val="clear" w:color="auto" w:fill="CFF0FC"/>
          </w:tcPr>
          <w:p>
            <w:pPr>
              <w:jc w:val="right"/>
              <w:spacing w:after="0"/>
              <w:rPr>
                <w:sz w:val="20"/>
                <w:szCs w:val="20"/>
                <w:color w:val="auto"/>
              </w:rPr>
            </w:pPr>
            <w:r>
              <w:rPr>
                <w:rFonts w:ascii="Arial" w:cs="Arial" w:eastAsia="Arial" w:hAnsi="Arial"/>
                <w:sz w:val="14"/>
                <w:szCs w:val="14"/>
                <w:color w:val="auto"/>
              </w:rPr>
              <w:t>182</w:t>
            </w:r>
          </w:p>
        </w:tc>
        <w:tc>
          <w:tcPr>
            <w:tcW w:w="220" w:type="dxa"/>
            <w:vAlign w:val="bottom"/>
            <w:shd w:val="clear" w:color="auto" w:fill="CFF0FC"/>
          </w:tcPr>
          <w:p>
            <w:pPr>
              <w:spacing w:after="0"/>
              <w:rPr>
                <w:sz w:val="14"/>
                <w:szCs w:val="14"/>
                <w:color w:val="auto"/>
              </w:rPr>
            </w:pPr>
          </w:p>
        </w:tc>
        <w:tc>
          <w:tcPr>
            <w:tcW w:w="7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w:t>
            </w:r>
          </w:p>
        </w:tc>
        <w:tc>
          <w:tcPr>
            <w:tcW w:w="220" w:type="dxa"/>
            <w:vAlign w:val="bottom"/>
            <w:shd w:val="clear" w:color="auto" w:fill="CFF0FC"/>
          </w:tcPr>
          <w:p>
            <w:pPr>
              <w:spacing w:after="0"/>
              <w:rPr>
                <w:sz w:val="14"/>
                <w:szCs w:val="14"/>
                <w:color w:val="auto"/>
              </w:rPr>
            </w:pPr>
          </w:p>
        </w:tc>
        <w:tc>
          <w:tcPr>
            <w:tcW w:w="7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w:t>
            </w:r>
          </w:p>
        </w:tc>
        <w:tc>
          <w:tcPr>
            <w:tcW w:w="220" w:type="dxa"/>
            <w:vAlign w:val="bottom"/>
            <w:shd w:val="clear" w:color="auto" w:fill="CFF0FC"/>
          </w:tcPr>
          <w:p>
            <w:pPr>
              <w:spacing w:after="0"/>
              <w:rPr>
                <w:sz w:val="14"/>
                <w:szCs w:val="14"/>
                <w:color w:val="auto"/>
              </w:rPr>
            </w:pPr>
          </w:p>
        </w:tc>
        <w:tc>
          <w:tcPr>
            <w:tcW w:w="9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2</w:t>
            </w:r>
          </w:p>
        </w:tc>
        <w:tc>
          <w:tcPr>
            <w:tcW w:w="620" w:type="dxa"/>
            <w:vAlign w:val="bottom"/>
            <w:gridSpan w:val="2"/>
            <w:shd w:val="clear" w:color="auto" w:fill="CFF0FC"/>
          </w:tcPr>
          <w:p>
            <w:pPr>
              <w:jc w:val="right"/>
              <w:spacing w:after="0"/>
              <w:rPr>
                <w:sz w:val="20"/>
                <w:szCs w:val="20"/>
                <w:color w:val="auto"/>
              </w:rPr>
            </w:pPr>
            <w:r>
              <w:rPr>
                <w:rFonts w:ascii="Arial" w:cs="Arial" w:eastAsia="Arial" w:hAnsi="Arial"/>
                <w:sz w:val="14"/>
                <w:szCs w:val="14"/>
                <w:color w:val="auto"/>
              </w:rPr>
              <w:t>$284</w:t>
            </w:r>
          </w:p>
        </w:tc>
        <w:tc>
          <w:tcPr>
            <w:tcW w:w="500" w:type="dxa"/>
            <w:vAlign w:val="bottom"/>
            <w:shd w:val="clear" w:color="auto" w:fill="CFF0FC"/>
          </w:tcPr>
          <w:p>
            <w:pPr>
              <w:ind w:left="20"/>
              <w:spacing w:after="0"/>
              <w:rPr>
                <w:sz w:val="20"/>
                <w:szCs w:val="20"/>
                <w:color w:val="auto"/>
              </w:rPr>
            </w:pPr>
            <w:r>
              <w:rPr>
                <w:rFonts w:ascii="Arial" w:cs="Arial" w:eastAsia="Arial" w:hAnsi="Arial"/>
                <w:sz w:val="14"/>
                <w:szCs w:val="14"/>
                <w:color w:val="auto"/>
              </w:rPr>
              <w:t>- $301</w:t>
            </w:r>
          </w:p>
        </w:tc>
        <w:tc>
          <w:tcPr>
            <w:tcW w:w="0" w:type="dxa"/>
            <w:vAlign w:val="bottom"/>
          </w:tcPr>
          <w:p>
            <w:pPr>
              <w:spacing w:after="0"/>
              <w:rPr>
                <w:sz w:val="1"/>
                <w:szCs w:val="1"/>
                <w:color w:val="auto"/>
              </w:rPr>
            </w:pPr>
          </w:p>
        </w:tc>
      </w:tr>
      <w:tr>
        <w:trPr>
          <w:trHeight w:val="162"/>
        </w:trPr>
        <w:tc>
          <w:tcPr>
            <w:tcW w:w="4220" w:type="dxa"/>
            <w:vAlign w:val="bottom"/>
            <w:gridSpan w:val="2"/>
          </w:tcPr>
          <w:p>
            <w:pPr>
              <w:ind w:left="380"/>
              <w:spacing w:after="0"/>
              <w:rPr>
                <w:sz w:val="20"/>
                <w:szCs w:val="20"/>
                <w:color w:val="auto"/>
              </w:rPr>
            </w:pPr>
            <w:r>
              <w:rPr>
                <w:rFonts w:ascii="Arial" w:cs="Arial" w:eastAsia="Arial" w:hAnsi="Arial"/>
                <w:sz w:val="14"/>
                <w:szCs w:val="14"/>
                <w:color w:val="auto"/>
              </w:rPr>
              <w:t>Meadow Ridge</w:t>
            </w:r>
          </w:p>
        </w:tc>
        <w:tc>
          <w:tcPr>
            <w:tcW w:w="900" w:type="dxa"/>
            <w:vAlign w:val="bottom"/>
          </w:tcPr>
          <w:p>
            <w:pPr>
              <w:jc w:val="center"/>
              <w:spacing w:after="0"/>
              <w:rPr>
                <w:sz w:val="20"/>
                <w:szCs w:val="20"/>
                <w:color w:val="auto"/>
              </w:rPr>
            </w:pPr>
            <w:r>
              <w:rPr>
                <w:rFonts w:ascii="Arial" w:cs="Arial" w:eastAsia="Arial" w:hAnsi="Arial"/>
                <w:sz w:val="14"/>
                <w:szCs w:val="14"/>
                <w:color w:val="auto"/>
                <w:w w:val="83"/>
              </w:rPr>
              <w:t>2013</w:t>
            </w:r>
          </w:p>
        </w:tc>
        <w:tc>
          <w:tcPr>
            <w:tcW w:w="120" w:type="dxa"/>
            <w:vAlign w:val="bottom"/>
          </w:tcPr>
          <w:p>
            <w:pPr>
              <w:spacing w:after="0"/>
              <w:rPr>
                <w:sz w:val="14"/>
                <w:szCs w:val="14"/>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142</w:t>
            </w:r>
          </w:p>
        </w:tc>
        <w:tc>
          <w:tcPr>
            <w:tcW w:w="220" w:type="dxa"/>
            <w:vAlign w:val="bottom"/>
          </w:tcPr>
          <w:p>
            <w:pPr>
              <w:spacing w:after="0"/>
              <w:rPr>
                <w:sz w:val="14"/>
                <w:szCs w:val="14"/>
                <w:color w:val="auto"/>
              </w:rPr>
            </w:pPr>
          </w:p>
        </w:tc>
        <w:tc>
          <w:tcPr>
            <w:tcW w:w="860" w:type="dxa"/>
            <w:vAlign w:val="bottom"/>
          </w:tcPr>
          <w:p>
            <w:pPr>
              <w:jc w:val="right"/>
              <w:spacing w:after="0"/>
              <w:rPr>
                <w:sz w:val="20"/>
                <w:szCs w:val="20"/>
                <w:color w:val="auto"/>
              </w:rPr>
            </w:pPr>
            <w:r>
              <w:rPr>
                <w:rFonts w:ascii="Arial" w:cs="Arial" w:eastAsia="Arial" w:hAnsi="Arial"/>
                <w:sz w:val="14"/>
                <w:szCs w:val="14"/>
                <w:color w:val="auto"/>
              </w:rPr>
              <w:t>66</w:t>
            </w:r>
          </w:p>
        </w:tc>
        <w:tc>
          <w:tcPr>
            <w:tcW w:w="220" w:type="dxa"/>
            <w:vAlign w:val="bottom"/>
          </w:tcPr>
          <w:p>
            <w:pPr>
              <w:spacing w:after="0"/>
              <w:rPr>
                <w:sz w:val="14"/>
                <w:szCs w:val="14"/>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76</w:t>
            </w:r>
          </w:p>
        </w:tc>
        <w:tc>
          <w:tcPr>
            <w:tcW w:w="220" w:type="dxa"/>
            <w:vAlign w:val="bottom"/>
          </w:tcPr>
          <w:p>
            <w:pPr>
              <w:spacing w:after="0"/>
              <w:rPr>
                <w:sz w:val="14"/>
                <w:szCs w:val="14"/>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19</w:t>
            </w:r>
          </w:p>
        </w:tc>
        <w:tc>
          <w:tcPr>
            <w:tcW w:w="220" w:type="dxa"/>
            <w:vAlign w:val="bottom"/>
          </w:tcPr>
          <w:p>
            <w:pPr>
              <w:spacing w:after="0"/>
              <w:rPr>
                <w:sz w:val="14"/>
                <w:szCs w:val="14"/>
                <w:color w:val="auto"/>
              </w:rPr>
            </w:pPr>
          </w:p>
        </w:tc>
        <w:tc>
          <w:tcPr>
            <w:tcW w:w="980" w:type="dxa"/>
            <w:vAlign w:val="bottom"/>
          </w:tcPr>
          <w:p>
            <w:pPr>
              <w:jc w:val="right"/>
              <w:spacing w:after="0"/>
              <w:rPr>
                <w:sz w:val="20"/>
                <w:szCs w:val="20"/>
                <w:color w:val="auto"/>
              </w:rPr>
            </w:pPr>
            <w:r>
              <w:rPr>
                <w:rFonts w:ascii="Arial" w:cs="Arial" w:eastAsia="Arial" w:hAnsi="Arial"/>
                <w:sz w:val="14"/>
                <w:szCs w:val="14"/>
                <w:color w:val="auto"/>
              </w:rPr>
              <w:t>10</w:t>
            </w:r>
          </w:p>
        </w:tc>
        <w:tc>
          <w:tcPr>
            <w:tcW w:w="620" w:type="dxa"/>
            <w:vAlign w:val="bottom"/>
            <w:gridSpan w:val="2"/>
          </w:tcPr>
          <w:p>
            <w:pPr>
              <w:jc w:val="right"/>
              <w:spacing w:after="0"/>
              <w:rPr>
                <w:sz w:val="20"/>
                <w:szCs w:val="20"/>
                <w:color w:val="auto"/>
              </w:rPr>
            </w:pPr>
            <w:r>
              <w:rPr>
                <w:rFonts w:ascii="Arial" w:cs="Arial" w:eastAsia="Arial" w:hAnsi="Arial"/>
                <w:sz w:val="14"/>
                <w:szCs w:val="14"/>
                <w:color w:val="auto"/>
              </w:rPr>
              <w:t>$340</w:t>
            </w:r>
          </w:p>
        </w:tc>
        <w:tc>
          <w:tcPr>
            <w:tcW w:w="500" w:type="dxa"/>
            <w:vAlign w:val="bottom"/>
          </w:tcPr>
          <w:p>
            <w:pPr>
              <w:ind w:left="20"/>
              <w:spacing w:after="0"/>
              <w:rPr>
                <w:sz w:val="20"/>
                <w:szCs w:val="20"/>
                <w:color w:val="auto"/>
              </w:rPr>
            </w:pPr>
            <w:r>
              <w:rPr>
                <w:rFonts w:ascii="Arial" w:cs="Arial" w:eastAsia="Arial" w:hAnsi="Arial"/>
                <w:sz w:val="14"/>
                <w:szCs w:val="14"/>
                <w:color w:val="auto"/>
              </w:rPr>
              <w:t>- $440</w:t>
            </w:r>
          </w:p>
        </w:tc>
        <w:tc>
          <w:tcPr>
            <w:tcW w:w="0" w:type="dxa"/>
            <w:vAlign w:val="bottom"/>
          </w:tcPr>
          <w:p>
            <w:pPr>
              <w:spacing w:after="0"/>
              <w:rPr>
                <w:sz w:val="1"/>
                <w:szCs w:val="1"/>
                <w:color w:val="auto"/>
              </w:rPr>
            </w:pPr>
          </w:p>
        </w:tc>
      </w:tr>
      <w:tr>
        <w:trPr>
          <w:trHeight w:val="162"/>
        </w:trPr>
        <w:tc>
          <w:tcPr>
            <w:tcW w:w="4220" w:type="dxa"/>
            <w:vAlign w:val="bottom"/>
            <w:gridSpan w:val="2"/>
            <w:shd w:val="clear" w:color="auto" w:fill="CFF0FC"/>
          </w:tcPr>
          <w:p>
            <w:pPr>
              <w:ind w:left="380"/>
              <w:spacing w:after="0"/>
              <w:rPr>
                <w:sz w:val="20"/>
                <w:szCs w:val="20"/>
                <w:color w:val="auto"/>
              </w:rPr>
            </w:pPr>
            <w:r>
              <w:rPr>
                <w:rFonts w:ascii="Arial" w:cs="Arial" w:eastAsia="Arial" w:hAnsi="Arial"/>
                <w:sz w:val="14"/>
                <w:szCs w:val="14"/>
                <w:color w:val="auto"/>
              </w:rPr>
              <w:t>Amberleaf</w:t>
            </w:r>
          </w:p>
        </w:tc>
        <w:tc>
          <w:tcPr>
            <w:tcW w:w="900" w:type="dxa"/>
            <w:vAlign w:val="bottom"/>
            <w:shd w:val="clear" w:color="auto" w:fill="CFF0FC"/>
          </w:tcPr>
          <w:p>
            <w:pPr>
              <w:jc w:val="center"/>
              <w:spacing w:after="0"/>
              <w:rPr>
                <w:sz w:val="20"/>
                <w:szCs w:val="20"/>
                <w:color w:val="auto"/>
              </w:rPr>
            </w:pPr>
            <w:r>
              <w:rPr>
                <w:rFonts w:ascii="Arial" w:cs="Arial" w:eastAsia="Arial" w:hAnsi="Arial"/>
                <w:sz w:val="14"/>
                <w:szCs w:val="14"/>
                <w:color w:val="auto"/>
                <w:w w:val="83"/>
              </w:rPr>
              <w:t>2014</w:t>
            </w:r>
          </w:p>
        </w:tc>
        <w:tc>
          <w:tcPr>
            <w:tcW w:w="120" w:type="dxa"/>
            <w:vAlign w:val="bottom"/>
            <w:shd w:val="clear" w:color="auto" w:fill="CFF0FC"/>
          </w:tcPr>
          <w:p>
            <w:pPr>
              <w:spacing w:after="0"/>
              <w:rPr>
                <w:sz w:val="14"/>
                <w:szCs w:val="14"/>
                <w:color w:val="auto"/>
              </w:rPr>
            </w:pPr>
          </w:p>
        </w:tc>
        <w:tc>
          <w:tcPr>
            <w:tcW w:w="7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131</w:t>
            </w:r>
          </w:p>
        </w:tc>
        <w:tc>
          <w:tcPr>
            <w:tcW w:w="220" w:type="dxa"/>
            <w:vAlign w:val="bottom"/>
            <w:shd w:val="clear" w:color="auto" w:fill="CFF0FC"/>
          </w:tcPr>
          <w:p>
            <w:pPr>
              <w:spacing w:after="0"/>
              <w:rPr>
                <w:sz w:val="14"/>
                <w:szCs w:val="14"/>
                <w:color w:val="auto"/>
              </w:rPr>
            </w:pPr>
          </w:p>
        </w:tc>
        <w:tc>
          <w:tcPr>
            <w:tcW w:w="860" w:type="dxa"/>
            <w:vAlign w:val="bottom"/>
            <w:shd w:val="clear" w:color="auto" w:fill="CFF0FC"/>
          </w:tcPr>
          <w:p>
            <w:pPr>
              <w:jc w:val="right"/>
              <w:spacing w:after="0"/>
              <w:rPr>
                <w:sz w:val="20"/>
                <w:szCs w:val="20"/>
                <w:color w:val="auto"/>
              </w:rPr>
            </w:pPr>
            <w:r>
              <w:rPr>
                <w:rFonts w:ascii="Arial" w:cs="Arial" w:eastAsia="Arial" w:hAnsi="Arial"/>
                <w:sz w:val="14"/>
                <w:szCs w:val="14"/>
                <w:color w:val="auto"/>
              </w:rPr>
              <w:t>31</w:t>
            </w:r>
          </w:p>
        </w:tc>
        <w:tc>
          <w:tcPr>
            <w:tcW w:w="220" w:type="dxa"/>
            <w:vAlign w:val="bottom"/>
            <w:shd w:val="clear" w:color="auto" w:fill="CFF0FC"/>
          </w:tcPr>
          <w:p>
            <w:pPr>
              <w:spacing w:after="0"/>
              <w:rPr>
                <w:sz w:val="14"/>
                <w:szCs w:val="14"/>
                <w:color w:val="auto"/>
              </w:rPr>
            </w:pPr>
          </w:p>
        </w:tc>
        <w:tc>
          <w:tcPr>
            <w:tcW w:w="7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100</w:t>
            </w:r>
          </w:p>
        </w:tc>
        <w:tc>
          <w:tcPr>
            <w:tcW w:w="220" w:type="dxa"/>
            <w:vAlign w:val="bottom"/>
            <w:shd w:val="clear" w:color="auto" w:fill="CFF0FC"/>
          </w:tcPr>
          <w:p>
            <w:pPr>
              <w:spacing w:after="0"/>
              <w:rPr>
                <w:sz w:val="14"/>
                <w:szCs w:val="14"/>
                <w:color w:val="auto"/>
              </w:rPr>
            </w:pPr>
          </w:p>
        </w:tc>
        <w:tc>
          <w:tcPr>
            <w:tcW w:w="7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18</w:t>
            </w:r>
          </w:p>
        </w:tc>
        <w:tc>
          <w:tcPr>
            <w:tcW w:w="220" w:type="dxa"/>
            <w:vAlign w:val="bottom"/>
            <w:shd w:val="clear" w:color="auto" w:fill="CFF0FC"/>
          </w:tcPr>
          <w:p>
            <w:pPr>
              <w:spacing w:after="0"/>
              <w:rPr>
                <w:sz w:val="14"/>
                <w:szCs w:val="14"/>
                <w:color w:val="auto"/>
              </w:rPr>
            </w:pPr>
          </w:p>
        </w:tc>
        <w:tc>
          <w:tcPr>
            <w:tcW w:w="9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10</w:t>
            </w:r>
          </w:p>
        </w:tc>
        <w:tc>
          <w:tcPr>
            <w:tcW w:w="620" w:type="dxa"/>
            <w:vAlign w:val="bottom"/>
            <w:gridSpan w:val="2"/>
            <w:shd w:val="clear" w:color="auto" w:fill="CFF0FC"/>
          </w:tcPr>
          <w:p>
            <w:pPr>
              <w:jc w:val="right"/>
              <w:spacing w:after="0"/>
              <w:rPr>
                <w:sz w:val="20"/>
                <w:szCs w:val="20"/>
                <w:color w:val="auto"/>
              </w:rPr>
            </w:pPr>
            <w:r>
              <w:rPr>
                <w:rFonts w:ascii="Arial" w:cs="Arial" w:eastAsia="Arial" w:hAnsi="Arial"/>
                <w:sz w:val="14"/>
                <w:szCs w:val="14"/>
                <w:color w:val="auto"/>
              </w:rPr>
              <w:t>$295</w:t>
            </w:r>
          </w:p>
        </w:tc>
        <w:tc>
          <w:tcPr>
            <w:tcW w:w="500" w:type="dxa"/>
            <w:vAlign w:val="bottom"/>
            <w:shd w:val="clear" w:color="auto" w:fill="CFF0FC"/>
          </w:tcPr>
          <w:p>
            <w:pPr>
              <w:ind w:left="20"/>
              <w:spacing w:after="0"/>
              <w:rPr>
                <w:sz w:val="20"/>
                <w:szCs w:val="20"/>
                <w:color w:val="auto"/>
              </w:rPr>
            </w:pPr>
            <w:r>
              <w:rPr>
                <w:rFonts w:ascii="Arial" w:cs="Arial" w:eastAsia="Arial" w:hAnsi="Arial"/>
                <w:sz w:val="14"/>
                <w:szCs w:val="14"/>
                <w:color w:val="auto"/>
              </w:rPr>
              <w:t>- $338</w:t>
            </w:r>
          </w:p>
        </w:tc>
        <w:tc>
          <w:tcPr>
            <w:tcW w:w="0" w:type="dxa"/>
            <w:vAlign w:val="bottom"/>
          </w:tcPr>
          <w:p>
            <w:pPr>
              <w:spacing w:after="0"/>
              <w:rPr>
                <w:sz w:val="1"/>
                <w:szCs w:val="1"/>
                <w:color w:val="auto"/>
              </w:rPr>
            </w:pPr>
          </w:p>
        </w:tc>
      </w:tr>
      <w:tr>
        <w:trPr>
          <w:trHeight w:val="162"/>
        </w:trPr>
        <w:tc>
          <w:tcPr>
            <w:tcW w:w="4220" w:type="dxa"/>
            <w:vAlign w:val="bottom"/>
            <w:gridSpan w:val="2"/>
          </w:tcPr>
          <w:p>
            <w:pPr>
              <w:ind w:left="380"/>
              <w:spacing w:after="0"/>
              <w:rPr>
                <w:sz w:val="20"/>
                <w:szCs w:val="20"/>
                <w:color w:val="auto"/>
              </w:rPr>
            </w:pPr>
            <w:r>
              <w:rPr>
                <w:rFonts w:ascii="Arial" w:cs="Arial" w:eastAsia="Arial" w:hAnsi="Arial"/>
                <w:sz w:val="14"/>
                <w:szCs w:val="14"/>
                <w:color w:val="auto"/>
              </w:rPr>
              <w:t>Meadow Glen</w:t>
            </w:r>
          </w:p>
        </w:tc>
        <w:tc>
          <w:tcPr>
            <w:tcW w:w="900" w:type="dxa"/>
            <w:vAlign w:val="bottom"/>
          </w:tcPr>
          <w:p>
            <w:pPr>
              <w:jc w:val="center"/>
              <w:spacing w:after="0"/>
              <w:rPr>
                <w:sz w:val="20"/>
                <w:szCs w:val="20"/>
                <w:color w:val="auto"/>
              </w:rPr>
            </w:pPr>
            <w:r>
              <w:rPr>
                <w:rFonts w:ascii="Arial" w:cs="Arial" w:eastAsia="Arial" w:hAnsi="Arial"/>
                <w:sz w:val="14"/>
                <w:szCs w:val="14"/>
                <w:color w:val="auto"/>
                <w:w w:val="83"/>
              </w:rPr>
              <w:t>2014</w:t>
            </w:r>
          </w:p>
        </w:tc>
        <w:tc>
          <w:tcPr>
            <w:tcW w:w="120" w:type="dxa"/>
            <w:vAlign w:val="bottom"/>
          </w:tcPr>
          <w:p>
            <w:pPr>
              <w:spacing w:after="0"/>
              <w:rPr>
                <w:sz w:val="14"/>
                <w:szCs w:val="14"/>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140</w:t>
            </w:r>
          </w:p>
        </w:tc>
        <w:tc>
          <w:tcPr>
            <w:tcW w:w="220" w:type="dxa"/>
            <w:vAlign w:val="bottom"/>
          </w:tcPr>
          <w:p>
            <w:pPr>
              <w:spacing w:after="0"/>
              <w:rPr>
                <w:sz w:val="14"/>
                <w:szCs w:val="14"/>
                <w:color w:val="auto"/>
              </w:rPr>
            </w:pPr>
          </w:p>
        </w:tc>
        <w:tc>
          <w:tcPr>
            <w:tcW w:w="860" w:type="dxa"/>
            <w:vAlign w:val="bottom"/>
          </w:tcPr>
          <w:p>
            <w:pPr>
              <w:jc w:val="right"/>
              <w:spacing w:after="0"/>
              <w:rPr>
                <w:sz w:val="20"/>
                <w:szCs w:val="20"/>
                <w:color w:val="auto"/>
              </w:rPr>
            </w:pPr>
            <w:r>
              <w:rPr>
                <w:rFonts w:ascii="Arial" w:cs="Arial" w:eastAsia="Arial" w:hAnsi="Arial"/>
                <w:sz w:val="14"/>
                <w:szCs w:val="14"/>
                <w:color w:val="auto"/>
              </w:rPr>
              <w:t>50</w:t>
            </w:r>
          </w:p>
        </w:tc>
        <w:tc>
          <w:tcPr>
            <w:tcW w:w="220" w:type="dxa"/>
            <w:vAlign w:val="bottom"/>
          </w:tcPr>
          <w:p>
            <w:pPr>
              <w:spacing w:after="0"/>
              <w:rPr>
                <w:sz w:val="14"/>
                <w:szCs w:val="14"/>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90</w:t>
            </w:r>
          </w:p>
        </w:tc>
        <w:tc>
          <w:tcPr>
            <w:tcW w:w="220" w:type="dxa"/>
            <w:vAlign w:val="bottom"/>
          </w:tcPr>
          <w:p>
            <w:pPr>
              <w:spacing w:after="0"/>
              <w:rPr>
                <w:sz w:val="14"/>
                <w:szCs w:val="14"/>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18</w:t>
            </w:r>
          </w:p>
        </w:tc>
        <w:tc>
          <w:tcPr>
            <w:tcW w:w="220" w:type="dxa"/>
            <w:vAlign w:val="bottom"/>
          </w:tcPr>
          <w:p>
            <w:pPr>
              <w:spacing w:after="0"/>
              <w:rPr>
                <w:sz w:val="14"/>
                <w:szCs w:val="14"/>
                <w:color w:val="auto"/>
              </w:rPr>
            </w:pPr>
          </w:p>
        </w:tc>
        <w:tc>
          <w:tcPr>
            <w:tcW w:w="980" w:type="dxa"/>
            <w:vAlign w:val="bottom"/>
          </w:tcPr>
          <w:p>
            <w:pPr>
              <w:jc w:val="right"/>
              <w:spacing w:after="0"/>
              <w:rPr>
                <w:sz w:val="20"/>
                <w:szCs w:val="20"/>
                <w:color w:val="auto"/>
              </w:rPr>
            </w:pPr>
            <w:r>
              <w:rPr>
                <w:rFonts w:ascii="Arial" w:cs="Arial" w:eastAsia="Arial" w:hAnsi="Arial"/>
                <w:sz w:val="14"/>
                <w:szCs w:val="14"/>
                <w:color w:val="auto"/>
              </w:rPr>
              <w:t>8</w:t>
            </w:r>
          </w:p>
        </w:tc>
        <w:tc>
          <w:tcPr>
            <w:tcW w:w="1120" w:type="dxa"/>
            <w:vAlign w:val="bottom"/>
            <w:gridSpan w:val="3"/>
          </w:tcPr>
          <w:p>
            <w:pPr>
              <w:jc w:val="center"/>
              <w:ind w:left="133"/>
              <w:spacing w:after="0"/>
              <w:rPr>
                <w:sz w:val="20"/>
                <w:szCs w:val="20"/>
                <w:color w:val="auto"/>
              </w:rPr>
            </w:pPr>
            <w:r>
              <w:rPr>
                <w:rFonts w:ascii="Arial" w:cs="Arial" w:eastAsia="Arial" w:hAnsi="Arial"/>
                <w:sz w:val="14"/>
                <w:szCs w:val="14"/>
                <w:color w:val="auto"/>
                <w:w w:val="90"/>
              </w:rPr>
              <w:t>$321 - $380</w:t>
            </w:r>
          </w:p>
        </w:tc>
        <w:tc>
          <w:tcPr>
            <w:tcW w:w="0" w:type="dxa"/>
            <w:vAlign w:val="bottom"/>
          </w:tcPr>
          <w:p>
            <w:pPr>
              <w:spacing w:after="0"/>
              <w:rPr>
                <w:sz w:val="1"/>
                <w:szCs w:val="1"/>
                <w:color w:val="auto"/>
              </w:rPr>
            </w:pPr>
          </w:p>
        </w:tc>
      </w:tr>
      <w:tr>
        <w:trPr>
          <w:trHeight w:val="162"/>
        </w:trPr>
        <w:tc>
          <w:tcPr>
            <w:tcW w:w="4220" w:type="dxa"/>
            <w:vAlign w:val="bottom"/>
            <w:gridSpan w:val="2"/>
            <w:shd w:val="clear" w:color="auto" w:fill="CFF0FC"/>
          </w:tcPr>
          <w:p>
            <w:pPr>
              <w:ind w:left="380"/>
              <w:spacing w:after="0"/>
              <w:rPr>
                <w:sz w:val="20"/>
                <w:szCs w:val="20"/>
                <w:color w:val="auto"/>
              </w:rPr>
            </w:pPr>
            <w:r>
              <w:rPr>
                <w:rFonts w:ascii="Arial" w:cs="Arial" w:eastAsia="Arial" w:hAnsi="Arial"/>
                <w:sz w:val="14"/>
                <w:szCs w:val="14"/>
                <w:color w:val="auto"/>
              </w:rPr>
              <w:t>Summerfield</w:t>
            </w:r>
          </w:p>
        </w:tc>
        <w:tc>
          <w:tcPr>
            <w:tcW w:w="900" w:type="dxa"/>
            <w:vAlign w:val="bottom"/>
            <w:shd w:val="clear" w:color="auto" w:fill="CFF0FC"/>
          </w:tcPr>
          <w:p>
            <w:pPr>
              <w:jc w:val="center"/>
              <w:spacing w:after="0"/>
              <w:rPr>
                <w:sz w:val="20"/>
                <w:szCs w:val="20"/>
                <w:color w:val="auto"/>
              </w:rPr>
            </w:pPr>
            <w:r>
              <w:rPr>
                <w:rFonts w:ascii="Arial" w:cs="Arial" w:eastAsia="Arial" w:hAnsi="Arial"/>
                <w:sz w:val="14"/>
                <w:szCs w:val="14"/>
                <w:color w:val="auto"/>
                <w:w w:val="83"/>
              </w:rPr>
              <w:t>2015</w:t>
            </w:r>
          </w:p>
        </w:tc>
        <w:tc>
          <w:tcPr>
            <w:tcW w:w="120" w:type="dxa"/>
            <w:vAlign w:val="bottom"/>
            <w:shd w:val="clear" w:color="auto" w:fill="CFF0FC"/>
          </w:tcPr>
          <w:p>
            <w:pPr>
              <w:spacing w:after="0"/>
              <w:rPr>
                <w:sz w:val="14"/>
                <w:szCs w:val="14"/>
                <w:color w:val="auto"/>
              </w:rPr>
            </w:pPr>
          </w:p>
        </w:tc>
        <w:tc>
          <w:tcPr>
            <w:tcW w:w="7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85</w:t>
            </w:r>
          </w:p>
        </w:tc>
        <w:tc>
          <w:tcPr>
            <w:tcW w:w="220" w:type="dxa"/>
            <w:vAlign w:val="bottom"/>
            <w:shd w:val="clear" w:color="auto" w:fill="CFF0FC"/>
          </w:tcPr>
          <w:p>
            <w:pPr>
              <w:spacing w:after="0"/>
              <w:rPr>
                <w:sz w:val="14"/>
                <w:szCs w:val="14"/>
                <w:color w:val="auto"/>
              </w:rPr>
            </w:pPr>
          </w:p>
        </w:tc>
        <w:tc>
          <w:tcPr>
            <w:tcW w:w="860" w:type="dxa"/>
            <w:vAlign w:val="bottom"/>
            <w:shd w:val="clear" w:color="auto" w:fill="CFF0FC"/>
          </w:tcPr>
          <w:p>
            <w:pPr>
              <w:jc w:val="right"/>
              <w:spacing w:after="0"/>
              <w:rPr>
                <w:sz w:val="20"/>
                <w:szCs w:val="20"/>
                <w:color w:val="auto"/>
              </w:rPr>
            </w:pPr>
            <w:r>
              <w:rPr>
                <w:rFonts w:ascii="Arial" w:cs="Arial" w:eastAsia="Arial" w:hAnsi="Arial"/>
                <w:sz w:val="14"/>
                <w:szCs w:val="14"/>
                <w:color w:val="auto"/>
              </w:rPr>
              <w:t>-</w:t>
            </w:r>
          </w:p>
        </w:tc>
        <w:tc>
          <w:tcPr>
            <w:tcW w:w="220" w:type="dxa"/>
            <w:vAlign w:val="bottom"/>
            <w:shd w:val="clear" w:color="auto" w:fill="CFF0FC"/>
          </w:tcPr>
          <w:p>
            <w:pPr>
              <w:spacing w:after="0"/>
              <w:rPr>
                <w:sz w:val="14"/>
                <w:szCs w:val="14"/>
                <w:color w:val="auto"/>
              </w:rPr>
            </w:pPr>
          </w:p>
        </w:tc>
        <w:tc>
          <w:tcPr>
            <w:tcW w:w="7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85</w:t>
            </w:r>
          </w:p>
        </w:tc>
        <w:tc>
          <w:tcPr>
            <w:tcW w:w="220" w:type="dxa"/>
            <w:vAlign w:val="bottom"/>
            <w:shd w:val="clear" w:color="auto" w:fill="CFF0FC"/>
          </w:tcPr>
          <w:p>
            <w:pPr>
              <w:spacing w:after="0"/>
              <w:rPr>
                <w:sz w:val="14"/>
                <w:szCs w:val="14"/>
                <w:color w:val="auto"/>
              </w:rPr>
            </w:pPr>
          </w:p>
        </w:tc>
        <w:tc>
          <w:tcPr>
            <w:tcW w:w="7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1</w:t>
            </w:r>
          </w:p>
        </w:tc>
        <w:tc>
          <w:tcPr>
            <w:tcW w:w="220" w:type="dxa"/>
            <w:vAlign w:val="bottom"/>
            <w:shd w:val="clear" w:color="auto" w:fill="CFF0FC"/>
          </w:tcPr>
          <w:p>
            <w:pPr>
              <w:spacing w:after="0"/>
              <w:rPr>
                <w:sz w:val="14"/>
                <w:szCs w:val="14"/>
                <w:color w:val="auto"/>
              </w:rPr>
            </w:pPr>
          </w:p>
        </w:tc>
        <w:tc>
          <w:tcPr>
            <w:tcW w:w="9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w:t>
            </w:r>
          </w:p>
        </w:tc>
        <w:tc>
          <w:tcPr>
            <w:tcW w:w="1120" w:type="dxa"/>
            <w:vAlign w:val="bottom"/>
            <w:gridSpan w:val="3"/>
            <w:shd w:val="clear" w:color="auto" w:fill="CFF0FC"/>
          </w:tcPr>
          <w:p>
            <w:pPr>
              <w:jc w:val="center"/>
              <w:ind w:left="133"/>
              <w:spacing w:after="0"/>
              <w:rPr>
                <w:sz w:val="20"/>
                <w:szCs w:val="20"/>
                <w:color w:val="auto"/>
              </w:rPr>
            </w:pPr>
            <w:r>
              <w:rPr>
                <w:rFonts w:ascii="Arial" w:cs="Arial" w:eastAsia="Arial" w:hAnsi="Arial"/>
                <w:sz w:val="14"/>
                <w:szCs w:val="14"/>
                <w:color w:val="auto"/>
                <w:w w:val="90"/>
              </w:rPr>
              <w:t>$283 - $304</w:t>
            </w:r>
          </w:p>
        </w:tc>
        <w:tc>
          <w:tcPr>
            <w:tcW w:w="0" w:type="dxa"/>
            <w:vAlign w:val="bottom"/>
          </w:tcPr>
          <w:p>
            <w:pPr>
              <w:spacing w:after="0"/>
              <w:rPr>
                <w:sz w:val="1"/>
                <w:szCs w:val="1"/>
                <w:color w:val="auto"/>
              </w:rPr>
            </w:pPr>
          </w:p>
        </w:tc>
      </w:tr>
      <w:tr>
        <w:trPr>
          <w:trHeight w:val="162"/>
        </w:trPr>
        <w:tc>
          <w:tcPr>
            <w:tcW w:w="4220" w:type="dxa"/>
            <w:vAlign w:val="bottom"/>
            <w:gridSpan w:val="2"/>
          </w:tcPr>
          <w:p>
            <w:pPr>
              <w:ind w:left="380"/>
              <w:spacing w:after="0"/>
              <w:rPr>
                <w:sz w:val="20"/>
                <w:szCs w:val="20"/>
                <w:color w:val="auto"/>
              </w:rPr>
            </w:pPr>
            <w:r>
              <w:rPr>
                <w:rFonts w:ascii="Arial" w:cs="Arial" w:eastAsia="Arial" w:hAnsi="Arial"/>
                <w:sz w:val="14"/>
                <w:szCs w:val="14"/>
                <w:color w:val="auto"/>
              </w:rPr>
              <w:t>Canyon Hills Future</w:t>
            </w:r>
          </w:p>
        </w:tc>
        <w:tc>
          <w:tcPr>
            <w:tcW w:w="1020" w:type="dxa"/>
            <w:vAlign w:val="bottom"/>
            <w:gridSpan w:val="2"/>
          </w:tcPr>
          <w:p>
            <w:pPr>
              <w:jc w:val="center"/>
              <w:ind w:right="120"/>
              <w:spacing w:after="0"/>
              <w:rPr>
                <w:sz w:val="20"/>
                <w:szCs w:val="20"/>
                <w:color w:val="auto"/>
              </w:rPr>
            </w:pPr>
            <w:r>
              <w:rPr>
                <w:rFonts w:ascii="Arial" w:cs="Arial" w:eastAsia="Arial" w:hAnsi="Arial"/>
                <w:sz w:val="14"/>
                <w:szCs w:val="14"/>
                <w:color w:val="auto"/>
                <w:w w:val="92"/>
              </w:rPr>
              <w:t>TBD</w:t>
            </w:r>
          </w:p>
        </w:tc>
        <w:tc>
          <w:tcPr>
            <w:tcW w:w="780" w:type="dxa"/>
            <w:vAlign w:val="bottom"/>
          </w:tcPr>
          <w:p>
            <w:pPr>
              <w:jc w:val="right"/>
              <w:spacing w:after="0"/>
              <w:rPr>
                <w:sz w:val="20"/>
                <w:szCs w:val="20"/>
                <w:color w:val="auto"/>
              </w:rPr>
            </w:pPr>
            <w:r>
              <w:rPr>
                <w:rFonts w:ascii="Arial" w:cs="Arial" w:eastAsia="Arial" w:hAnsi="Arial"/>
                <w:sz w:val="14"/>
                <w:szCs w:val="14"/>
                <w:color w:val="auto"/>
              </w:rPr>
              <w:t>581</w:t>
            </w:r>
          </w:p>
        </w:tc>
        <w:tc>
          <w:tcPr>
            <w:tcW w:w="220" w:type="dxa"/>
            <w:vAlign w:val="bottom"/>
          </w:tcPr>
          <w:p>
            <w:pPr>
              <w:spacing w:after="0"/>
              <w:rPr>
                <w:sz w:val="14"/>
                <w:szCs w:val="14"/>
                <w:color w:val="auto"/>
              </w:rPr>
            </w:pPr>
          </w:p>
        </w:tc>
        <w:tc>
          <w:tcPr>
            <w:tcW w:w="860" w:type="dxa"/>
            <w:vAlign w:val="bottom"/>
          </w:tcPr>
          <w:p>
            <w:pPr>
              <w:jc w:val="right"/>
              <w:spacing w:after="0"/>
              <w:rPr>
                <w:sz w:val="20"/>
                <w:szCs w:val="20"/>
                <w:color w:val="auto"/>
              </w:rPr>
            </w:pPr>
            <w:r>
              <w:rPr>
                <w:rFonts w:ascii="Arial" w:cs="Arial" w:eastAsia="Arial" w:hAnsi="Arial"/>
                <w:sz w:val="14"/>
                <w:szCs w:val="14"/>
                <w:color w:val="auto"/>
              </w:rPr>
              <w:t>-</w:t>
            </w:r>
          </w:p>
        </w:tc>
        <w:tc>
          <w:tcPr>
            <w:tcW w:w="220" w:type="dxa"/>
            <w:vAlign w:val="bottom"/>
          </w:tcPr>
          <w:p>
            <w:pPr>
              <w:spacing w:after="0"/>
              <w:rPr>
                <w:sz w:val="14"/>
                <w:szCs w:val="14"/>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581</w:t>
            </w:r>
          </w:p>
        </w:tc>
        <w:tc>
          <w:tcPr>
            <w:tcW w:w="220" w:type="dxa"/>
            <w:vAlign w:val="bottom"/>
          </w:tcPr>
          <w:p>
            <w:pPr>
              <w:spacing w:after="0"/>
              <w:rPr>
                <w:sz w:val="14"/>
                <w:szCs w:val="14"/>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w:t>
            </w:r>
          </w:p>
        </w:tc>
        <w:tc>
          <w:tcPr>
            <w:tcW w:w="220" w:type="dxa"/>
            <w:vAlign w:val="bottom"/>
          </w:tcPr>
          <w:p>
            <w:pPr>
              <w:spacing w:after="0"/>
              <w:rPr>
                <w:sz w:val="14"/>
                <w:szCs w:val="14"/>
                <w:color w:val="auto"/>
              </w:rPr>
            </w:pPr>
          </w:p>
        </w:tc>
        <w:tc>
          <w:tcPr>
            <w:tcW w:w="980" w:type="dxa"/>
            <w:vAlign w:val="bottom"/>
          </w:tcPr>
          <w:p>
            <w:pPr>
              <w:jc w:val="right"/>
              <w:spacing w:after="0"/>
              <w:rPr>
                <w:sz w:val="20"/>
                <w:szCs w:val="20"/>
                <w:color w:val="auto"/>
              </w:rPr>
            </w:pPr>
            <w:r>
              <w:rPr>
                <w:rFonts w:ascii="Arial" w:cs="Arial" w:eastAsia="Arial" w:hAnsi="Arial"/>
                <w:sz w:val="14"/>
                <w:szCs w:val="14"/>
                <w:color w:val="auto"/>
              </w:rPr>
              <w:t>-</w:t>
            </w:r>
          </w:p>
        </w:tc>
        <w:tc>
          <w:tcPr>
            <w:tcW w:w="220" w:type="dxa"/>
            <w:vAlign w:val="bottom"/>
          </w:tcPr>
          <w:p>
            <w:pPr>
              <w:spacing w:after="0"/>
              <w:rPr>
                <w:sz w:val="14"/>
                <w:szCs w:val="14"/>
                <w:color w:val="auto"/>
              </w:rPr>
            </w:pPr>
          </w:p>
        </w:tc>
        <w:tc>
          <w:tcPr>
            <w:tcW w:w="900" w:type="dxa"/>
            <w:vAlign w:val="bottom"/>
            <w:gridSpan w:val="2"/>
          </w:tcPr>
          <w:p>
            <w:pPr>
              <w:jc w:val="center"/>
              <w:spacing w:after="0"/>
              <w:rPr>
                <w:sz w:val="20"/>
                <w:szCs w:val="20"/>
                <w:color w:val="auto"/>
              </w:rPr>
            </w:pPr>
            <w:r>
              <w:rPr>
                <w:rFonts w:ascii="Arial" w:cs="Arial" w:eastAsia="Arial" w:hAnsi="Arial"/>
                <w:sz w:val="14"/>
                <w:szCs w:val="14"/>
                <w:color w:val="auto"/>
                <w:w w:val="99"/>
              </w:rPr>
              <w:t>TBD</w:t>
            </w:r>
          </w:p>
        </w:tc>
        <w:tc>
          <w:tcPr>
            <w:tcW w:w="0" w:type="dxa"/>
            <w:vAlign w:val="bottom"/>
          </w:tcPr>
          <w:p>
            <w:pPr>
              <w:spacing w:after="0"/>
              <w:rPr>
                <w:sz w:val="1"/>
                <w:szCs w:val="1"/>
                <w:color w:val="auto"/>
              </w:rPr>
            </w:pPr>
          </w:p>
        </w:tc>
      </w:tr>
      <w:tr>
        <w:trPr>
          <w:trHeight w:val="162"/>
        </w:trPr>
        <w:tc>
          <w:tcPr>
            <w:tcW w:w="4220" w:type="dxa"/>
            <w:vAlign w:val="bottom"/>
            <w:gridSpan w:val="2"/>
            <w:shd w:val="clear" w:color="auto" w:fill="CFF0FC"/>
          </w:tcPr>
          <w:p>
            <w:pPr>
              <w:ind w:left="380"/>
              <w:spacing w:after="0"/>
              <w:rPr>
                <w:sz w:val="20"/>
                <w:szCs w:val="20"/>
                <w:color w:val="auto"/>
              </w:rPr>
            </w:pPr>
            <w:r>
              <w:rPr>
                <w:rFonts w:ascii="Arial" w:cs="Arial" w:eastAsia="Arial" w:hAnsi="Arial"/>
                <w:sz w:val="14"/>
                <w:szCs w:val="14"/>
                <w:color w:val="auto"/>
              </w:rPr>
              <w:t>Christensen</w:t>
            </w:r>
          </w:p>
        </w:tc>
        <w:tc>
          <w:tcPr>
            <w:tcW w:w="900" w:type="dxa"/>
            <w:vAlign w:val="bottom"/>
            <w:shd w:val="clear" w:color="auto" w:fill="CFF0FC"/>
          </w:tcPr>
          <w:p>
            <w:pPr>
              <w:jc w:val="center"/>
              <w:spacing w:after="0"/>
              <w:rPr>
                <w:sz w:val="20"/>
                <w:szCs w:val="20"/>
                <w:color w:val="auto"/>
              </w:rPr>
            </w:pPr>
            <w:r>
              <w:rPr>
                <w:rFonts w:ascii="Arial" w:cs="Arial" w:eastAsia="Arial" w:hAnsi="Arial"/>
                <w:sz w:val="14"/>
                <w:szCs w:val="14"/>
                <w:color w:val="auto"/>
                <w:w w:val="83"/>
              </w:rPr>
              <w:t>2016</w:t>
            </w:r>
          </w:p>
        </w:tc>
        <w:tc>
          <w:tcPr>
            <w:tcW w:w="120" w:type="dxa"/>
            <w:vAlign w:val="bottom"/>
            <w:shd w:val="clear" w:color="auto" w:fill="CFF0FC"/>
          </w:tcPr>
          <w:p>
            <w:pPr>
              <w:spacing w:after="0"/>
              <w:rPr>
                <w:sz w:val="14"/>
                <w:szCs w:val="14"/>
                <w:color w:val="auto"/>
              </w:rPr>
            </w:pPr>
          </w:p>
        </w:tc>
        <w:tc>
          <w:tcPr>
            <w:tcW w:w="7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74</w:t>
            </w:r>
          </w:p>
        </w:tc>
        <w:tc>
          <w:tcPr>
            <w:tcW w:w="220" w:type="dxa"/>
            <w:vAlign w:val="bottom"/>
            <w:shd w:val="clear" w:color="auto" w:fill="CFF0FC"/>
          </w:tcPr>
          <w:p>
            <w:pPr>
              <w:spacing w:after="0"/>
              <w:rPr>
                <w:sz w:val="14"/>
                <w:szCs w:val="14"/>
                <w:color w:val="auto"/>
              </w:rPr>
            </w:pPr>
          </w:p>
        </w:tc>
        <w:tc>
          <w:tcPr>
            <w:tcW w:w="860" w:type="dxa"/>
            <w:vAlign w:val="bottom"/>
            <w:shd w:val="clear" w:color="auto" w:fill="CFF0FC"/>
          </w:tcPr>
          <w:p>
            <w:pPr>
              <w:jc w:val="right"/>
              <w:spacing w:after="0"/>
              <w:rPr>
                <w:sz w:val="20"/>
                <w:szCs w:val="20"/>
                <w:color w:val="auto"/>
              </w:rPr>
            </w:pPr>
            <w:r>
              <w:rPr>
                <w:rFonts w:ascii="Arial" w:cs="Arial" w:eastAsia="Arial" w:hAnsi="Arial"/>
                <w:sz w:val="14"/>
                <w:szCs w:val="14"/>
                <w:color w:val="auto"/>
              </w:rPr>
              <w:t>-</w:t>
            </w:r>
          </w:p>
        </w:tc>
        <w:tc>
          <w:tcPr>
            <w:tcW w:w="220" w:type="dxa"/>
            <w:vAlign w:val="bottom"/>
            <w:shd w:val="clear" w:color="auto" w:fill="CFF0FC"/>
          </w:tcPr>
          <w:p>
            <w:pPr>
              <w:spacing w:after="0"/>
              <w:rPr>
                <w:sz w:val="14"/>
                <w:szCs w:val="14"/>
                <w:color w:val="auto"/>
              </w:rPr>
            </w:pPr>
          </w:p>
        </w:tc>
        <w:tc>
          <w:tcPr>
            <w:tcW w:w="7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74</w:t>
            </w:r>
          </w:p>
        </w:tc>
        <w:tc>
          <w:tcPr>
            <w:tcW w:w="220" w:type="dxa"/>
            <w:vAlign w:val="bottom"/>
            <w:shd w:val="clear" w:color="auto" w:fill="CFF0FC"/>
          </w:tcPr>
          <w:p>
            <w:pPr>
              <w:spacing w:after="0"/>
              <w:rPr>
                <w:sz w:val="14"/>
                <w:szCs w:val="14"/>
                <w:color w:val="auto"/>
              </w:rPr>
            </w:pPr>
          </w:p>
        </w:tc>
        <w:tc>
          <w:tcPr>
            <w:tcW w:w="7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w:t>
            </w:r>
          </w:p>
        </w:tc>
        <w:tc>
          <w:tcPr>
            <w:tcW w:w="220" w:type="dxa"/>
            <w:vAlign w:val="bottom"/>
            <w:shd w:val="clear" w:color="auto" w:fill="CFF0FC"/>
          </w:tcPr>
          <w:p>
            <w:pPr>
              <w:spacing w:after="0"/>
              <w:rPr>
                <w:sz w:val="14"/>
                <w:szCs w:val="14"/>
                <w:color w:val="auto"/>
              </w:rPr>
            </w:pPr>
          </w:p>
        </w:tc>
        <w:tc>
          <w:tcPr>
            <w:tcW w:w="9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w:t>
            </w:r>
          </w:p>
        </w:tc>
        <w:tc>
          <w:tcPr>
            <w:tcW w:w="620" w:type="dxa"/>
            <w:vAlign w:val="bottom"/>
            <w:gridSpan w:val="2"/>
            <w:shd w:val="clear" w:color="auto" w:fill="CFF0FC"/>
          </w:tcPr>
          <w:p>
            <w:pPr>
              <w:jc w:val="right"/>
              <w:spacing w:after="0"/>
              <w:rPr>
                <w:sz w:val="20"/>
                <w:szCs w:val="20"/>
                <w:color w:val="auto"/>
              </w:rPr>
            </w:pPr>
            <w:r>
              <w:rPr>
                <w:rFonts w:ascii="Arial" w:cs="Arial" w:eastAsia="Arial" w:hAnsi="Arial"/>
                <w:sz w:val="14"/>
                <w:szCs w:val="14"/>
                <w:color w:val="auto"/>
              </w:rPr>
              <w:t>$338</w:t>
            </w:r>
          </w:p>
        </w:tc>
        <w:tc>
          <w:tcPr>
            <w:tcW w:w="500" w:type="dxa"/>
            <w:vAlign w:val="bottom"/>
            <w:shd w:val="clear" w:color="auto" w:fill="CFF0FC"/>
          </w:tcPr>
          <w:p>
            <w:pPr>
              <w:ind w:left="20"/>
              <w:spacing w:after="0"/>
              <w:rPr>
                <w:sz w:val="20"/>
                <w:szCs w:val="20"/>
                <w:color w:val="auto"/>
              </w:rPr>
            </w:pPr>
            <w:r>
              <w:rPr>
                <w:rFonts w:ascii="Arial" w:cs="Arial" w:eastAsia="Arial" w:hAnsi="Arial"/>
                <w:sz w:val="14"/>
                <w:szCs w:val="14"/>
                <w:color w:val="auto"/>
              </w:rPr>
              <w:t>- $437</w:t>
            </w:r>
          </w:p>
        </w:tc>
        <w:tc>
          <w:tcPr>
            <w:tcW w:w="0" w:type="dxa"/>
            <w:vAlign w:val="bottom"/>
          </w:tcPr>
          <w:p>
            <w:pPr>
              <w:spacing w:after="0"/>
              <w:rPr>
                <w:sz w:val="1"/>
                <w:szCs w:val="1"/>
                <w:color w:val="auto"/>
              </w:rPr>
            </w:pPr>
          </w:p>
        </w:tc>
      </w:tr>
      <w:tr>
        <w:trPr>
          <w:trHeight w:val="162"/>
        </w:trPr>
        <w:tc>
          <w:tcPr>
            <w:tcW w:w="4220" w:type="dxa"/>
            <w:vAlign w:val="bottom"/>
            <w:gridSpan w:val="2"/>
          </w:tcPr>
          <w:p>
            <w:pPr>
              <w:ind w:left="380"/>
              <w:spacing w:after="0"/>
              <w:rPr>
                <w:sz w:val="20"/>
                <w:szCs w:val="20"/>
                <w:color w:val="auto"/>
              </w:rPr>
            </w:pPr>
            <w:r>
              <w:rPr>
                <w:rFonts w:ascii="Arial" w:cs="Arial" w:eastAsia="Arial" w:hAnsi="Arial"/>
                <w:sz w:val="14"/>
                <w:szCs w:val="14"/>
                <w:color w:val="auto"/>
              </w:rPr>
              <w:t>LivingSmart Tournament Hills</w:t>
            </w:r>
          </w:p>
        </w:tc>
        <w:tc>
          <w:tcPr>
            <w:tcW w:w="900" w:type="dxa"/>
            <w:vAlign w:val="bottom"/>
          </w:tcPr>
          <w:p>
            <w:pPr>
              <w:jc w:val="center"/>
              <w:spacing w:after="0"/>
              <w:rPr>
                <w:sz w:val="20"/>
                <w:szCs w:val="20"/>
                <w:color w:val="auto"/>
              </w:rPr>
            </w:pPr>
            <w:r>
              <w:rPr>
                <w:rFonts w:ascii="Arial" w:cs="Arial" w:eastAsia="Arial" w:hAnsi="Arial"/>
                <w:sz w:val="14"/>
                <w:szCs w:val="14"/>
                <w:color w:val="auto"/>
                <w:w w:val="83"/>
              </w:rPr>
              <w:t>2010</w:t>
            </w:r>
          </w:p>
        </w:tc>
        <w:tc>
          <w:tcPr>
            <w:tcW w:w="120" w:type="dxa"/>
            <w:vAlign w:val="bottom"/>
          </w:tcPr>
          <w:p>
            <w:pPr>
              <w:spacing w:after="0"/>
              <w:rPr>
                <w:sz w:val="14"/>
                <w:szCs w:val="14"/>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235</w:t>
            </w:r>
          </w:p>
        </w:tc>
        <w:tc>
          <w:tcPr>
            <w:tcW w:w="220" w:type="dxa"/>
            <w:vAlign w:val="bottom"/>
          </w:tcPr>
          <w:p>
            <w:pPr>
              <w:spacing w:after="0"/>
              <w:rPr>
                <w:sz w:val="14"/>
                <w:szCs w:val="14"/>
                <w:color w:val="auto"/>
              </w:rPr>
            </w:pPr>
          </w:p>
        </w:tc>
        <w:tc>
          <w:tcPr>
            <w:tcW w:w="860" w:type="dxa"/>
            <w:vAlign w:val="bottom"/>
          </w:tcPr>
          <w:p>
            <w:pPr>
              <w:jc w:val="right"/>
              <w:spacing w:after="0"/>
              <w:rPr>
                <w:sz w:val="20"/>
                <w:szCs w:val="20"/>
                <w:color w:val="auto"/>
              </w:rPr>
            </w:pPr>
            <w:r>
              <w:rPr>
                <w:rFonts w:ascii="Arial" w:cs="Arial" w:eastAsia="Arial" w:hAnsi="Arial"/>
                <w:sz w:val="14"/>
                <w:szCs w:val="14"/>
                <w:color w:val="auto"/>
              </w:rPr>
              <w:t>234</w:t>
            </w:r>
          </w:p>
        </w:tc>
        <w:tc>
          <w:tcPr>
            <w:tcW w:w="220" w:type="dxa"/>
            <w:vAlign w:val="bottom"/>
          </w:tcPr>
          <w:p>
            <w:pPr>
              <w:spacing w:after="0"/>
              <w:rPr>
                <w:sz w:val="14"/>
                <w:szCs w:val="14"/>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1</w:t>
            </w:r>
          </w:p>
        </w:tc>
        <w:tc>
          <w:tcPr>
            <w:tcW w:w="220" w:type="dxa"/>
            <w:vAlign w:val="bottom"/>
          </w:tcPr>
          <w:p>
            <w:pPr>
              <w:spacing w:after="0"/>
              <w:rPr>
                <w:sz w:val="14"/>
                <w:szCs w:val="14"/>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w:t>
            </w:r>
          </w:p>
        </w:tc>
        <w:tc>
          <w:tcPr>
            <w:tcW w:w="220" w:type="dxa"/>
            <w:vAlign w:val="bottom"/>
          </w:tcPr>
          <w:p>
            <w:pPr>
              <w:spacing w:after="0"/>
              <w:rPr>
                <w:sz w:val="14"/>
                <w:szCs w:val="14"/>
                <w:color w:val="auto"/>
              </w:rPr>
            </w:pPr>
          </w:p>
        </w:tc>
        <w:tc>
          <w:tcPr>
            <w:tcW w:w="980" w:type="dxa"/>
            <w:vAlign w:val="bottom"/>
          </w:tcPr>
          <w:p>
            <w:pPr>
              <w:jc w:val="right"/>
              <w:spacing w:after="0"/>
              <w:rPr>
                <w:sz w:val="20"/>
                <w:szCs w:val="20"/>
                <w:color w:val="auto"/>
              </w:rPr>
            </w:pPr>
            <w:r>
              <w:rPr>
                <w:rFonts w:ascii="Arial" w:cs="Arial" w:eastAsia="Arial" w:hAnsi="Arial"/>
                <w:sz w:val="14"/>
                <w:szCs w:val="14"/>
                <w:color w:val="auto"/>
              </w:rPr>
              <w:t>1</w:t>
            </w:r>
          </w:p>
        </w:tc>
        <w:tc>
          <w:tcPr>
            <w:tcW w:w="620" w:type="dxa"/>
            <w:vAlign w:val="bottom"/>
            <w:gridSpan w:val="2"/>
          </w:tcPr>
          <w:p>
            <w:pPr>
              <w:jc w:val="right"/>
              <w:spacing w:after="0"/>
              <w:rPr>
                <w:sz w:val="20"/>
                <w:szCs w:val="20"/>
                <w:color w:val="auto"/>
              </w:rPr>
            </w:pPr>
            <w:r>
              <w:rPr>
                <w:rFonts w:ascii="Arial" w:cs="Arial" w:eastAsia="Arial" w:hAnsi="Arial"/>
                <w:sz w:val="14"/>
                <w:szCs w:val="14"/>
                <w:color w:val="auto"/>
              </w:rPr>
              <w:t>$261</w:t>
            </w:r>
          </w:p>
        </w:tc>
        <w:tc>
          <w:tcPr>
            <w:tcW w:w="500" w:type="dxa"/>
            <w:vAlign w:val="bottom"/>
          </w:tcPr>
          <w:p>
            <w:pPr>
              <w:ind w:left="20"/>
              <w:spacing w:after="0"/>
              <w:rPr>
                <w:sz w:val="20"/>
                <w:szCs w:val="20"/>
                <w:color w:val="auto"/>
              </w:rPr>
            </w:pPr>
            <w:r>
              <w:rPr>
                <w:rFonts w:ascii="Arial" w:cs="Arial" w:eastAsia="Arial" w:hAnsi="Arial"/>
                <w:sz w:val="14"/>
                <w:szCs w:val="14"/>
                <w:color w:val="auto"/>
              </w:rPr>
              <w:t>- $334</w:t>
            </w:r>
          </w:p>
        </w:tc>
        <w:tc>
          <w:tcPr>
            <w:tcW w:w="0" w:type="dxa"/>
            <w:vAlign w:val="bottom"/>
          </w:tcPr>
          <w:p>
            <w:pPr>
              <w:spacing w:after="0"/>
              <w:rPr>
                <w:sz w:val="1"/>
                <w:szCs w:val="1"/>
                <w:color w:val="auto"/>
              </w:rPr>
            </w:pPr>
          </w:p>
        </w:tc>
      </w:tr>
      <w:tr>
        <w:trPr>
          <w:trHeight w:val="162"/>
        </w:trPr>
        <w:tc>
          <w:tcPr>
            <w:tcW w:w="4220" w:type="dxa"/>
            <w:vAlign w:val="bottom"/>
            <w:gridSpan w:val="2"/>
            <w:shd w:val="clear" w:color="auto" w:fill="CFF0FC"/>
          </w:tcPr>
          <w:p>
            <w:pPr>
              <w:ind w:left="380"/>
              <w:spacing w:after="0"/>
              <w:rPr>
                <w:sz w:val="20"/>
                <w:szCs w:val="20"/>
                <w:color w:val="auto"/>
              </w:rPr>
            </w:pPr>
            <w:r>
              <w:rPr>
                <w:rFonts w:ascii="Arial" w:cs="Arial" w:eastAsia="Arial" w:hAnsi="Arial"/>
                <w:sz w:val="14"/>
                <w:szCs w:val="14"/>
                <w:color w:val="auto"/>
              </w:rPr>
              <w:t>Lakeside</w:t>
            </w:r>
          </w:p>
        </w:tc>
        <w:tc>
          <w:tcPr>
            <w:tcW w:w="900" w:type="dxa"/>
            <w:vAlign w:val="bottom"/>
            <w:shd w:val="clear" w:color="auto" w:fill="CFF0FC"/>
          </w:tcPr>
          <w:p>
            <w:pPr>
              <w:jc w:val="center"/>
              <w:spacing w:after="0"/>
              <w:rPr>
                <w:sz w:val="20"/>
                <w:szCs w:val="20"/>
                <w:color w:val="auto"/>
              </w:rPr>
            </w:pPr>
            <w:r>
              <w:rPr>
                <w:rFonts w:ascii="Arial" w:cs="Arial" w:eastAsia="Arial" w:hAnsi="Arial"/>
                <w:sz w:val="14"/>
                <w:szCs w:val="14"/>
                <w:color w:val="auto"/>
                <w:w w:val="83"/>
              </w:rPr>
              <w:t>2012</w:t>
            </w:r>
          </w:p>
        </w:tc>
        <w:tc>
          <w:tcPr>
            <w:tcW w:w="120" w:type="dxa"/>
            <w:vAlign w:val="bottom"/>
            <w:shd w:val="clear" w:color="auto" w:fill="CFF0FC"/>
          </w:tcPr>
          <w:p>
            <w:pPr>
              <w:spacing w:after="0"/>
              <w:rPr>
                <w:sz w:val="14"/>
                <w:szCs w:val="14"/>
                <w:color w:val="auto"/>
              </w:rPr>
            </w:pPr>
          </w:p>
        </w:tc>
        <w:tc>
          <w:tcPr>
            <w:tcW w:w="7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167</w:t>
            </w:r>
          </w:p>
        </w:tc>
        <w:tc>
          <w:tcPr>
            <w:tcW w:w="220" w:type="dxa"/>
            <w:vAlign w:val="bottom"/>
            <w:shd w:val="clear" w:color="auto" w:fill="CFF0FC"/>
          </w:tcPr>
          <w:p>
            <w:pPr>
              <w:spacing w:after="0"/>
              <w:rPr>
                <w:sz w:val="14"/>
                <w:szCs w:val="14"/>
                <w:color w:val="auto"/>
              </w:rPr>
            </w:pPr>
          </w:p>
        </w:tc>
        <w:tc>
          <w:tcPr>
            <w:tcW w:w="860" w:type="dxa"/>
            <w:vAlign w:val="bottom"/>
            <w:shd w:val="clear" w:color="auto" w:fill="CFF0FC"/>
          </w:tcPr>
          <w:p>
            <w:pPr>
              <w:jc w:val="right"/>
              <w:spacing w:after="0"/>
              <w:rPr>
                <w:sz w:val="20"/>
                <w:szCs w:val="20"/>
                <w:color w:val="auto"/>
              </w:rPr>
            </w:pPr>
            <w:r>
              <w:rPr>
                <w:rFonts w:ascii="Arial" w:cs="Arial" w:eastAsia="Arial" w:hAnsi="Arial"/>
                <w:sz w:val="14"/>
                <w:szCs w:val="14"/>
                <w:color w:val="auto"/>
              </w:rPr>
              <w:t>162</w:t>
            </w:r>
          </w:p>
        </w:tc>
        <w:tc>
          <w:tcPr>
            <w:tcW w:w="220" w:type="dxa"/>
            <w:vAlign w:val="bottom"/>
            <w:shd w:val="clear" w:color="auto" w:fill="CFF0FC"/>
          </w:tcPr>
          <w:p>
            <w:pPr>
              <w:spacing w:after="0"/>
              <w:rPr>
                <w:sz w:val="14"/>
                <w:szCs w:val="14"/>
                <w:color w:val="auto"/>
              </w:rPr>
            </w:pPr>
          </w:p>
        </w:tc>
        <w:tc>
          <w:tcPr>
            <w:tcW w:w="7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5</w:t>
            </w:r>
          </w:p>
        </w:tc>
        <w:tc>
          <w:tcPr>
            <w:tcW w:w="220" w:type="dxa"/>
            <w:vAlign w:val="bottom"/>
            <w:shd w:val="clear" w:color="auto" w:fill="CFF0FC"/>
          </w:tcPr>
          <w:p>
            <w:pPr>
              <w:spacing w:after="0"/>
              <w:rPr>
                <w:sz w:val="14"/>
                <w:szCs w:val="14"/>
                <w:color w:val="auto"/>
              </w:rPr>
            </w:pPr>
          </w:p>
        </w:tc>
        <w:tc>
          <w:tcPr>
            <w:tcW w:w="7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3</w:t>
            </w:r>
          </w:p>
        </w:tc>
        <w:tc>
          <w:tcPr>
            <w:tcW w:w="220" w:type="dxa"/>
            <w:vAlign w:val="bottom"/>
            <w:shd w:val="clear" w:color="auto" w:fill="CFF0FC"/>
          </w:tcPr>
          <w:p>
            <w:pPr>
              <w:spacing w:after="0"/>
              <w:rPr>
                <w:sz w:val="14"/>
                <w:szCs w:val="14"/>
                <w:color w:val="auto"/>
              </w:rPr>
            </w:pPr>
          </w:p>
        </w:tc>
        <w:tc>
          <w:tcPr>
            <w:tcW w:w="9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14</w:t>
            </w:r>
          </w:p>
        </w:tc>
        <w:tc>
          <w:tcPr>
            <w:tcW w:w="620" w:type="dxa"/>
            <w:vAlign w:val="bottom"/>
            <w:gridSpan w:val="2"/>
            <w:shd w:val="clear" w:color="auto" w:fill="CFF0FC"/>
          </w:tcPr>
          <w:p>
            <w:pPr>
              <w:jc w:val="right"/>
              <w:spacing w:after="0"/>
              <w:rPr>
                <w:sz w:val="20"/>
                <w:szCs w:val="20"/>
                <w:color w:val="auto"/>
              </w:rPr>
            </w:pPr>
            <w:r>
              <w:rPr>
                <w:rFonts w:ascii="Arial" w:cs="Arial" w:eastAsia="Arial" w:hAnsi="Arial"/>
                <w:sz w:val="14"/>
                <w:szCs w:val="14"/>
                <w:color w:val="auto"/>
              </w:rPr>
              <w:t>$260</w:t>
            </w:r>
          </w:p>
        </w:tc>
        <w:tc>
          <w:tcPr>
            <w:tcW w:w="500" w:type="dxa"/>
            <w:vAlign w:val="bottom"/>
            <w:shd w:val="clear" w:color="auto" w:fill="CFF0FC"/>
          </w:tcPr>
          <w:p>
            <w:pPr>
              <w:ind w:left="20"/>
              <w:spacing w:after="0"/>
              <w:rPr>
                <w:sz w:val="20"/>
                <w:szCs w:val="20"/>
                <w:color w:val="auto"/>
              </w:rPr>
            </w:pPr>
            <w:r>
              <w:rPr>
                <w:rFonts w:ascii="Arial" w:cs="Arial" w:eastAsia="Arial" w:hAnsi="Arial"/>
                <w:sz w:val="14"/>
                <w:szCs w:val="14"/>
                <w:color w:val="auto"/>
              </w:rPr>
              <w:t>- $282</w:t>
            </w:r>
          </w:p>
        </w:tc>
        <w:tc>
          <w:tcPr>
            <w:tcW w:w="0" w:type="dxa"/>
            <w:vAlign w:val="bottom"/>
          </w:tcPr>
          <w:p>
            <w:pPr>
              <w:spacing w:after="0"/>
              <w:rPr>
                <w:sz w:val="1"/>
                <w:szCs w:val="1"/>
                <w:color w:val="auto"/>
              </w:rPr>
            </w:pPr>
          </w:p>
        </w:tc>
      </w:tr>
      <w:tr>
        <w:trPr>
          <w:trHeight w:val="162"/>
        </w:trPr>
        <w:tc>
          <w:tcPr>
            <w:tcW w:w="4220" w:type="dxa"/>
            <w:vAlign w:val="bottom"/>
            <w:gridSpan w:val="2"/>
          </w:tcPr>
          <w:p>
            <w:pPr>
              <w:ind w:left="380"/>
              <w:spacing w:after="0"/>
              <w:rPr>
                <w:sz w:val="20"/>
                <w:szCs w:val="20"/>
                <w:color w:val="auto"/>
              </w:rPr>
            </w:pPr>
            <w:r>
              <w:rPr>
                <w:rFonts w:ascii="Arial" w:cs="Arial" w:eastAsia="Arial" w:hAnsi="Arial"/>
                <w:sz w:val="14"/>
                <w:szCs w:val="14"/>
                <w:color w:val="auto"/>
              </w:rPr>
              <w:t>Tournament Hills Future</w:t>
            </w:r>
          </w:p>
        </w:tc>
        <w:tc>
          <w:tcPr>
            <w:tcW w:w="1020" w:type="dxa"/>
            <w:vAlign w:val="bottom"/>
            <w:gridSpan w:val="2"/>
          </w:tcPr>
          <w:p>
            <w:pPr>
              <w:jc w:val="center"/>
              <w:ind w:right="120"/>
              <w:spacing w:after="0"/>
              <w:rPr>
                <w:sz w:val="20"/>
                <w:szCs w:val="20"/>
                <w:color w:val="auto"/>
              </w:rPr>
            </w:pPr>
            <w:r>
              <w:rPr>
                <w:rFonts w:ascii="Arial" w:cs="Arial" w:eastAsia="Arial" w:hAnsi="Arial"/>
                <w:sz w:val="14"/>
                <w:szCs w:val="14"/>
                <w:color w:val="auto"/>
                <w:w w:val="92"/>
              </w:rPr>
              <w:t>TBD</w:t>
            </w:r>
          </w:p>
        </w:tc>
        <w:tc>
          <w:tcPr>
            <w:tcW w:w="780" w:type="dxa"/>
            <w:vAlign w:val="bottom"/>
          </w:tcPr>
          <w:p>
            <w:pPr>
              <w:jc w:val="right"/>
              <w:spacing w:after="0"/>
              <w:rPr>
                <w:sz w:val="20"/>
                <w:szCs w:val="20"/>
                <w:color w:val="auto"/>
              </w:rPr>
            </w:pPr>
            <w:r>
              <w:rPr>
                <w:rFonts w:ascii="Arial" w:cs="Arial" w:eastAsia="Arial" w:hAnsi="Arial"/>
                <w:sz w:val="14"/>
                <w:szCs w:val="14"/>
                <w:color w:val="auto"/>
              </w:rPr>
              <w:t>268</w:t>
            </w:r>
          </w:p>
        </w:tc>
        <w:tc>
          <w:tcPr>
            <w:tcW w:w="220" w:type="dxa"/>
            <w:vAlign w:val="bottom"/>
          </w:tcPr>
          <w:p>
            <w:pPr>
              <w:spacing w:after="0"/>
              <w:rPr>
                <w:sz w:val="14"/>
                <w:szCs w:val="14"/>
                <w:color w:val="auto"/>
              </w:rPr>
            </w:pPr>
          </w:p>
        </w:tc>
        <w:tc>
          <w:tcPr>
            <w:tcW w:w="860" w:type="dxa"/>
            <w:vAlign w:val="bottom"/>
          </w:tcPr>
          <w:p>
            <w:pPr>
              <w:jc w:val="right"/>
              <w:spacing w:after="0"/>
              <w:rPr>
                <w:sz w:val="20"/>
                <w:szCs w:val="20"/>
                <w:color w:val="auto"/>
              </w:rPr>
            </w:pPr>
            <w:r>
              <w:rPr>
                <w:rFonts w:ascii="Arial" w:cs="Arial" w:eastAsia="Arial" w:hAnsi="Arial"/>
                <w:sz w:val="14"/>
                <w:szCs w:val="14"/>
                <w:color w:val="auto"/>
              </w:rPr>
              <w:t>-</w:t>
            </w:r>
          </w:p>
        </w:tc>
        <w:tc>
          <w:tcPr>
            <w:tcW w:w="220" w:type="dxa"/>
            <w:vAlign w:val="bottom"/>
          </w:tcPr>
          <w:p>
            <w:pPr>
              <w:spacing w:after="0"/>
              <w:rPr>
                <w:sz w:val="14"/>
                <w:szCs w:val="14"/>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268</w:t>
            </w:r>
          </w:p>
        </w:tc>
        <w:tc>
          <w:tcPr>
            <w:tcW w:w="220" w:type="dxa"/>
            <w:vAlign w:val="bottom"/>
          </w:tcPr>
          <w:p>
            <w:pPr>
              <w:spacing w:after="0"/>
              <w:rPr>
                <w:sz w:val="14"/>
                <w:szCs w:val="14"/>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w:t>
            </w:r>
          </w:p>
        </w:tc>
        <w:tc>
          <w:tcPr>
            <w:tcW w:w="220" w:type="dxa"/>
            <w:vAlign w:val="bottom"/>
          </w:tcPr>
          <w:p>
            <w:pPr>
              <w:spacing w:after="0"/>
              <w:rPr>
                <w:sz w:val="14"/>
                <w:szCs w:val="14"/>
                <w:color w:val="auto"/>
              </w:rPr>
            </w:pPr>
          </w:p>
        </w:tc>
        <w:tc>
          <w:tcPr>
            <w:tcW w:w="980" w:type="dxa"/>
            <w:vAlign w:val="bottom"/>
          </w:tcPr>
          <w:p>
            <w:pPr>
              <w:jc w:val="right"/>
              <w:spacing w:after="0"/>
              <w:rPr>
                <w:sz w:val="20"/>
                <w:szCs w:val="20"/>
                <w:color w:val="auto"/>
              </w:rPr>
            </w:pPr>
            <w:r>
              <w:rPr>
                <w:rFonts w:ascii="Arial" w:cs="Arial" w:eastAsia="Arial" w:hAnsi="Arial"/>
                <w:sz w:val="14"/>
                <w:szCs w:val="14"/>
                <w:color w:val="auto"/>
              </w:rPr>
              <w:t>-</w:t>
            </w:r>
          </w:p>
        </w:tc>
        <w:tc>
          <w:tcPr>
            <w:tcW w:w="220" w:type="dxa"/>
            <w:vAlign w:val="bottom"/>
          </w:tcPr>
          <w:p>
            <w:pPr>
              <w:spacing w:after="0"/>
              <w:rPr>
                <w:sz w:val="14"/>
                <w:szCs w:val="14"/>
                <w:color w:val="auto"/>
              </w:rPr>
            </w:pPr>
          </w:p>
        </w:tc>
        <w:tc>
          <w:tcPr>
            <w:tcW w:w="900" w:type="dxa"/>
            <w:vAlign w:val="bottom"/>
            <w:gridSpan w:val="2"/>
          </w:tcPr>
          <w:p>
            <w:pPr>
              <w:jc w:val="center"/>
              <w:spacing w:after="0"/>
              <w:rPr>
                <w:sz w:val="20"/>
                <w:szCs w:val="20"/>
                <w:color w:val="auto"/>
              </w:rPr>
            </w:pPr>
            <w:r>
              <w:rPr>
                <w:rFonts w:ascii="Arial" w:cs="Arial" w:eastAsia="Arial" w:hAnsi="Arial"/>
                <w:sz w:val="14"/>
                <w:szCs w:val="14"/>
                <w:color w:val="auto"/>
                <w:w w:val="99"/>
              </w:rPr>
              <w:t>TBD</w:t>
            </w:r>
          </w:p>
        </w:tc>
        <w:tc>
          <w:tcPr>
            <w:tcW w:w="0" w:type="dxa"/>
            <w:vAlign w:val="bottom"/>
          </w:tcPr>
          <w:p>
            <w:pPr>
              <w:spacing w:after="0"/>
              <w:rPr>
                <w:sz w:val="1"/>
                <w:szCs w:val="1"/>
                <w:color w:val="auto"/>
              </w:rPr>
            </w:pPr>
          </w:p>
        </w:tc>
      </w:tr>
      <w:tr>
        <w:trPr>
          <w:trHeight w:val="162"/>
        </w:trPr>
        <w:tc>
          <w:tcPr>
            <w:tcW w:w="4220" w:type="dxa"/>
            <w:vAlign w:val="bottom"/>
            <w:gridSpan w:val="2"/>
            <w:shd w:val="clear" w:color="auto" w:fill="CFF0FC"/>
          </w:tcPr>
          <w:p>
            <w:pPr>
              <w:ind w:left="380"/>
              <w:spacing w:after="0"/>
              <w:rPr>
                <w:sz w:val="20"/>
                <w:szCs w:val="20"/>
                <w:color w:val="auto"/>
              </w:rPr>
            </w:pPr>
            <w:r>
              <w:rPr>
                <w:rFonts w:ascii="Arial" w:cs="Arial" w:eastAsia="Arial" w:hAnsi="Arial"/>
                <w:sz w:val="14"/>
                <w:szCs w:val="14"/>
                <w:color w:val="auto"/>
              </w:rPr>
              <w:t>LivingSmart Sundance</w:t>
            </w:r>
          </w:p>
        </w:tc>
        <w:tc>
          <w:tcPr>
            <w:tcW w:w="900" w:type="dxa"/>
            <w:vAlign w:val="bottom"/>
            <w:shd w:val="clear" w:color="auto" w:fill="CFF0FC"/>
          </w:tcPr>
          <w:p>
            <w:pPr>
              <w:jc w:val="center"/>
              <w:spacing w:after="0"/>
              <w:rPr>
                <w:sz w:val="20"/>
                <w:szCs w:val="20"/>
                <w:color w:val="auto"/>
              </w:rPr>
            </w:pPr>
            <w:r>
              <w:rPr>
                <w:rFonts w:ascii="Arial" w:cs="Arial" w:eastAsia="Arial" w:hAnsi="Arial"/>
                <w:sz w:val="14"/>
                <w:szCs w:val="14"/>
                <w:color w:val="auto"/>
                <w:w w:val="83"/>
              </w:rPr>
              <w:t>2013</w:t>
            </w:r>
          </w:p>
        </w:tc>
        <w:tc>
          <w:tcPr>
            <w:tcW w:w="120" w:type="dxa"/>
            <w:vAlign w:val="bottom"/>
            <w:shd w:val="clear" w:color="auto" w:fill="CFF0FC"/>
          </w:tcPr>
          <w:p>
            <w:pPr>
              <w:spacing w:after="0"/>
              <w:rPr>
                <w:sz w:val="14"/>
                <w:szCs w:val="14"/>
                <w:color w:val="auto"/>
              </w:rPr>
            </w:pPr>
          </w:p>
        </w:tc>
        <w:tc>
          <w:tcPr>
            <w:tcW w:w="7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152</w:t>
            </w:r>
          </w:p>
        </w:tc>
        <w:tc>
          <w:tcPr>
            <w:tcW w:w="220" w:type="dxa"/>
            <w:vAlign w:val="bottom"/>
            <w:shd w:val="clear" w:color="auto" w:fill="CFF0FC"/>
          </w:tcPr>
          <w:p>
            <w:pPr>
              <w:spacing w:after="0"/>
              <w:rPr>
                <w:sz w:val="14"/>
                <w:szCs w:val="14"/>
                <w:color w:val="auto"/>
              </w:rPr>
            </w:pPr>
          </w:p>
        </w:tc>
        <w:tc>
          <w:tcPr>
            <w:tcW w:w="860" w:type="dxa"/>
            <w:vAlign w:val="bottom"/>
            <w:shd w:val="clear" w:color="auto" w:fill="CFF0FC"/>
          </w:tcPr>
          <w:p>
            <w:pPr>
              <w:jc w:val="right"/>
              <w:spacing w:after="0"/>
              <w:rPr>
                <w:sz w:val="20"/>
                <w:szCs w:val="20"/>
                <w:color w:val="auto"/>
              </w:rPr>
            </w:pPr>
            <w:r>
              <w:rPr>
                <w:rFonts w:ascii="Arial" w:cs="Arial" w:eastAsia="Arial" w:hAnsi="Arial"/>
                <w:sz w:val="14"/>
                <w:szCs w:val="14"/>
                <w:color w:val="auto"/>
              </w:rPr>
              <w:t>112</w:t>
            </w:r>
          </w:p>
        </w:tc>
        <w:tc>
          <w:tcPr>
            <w:tcW w:w="220" w:type="dxa"/>
            <w:vAlign w:val="bottom"/>
            <w:shd w:val="clear" w:color="auto" w:fill="CFF0FC"/>
          </w:tcPr>
          <w:p>
            <w:pPr>
              <w:spacing w:after="0"/>
              <w:rPr>
                <w:sz w:val="14"/>
                <w:szCs w:val="14"/>
                <w:color w:val="auto"/>
              </w:rPr>
            </w:pPr>
          </w:p>
        </w:tc>
        <w:tc>
          <w:tcPr>
            <w:tcW w:w="7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40</w:t>
            </w:r>
          </w:p>
        </w:tc>
        <w:tc>
          <w:tcPr>
            <w:tcW w:w="220" w:type="dxa"/>
            <w:vAlign w:val="bottom"/>
            <w:shd w:val="clear" w:color="auto" w:fill="CFF0FC"/>
          </w:tcPr>
          <w:p>
            <w:pPr>
              <w:spacing w:after="0"/>
              <w:rPr>
                <w:sz w:val="14"/>
                <w:szCs w:val="14"/>
                <w:color w:val="auto"/>
              </w:rPr>
            </w:pPr>
          </w:p>
        </w:tc>
        <w:tc>
          <w:tcPr>
            <w:tcW w:w="7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21</w:t>
            </w:r>
          </w:p>
        </w:tc>
        <w:tc>
          <w:tcPr>
            <w:tcW w:w="220" w:type="dxa"/>
            <w:vAlign w:val="bottom"/>
            <w:shd w:val="clear" w:color="auto" w:fill="CFF0FC"/>
          </w:tcPr>
          <w:p>
            <w:pPr>
              <w:spacing w:after="0"/>
              <w:rPr>
                <w:sz w:val="14"/>
                <w:szCs w:val="14"/>
                <w:color w:val="auto"/>
              </w:rPr>
            </w:pPr>
          </w:p>
        </w:tc>
        <w:tc>
          <w:tcPr>
            <w:tcW w:w="9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2</w:t>
            </w:r>
          </w:p>
        </w:tc>
        <w:tc>
          <w:tcPr>
            <w:tcW w:w="620" w:type="dxa"/>
            <w:vAlign w:val="bottom"/>
            <w:gridSpan w:val="2"/>
            <w:shd w:val="clear" w:color="auto" w:fill="CFF0FC"/>
          </w:tcPr>
          <w:p>
            <w:pPr>
              <w:jc w:val="right"/>
              <w:spacing w:after="0"/>
              <w:rPr>
                <w:sz w:val="20"/>
                <w:szCs w:val="20"/>
                <w:color w:val="auto"/>
              </w:rPr>
            </w:pPr>
            <w:r>
              <w:rPr>
                <w:rFonts w:ascii="Arial" w:cs="Arial" w:eastAsia="Arial" w:hAnsi="Arial"/>
                <w:sz w:val="14"/>
                <w:szCs w:val="14"/>
                <w:color w:val="auto"/>
              </w:rPr>
              <w:t>$280</w:t>
            </w:r>
          </w:p>
        </w:tc>
        <w:tc>
          <w:tcPr>
            <w:tcW w:w="500" w:type="dxa"/>
            <w:vAlign w:val="bottom"/>
            <w:shd w:val="clear" w:color="auto" w:fill="CFF0FC"/>
          </w:tcPr>
          <w:p>
            <w:pPr>
              <w:ind w:left="20"/>
              <w:spacing w:after="0"/>
              <w:rPr>
                <w:sz w:val="20"/>
                <w:szCs w:val="20"/>
                <w:color w:val="auto"/>
              </w:rPr>
            </w:pPr>
            <w:r>
              <w:rPr>
                <w:rFonts w:ascii="Arial" w:cs="Arial" w:eastAsia="Arial" w:hAnsi="Arial"/>
                <w:sz w:val="14"/>
                <w:szCs w:val="14"/>
                <w:color w:val="auto"/>
              </w:rPr>
              <w:t>- $332</w:t>
            </w:r>
          </w:p>
        </w:tc>
        <w:tc>
          <w:tcPr>
            <w:tcW w:w="0" w:type="dxa"/>
            <w:vAlign w:val="bottom"/>
          </w:tcPr>
          <w:p>
            <w:pPr>
              <w:spacing w:after="0"/>
              <w:rPr>
                <w:sz w:val="1"/>
                <w:szCs w:val="1"/>
                <w:color w:val="auto"/>
              </w:rPr>
            </w:pPr>
          </w:p>
        </w:tc>
      </w:tr>
      <w:tr>
        <w:trPr>
          <w:trHeight w:val="162"/>
        </w:trPr>
        <w:tc>
          <w:tcPr>
            <w:tcW w:w="4220" w:type="dxa"/>
            <w:vAlign w:val="bottom"/>
            <w:gridSpan w:val="2"/>
          </w:tcPr>
          <w:p>
            <w:pPr>
              <w:ind w:left="380"/>
              <w:spacing w:after="0"/>
              <w:rPr>
                <w:sz w:val="20"/>
                <w:szCs w:val="20"/>
                <w:color w:val="auto"/>
              </w:rPr>
            </w:pPr>
            <w:r>
              <w:rPr>
                <w:rFonts w:ascii="Arial" w:cs="Arial" w:eastAsia="Arial" w:hAnsi="Arial"/>
                <w:sz w:val="14"/>
                <w:szCs w:val="14"/>
                <w:color w:val="auto"/>
              </w:rPr>
              <w:t>LivingSmart Estrella</w:t>
            </w:r>
          </w:p>
        </w:tc>
        <w:tc>
          <w:tcPr>
            <w:tcW w:w="900" w:type="dxa"/>
            <w:vAlign w:val="bottom"/>
          </w:tcPr>
          <w:p>
            <w:pPr>
              <w:jc w:val="center"/>
              <w:spacing w:after="0"/>
              <w:rPr>
                <w:sz w:val="20"/>
                <w:szCs w:val="20"/>
                <w:color w:val="auto"/>
              </w:rPr>
            </w:pPr>
            <w:r>
              <w:rPr>
                <w:rFonts w:ascii="Arial" w:cs="Arial" w:eastAsia="Arial" w:hAnsi="Arial"/>
                <w:sz w:val="14"/>
                <w:szCs w:val="14"/>
                <w:color w:val="auto"/>
                <w:w w:val="83"/>
              </w:rPr>
              <w:t>2013</w:t>
            </w:r>
          </w:p>
        </w:tc>
        <w:tc>
          <w:tcPr>
            <w:tcW w:w="120" w:type="dxa"/>
            <w:vAlign w:val="bottom"/>
          </w:tcPr>
          <w:p>
            <w:pPr>
              <w:spacing w:after="0"/>
              <w:rPr>
                <w:sz w:val="14"/>
                <w:szCs w:val="14"/>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127</w:t>
            </w:r>
          </w:p>
        </w:tc>
        <w:tc>
          <w:tcPr>
            <w:tcW w:w="220" w:type="dxa"/>
            <w:vAlign w:val="bottom"/>
          </w:tcPr>
          <w:p>
            <w:pPr>
              <w:spacing w:after="0"/>
              <w:rPr>
                <w:sz w:val="14"/>
                <w:szCs w:val="14"/>
                <w:color w:val="auto"/>
              </w:rPr>
            </w:pPr>
          </w:p>
        </w:tc>
        <w:tc>
          <w:tcPr>
            <w:tcW w:w="860" w:type="dxa"/>
            <w:vAlign w:val="bottom"/>
          </w:tcPr>
          <w:p>
            <w:pPr>
              <w:jc w:val="right"/>
              <w:spacing w:after="0"/>
              <w:rPr>
                <w:sz w:val="20"/>
                <w:szCs w:val="20"/>
                <w:color w:val="auto"/>
              </w:rPr>
            </w:pPr>
            <w:r>
              <w:rPr>
                <w:rFonts w:ascii="Arial" w:cs="Arial" w:eastAsia="Arial" w:hAnsi="Arial"/>
                <w:sz w:val="14"/>
                <w:szCs w:val="14"/>
                <w:color w:val="auto"/>
              </w:rPr>
              <w:t>127</w:t>
            </w:r>
          </w:p>
        </w:tc>
        <w:tc>
          <w:tcPr>
            <w:tcW w:w="220" w:type="dxa"/>
            <w:vAlign w:val="bottom"/>
          </w:tcPr>
          <w:p>
            <w:pPr>
              <w:spacing w:after="0"/>
              <w:rPr>
                <w:sz w:val="14"/>
                <w:szCs w:val="14"/>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w:t>
            </w:r>
          </w:p>
        </w:tc>
        <w:tc>
          <w:tcPr>
            <w:tcW w:w="220" w:type="dxa"/>
            <w:vAlign w:val="bottom"/>
          </w:tcPr>
          <w:p>
            <w:pPr>
              <w:spacing w:after="0"/>
              <w:rPr>
                <w:sz w:val="14"/>
                <w:szCs w:val="14"/>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w:t>
            </w:r>
          </w:p>
        </w:tc>
        <w:tc>
          <w:tcPr>
            <w:tcW w:w="220" w:type="dxa"/>
            <w:vAlign w:val="bottom"/>
          </w:tcPr>
          <w:p>
            <w:pPr>
              <w:spacing w:after="0"/>
              <w:rPr>
                <w:sz w:val="14"/>
                <w:szCs w:val="14"/>
                <w:color w:val="auto"/>
              </w:rPr>
            </w:pPr>
          </w:p>
        </w:tc>
        <w:tc>
          <w:tcPr>
            <w:tcW w:w="980" w:type="dxa"/>
            <w:vAlign w:val="bottom"/>
          </w:tcPr>
          <w:p>
            <w:pPr>
              <w:jc w:val="right"/>
              <w:spacing w:after="0"/>
              <w:rPr>
                <w:sz w:val="20"/>
                <w:szCs w:val="20"/>
                <w:color w:val="auto"/>
              </w:rPr>
            </w:pPr>
            <w:r>
              <w:rPr>
                <w:rFonts w:ascii="Arial" w:cs="Arial" w:eastAsia="Arial" w:hAnsi="Arial"/>
                <w:sz w:val="14"/>
                <w:szCs w:val="14"/>
                <w:color w:val="auto"/>
              </w:rPr>
              <w:t>6</w:t>
            </w:r>
          </w:p>
        </w:tc>
        <w:tc>
          <w:tcPr>
            <w:tcW w:w="620" w:type="dxa"/>
            <w:vAlign w:val="bottom"/>
            <w:gridSpan w:val="2"/>
          </w:tcPr>
          <w:p>
            <w:pPr>
              <w:jc w:val="right"/>
              <w:spacing w:after="0"/>
              <w:rPr>
                <w:sz w:val="20"/>
                <w:szCs w:val="20"/>
                <w:color w:val="auto"/>
              </w:rPr>
            </w:pPr>
            <w:r>
              <w:rPr>
                <w:rFonts w:ascii="Arial" w:cs="Arial" w:eastAsia="Arial" w:hAnsi="Arial"/>
                <w:sz w:val="14"/>
                <w:szCs w:val="14"/>
                <w:color w:val="auto"/>
              </w:rPr>
              <w:t>$214</w:t>
            </w:r>
          </w:p>
        </w:tc>
        <w:tc>
          <w:tcPr>
            <w:tcW w:w="500" w:type="dxa"/>
            <w:vAlign w:val="bottom"/>
          </w:tcPr>
          <w:p>
            <w:pPr>
              <w:ind w:left="20"/>
              <w:spacing w:after="0"/>
              <w:rPr>
                <w:sz w:val="20"/>
                <w:szCs w:val="20"/>
                <w:color w:val="auto"/>
              </w:rPr>
            </w:pPr>
            <w:r>
              <w:rPr>
                <w:rFonts w:ascii="Arial" w:cs="Arial" w:eastAsia="Arial" w:hAnsi="Arial"/>
                <w:sz w:val="14"/>
                <w:szCs w:val="14"/>
                <w:color w:val="auto"/>
              </w:rPr>
              <w:t>- $237</w:t>
            </w:r>
          </w:p>
        </w:tc>
        <w:tc>
          <w:tcPr>
            <w:tcW w:w="0" w:type="dxa"/>
            <w:vAlign w:val="bottom"/>
          </w:tcPr>
          <w:p>
            <w:pPr>
              <w:spacing w:after="0"/>
              <w:rPr>
                <w:sz w:val="1"/>
                <w:szCs w:val="1"/>
                <w:color w:val="auto"/>
              </w:rPr>
            </w:pPr>
          </w:p>
        </w:tc>
      </w:tr>
      <w:tr>
        <w:trPr>
          <w:trHeight w:val="162"/>
        </w:trPr>
        <w:tc>
          <w:tcPr>
            <w:tcW w:w="4220" w:type="dxa"/>
            <w:vAlign w:val="bottom"/>
            <w:gridSpan w:val="2"/>
            <w:shd w:val="clear" w:color="auto" w:fill="CFF0FC"/>
          </w:tcPr>
          <w:p>
            <w:pPr>
              <w:ind w:left="380"/>
              <w:spacing w:after="0"/>
              <w:rPr>
                <w:sz w:val="20"/>
                <w:szCs w:val="20"/>
                <w:color w:val="auto"/>
              </w:rPr>
            </w:pPr>
            <w:r>
              <w:rPr>
                <w:rFonts w:ascii="Arial" w:cs="Arial" w:eastAsia="Arial" w:hAnsi="Arial"/>
                <w:sz w:val="14"/>
                <w:szCs w:val="14"/>
                <w:color w:val="auto"/>
              </w:rPr>
              <w:t>Woodmont</w:t>
            </w:r>
          </w:p>
        </w:tc>
        <w:tc>
          <w:tcPr>
            <w:tcW w:w="900" w:type="dxa"/>
            <w:vAlign w:val="bottom"/>
            <w:shd w:val="clear" w:color="auto" w:fill="CFF0FC"/>
          </w:tcPr>
          <w:p>
            <w:pPr>
              <w:jc w:val="center"/>
              <w:spacing w:after="0"/>
              <w:rPr>
                <w:sz w:val="20"/>
                <w:szCs w:val="20"/>
                <w:color w:val="auto"/>
              </w:rPr>
            </w:pPr>
            <w:r>
              <w:rPr>
                <w:rFonts w:ascii="Arial" w:cs="Arial" w:eastAsia="Arial" w:hAnsi="Arial"/>
                <w:sz w:val="14"/>
                <w:szCs w:val="14"/>
                <w:color w:val="auto"/>
                <w:w w:val="83"/>
              </w:rPr>
              <w:t>2014</w:t>
            </w:r>
          </w:p>
        </w:tc>
        <w:tc>
          <w:tcPr>
            <w:tcW w:w="120" w:type="dxa"/>
            <w:vAlign w:val="bottom"/>
            <w:shd w:val="clear" w:color="auto" w:fill="CFF0FC"/>
          </w:tcPr>
          <w:p>
            <w:pPr>
              <w:spacing w:after="0"/>
              <w:rPr>
                <w:sz w:val="14"/>
                <w:szCs w:val="14"/>
                <w:color w:val="auto"/>
              </w:rPr>
            </w:pPr>
          </w:p>
        </w:tc>
        <w:tc>
          <w:tcPr>
            <w:tcW w:w="7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84</w:t>
            </w:r>
          </w:p>
        </w:tc>
        <w:tc>
          <w:tcPr>
            <w:tcW w:w="220" w:type="dxa"/>
            <w:vAlign w:val="bottom"/>
            <w:shd w:val="clear" w:color="auto" w:fill="CFF0FC"/>
          </w:tcPr>
          <w:p>
            <w:pPr>
              <w:spacing w:after="0"/>
              <w:rPr>
                <w:sz w:val="14"/>
                <w:szCs w:val="14"/>
                <w:color w:val="auto"/>
              </w:rPr>
            </w:pPr>
          </w:p>
        </w:tc>
        <w:tc>
          <w:tcPr>
            <w:tcW w:w="860" w:type="dxa"/>
            <w:vAlign w:val="bottom"/>
            <w:shd w:val="clear" w:color="auto" w:fill="CFF0FC"/>
          </w:tcPr>
          <w:p>
            <w:pPr>
              <w:jc w:val="right"/>
              <w:spacing w:after="0"/>
              <w:rPr>
                <w:sz w:val="20"/>
                <w:szCs w:val="20"/>
                <w:color w:val="auto"/>
              </w:rPr>
            </w:pPr>
            <w:r>
              <w:rPr>
                <w:rFonts w:ascii="Arial" w:cs="Arial" w:eastAsia="Arial" w:hAnsi="Arial"/>
                <w:sz w:val="14"/>
                <w:szCs w:val="14"/>
                <w:color w:val="auto"/>
              </w:rPr>
              <w:t>24</w:t>
            </w:r>
          </w:p>
        </w:tc>
        <w:tc>
          <w:tcPr>
            <w:tcW w:w="220" w:type="dxa"/>
            <w:vAlign w:val="bottom"/>
            <w:shd w:val="clear" w:color="auto" w:fill="CFF0FC"/>
          </w:tcPr>
          <w:p>
            <w:pPr>
              <w:spacing w:after="0"/>
              <w:rPr>
                <w:sz w:val="14"/>
                <w:szCs w:val="14"/>
                <w:color w:val="auto"/>
              </w:rPr>
            </w:pPr>
          </w:p>
        </w:tc>
        <w:tc>
          <w:tcPr>
            <w:tcW w:w="7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60</w:t>
            </w:r>
          </w:p>
        </w:tc>
        <w:tc>
          <w:tcPr>
            <w:tcW w:w="220" w:type="dxa"/>
            <w:vAlign w:val="bottom"/>
            <w:shd w:val="clear" w:color="auto" w:fill="CFF0FC"/>
          </w:tcPr>
          <w:p>
            <w:pPr>
              <w:spacing w:after="0"/>
              <w:rPr>
                <w:sz w:val="14"/>
                <w:szCs w:val="14"/>
                <w:color w:val="auto"/>
              </w:rPr>
            </w:pPr>
          </w:p>
        </w:tc>
        <w:tc>
          <w:tcPr>
            <w:tcW w:w="7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19</w:t>
            </w:r>
          </w:p>
        </w:tc>
        <w:tc>
          <w:tcPr>
            <w:tcW w:w="220" w:type="dxa"/>
            <w:vAlign w:val="bottom"/>
            <w:shd w:val="clear" w:color="auto" w:fill="CFF0FC"/>
          </w:tcPr>
          <w:p>
            <w:pPr>
              <w:spacing w:after="0"/>
              <w:rPr>
                <w:sz w:val="14"/>
                <w:szCs w:val="14"/>
                <w:color w:val="auto"/>
              </w:rPr>
            </w:pPr>
          </w:p>
        </w:tc>
        <w:tc>
          <w:tcPr>
            <w:tcW w:w="9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13</w:t>
            </w:r>
          </w:p>
        </w:tc>
        <w:tc>
          <w:tcPr>
            <w:tcW w:w="620" w:type="dxa"/>
            <w:vAlign w:val="bottom"/>
            <w:gridSpan w:val="2"/>
            <w:shd w:val="clear" w:color="auto" w:fill="CFF0FC"/>
          </w:tcPr>
          <w:p>
            <w:pPr>
              <w:jc w:val="right"/>
              <w:spacing w:after="0"/>
              <w:rPr>
                <w:sz w:val="20"/>
                <w:szCs w:val="20"/>
                <w:color w:val="auto"/>
              </w:rPr>
            </w:pPr>
            <w:r>
              <w:rPr>
                <w:rFonts w:ascii="Arial" w:cs="Arial" w:eastAsia="Arial" w:hAnsi="Arial"/>
                <w:sz w:val="14"/>
                <w:szCs w:val="14"/>
                <w:color w:val="auto"/>
              </w:rPr>
              <w:t>$307</w:t>
            </w:r>
          </w:p>
        </w:tc>
        <w:tc>
          <w:tcPr>
            <w:tcW w:w="500" w:type="dxa"/>
            <w:vAlign w:val="bottom"/>
            <w:shd w:val="clear" w:color="auto" w:fill="CFF0FC"/>
          </w:tcPr>
          <w:p>
            <w:pPr>
              <w:ind w:left="20"/>
              <w:spacing w:after="0"/>
              <w:rPr>
                <w:sz w:val="20"/>
                <w:szCs w:val="20"/>
                <w:color w:val="auto"/>
              </w:rPr>
            </w:pPr>
            <w:r>
              <w:rPr>
                <w:rFonts w:ascii="Arial" w:cs="Arial" w:eastAsia="Arial" w:hAnsi="Arial"/>
                <w:sz w:val="14"/>
                <w:szCs w:val="14"/>
                <w:color w:val="auto"/>
              </w:rPr>
              <w:t>- $371</w:t>
            </w:r>
          </w:p>
        </w:tc>
        <w:tc>
          <w:tcPr>
            <w:tcW w:w="0" w:type="dxa"/>
            <w:vAlign w:val="bottom"/>
          </w:tcPr>
          <w:p>
            <w:pPr>
              <w:spacing w:after="0"/>
              <w:rPr>
                <w:sz w:val="1"/>
                <w:szCs w:val="1"/>
                <w:color w:val="auto"/>
              </w:rPr>
            </w:pPr>
          </w:p>
        </w:tc>
      </w:tr>
      <w:tr>
        <w:trPr>
          <w:trHeight w:val="162"/>
        </w:trPr>
        <w:tc>
          <w:tcPr>
            <w:tcW w:w="4220" w:type="dxa"/>
            <w:vAlign w:val="bottom"/>
            <w:gridSpan w:val="2"/>
          </w:tcPr>
          <w:p>
            <w:pPr>
              <w:ind w:left="380"/>
              <w:spacing w:after="0"/>
              <w:rPr>
                <w:sz w:val="20"/>
                <w:szCs w:val="20"/>
                <w:color w:val="auto"/>
              </w:rPr>
            </w:pPr>
            <w:r>
              <w:rPr>
                <w:rFonts w:ascii="Arial" w:cs="Arial" w:eastAsia="Arial" w:hAnsi="Arial"/>
                <w:sz w:val="14"/>
                <w:szCs w:val="14"/>
                <w:color w:val="auto"/>
              </w:rPr>
              <w:t>Cielo</w:t>
            </w:r>
          </w:p>
        </w:tc>
        <w:tc>
          <w:tcPr>
            <w:tcW w:w="900" w:type="dxa"/>
            <w:vAlign w:val="bottom"/>
          </w:tcPr>
          <w:p>
            <w:pPr>
              <w:jc w:val="center"/>
              <w:spacing w:after="0"/>
              <w:rPr>
                <w:sz w:val="20"/>
                <w:szCs w:val="20"/>
                <w:color w:val="auto"/>
              </w:rPr>
            </w:pPr>
            <w:r>
              <w:rPr>
                <w:rFonts w:ascii="Arial" w:cs="Arial" w:eastAsia="Arial" w:hAnsi="Arial"/>
                <w:sz w:val="14"/>
                <w:szCs w:val="14"/>
                <w:color w:val="auto"/>
                <w:w w:val="83"/>
              </w:rPr>
              <w:t>2015</w:t>
            </w:r>
          </w:p>
        </w:tc>
        <w:tc>
          <w:tcPr>
            <w:tcW w:w="120" w:type="dxa"/>
            <w:vAlign w:val="bottom"/>
          </w:tcPr>
          <w:p>
            <w:pPr>
              <w:spacing w:after="0"/>
              <w:rPr>
                <w:sz w:val="14"/>
                <w:szCs w:val="14"/>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92</w:t>
            </w:r>
          </w:p>
        </w:tc>
        <w:tc>
          <w:tcPr>
            <w:tcW w:w="220" w:type="dxa"/>
            <w:vAlign w:val="bottom"/>
          </w:tcPr>
          <w:p>
            <w:pPr>
              <w:spacing w:after="0"/>
              <w:rPr>
                <w:sz w:val="14"/>
                <w:szCs w:val="14"/>
                <w:color w:val="auto"/>
              </w:rPr>
            </w:pPr>
          </w:p>
        </w:tc>
        <w:tc>
          <w:tcPr>
            <w:tcW w:w="860" w:type="dxa"/>
            <w:vAlign w:val="bottom"/>
          </w:tcPr>
          <w:p>
            <w:pPr>
              <w:jc w:val="right"/>
              <w:spacing w:after="0"/>
              <w:rPr>
                <w:sz w:val="20"/>
                <w:szCs w:val="20"/>
                <w:color w:val="auto"/>
              </w:rPr>
            </w:pPr>
            <w:r>
              <w:rPr>
                <w:rFonts w:ascii="Arial" w:cs="Arial" w:eastAsia="Arial" w:hAnsi="Arial"/>
                <w:sz w:val="14"/>
                <w:szCs w:val="14"/>
                <w:color w:val="auto"/>
              </w:rPr>
              <w:t>-</w:t>
            </w:r>
          </w:p>
        </w:tc>
        <w:tc>
          <w:tcPr>
            <w:tcW w:w="220" w:type="dxa"/>
            <w:vAlign w:val="bottom"/>
          </w:tcPr>
          <w:p>
            <w:pPr>
              <w:spacing w:after="0"/>
              <w:rPr>
                <w:sz w:val="14"/>
                <w:szCs w:val="14"/>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92</w:t>
            </w:r>
          </w:p>
        </w:tc>
        <w:tc>
          <w:tcPr>
            <w:tcW w:w="220" w:type="dxa"/>
            <w:vAlign w:val="bottom"/>
          </w:tcPr>
          <w:p>
            <w:pPr>
              <w:spacing w:after="0"/>
              <w:rPr>
                <w:sz w:val="14"/>
                <w:szCs w:val="14"/>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36</w:t>
            </w:r>
          </w:p>
        </w:tc>
        <w:tc>
          <w:tcPr>
            <w:tcW w:w="220" w:type="dxa"/>
            <w:vAlign w:val="bottom"/>
          </w:tcPr>
          <w:p>
            <w:pPr>
              <w:spacing w:after="0"/>
              <w:rPr>
                <w:sz w:val="14"/>
                <w:szCs w:val="14"/>
                <w:color w:val="auto"/>
              </w:rPr>
            </w:pPr>
          </w:p>
        </w:tc>
        <w:tc>
          <w:tcPr>
            <w:tcW w:w="980" w:type="dxa"/>
            <w:vAlign w:val="bottom"/>
          </w:tcPr>
          <w:p>
            <w:pPr>
              <w:jc w:val="right"/>
              <w:spacing w:after="0"/>
              <w:rPr>
                <w:sz w:val="20"/>
                <w:szCs w:val="20"/>
                <w:color w:val="auto"/>
              </w:rPr>
            </w:pPr>
            <w:r>
              <w:rPr>
                <w:rFonts w:ascii="Arial" w:cs="Arial" w:eastAsia="Arial" w:hAnsi="Arial"/>
                <w:sz w:val="14"/>
                <w:szCs w:val="14"/>
                <w:color w:val="auto"/>
              </w:rPr>
              <w:t>-</w:t>
            </w:r>
          </w:p>
        </w:tc>
        <w:tc>
          <w:tcPr>
            <w:tcW w:w="620" w:type="dxa"/>
            <w:vAlign w:val="bottom"/>
            <w:gridSpan w:val="2"/>
          </w:tcPr>
          <w:p>
            <w:pPr>
              <w:jc w:val="right"/>
              <w:spacing w:after="0"/>
              <w:rPr>
                <w:sz w:val="20"/>
                <w:szCs w:val="20"/>
                <w:color w:val="auto"/>
              </w:rPr>
            </w:pPr>
            <w:r>
              <w:rPr>
                <w:rFonts w:ascii="Arial" w:cs="Arial" w:eastAsia="Arial" w:hAnsi="Arial"/>
                <w:sz w:val="14"/>
                <w:szCs w:val="14"/>
                <w:color w:val="auto"/>
              </w:rPr>
              <w:t>$220</w:t>
            </w:r>
          </w:p>
        </w:tc>
        <w:tc>
          <w:tcPr>
            <w:tcW w:w="500" w:type="dxa"/>
            <w:vAlign w:val="bottom"/>
          </w:tcPr>
          <w:p>
            <w:pPr>
              <w:ind w:left="20"/>
              <w:spacing w:after="0"/>
              <w:rPr>
                <w:sz w:val="20"/>
                <w:szCs w:val="20"/>
                <w:color w:val="auto"/>
              </w:rPr>
            </w:pPr>
            <w:r>
              <w:rPr>
                <w:rFonts w:ascii="Arial" w:cs="Arial" w:eastAsia="Arial" w:hAnsi="Arial"/>
                <w:sz w:val="14"/>
                <w:szCs w:val="14"/>
                <w:color w:val="auto"/>
              </w:rPr>
              <w:t>- $242</w:t>
            </w:r>
          </w:p>
        </w:tc>
        <w:tc>
          <w:tcPr>
            <w:tcW w:w="0" w:type="dxa"/>
            <w:vAlign w:val="bottom"/>
          </w:tcPr>
          <w:p>
            <w:pPr>
              <w:spacing w:after="0"/>
              <w:rPr>
                <w:sz w:val="1"/>
                <w:szCs w:val="1"/>
                <w:color w:val="auto"/>
              </w:rPr>
            </w:pPr>
          </w:p>
        </w:tc>
      </w:tr>
      <w:tr>
        <w:trPr>
          <w:trHeight w:val="162"/>
        </w:trPr>
        <w:tc>
          <w:tcPr>
            <w:tcW w:w="4220" w:type="dxa"/>
            <w:vAlign w:val="bottom"/>
            <w:gridSpan w:val="2"/>
            <w:shd w:val="clear" w:color="auto" w:fill="CFF0FC"/>
          </w:tcPr>
          <w:p>
            <w:pPr>
              <w:ind w:left="380"/>
              <w:spacing w:after="0"/>
              <w:rPr>
                <w:sz w:val="20"/>
                <w:szCs w:val="20"/>
                <w:color w:val="auto"/>
              </w:rPr>
            </w:pPr>
            <w:r>
              <w:rPr>
                <w:rFonts w:ascii="Arial" w:cs="Arial" w:eastAsia="Arial" w:hAnsi="Arial"/>
                <w:sz w:val="14"/>
                <w:szCs w:val="14"/>
                <w:color w:val="auto"/>
              </w:rPr>
              <w:t>Northstar</w:t>
            </w:r>
          </w:p>
        </w:tc>
        <w:tc>
          <w:tcPr>
            <w:tcW w:w="900" w:type="dxa"/>
            <w:vAlign w:val="bottom"/>
            <w:shd w:val="clear" w:color="auto" w:fill="CFF0FC"/>
          </w:tcPr>
          <w:p>
            <w:pPr>
              <w:jc w:val="center"/>
              <w:spacing w:after="0"/>
              <w:rPr>
                <w:sz w:val="20"/>
                <w:szCs w:val="20"/>
                <w:color w:val="auto"/>
              </w:rPr>
            </w:pPr>
            <w:r>
              <w:rPr>
                <w:rFonts w:ascii="Arial" w:cs="Arial" w:eastAsia="Arial" w:hAnsi="Arial"/>
                <w:sz w:val="14"/>
                <w:szCs w:val="14"/>
                <w:color w:val="auto"/>
                <w:w w:val="83"/>
              </w:rPr>
              <w:t>2015</w:t>
            </w:r>
          </w:p>
        </w:tc>
        <w:tc>
          <w:tcPr>
            <w:tcW w:w="120" w:type="dxa"/>
            <w:vAlign w:val="bottom"/>
            <w:shd w:val="clear" w:color="auto" w:fill="CFF0FC"/>
          </w:tcPr>
          <w:p>
            <w:pPr>
              <w:spacing w:after="0"/>
              <w:rPr>
                <w:sz w:val="14"/>
                <w:szCs w:val="14"/>
                <w:color w:val="auto"/>
              </w:rPr>
            </w:pPr>
          </w:p>
        </w:tc>
        <w:tc>
          <w:tcPr>
            <w:tcW w:w="7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80</w:t>
            </w:r>
          </w:p>
        </w:tc>
        <w:tc>
          <w:tcPr>
            <w:tcW w:w="220" w:type="dxa"/>
            <w:vAlign w:val="bottom"/>
            <w:shd w:val="clear" w:color="auto" w:fill="CFF0FC"/>
          </w:tcPr>
          <w:p>
            <w:pPr>
              <w:spacing w:after="0"/>
              <w:rPr>
                <w:sz w:val="14"/>
                <w:szCs w:val="14"/>
                <w:color w:val="auto"/>
              </w:rPr>
            </w:pPr>
          </w:p>
        </w:tc>
        <w:tc>
          <w:tcPr>
            <w:tcW w:w="860" w:type="dxa"/>
            <w:vAlign w:val="bottom"/>
            <w:shd w:val="clear" w:color="auto" w:fill="CFF0FC"/>
          </w:tcPr>
          <w:p>
            <w:pPr>
              <w:jc w:val="right"/>
              <w:spacing w:after="0"/>
              <w:rPr>
                <w:sz w:val="20"/>
                <w:szCs w:val="20"/>
                <w:color w:val="auto"/>
              </w:rPr>
            </w:pPr>
            <w:r>
              <w:rPr>
                <w:rFonts w:ascii="Arial" w:cs="Arial" w:eastAsia="Arial" w:hAnsi="Arial"/>
                <w:sz w:val="14"/>
                <w:szCs w:val="14"/>
                <w:color w:val="auto"/>
              </w:rPr>
              <w:t>-</w:t>
            </w:r>
          </w:p>
        </w:tc>
        <w:tc>
          <w:tcPr>
            <w:tcW w:w="220" w:type="dxa"/>
            <w:vAlign w:val="bottom"/>
            <w:shd w:val="clear" w:color="auto" w:fill="CFF0FC"/>
          </w:tcPr>
          <w:p>
            <w:pPr>
              <w:spacing w:after="0"/>
              <w:rPr>
                <w:sz w:val="14"/>
                <w:szCs w:val="14"/>
                <w:color w:val="auto"/>
              </w:rPr>
            </w:pPr>
          </w:p>
        </w:tc>
        <w:tc>
          <w:tcPr>
            <w:tcW w:w="7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80</w:t>
            </w:r>
          </w:p>
        </w:tc>
        <w:tc>
          <w:tcPr>
            <w:tcW w:w="220" w:type="dxa"/>
            <w:vAlign w:val="bottom"/>
            <w:shd w:val="clear" w:color="auto" w:fill="CFF0FC"/>
          </w:tcPr>
          <w:p>
            <w:pPr>
              <w:spacing w:after="0"/>
              <w:rPr>
                <w:sz w:val="14"/>
                <w:szCs w:val="14"/>
                <w:color w:val="auto"/>
              </w:rPr>
            </w:pPr>
          </w:p>
        </w:tc>
        <w:tc>
          <w:tcPr>
            <w:tcW w:w="7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w:t>
            </w:r>
          </w:p>
        </w:tc>
        <w:tc>
          <w:tcPr>
            <w:tcW w:w="220" w:type="dxa"/>
            <w:vAlign w:val="bottom"/>
            <w:shd w:val="clear" w:color="auto" w:fill="CFF0FC"/>
          </w:tcPr>
          <w:p>
            <w:pPr>
              <w:spacing w:after="0"/>
              <w:rPr>
                <w:sz w:val="14"/>
                <w:szCs w:val="14"/>
                <w:color w:val="auto"/>
              </w:rPr>
            </w:pPr>
          </w:p>
        </w:tc>
        <w:tc>
          <w:tcPr>
            <w:tcW w:w="9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w:t>
            </w:r>
          </w:p>
        </w:tc>
        <w:tc>
          <w:tcPr>
            <w:tcW w:w="620" w:type="dxa"/>
            <w:vAlign w:val="bottom"/>
            <w:gridSpan w:val="2"/>
            <w:shd w:val="clear" w:color="auto" w:fill="CFF0FC"/>
          </w:tcPr>
          <w:p>
            <w:pPr>
              <w:jc w:val="right"/>
              <w:spacing w:after="0"/>
              <w:rPr>
                <w:sz w:val="20"/>
                <w:szCs w:val="20"/>
                <w:color w:val="auto"/>
              </w:rPr>
            </w:pPr>
            <w:r>
              <w:rPr>
                <w:rFonts w:ascii="Arial" w:cs="Arial" w:eastAsia="Arial" w:hAnsi="Arial"/>
                <w:sz w:val="14"/>
                <w:szCs w:val="14"/>
                <w:color w:val="auto"/>
              </w:rPr>
              <w:t>$270</w:t>
            </w:r>
          </w:p>
        </w:tc>
        <w:tc>
          <w:tcPr>
            <w:tcW w:w="500" w:type="dxa"/>
            <w:vAlign w:val="bottom"/>
            <w:shd w:val="clear" w:color="auto" w:fill="CFF0FC"/>
          </w:tcPr>
          <w:p>
            <w:pPr>
              <w:ind w:left="20"/>
              <w:spacing w:after="0"/>
              <w:rPr>
                <w:sz w:val="20"/>
                <w:szCs w:val="20"/>
                <w:color w:val="auto"/>
              </w:rPr>
            </w:pPr>
            <w:r>
              <w:rPr>
                <w:rFonts w:ascii="Arial" w:cs="Arial" w:eastAsia="Arial" w:hAnsi="Arial"/>
                <w:sz w:val="14"/>
                <w:szCs w:val="14"/>
                <w:color w:val="auto"/>
              </w:rPr>
              <w:t>- $310</w:t>
            </w:r>
          </w:p>
        </w:tc>
        <w:tc>
          <w:tcPr>
            <w:tcW w:w="0" w:type="dxa"/>
            <w:vAlign w:val="bottom"/>
          </w:tcPr>
          <w:p>
            <w:pPr>
              <w:spacing w:after="0"/>
              <w:rPr>
                <w:sz w:val="1"/>
                <w:szCs w:val="1"/>
                <w:color w:val="auto"/>
              </w:rPr>
            </w:pPr>
          </w:p>
        </w:tc>
      </w:tr>
      <w:tr>
        <w:trPr>
          <w:trHeight w:val="162"/>
        </w:trPr>
        <w:tc>
          <w:tcPr>
            <w:tcW w:w="4220" w:type="dxa"/>
            <w:vAlign w:val="bottom"/>
            <w:gridSpan w:val="2"/>
          </w:tcPr>
          <w:p>
            <w:pPr>
              <w:ind w:left="380"/>
              <w:spacing w:after="0"/>
              <w:rPr>
                <w:sz w:val="20"/>
                <w:szCs w:val="20"/>
                <w:color w:val="auto"/>
              </w:rPr>
            </w:pPr>
            <w:r>
              <w:rPr>
                <w:rFonts w:ascii="Arial" w:cs="Arial" w:eastAsia="Arial" w:hAnsi="Arial"/>
                <w:sz w:val="14"/>
                <w:szCs w:val="14"/>
                <w:color w:val="auto"/>
              </w:rPr>
              <w:t>Skycrest</w:t>
            </w:r>
          </w:p>
        </w:tc>
        <w:tc>
          <w:tcPr>
            <w:tcW w:w="900" w:type="dxa"/>
            <w:vAlign w:val="bottom"/>
          </w:tcPr>
          <w:p>
            <w:pPr>
              <w:jc w:val="center"/>
              <w:spacing w:after="0"/>
              <w:rPr>
                <w:sz w:val="20"/>
                <w:szCs w:val="20"/>
                <w:color w:val="auto"/>
              </w:rPr>
            </w:pPr>
            <w:r>
              <w:rPr>
                <w:rFonts w:ascii="Arial" w:cs="Arial" w:eastAsia="Arial" w:hAnsi="Arial"/>
                <w:sz w:val="14"/>
                <w:szCs w:val="14"/>
                <w:color w:val="auto"/>
                <w:w w:val="83"/>
              </w:rPr>
              <w:t>2015</w:t>
            </w:r>
          </w:p>
        </w:tc>
        <w:tc>
          <w:tcPr>
            <w:tcW w:w="120" w:type="dxa"/>
            <w:vAlign w:val="bottom"/>
          </w:tcPr>
          <w:p>
            <w:pPr>
              <w:spacing w:after="0"/>
              <w:rPr>
                <w:sz w:val="14"/>
                <w:szCs w:val="14"/>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82</w:t>
            </w:r>
          </w:p>
        </w:tc>
        <w:tc>
          <w:tcPr>
            <w:tcW w:w="220" w:type="dxa"/>
            <w:vAlign w:val="bottom"/>
          </w:tcPr>
          <w:p>
            <w:pPr>
              <w:spacing w:after="0"/>
              <w:rPr>
                <w:sz w:val="14"/>
                <w:szCs w:val="14"/>
                <w:color w:val="auto"/>
              </w:rPr>
            </w:pPr>
          </w:p>
        </w:tc>
        <w:tc>
          <w:tcPr>
            <w:tcW w:w="860" w:type="dxa"/>
            <w:vAlign w:val="bottom"/>
          </w:tcPr>
          <w:p>
            <w:pPr>
              <w:jc w:val="right"/>
              <w:spacing w:after="0"/>
              <w:rPr>
                <w:sz w:val="20"/>
                <w:szCs w:val="20"/>
                <w:color w:val="auto"/>
              </w:rPr>
            </w:pPr>
            <w:r>
              <w:rPr>
                <w:rFonts w:ascii="Arial" w:cs="Arial" w:eastAsia="Arial" w:hAnsi="Arial"/>
                <w:sz w:val="14"/>
                <w:szCs w:val="14"/>
                <w:color w:val="auto"/>
              </w:rPr>
              <w:t>-</w:t>
            </w:r>
          </w:p>
        </w:tc>
        <w:tc>
          <w:tcPr>
            <w:tcW w:w="220" w:type="dxa"/>
            <w:vAlign w:val="bottom"/>
          </w:tcPr>
          <w:p>
            <w:pPr>
              <w:spacing w:after="0"/>
              <w:rPr>
                <w:sz w:val="14"/>
                <w:szCs w:val="14"/>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82</w:t>
            </w:r>
          </w:p>
        </w:tc>
        <w:tc>
          <w:tcPr>
            <w:tcW w:w="220" w:type="dxa"/>
            <w:vAlign w:val="bottom"/>
          </w:tcPr>
          <w:p>
            <w:pPr>
              <w:spacing w:after="0"/>
              <w:rPr>
                <w:sz w:val="14"/>
                <w:szCs w:val="14"/>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w:t>
            </w:r>
          </w:p>
        </w:tc>
        <w:tc>
          <w:tcPr>
            <w:tcW w:w="220" w:type="dxa"/>
            <w:vAlign w:val="bottom"/>
          </w:tcPr>
          <w:p>
            <w:pPr>
              <w:spacing w:after="0"/>
              <w:rPr>
                <w:sz w:val="14"/>
                <w:szCs w:val="14"/>
                <w:color w:val="auto"/>
              </w:rPr>
            </w:pPr>
          </w:p>
        </w:tc>
        <w:tc>
          <w:tcPr>
            <w:tcW w:w="980" w:type="dxa"/>
            <w:vAlign w:val="bottom"/>
          </w:tcPr>
          <w:p>
            <w:pPr>
              <w:jc w:val="right"/>
              <w:spacing w:after="0"/>
              <w:rPr>
                <w:sz w:val="20"/>
                <w:szCs w:val="20"/>
                <w:color w:val="auto"/>
              </w:rPr>
            </w:pPr>
            <w:r>
              <w:rPr>
                <w:rFonts w:ascii="Arial" w:cs="Arial" w:eastAsia="Arial" w:hAnsi="Arial"/>
                <w:sz w:val="14"/>
                <w:szCs w:val="14"/>
                <w:color w:val="auto"/>
              </w:rPr>
              <w:t>-</w:t>
            </w:r>
          </w:p>
        </w:tc>
        <w:tc>
          <w:tcPr>
            <w:tcW w:w="1120" w:type="dxa"/>
            <w:vAlign w:val="bottom"/>
            <w:gridSpan w:val="3"/>
          </w:tcPr>
          <w:p>
            <w:pPr>
              <w:jc w:val="center"/>
              <w:ind w:left="133"/>
              <w:spacing w:after="0"/>
              <w:rPr>
                <w:sz w:val="20"/>
                <w:szCs w:val="20"/>
                <w:color w:val="auto"/>
              </w:rPr>
            </w:pPr>
            <w:r>
              <w:rPr>
                <w:rFonts w:ascii="Arial" w:cs="Arial" w:eastAsia="Arial" w:hAnsi="Arial"/>
                <w:sz w:val="14"/>
                <w:szCs w:val="14"/>
                <w:color w:val="auto"/>
                <w:w w:val="85"/>
              </w:rPr>
              <w:t>$311 - $350</w:t>
            </w:r>
          </w:p>
        </w:tc>
        <w:tc>
          <w:tcPr>
            <w:tcW w:w="0" w:type="dxa"/>
            <w:vAlign w:val="bottom"/>
          </w:tcPr>
          <w:p>
            <w:pPr>
              <w:spacing w:after="0"/>
              <w:rPr>
                <w:sz w:val="1"/>
                <w:szCs w:val="1"/>
                <w:color w:val="auto"/>
              </w:rPr>
            </w:pPr>
          </w:p>
        </w:tc>
      </w:tr>
      <w:tr>
        <w:trPr>
          <w:trHeight w:val="162"/>
        </w:trPr>
        <w:tc>
          <w:tcPr>
            <w:tcW w:w="4220" w:type="dxa"/>
            <w:vAlign w:val="bottom"/>
            <w:gridSpan w:val="2"/>
            <w:shd w:val="clear" w:color="auto" w:fill="CFF0FC"/>
          </w:tcPr>
          <w:p>
            <w:pPr>
              <w:ind w:left="380"/>
              <w:spacing w:after="0"/>
              <w:rPr>
                <w:sz w:val="20"/>
                <w:szCs w:val="20"/>
                <w:color w:val="auto"/>
              </w:rPr>
            </w:pPr>
            <w:r>
              <w:rPr>
                <w:rFonts w:ascii="Arial" w:cs="Arial" w:eastAsia="Arial" w:hAnsi="Arial"/>
                <w:sz w:val="14"/>
                <w:szCs w:val="14"/>
                <w:color w:val="auto"/>
              </w:rPr>
              <w:t>Sundance Future</w:t>
            </w:r>
          </w:p>
        </w:tc>
        <w:tc>
          <w:tcPr>
            <w:tcW w:w="1020" w:type="dxa"/>
            <w:vAlign w:val="bottom"/>
            <w:gridSpan w:val="2"/>
            <w:shd w:val="clear" w:color="auto" w:fill="CFF0FC"/>
          </w:tcPr>
          <w:p>
            <w:pPr>
              <w:jc w:val="center"/>
              <w:ind w:right="120"/>
              <w:spacing w:after="0"/>
              <w:rPr>
                <w:sz w:val="20"/>
                <w:szCs w:val="20"/>
                <w:color w:val="auto"/>
              </w:rPr>
            </w:pPr>
            <w:r>
              <w:rPr>
                <w:rFonts w:ascii="Arial" w:cs="Arial" w:eastAsia="Arial" w:hAnsi="Arial"/>
                <w:sz w:val="14"/>
                <w:szCs w:val="14"/>
                <w:color w:val="auto"/>
                <w:w w:val="92"/>
              </w:rPr>
              <w:t>TBD</w:t>
            </w:r>
          </w:p>
        </w:tc>
        <w:tc>
          <w:tcPr>
            <w:tcW w:w="7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1,689</w:t>
            </w:r>
          </w:p>
        </w:tc>
        <w:tc>
          <w:tcPr>
            <w:tcW w:w="220" w:type="dxa"/>
            <w:vAlign w:val="bottom"/>
            <w:shd w:val="clear" w:color="auto" w:fill="CFF0FC"/>
          </w:tcPr>
          <w:p>
            <w:pPr>
              <w:spacing w:after="0"/>
              <w:rPr>
                <w:sz w:val="14"/>
                <w:szCs w:val="14"/>
                <w:color w:val="auto"/>
              </w:rPr>
            </w:pPr>
          </w:p>
        </w:tc>
        <w:tc>
          <w:tcPr>
            <w:tcW w:w="860" w:type="dxa"/>
            <w:vAlign w:val="bottom"/>
            <w:shd w:val="clear" w:color="auto" w:fill="CFF0FC"/>
          </w:tcPr>
          <w:p>
            <w:pPr>
              <w:jc w:val="right"/>
              <w:spacing w:after="0"/>
              <w:rPr>
                <w:sz w:val="20"/>
                <w:szCs w:val="20"/>
                <w:color w:val="auto"/>
              </w:rPr>
            </w:pPr>
            <w:r>
              <w:rPr>
                <w:rFonts w:ascii="Arial" w:cs="Arial" w:eastAsia="Arial" w:hAnsi="Arial"/>
                <w:sz w:val="14"/>
                <w:szCs w:val="14"/>
                <w:color w:val="auto"/>
              </w:rPr>
              <w:t>-</w:t>
            </w:r>
          </w:p>
        </w:tc>
        <w:tc>
          <w:tcPr>
            <w:tcW w:w="220" w:type="dxa"/>
            <w:vAlign w:val="bottom"/>
            <w:shd w:val="clear" w:color="auto" w:fill="CFF0FC"/>
          </w:tcPr>
          <w:p>
            <w:pPr>
              <w:spacing w:after="0"/>
              <w:rPr>
                <w:sz w:val="14"/>
                <w:szCs w:val="14"/>
                <w:color w:val="auto"/>
              </w:rPr>
            </w:pPr>
          </w:p>
        </w:tc>
        <w:tc>
          <w:tcPr>
            <w:tcW w:w="7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1,689</w:t>
            </w:r>
          </w:p>
        </w:tc>
        <w:tc>
          <w:tcPr>
            <w:tcW w:w="220" w:type="dxa"/>
            <w:vAlign w:val="bottom"/>
            <w:shd w:val="clear" w:color="auto" w:fill="CFF0FC"/>
          </w:tcPr>
          <w:p>
            <w:pPr>
              <w:spacing w:after="0"/>
              <w:rPr>
                <w:sz w:val="14"/>
                <w:szCs w:val="14"/>
                <w:color w:val="auto"/>
              </w:rPr>
            </w:pPr>
          </w:p>
        </w:tc>
        <w:tc>
          <w:tcPr>
            <w:tcW w:w="7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w:t>
            </w:r>
          </w:p>
        </w:tc>
        <w:tc>
          <w:tcPr>
            <w:tcW w:w="220" w:type="dxa"/>
            <w:vAlign w:val="bottom"/>
            <w:shd w:val="clear" w:color="auto" w:fill="CFF0FC"/>
          </w:tcPr>
          <w:p>
            <w:pPr>
              <w:spacing w:after="0"/>
              <w:rPr>
                <w:sz w:val="14"/>
                <w:szCs w:val="14"/>
                <w:color w:val="auto"/>
              </w:rPr>
            </w:pPr>
          </w:p>
        </w:tc>
        <w:tc>
          <w:tcPr>
            <w:tcW w:w="9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w:t>
            </w:r>
          </w:p>
        </w:tc>
        <w:tc>
          <w:tcPr>
            <w:tcW w:w="220" w:type="dxa"/>
            <w:vAlign w:val="bottom"/>
            <w:shd w:val="clear" w:color="auto" w:fill="CFF0FC"/>
          </w:tcPr>
          <w:p>
            <w:pPr>
              <w:spacing w:after="0"/>
              <w:rPr>
                <w:sz w:val="14"/>
                <w:szCs w:val="14"/>
                <w:color w:val="auto"/>
              </w:rPr>
            </w:pPr>
          </w:p>
        </w:tc>
        <w:tc>
          <w:tcPr>
            <w:tcW w:w="900" w:type="dxa"/>
            <w:vAlign w:val="bottom"/>
            <w:gridSpan w:val="2"/>
            <w:shd w:val="clear" w:color="auto" w:fill="CFF0FC"/>
          </w:tcPr>
          <w:p>
            <w:pPr>
              <w:jc w:val="center"/>
              <w:spacing w:after="0"/>
              <w:rPr>
                <w:sz w:val="20"/>
                <w:szCs w:val="20"/>
                <w:color w:val="auto"/>
              </w:rPr>
            </w:pPr>
            <w:r>
              <w:rPr>
                <w:rFonts w:ascii="Arial" w:cs="Arial" w:eastAsia="Arial" w:hAnsi="Arial"/>
                <w:sz w:val="14"/>
                <w:szCs w:val="14"/>
                <w:color w:val="auto"/>
                <w:w w:val="99"/>
              </w:rPr>
              <w:t>TBD</w:t>
            </w:r>
          </w:p>
        </w:tc>
        <w:tc>
          <w:tcPr>
            <w:tcW w:w="0" w:type="dxa"/>
            <w:vAlign w:val="bottom"/>
          </w:tcPr>
          <w:p>
            <w:pPr>
              <w:spacing w:after="0"/>
              <w:rPr>
                <w:sz w:val="1"/>
                <w:szCs w:val="1"/>
                <w:color w:val="auto"/>
              </w:rPr>
            </w:pPr>
          </w:p>
        </w:tc>
      </w:tr>
      <w:tr>
        <w:trPr>
          <w:trHeight w:val="162"/>
        </w:trPr>
        <w:tc>
          <w:tcPr>
            <w:tcW w:w="4220" w:type="dxa"/>
            <w:vAlign w:val="bottom"/>
            <w:gridSpan w:val="2"/>
          </w:tcPr>
          <w:p>
            <w:pPr>
              <w:ind w:left="380"/>
              <w:spacing w:after="0"/>
              <w:rPr>
                <w:sz w:val="20"/>
                <w:szCs w:val="20"/>
                <w:color w:val="auto"/>
              </w:rPr>
            </w:pPr>
            <w:r>
              <w:rPr>
                <w:rFonts w:ascii="Arial" w:cs="Arial" w:eastAsia="Arial" w:hAnsi="Arial"/>
                <w:sz w:val="14"/>
                <w:szCs w:val="14"/>
                <w:color w:val="auto"/>
              </w:rPr>
              <w:t>Banning</w:t>
            </w:r>
          </w:p>
        </w:tc>
        <w:tc>
          <w:tcPr>
            <w:tcW w:w="1020" w:type="dxa"/>
            <w:vAlign w:val="bottom"/>
            <w:gridSpan w:val="2"/>
          </w:tcPr>
          <w:p>
            <w:pPr>
              <w:jc w:val="center"/>
              <w:ind w:right="120"/>
              <w:spacing w:after="0"/>
              <w:rPr>
                <w:sz w:val="20"/>
                <w:szCs w:val="20"/>
                <w:color w:val="auto"/>
              </w:rPr>
            </w:pPr>
            <w:r>
              <w:rPr>
                <w:rFonts w:ascii="Arial" w:cs="Arial" w:eastAsia="Arial" w:hAnsi="Arial"/>
                <w:sz w:val="14"/>
                <w:szCs w:val="14"/>
                <w:color w:val="auto"/>
                <w:w w:val="92"/>
              </w:rPr>
              <w:t>TBD</w:t>
            </w:r>
          </w:p>
        </w:tc>
        <w:tc>
          <w:tcPr>
            <w:tcW w:w="780" w:type="dxa"/>
            <w:vAlign w:val="bottom"/>
          </w:tcPr>
          <w:p>
            <w:pPr>
              <w:jc w:val="right"/>
              <w:spacing w:after="0"/>
              <w:rPr>
                <w:sz w:val="20"/>
                <w:szCs w:val="20"/>
                <w:color w:val="auto"/>
              </w:rPr>
            </w:pPr>
            <w:r>
              <w:rPr>
                <w:rFonts w:ascii="Arial" w:cs="Arial" w:eastAsia="Arial" w:hAnsi="Arial"/>
                <w:sz w:val="14"/>
                <w:szCs w:val="14"/>
                <w:color w:val="auto"/>
              </w:rPr>
              <w:t>4,318</w:t>
            </w:r>
          </w:p>
        </w:tc>
        <w:tc>
          <w:tcPr>
            <w:tcW w:w="220" w:type="dxa"/>
            <w:vAlign w:val="bottom"/>
          </w:tcPr>
          <w:p>
            <w:pPr>
              <w:spacing w:after="0"/>
              <w:rPr>
                <w:sz w:val="14"/>
                <w:szCs w:val="14"/>
                <w:color w:val="auto"/>
              </w:rPr>
            </w:pPr>
          </w:p>
        </w:tc>
        <w:tc>
          <w:tcPr>
            <w:tcW w:w="860" w:type="dxa"/>
            <w:vAlign w:val="bottom"/>
          </w:tcPr>
          <w:p>
            <w:pPr>
              <w:jc w:val="right"/>
              <w:spacing w:after="0"/>
              <w:rPr>
                <w:sz w:val="20"/>
                <w:szCs w:val="20"/>
                <w:color w:val="auto"/>
              </w:rPr>
            </w:pPr>
            <w:r>
              <w:rPr>
                <w:rFonts w:ascii="Arial" w:cs="Arial" w:eastAsia="Arial" w:hAnsi="Arial"/>
                <w:sz w:val="14"/>
                <w:szCs w:val="14"/>
                <w:color w:val="auto"/>
              </w:rPr>
              <w:t>-</w:t>
            </w:r>
          </w:p>
        </w:tc>
        <w:tc>
          <w:tcPr>
            <w:tcW w:w="220" w:type="dxa"/>
            <w:vAlign w:val="bottom"/>
          </w:tcPr>
          <w:p>
            <w:pPr>
              <w:spacing w:after="0"/>
              <w:rPr>
                <w:sz w:val="14"/>
                <w:szCs w:val="14"/>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4,318</w:t>
            </w:r>
          </w:p>
        </w:tc>
        <w:tc>
          <w:tcPr>
            <w:tcW w:w="220" w:type="dxa"/>
            <w:vAlign w:val="bottom"/>
          </w:tcPr>
          <w:p>
            <w:pPr>
              <w:spacing w:after="0"/>
              <w:rPr>
                <w:sz w:val="14"/>
                <w:szCs w:val="14"/>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w:t>
            </w:r>
          </w:p>
        </w:tc>
        <w:tc>
          <w:tcPr>
            <w:tcW w:w="220" w:type="dxa"/>
            <w:vAlign w:val="bottom"/>
          </w:tcPr>
          <w:p>
            <w:pPr>
              <w:spacing w:after="0"/>
              <w:rPr>
                <w:sz w:val="14"/>
                <w:szCs w:val="14"/>
                <w:color w:val="auto"/>
              </w:rPr>
            </w:pPr>
          </w:p>
        </w:tc>
        <w:tc>
          <w:tcPr>
            <w:tcW w:w="980" w:type="dxa"/>
            <w:vAlign w:val="bottom"/>
          </w:tcPr>
          <w:p>
            <w:pPr>
              <w:jc w:val="right"/>
              <w:spacing w:after="0"/>
              <w:rPr>
                <w:sz w:val="20"/>
                <w:szCs w:val="20"/>
                <w:color w:val="auto"/>
              </w:rPr>
            </w:pPr>
            <w:r>
              <w:rPr>
                <w:rFonts w:ascii="Arial" w:cs="Arial" w:eastAsia="Arial" w:hAnsi="Arial"/>
                <w:sz w:val="14"/>
                <w:szCs w:val="14"/>
                <w:color w:val="auto"/>
              </w:rPr>
              <w:t>-</w:t>
            </w:r>
          </w:p>
        </w:tc>
        <w:tc>
          <w:tcPr>
            <w:tcW w:w="620" w:type="dxa"/>
            <w:vAlign w:val="bottom"/>
            <w:gridSpan w:val="2"/>
          </w:tcPr>
          <w:p>
            <w:pPr>
              <w:jc w:val="right"/>
              <w:spacing w:after="0"/>
              <w:rPr>
                <w:sz w:val="20"/>
                <w:szCs w:val="20"/>
                <w:color w:val="auto"/>
              </w:rPr>
            </w:pPr>
            <w:r>
              <w:rPr>
                <w:rFonts w:ascii="Arial" w:cs="Arial" w:eastAsia="Arial" w:hAnsi="Arial"/>
                <w:sz w:val="14"/>
                <w:szCs w:val="14"/>
                <w:color w:val="auto"/>
              </w:rPr>
              <w:t>$167</w:t>
            </w:r>
          </w:p>
        </w:tc>
        <w:tc>
          <w:tcPr>
            <w:tcW w:w="500" w:type="dxa"/>
            <w:vAlign w:val="bottom"/>
          </w:tcPr>
          <w:p>
            <w:pPr>
              <w:ind w:left="20"/>
              <w:spacing w:after="0"/>
              <w:rPr>
                <w:sz w:val="20"/>
                <w:szCs w:val="20"/>
                <w:color w:val="auto"/>
              </w:rPr>
            </w:pPr>
            <w:r>
              <w:rPr>
                <w:rFonts w:ascii="Arial" w:cs="Arial" w:eastAsia="Arial" w:hAnsi="Arial"/>
                <w:sz w:val="14"/>
                <w:szCs w:val="14"/>
                <w:color w:val="auto"/>
              </w:rPr>
              <w:t>- $250</w:t>
            </w:r>
          </w:p>
        </w:tc>
        <w:tc>
          <w:tcPr>
            <w:tcW w:w="0" w:type="dxa"/>
            <w:vAlign w:val="bottom"/>
          </w:tcPr>
          <w:p>
            <w:pPr>
              <w:spacing w:after="0"/>
              <w:rPr>
                <w:sz w:val="1"/>
                <w:szCs w:val="1"/>
                <w:color w:val="auto"/>
              </w:rPr>
            </w:pPr>
          </w:p>
        </w:tc>
      </w:tr>
      <w:tr>
        <w:trPr>
          <w:trHeight w:val="162"/>
        </w:trPr>
        <w:tc>
          <w:tcPr>
            <w:tcW w:w="4220" w:type="dxa"/>
            <w:vAlign w:val="bottom"/>
            <w:gridSpan w:val="2"/>
            <w:shd w:val="clear" w:color="auto" w:fill="CFF0FC"/>
          </w:tcPr>
          <w:p>
            <w:pPr>
              <w:spacing w:after="0"/>
              <w:rPr>
                <w:sz w:val="20"/>
                <w:szCs w:val="20"/>
                <w:color w:val="auto"/>
              </w:rPr>
            </w:pPr>
            <w:r>
              <w:rPr>
                <w:rFonts w:ascii="Arial" w:cs="Arial" w:eastAsia="Arial" w:hAnsi="Arial"/>
                <w:sz w:val="14"/>
                <w:szCs w:val="14"/>
                <w:color w:val="auto"/>
              </w:rPr>
              <w:t>Sacramento County:</w:t>
            </w:r>
          </w:p>
        </w:tc>
        <w:tc>
          <w:tcPr>
            <w:tcW w:w="900" w:type="dxa"/>
            <w:vAlign w:val="bottom"/>
            <w:shd w:val="clear" w:color="auto" w:fill="CFF0FC"/>
          </w:tcPr>
          <w:p>
            <w:pPr>
              <w:spacing w:after="0"/>
              <w:rPr>
                <w:sz w:val="14"/>
                <w:szCs w:val="14"/>
                <w:color w:val="auto"/>
              </w:rPr>
            </w:pPr>
          </w:p>
        </w:tc>
        <w:tc>
          <w:tcPr>
            <w:tcW w:w="120" w:type="dxa"/>
            <w:vAlign w:val="bottom"/>
            <w:shd w:val="clear" w:color="auto" w:fill="CFF0FC"/>
          </w:tcPr>
          <w:p>
            <w:pPr>
              <w:spacing w:after="0"/>
              <w:rPr>
                <w:sz w:val="14"/>
                <w:szCs w:val="14"/>
                <w:color w:val="auto"/>
              </w:rPr>
            </w:pPr>
          </w:p>
        </w:tc>
        <w:tc>
          <w:tcPr>
            <w:tcW w:w="780" w:type="dxa"/>
            <w:vAlign w:val="bottom"/>
            <w:shd w:val="clear" w:color="auto" w:fill="CFF0FC"/>
          </w:tcPr>
          <w:p>
            <w:pPr>
              <w:spacing w:after="0"/>
              <w:rPr>
                <w:sz w:val="14"/>
                <w:szCs w:val="14"/>
                <w:color w:val="auto"/>
              </w:rPr>
            </w:pPr>
          </w:p>
        </w:tc>
        <w:tc>
          <w:tcPr>
            <w:tcW w:w="220" w:type="dxa"/>
            <w:vAlign w:val="bottom"/>
            <w:shd w:val="clear" w:color="auto" w:fill="CFF0FC"/>
          </w:tcPr>
          <w:p>
            <w:pPr>
              <w:spacing w:after="0"/>
              <w:rPr>
                <w:sz w:val="14"/>
                <w:szCs w:val="14"/>
                <w:color w:val="auto"/>
              </w:rPr>
            </w:pPr>
          </w:p>
        </w:tc>
        <w:tc>
          <w:tcPr>
            <w:tcW w:w="860" w:type="dxa"/>
            <w:vAlign w:val="bottom"/>
            <w:shd w:val="clear" w:color="auto" w:fill="CFF0FC"/>
          </w:tcPr>
          <w:p>
            <w:pPr>
              <w:spacing w:after="0"/>
              <w:rPr>
                <w:sz w:val="14"/>
                <w:szCs w:val="14"/>
                <w:color w:val="auto"/>
              </w:rPr>
            </w:pPr>
          </w:p>
        </w:tc>
        <w:tc>
          <w:tcPr>
            <w:tcW w:w="220" w:type="dxa"/>
            <w:vAlign w:val="bottom"/>
            <w:shd w:val="clear" w:color="auto" w:fill="CFF0FC"/>
          </w:tcPr>
          <w:p>
            <w:pPr>
              <w:spacing w:after="0"/>
              <w:rPr>
                <w:sz w:val="14"/>
                <w:szCs w:val="14"/>
                <w:color w:val="auto"/>
              </w:rPr>
            </w:pPr>
          </w:p>
        </w:tc>
        <w:tc>
          <w:tcPr>
            <w:tcW w:w="780" w:type="dxa"/>
            <w:vAlign w:val="bottom"/>
            <w:shd w:val="clear" w:color="auto" w:fill="CFF0FC"/>
          </w:tcPr>
          <w:p>
            <w:pPr>
              <w:spacing w:after="0"/>
              <w:rPr>
                <w:sz w:val="14"/>
                <w:szCs w:val="14"/>
                <w:color w:val="auto"/>
              </w:rPr>
            </w:pPr>
          </w:p>
        </w:tc>
        <w:tc>
          <w:tcPr>
            <w:tcW w:w="220" w:type="dxa"/>
            <w:vAlign w:val="bottom"/>
            <w:shd w:val="clear" w:color="auto" w:fill="CFF0FC"/>
          </w:tcPr>
          <w:p>
            <w:pPr>
              <w:spacing w:after="0"/>
              <w:rPr>
                <w:sz w:val="14"/>
                <w:szCs w:val="14"/>
                <w:color w:val="auto"/>
              </w:rPr>
            </w:pPr>
          </w:p>
        </w:tc>
        <w:tc>
          <w:tcPr>
            <w:tcW w:w="780" w:type="dxa"/>
            <w:vAlign w:val="bottom"/>
            <w:shd w:val="clear" w:color="auto" w:fill="CFF0FC"/>
          </w:tcPr>
          <w:p>
            <w:pPr>
              <w:spacing w:after="0"/>
              <w:rPr>
                <w:sz w:val="14"/>
                <w:szCs w:val="14"/>
                <w:color w:val="auto"/>
              </w:rPr>
            </w:pPr>
          </w:p>
        </w:tc>
        <w:tc>
          <w:tcPr>
            <w:tcW w:w="220" w:type="dxa"/>
            <w:vAlign w:val="bottom"/>
            <w:shd w:val="clear" w:color="auto" w:fill="CFF0FC"/>
          </w:tcPr>
          <w:p>
            <w:pPr>
              <w:spacing w:after="0"/>
              <w:rPr>
                <w:sz w:val="14"/>
                <w:szCs w:val="14"/>
                <w:color w:val="auto"/>
              </w:rPr>
            </w:pPr>
          </w:p>
        </w:tc>
        <w:tc>
          <w:tcPr>
            <w:tcW w:w="980" w:type="dxa"/>
            <w:vAlign w:val="bottom"/>
            <w:shd w:val="clear" w:color="auto" w:fill="CFF0FC"/>
          </w:tcPr>
          <w:p>
            <w:pPr>
              <w:spacing w:after="0"/>
              <w:rPr>
                <w:sz w:val="14"/>
                <w:szCs w:val="14"/>
                <w:color w:val="auto"/>
              </w:rPr>
            </w:pPr>
          </w:p>
        </w:tc>
        <w:tc>
          <w:tcPr>
            <w:tcW w:w="220" w:type="dxa"/>
            <w:vAlign w:val="bottom"/>
            <w:shd w:val="clear" w:color="auto" w:fill="CFF0FC"/>
          </w:tcPr>
          <w:p>
            <w:pPr>
              <w:spacing w:after="0"/>
              <w:rPr>
                <w:sz w:val="14"/>
                <w:szCs w:val="14"/>
                <w:color w:val="auto"/>
              </w:rPr>
            </w:pPr>
          </w:p>
        </w:tc>
        <w:tc>
          <w:tcPr>
            <w:tcW w:w="400" w:type="dxa"/>
            <w:vAlign w:val="bottom"/>
            <w:shd w:val="clear" w:color="auto" w:fill="CFF0FC"/>
          </w:tcPr>
          <w:p>
            <w:pPr>
              <w:spacing w:after="0"/>
              <w:rPr>
                <w:sz w:val="14"/>
                <w:szCs w:val="14"/>
                <w:color w:val="auto"/>
              </w:rPr>
            </w:pPr>
          </w:p>
        </w:tc>
        <w:tc>
          <w:tcPr>
            <w:tcW w:w="500" w:type="dxa"/>
            <w:vAlign w:val="bottom"/>
            <w:shd w:val="clear" w:color="auto" w:fill="CFF0FC"/>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4220" w:type="dxa"/>
            <w:vAlign w:val="bottom"/>
            <w:gridSpan w:val="2"/>
          </w:tcPr>
          <w:p>
            <w:pPr>
              <w:ind w:left="380"/>
              <w:spacing w:after="0"/>
              <w:rPr>
                <w:sz w:val="20"/>
                <w:szCs w:val="20"/>
                <w:color w:val="auto"/>
              </w:rPr>
            </w:pPr>
            <w:r>
              <w:rPr>
                <w:rFonts w:ascii="Arial" w:cs="Arial" w:eastAsia="Arial" w:hAnsi="Arial"/>
                <w:sz w:val="14"/>
                <w:szCs w:val="14"/>
                <w:color w:val="auto"/>
              </w:rPr>
              <w:t>Natomas</w:t>
            </w:r>
          </w:p>
        </w:tc>
        <w:tc>
          <w:tcPr>
            <w:tcW w:w="1020" w:type="dxa"/>
            <w:vAlign w:val="bottom"/>
            <w:gridSpan w:val="2"/>
          </w:tcPr>
          <w:p>
            <w:pPr>
              <w:jc w:val="center"/>
              <w:ind w:right="120"/>
              <w:spacing w:after="0"/>
              <w:rPr>
                <w:sz w:val="20"/>
                <w:szCs w:val="20"/>
                <w:color w:val="auto"/>
              </w:rPr>
            </w:pPr>
            <w:r>
              <w:rPr>
                <w:rFonts w:ascii="Arial" w:cs="Arial" w:eastAsia="Arial" w:hAnsi="Arial"/>
                <w:sz w:val="14"/>
                <w:szCs w:val="14"/>
                <w:color w:val="auto"/>
                <w:w w:val="92"/>
              </w:rPr>
              <w:t>TBD</w:t>
            </w:r>
          </w:p>
        </w:tc>
        <w:tc>
          <w:tcPr>
            <w:tcW w:w="780" w:type="dxa"/>
            <w:vAlign w:val="bottom"/>
          </w:tcPr>
          <w:p>
            <w:pPr>
              <w:jc w:val="right"/>
              <w:spacing w:after="0"/>
              <w:rPr>
                <w:sz w:val="20"/>
                <w:szCs w:val="20"/>
                <w:color w:val="auto"/>
              </w:rPr>
            </w:pPr>
            <w:r>
              <w:rPr>
                <w:rFonts w:ascii="Arial" w:cs="Arial" w:eastAsia="Arial" w:hAnsi="Arial"/>
                <w:sz w:val="14"/>
                <w:szCs w:val="14"/>
                <w:color w:val="auto"/>
              </w:rPr>
              <w:t>120</w:t>
            </w:r>
          </w:p>
        </w:tc>
        <w:tc>
          <w:tcPr>
            <w:tcW w:w="220" w:type="dxa"/>
            <w:vAlign w:val="bottom"/>
          </w:tcPr>
          <w:p>
            <w:pPr>
              <w:spacing w:after="0"/>
              <w:rPr>
                <w:sz w:val="14"/>
                <w:szCs w:val="14"/>
                <w:color w:val="auto"/>
              </w:rPr>
            </w:pPr>
          </w:p>
        </w:tc>
        <w:tc>
          <w:tcPr>
            <w:tcW w:w="860" w:type="dxa"/>
            <w:vAlign w:val="bottom"/>
          </w:tcPr>
          <w:p>
            <w:pPr>
              <w:jc w:val="right"/>
              <w:spacing w:after="0"/>
              <w:rPr>
                <w:sz w:val="20"/>
                <w:szCs w:val="20"/>
                <w:color w:val="auto"/>
              </w:rPr>
            </w:pPr>
            <w:r>
              <w:rPr>
                <w:rFonts w:ascii="Arial" w:cs="Arial" w:eastAsia="Arial" w:hAnsi="Arial"/>
                <w:sz w:val="14"/>
                <w:szCs w:val="14"/>
                <w:color w:val="auto"/>
              </w:rPr>
              <w:t>-</w:t>
            </w:r>
          </w:p>
        </w:tc>
        <w:tc>
          <w:tcPr>
            <w:tcW w:w="220" w:type="dxa"/>
            <w:vAlign w:val="bottom"/>
          </w:tcPr>
          <w:p>
            <w:pPr>
              <w:spacing w:after="0"/>
              <w:rPr>
                <w:sz w:val="14"/>
                <w:szCs w:val="14"/>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120</w:t>
            </w:r>
          </w:p>
        </w:tc>
        <w:tc>
          <w:tcPr>
            <w:tcW w:w="220" w:type="dxa"/>
            <w:vAlign w:val="bottom"/>
          </w:tcPr>
          <w:p>
            <w:pPr>
              <w:spacing w:after="0"/>
              <w:rPr>
                <w:sz w:val="14"/>
                <w:szCs w:val="14"/>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w:t>
            </w:r>
          </w:p>
        </w:tc>
        <w:tc>
          <w:tcPr>
            <w:tcW w:w="220" w:type="dxa"/>
            <w:vAlign w:val="bottom"/>
          </w:tcPr>
          <w:p>
            <w:pPr>
              <w:spacing w:after="0"/>
              <w:rPr>
                <w:sz w:val="14"/>
                <w:szCs w:val="14"/>
                <w:color w:val="auto"/>
              </w:rPr>
            </w:pPr>
          </w:p>
        </w:tc>
        <w:tc>
          <w:tcPr>
            <w:tcW w:w="980" w:type="dxa"/>
            <w:vAlign w:val="bottom"/>
          </w:tcPr>
          <w:p>
            <w:pPr>
              <w:jc w:val="right"/>
              <w:spacing w:after="0"/>
              <w:rPr>
                <w:sz w:val="20"/>
                <w:szCs w:val="20"/>
                <w:color w:val="auto"/>
              </w:rPr>
            </w:pPr>
            <w:r>
              <w:rPr>
                <w:rFonts w:ascii="Arial" w:cs="Arial" w:eastAsia="Arial" w:hAnsi="Arial"/>
                <w:sz w:val="14"/>
                <w:szCs w:val="14"/>
                <w:color w:val="auto"/>
              </w:rPr>
              <w:t>-</w:t>
            </w:r>
          </w:p>
        </w:tc>
        <w:tc>
          <w:tcPr>
            <w:tcW w:w="220" w:type="dxa"/>
            <w:vAlign w:val="bottom"/>
          </w:tcPr>
          <w:p>
            <w:pPr>
              <w:spacing w:after="0"/>
              <w:rPr>
                <w:sz w:val="14"/>
                <w:szCs w:val="14"/>
                <w:color w:val="auto"/>
              </w:rPr>
            </w:pPr>
          </w:p>
        </w:tc>
        <w:tc>
          <w:tcPr>
            <w:tcW w:w="900" w:type="dxa"/>
            <w:vAlign w:val="bottom"/>
            <w:gridSpan w:val="2"/>
          </w:tcPr>
          <w:p>
            <w:pPr>
              <w:jc w:val="center"/>
              <w:spacing w:after="0"/>
              <w:rPr>
                <w:sz w:val="20"/>
                <w:szCs w:val="20"/>
                <w:color w:val="auto"/>
              </w:rPr>
            </w:pPr>
            <w:r>
              <w:rPr>
                <w:rFonts w:ascii="Arial" w:cs="Arial" w:eastAsia="Arial" w:hAnsi="Arial"/>
                <w:sz w:val="14"/>
                <w:szCs w:val="14"/>
                <w:color w:val="auto"/>
                <w:w w:val="99"/>
              </w:rPr>
              <w:t>TBD</w:t>
            </w:r>
          </w:p>
        </w:tc>
        <w:tc>
          <w:tcPr>
            <w:tcW w:w="0" w:type="dxa"/>
            <w:vAlign w:val="bottom"/>
          </w:tcPr>
          <w:p>
            <w:pPr>
              <w:spacing w:after="0"/>
              <w:rPr>
                <w:sz w:val="1"/>
                <w:szCs w:val="1"/>
                <w:color w:val="auto"/>
              </w:rPr>
            </w:pPr>
          </w:p>
        </w:tc>
      </w:tr>
      <w:tr>
        <w:trPr>
          <w:trHeight w:val="162"/>
        </w:trPr>
        <w:tc>
          <w:tcPr>
            <w:tcW w:w="4220" w:type="dxa"/>
            <w:vAlign w:val="bottom"/>
            <w:gridSpan w:val="2"/>
            <w:shd w:val="clear" w:color="auto" w:fill="CFF0FC"/>
          </w:tcPr>
          <w:p>
            <w:pPr>
              <w:spacing w:after="0"/>
              <w:rPr>
                <w:sz w:val="20"/>
                <w:szCs w:val="20"/>
                <w:color w:val="auto"/>
              </w:rPr>
            </w:pPr>
            <w:r>
              <w:rPr>
                <w:rFonts w:ascii="Arial" w:cs="Arial" w:eastAsia="Arial" w:hAnsi="Arial"/>
                <w:sz w:val="14"/>
                <w:szCs w:val="14"/>
                <w:color w:val="auto"/>
              </w:rPr>
              <w:t>San Joaquin County:</w:t>
            </w:r>
          </w:p>
        </w:tc>
        <w:tc>
          <w:tcPr>
            <w:tcW w:w="900" w:type="dxa"/>
            <w:vAlign w:val="bottom"/>
            <w:shd w:val="clear" w:color="auto" w:fill="CFF0FC"/>
          </w:tcPr>
          <w:p>
            <w:pPr>
              <w:spacing w:after="0"/>
              <w:rPr>
                <w:sz w:val="14"/>
                <w:szCs w:val="14"/>
                <w:color w:val="auto"/>
              </w:rPr>
            </w:pPr>
          </w:p>
        </w:tc>
        <w:tc>
          <w:tcPr>
            <w:tcW w:w="120" w:type="dxa"/>
            <w:vAlign w:val="bottom"/>
            <w:shd w:val="clear" w:color="auto" w:fill="CFF0FC"/>
          </w:tcPr>
          <w:p>
            <w:pPr>
              <w:spacing w:after="0"/>
              <w:rPr>
                <w:sz w:val="14"/>
                <w:szCs w:val="14"/>
                <w:color w:val="auto"/>
              </w:rPr>
            </w:pPr>
          </w:p>
        </w:tc>
        <w:tc>
          <w:tcPr>
            <w:tcW w:w="780" w:type="dxa"/>
            <w:vAlign w:val="bottom"/>
            <w:shd w:val="clear" w:color="auto" w:fill="CFF0FC"/>
          </w:tcPr>
          <w:p>
            <w:pPr>
              <w:spacing w:after="0"/>
              <w:rPr>
                <w:sz w:val="14"/>
                <w:szCs w:val="14"/>
                <w:color w:val="auto"/>
              </w:rPr>
            </w:pPr>
          </w:p>
        </w:tc>
        <w:tc>
          <w:tcPr>
            <w:tcW w:w="220" w:type="dxa"/>
            <w:vAlign w:val="bottom"/>
            <w:shd w:val="clear" w:color="auto" w:fill="CFF0FC"/>
          </w:tcPr>
          <w:p>
            <w:pPr>
              <w:spacing w:after="0"/>
              <w:rPr>
                <w:sz w:val="14"/>
                <w:szCs w:val="14"/>
                <w:color w:val="auto"/>
              </w:rPr>
            </w:pPr>
          </w:p>
        </w:tc>
        <w:tc>
          <w:tcPr>
            <w:tcW w:w="860" w:type="dxa"/>
            <w:vAlign w:val="bottom"/>
            <w:shd w:val="clear" w:color="auto" w:fill="CFF0FC"/>
          </w:tcPr>
          <w:p>
            <w:pPr>
              <w:spacing w:after="0"/>
              <w:rPr>
                <w:sz w:val="14"/>
                <w:szCs w:val="14"/>
                <w:color w:val="auto"/>
              </w:rPr>
            </w:pPr>
          </w:p>
        </w:tc>
        <w:tc>
          <w:tcPr>
            <w:tcW w:w="220" w:type="dxa"/>
            <w:vAlign w:val="bottom"/>
            <w:shd w:val="clear" w:color="auto" w:fill="CFF0FC"/>
          </w:tcPr>
          <w:p>
            <w:pPr>
              <w:spacing w:after="0"/>
              <w:rPr>
                <w:sz w:val="14"/>
                <w:szCs w:val="14"/>
                <w:color w:val="auto"/>
              </w:rPr>
            </w:pPr>
          </w:p>
        </w:tc>
        <w:tc>
          <w:tcPr>
            <w:tcW w:w="780" w:type="dxa"/>
            <w:vAlign w:val="bottom"/>
            <w:shd w:val="clear" w:color="auto" w:fill="CFF0FC"/>
          </w:tcPr>
          <w:p>
            <w:pPr>
              <w:spacing w:after="0"/>
              <w:rPr>
                <w:sz w:val="14"/>
                <w:szCs w:val="14"/>
                <w:color w:val="auto"/>
              </w:rPr>
            </w:pPr>
          </w:p>
        </w:tc>
        <w:tc>
          <w:tcPr>
            <w:tcW w:w="220" w:type="dxa"/>
            <w:vAlign w:val="bottom"/>
            <w:shd w:val="clear" w:color="auto" w:fill="CFF0FC"/>
          </w:tcPr>
          <w:p>
            <w:pPr>
              <w:spacing w:after="0"/>
              <w:rPr>
                <w:sz w:val="14"/>
                <w:szCs w:val="14"/>
                <w:color w:val="auto"/>
              </w:rPr>
            </w:pPr>
          </w:p>
        </w:tc>
        <w:tc>
          <w:tcPr>
            <w:tcW w:w="780" w:type="dxa"/>
            <w:vAlign w:val="bottom"/>
            <w:shd w:val="clear" w:color="auto" w:fill="CFF0FC"/>
          </w:tcPr>
          <w:p>
            <w:pPr>
              <w:spacing w:after="0"/>
              <w:rPr>
                <w:sz w:val="14"/>
                <w:szCs w:val="14"/>
                <w:color w:val="auto"/>
              </w:rPr>
            </w:pPr>
          </w:p>
        </w:tc>
        <w:tc>
          <w:tcPr>
            <w:tcW w:w="220" w:type="dxa"/>
            <w:vAlign w:val="bottom"/>
            <w:shd w:val="clear" w:color="auto" w:fill="CFF0FC"/>
          </w:tcPr>
          <w:p>
            <w:pPr>
              <w:spacing w:after="0"/>
              <w:rPr>
                <w:sz w:val="14"/>
                <w:szCs w:val="14"/>
                <w:color w:val="auto"/>
              </w:rPr>
            </w:pPr>
          </w:p>
        </w:tc>
        <w:tc>
          <w:tcPr>
            <w:tcW w:w="980" w:type="dxa"/>
            <w:vAlign w:val="bottom"/>
            <w:shd w:val="clear" w:color="auto" w:fill="CFF0FC"/>
          </w:tcPr>
          <w:p>
            <w:pPr>
              <w:spacing w:after="0"/>
              <w:rPr>
                <w:sz w:val="14"/>
                <w:szCs w:val="14"/>
                <w:color w:val="auto"/>
              </w:rPr>
            </w:pPr>
          </w:p>
        </w:tc>
        <w:tc>
          <w:tcPr>
            <w:tcW w:w="220" w:type="dxa"/>
            <w:vAlign w:val="bottom"/>
            <w:shd w:val="clear" w:color="auto" w:fill="CFF0FC"/>
          </w:tcPr>
          <w:p>
            <w:pPr>
              <w:spacing w:after="0"/>
              <w:rPr>
                <w:sz w:val="14"/>
                <w:szCs w:val="14"/>
                <w:color w:val="auto"/>
              </w:rPr>
            </w:pPr>
          </w:p>
        </w:tc>
        <w:tc>
          <w:tcPr>
            <w:tcW w:w="400" w:type="dxa"/>
            <w:vAlign w:val="bottom"/>
            <w:shd w:val="clear" w:color="auto" w:fill="CFF0FC"/>
          </w:tcPr>
          <w:p>
            <w:pPr>
              <w:spacing w:after="0"/>
              <w:rPr>
                <w:sz w:val="14"/>
                <w:szCs w:val="14"/>
                <w:color w:val="auto"/>
              </w:rPr>
            </w:pPr>
          </w:p>
        </w:tc>
        <w:tc>
          <w:tcPr>
            <w:tcW w:w="500" w:type="dxa"/>
            <w:vAlign w:val="bottom"/>
            <w:shd w:val="clear" w:color="auto" w:fill="CFF0FC"/>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4220" w:type="dxa"/>
            <w:vAlign w:val="bottom"/>
            <w:tcBorders>
              <w:bottom w:val="single" w:sz="8" w:color="CFF0FC"/>
            </w:tcBorders>
            <w:gridSpan w:val="2"/>
          </w:tcPr>
          <w:p>
            <w:pPr>
              <w:ind w:left="380"/>
              <w:spacing w:after="0"/>
              <w:rPr>
                <w:sz w:val="20"/>
                <w:szCs w:val="20"/>
                <w:color w:val="auto"/>
              </w:rPr>
            </w:pPr>
            <w:r>
              <w:rPr>
                <w:rFonts w:ascii="Arial" w:cs="Arial" w:eastAsia="Arial" w:hAnsi="Arial"/>
                <w:sz w:val="14"/>
                <w:szCs w:val="14"/>
                <w:color w:val="auto"/>
              </w:rPr>
              <w:t>Bear Creek</w:t>
            </w:r>
          </w:p>
        </w:tc>
        <w:tc>
          <w:tcPr>
            <w:tcW w:w="1020" w:type="dxa"/>
            <w:vAlign w:val="bottom"/>
            <w:tcBorders>
              <w:bottom w:val="single" w:sz="8" w:color="CFF0FC"/>
            </w:tcBorders>
            <w:gridSpan w:val="2"/>
          </w:tcPr>
          <w:p>
            <w:pPr>
              <w:jc w:val="center"/>
              <w:ind w:right="120"/>
              <w:spacing w:after="0"/>
              <w:rPr>
                <w:sz w:val="20"/>
                <w:szCs w:val="20"/>
                <w:color w:val="auto"/>
              </w:rPr>
            </w:pPr>
            <w:r>
              <w:rPr>
                <w:rFonts w:ascii="Arial" w:cs="Arial" w:eastAsia="Arial" w:hAnsi="Arial"/>
                <w:sz w:val="14"/>
                <w:szCs w:val="14"/>
                <w:color w:val="auto"/>
                <w:w w:val="92"/>
              </w:rPr>
              <w:t>TBD</w:t>
            </w:r>
          </w:p>
        </w:tc>
        <w:tc>
          <w:tcPr>
            <w:tcW w:w="7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1,252</w:t>
            </w:r>
          </w:p>
        </w:tc>
        <w:tc>
          <w:tcPr>
            <w:tcW w:w="220" w:type="dxa"/>
            <w:vAlign w:val="bottom"/>
            <w:tcBorders>
              <w:bottom w:val="single" w:sz="8" w:color="CFF0FC"/>
            </w:tcBorders>
          </w:tcPr>
          <w:p>
            <w:pPr>
              <w:spacing w:after="0"/>
              <w:rPr>
                <w:sz w:val="14"/>
                <w:szCs w:val="14"/>
                <w:color w:val="auto"/>
              </w:rPr>
            </w:pPr>
          </w:p>
        </w:tc>
        <w:tc>
          <w:tcPr>
            <w:tcW w:w="8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220" w:type="dxa"/>
            <w:vAlign w:val="bottom"/>
            <w:tcBorders>
              <w:bottom w:val="single" w:sz="8" w:color="CFF0FC"/>
            </w:tcBorders>
          </w:tcPr>
          <w:p>
            <w:pPr>
              <w:spacing w:after="0"/>
              <w:rPr>
                <w:sz w:val="14"/>
                <w:szCs w:val="14"/>
                <w:color w:val="auto"/>
              </w:rPr>
            </w:pPr>
          </w:p>
        </w:tc>
        <w:tc>
          <w:tcPr>
            <w:tcW w:w="7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1,252</w:t>
            </w:r>
          </w:p>
        </w:tc>
        <w:tc>
          <w:tcPr>
            <w:tcW w:w="220" w:type="dxa"/>
            <w:vAlign w:val="bottom"/>
            <w:tcBorders>
              <w:bottom w:val="single" w:sz="8" w:color="CFF0FC"/>
            </w:tcBorders>
          </w:tcPr>
          <w:p>
            <w:pPr>
              <w:spacing w:after="0"/>
              <w:rPr>
                <w:sz w:val="14"/>
                <w:szCs w:val="14"/>
                <w:color w:val="auto"/>
              </w:rPr>
            </w:pPr>
          </w:p>
        </w:tc>
        <w:tc>
          <w:tcPr>
            <w:tcW w:w="7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220" w:type="dxa"/>
            <w:vAlign w:val="bottom"/>
            <w:tcBorders>
              <w:bottom w:val="single" w:sz="8" w:color="CFF0FC"/>
            </w:tcBorders>
          </w:tcPr>
          <w:p>
            <w:pPr>
              <w:spacing w:after="0"/>
              <w:rPr>
                <w:sz w:val="14"/>
                <w:szCs w:val="14"/>
                <w:color w:val="auto"/>
              </w:rPr>
            </w:pPr>
          </w:p>
        </w:tc>
        <w:tc>
          <w:tcPr>
            <w:tcW w:w="9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220" w:type="dxa"/>
            <w:vAlign w:val="bottom"/>
            <w:tcBorders>
              <w:bottom w:val="single" w:sz="8" w:color="CFF0FC"/>
            </w:tcBorders>
          </w:tcPr>
          <w:p>
            <w:pPr>
              <w:spacing w:after="0"/>
              <w:rPr>
                <w:sz w:val="14"/>
                <w:szCs w:val="14"/>
                <w:color w:val="auto"/>
              </w:rPr>
            </w:pPr>
          </w:p>
        </w:tc>
        <w:tc>
          <w:tcPr>
            <w:tcW w:w="900" w:type="dxa"/>
            <w:vAlign w:val="bottom"/>
            <w:tcBorders>
              <w:bottom w:val="single" w:sz="8" w:color="CFF0FC"/>
            </w:tcBorders>
            <w:gridSpan w:val="2"/>
          </w:tcPr>
          <w:p>
            <w:pPr>
              <w:jc w:val="center"/>
              <w:spacing w:after="0"/>
              <w:rPr>
                <w:sz w:val="20"/>
                <w:szCs w:val="20"/>
                <w:color w:val="auto"/>
              </w:rPr>
            </w:pPr>
            <w:r>
              <w:rPr>
                <w:rFonts w:ascii="Arial" w:cs="Arial" w:eastAsia="Arial" w:hAnsi="Arial"/>
                <w:sz w:val="14"/>
                <w:szCs w:val="14"/>
                <w:color w:val="auto"/>
                <w:w w:val="99"/>
              </w:rPr>
              <w:t>TBD</w:t>
            </w:r>
          </w:p>
        </w:tc>
        <w:tc>
          <w:tcPr>
            <w:tcW w:w="0" w:type="dxa"/>
            <w:vAlign w:val="bottom"/>
          </w:tcPr>
          <w:p>
            <w:pPr>
              <w:spacing w:after="0"/>
              <w:rPr>
                <w:sz w:val="1"/>
                <w:szCs w:val="1"/>
                <w:color w:val="auto"/>
              </w:rPr>
            </w:pPr>
          </w:p>
        </w:tc>
      </w:tr>
      <w:tr>
        <w:trPr>
          <w:trHeight w:val="156"/>
        </w:trPr>
        <w:tc>
          <w:tcPr>
            <w:tcW w:w="4220" w:type="dxa"/>
            <w:vAlign w:val="bottom"/>
            <w:gridSpan w:val="2"/>
            <w:shd w:val="clear" w:color="auto" w:fill="CFF0FC"/>
          </w:tcPr>
          <w:p>
            <w:pPr>
              <w:spacing w:after="0" w:line="155" w:lineRule="exact"/>
              <w:rPr>
                <w:sz w:val="20"/>
                <w:szCs w:val="20"/>
                <w:color w:val="auto"/>
              </w:rPr>
            </w:pPr>
            <w:r>
              <w:rPr>
                <w:rFonts w:ascii="Arial" w:cs="Arial" w:eastAsia="Arial" w:hAnsi="Arial"/>
                <w:sz w:val="14"/>
                <w:szCs w:val="14"/>
                <w:b w:val="1"/>
                <w:bCs w:val="1"/>
                <w:color w:val="auto"/>
              </w:rPr>
              <w:t>California Total</w:t>
            </w:r>
          </w:p>
        </w:tc>
        <w:tc>
          <w:tcPr>
            <w:tcW w:w="900" w:type="dxa"/>
            <w:vAlign w:val="bottom"/>
            <w:shd w:val="clear" w:color="auto" w:fill="CFF0FC"/>
          </w:tcPr>
          <w:p>
            <w:pPr>
              <w:spacing w:after="0"/>
              <w:rPr>
                <w:sz w:val="13"/>
                <w:szCs w:val="13"/>
                <w:color w:val="auto"/>
              </w:rPr>
            </w:pPr>
          </w:p>
        </w:tc>
        <w:tc>
          <w:tcPr>
            <w:tcW w:w="120" w:type="dxa"/>
            <w:vAlign w:val="bottom"/>
            <w:shd w:val="clear" w:color="auto" w:fill="CFF0FC"/>
          </w:tcPr>
          <w:p>
            <w:pPr>
              <w:spacing w:after="0"/>
              <w:rPr>
                <w:sz w:val="13"/>
                <w:szCs w:val="13"/>
                <w:color w:val="auto"/>
              </w:rPr>
            </w:pPr>
          </w:p>
        </w:tc>
        <w:tc>
          <w:tcPr>
            <w:tcW w:w="780" w:type="dxa"/>
            <w:vAlign w:val="bottom"/>
            <w:tcBorders>
              <w:bottom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b w:val="1"/>
                <w:bCs w:val="1"/>
                <w:color w:val="auto"/>
              </w:rPr>
              <w:t>16,916</w:t>
            </w:r>
          </w:p>
        </w:tc>
        <w:tc>
          <w:tcPr>
            <w:tcW w:w="220" w:type="dxa"/>
            <w:vAlign w:val="bottom"/>
            <w:shd w:val="clear" w:color="auto" w:fill="CFF0FC"/>
          </w:tcPr>
          <w:p>
            <w:pPr>
              <w:spacing w:after="0"/>
              <w:rPr>
                <w:sz w:val="13"/>
                <w:szCs w:val="13"/>
                <w:color w:val="auto"/>
              </w:rPr>
            </w:pPr>
          </w:p>
        </w:tc>
        <w:tc>
          <w:tcPr>
            <w:tcW w:w="860" w:type="dxa"/>
            <w:vAlign w:val="bottom"/>
            <w:tcBorders>
              <w:bottom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b w:val="1"/>
                <w:bCs w:val="1"/>
                <w:color w:val="auto"/>
              </w:rPr>
              <w:t>1,386</w:t>
            </w:r>
          </w:p>
        </w:tc>
        <w:tc>
          <w:tcPr>
            <w:tcW w:w="220" w:type="dxa"/>
            <w:vAlign w:val="bottom"/>
            <w:shd w:val="clear" w:color="auto" w:fill="CFF0FC"/>
          </w:tcPr>
          <w:p>
            <w:pPr>
              <w:spacing w:after="0"/>
              <w:rPr>
                <w:sz w:val="13"/>
                <w:szCs w:val="13"/>
                <w:color w:val="auto"/>
              </w:rPr>
            </w:pPr>
          </w:p>
        </w:tc>
        <w:tc>
          <w:tcPr>
            <w:tcW w:w="780" w:type="dxa"/>
            <w:vAlign w:val="bottom"/>
            <w:tcBorders>
              <w:bottom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b w:val="1"/>
                <w:bCs w:val="1"/>
                <w:color w:val="auto"/>
              </w:rPr>
              <w:t>15,530</w:t>
            </w:r>
          </w:p>
        </w:tc>
        <w:tc>
          <w:tcPr>
            <w:tcW w:w="220" w:type="dxa"/>
            <w:vAlign w:val="bottom"/>
            <w:shd w:val="clear" w:color="auto" w:fill="CFF0FC"/>
          </w:tcPr>
          <w:p>
            <w:pPr>
              <w:spacing w:after="0"/>
              <w:rPr>
                <w:sz w:val="13"/>
                <w:szCs w:val="13"/>
                <w:color w:val="auto"/>
              </w:rPr>
            </w:pPr>
          </w:p>
        </w:tc>
        <w:tc>
          <w:tcPr>
            <w:tcW w:w="780" w:type="dxa"/>
            <w:vAlign w:val="bottom"/>
            <w:tcBorders>
              <w:bottom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b w:val="1"/>
                <w:bCs w:val="1"/>
                <w:color w:val="auto"/>
              </w:rPr>
              <w:t>253</w:t>
            </w:r>
          </w:p>
        </w:tc>
        <w:tc>
          <w:tcPr>
            <w:tcW w:w="220" w:type="dxa"/>
            <w:vAlign w:val="bottom"/>
            <w:shd w:val="clear" w:color="auto" w:fill="CFF0FC"/>
          </w:tcPr>
          <w:p>
            <w:pPr>
              <w:spacing w:after="0"/>
              <w:rPr>
                <w:sz w:val="13"/>
                <w:szCs w:val="13"/>
                <w:color w:val="auto"/>
              </w:rPr>
            </w:pPr>
          </w:p>
        </w:tc>
        <w:tc>
          <w:tcPr>
            <w:tcW w:w="980" w:type="dxa"/>
            <w:vAlign w:val="bottom"/>
            <w:tcBorders>
              <w:bottom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b w:val="1"/>
                <w:bCs w:val="1"/>
                <w:color w:val="auto"/>
              </w:rPr>
              <w:t>114</w:t>
            </w:r>
          </w:p>
        </w:tc>
        <w:tc>
          <w:tcPr>
            <w:tcW w:w="220" w:type="dxa"/>
            <w:vAlign w:val="bottom"/>
            <w:shd w:val="clear" w:color="auto" w:fill="CFF0FC"/>
          </w:tcPr>
          <w:p>
            <w:pPr>
              <w:spacing w:after="0"/>
              <w:rPr>
                <w:sz w:val="13"/>
                <w:szCs w:val="13"/>
                <w:color w:val="auto"/>
              </w:rPr>
            </w:pPr>
          </w:p>
        </w:tc>
        <w:tc>
          <w:tcPr>
            <w:tcW w:w="400" w:type="dxa"/>
            <w:vAlign w:val="bottom"/>
            <w:shd w:val="clear" w:color="auto" w:fill="CFF0FC"/>
          </w:tcPr>
          <w:p>
            <w:pPr>
              <w:spacing w:after="0"/>
              <w:rPr>
                <w:sz w:val="13"/>
                <w:szCs w:val="13"/>
                <w:color w:val="auto"/>
              </w:rPr>
            </w:pPr>
          </w:p>
        </w:tc>
        <w:tc>
          <w:tcPr>
            <w:tcW w:w="500" w:type="dxa"/>
            <w:vAlign w:val="bottom"/>
            <w:shd w:val="clear" w:color="auto" w:fill="CFF0FC"/>
          </w:tcPr>
          <w:p>
            <w:pPr>
              <w:spacing w:after="0"/>
              <w:rPr>
                <w:sz w:val="13"/>
                <w:szCs w:val="13"/>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4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- 38 -</w:t>
      </w:r>
    </w:p>
    <w:p>
      <w:pPr>
        <w:sectPr>
          <w:pgSz w:w="11900" w:h="16838" w:orient="portrait"/>
          <w:cols w:equalWidth="0" w:num="1">
            <w:col w:w="11420"/>
          </w:cols>
          <w:pgMar w:left="240" w:top="139" w:right="239" w:bottom="1440" w:gutter="0" w:footer="0" w:header="0"/>
        </w:sectPr>
      </w:pPr>
    </w:p>
    <w:bookmarkStart w:id="38" w:name="page39"/>
    <w:bookmarkEnd w:id="38"/>
    <w:tbl>
      <w:tblPr>
        <w:tblLayout w:type="fixed"/>
        <w:tblInd w:w="0" w:type="dxa"/>
        <w:tblCellMar>
          <w:top w:w="0" w:type="dxa"/>
          <w:left w:w="0" w:type="dxa"/>
          <w:bottom w:w="0" w:type="dxa"/>
          <w:right w:w="0" w:type="dxa"/>
        </w:tblCellMar>
      </w:tblPr>
      <w:tr>
        <w:trPr>
          <w:trHeight w:val="176"/>
        </w:trPr>
        <w:tc>
          <w:tcPr>
            <w:tcW w:w="3400" w:type="dxa"/>
            <w:vAlign w:val="bottom"/>
          </w:tcPr>
          <w:p>
            <w:pPr>
              <w:spacing w:after="0"/>
              <w:rPr>
                <w:sz w:val="20"/>
                <w:szCs w:val="20"/>
                <w:color w:val="auto"/>
              </w:rPr>
            </w:pPr>
            <w:r>
              <w:rPr>
                <w:rFonts w:ascii="Arial" w:cs="Arial" w:eastAsia="Arial" w:hAnsi="Arial"/>
                <w:sz w:val="14"/>
                <w:szCs w:val="14"/>
                <w:b w:val="1"/>
                <w:bCs w:val="1"/>
                <w:color w:val="auto"/>
              </w:rPr>
              <w:t>Nevada</w:t>
            </w:r>
          </w:p>
        </w:tc>
        <w:tc>
          <w:tcPr>
            <w:tcW w:w="1940" w:type="dxa"/>
            <w:vAlign w:val="bottom"/>
          </w:tcPr>
          <w:p>
            <w:pPr>
              <w:spacing w:after="0"/>
              <w:rPr>
                <w:sz w:val="15"/>
                <w:szCs w:val="15"/>
                <w:color w:val="auto"/>
              </w:rPr>
            </w:pPr>
          </w:p>
        </w:tc>
        <w:tc>
          <w:tcPr>
            <w:tcW w:w="800" w:type="dxa"/>
            <w:vAlign w:val="bottom"/>
            <w:tcBorders>
              <w:top w:val="single" w:sz="8" w:color="auto"/>
            </w:tcBorders>
          </w:tcPr>
          <w:p>
            <w:pPr>
              <w:spacing w:after="0"/>
              <w:rPr>
                <w:sz w:val="15"/>
                <w:szCs w:val="15"/>
                <w:color w:val="auto"/>
              </w:rPr>
            </w:pPr>
          </w:p>
        </w:tc>
        <w:tc>
          <w:tcPr>
            <w:tcW w:w="220" w:type="dxa"/>
            <w:vAlign w:val="bottom"/>
          </w:tcPr>
          <w:p>
            <w:pPr>
              <w:spacing w:after="0"/>
              <w:rPr>
                <w:sz w:val="15"/>
                <w:szCs w:val="15"/>
                <w:color w:val="auto"/>
              </w:rPr>
            </w:pPr>
          </w:p>
        </w:tc>
        <w:tc>
          <w:tcPr>
            <w:tcW w:w="800" w:type="dxa"/>
            <w:vAlign w:val="bottom"/>
            <w:tcBorders>
              <w:top w:val="single" w:sz="8" w:color="auto"/>
            </w:tcBorders>
          </w:tcPr>
          <w:p>
            <w:pPr>
              <w:spacing w:after="0"/>
              <w:rPr>
                <w:sz w:val="15"/>
                <w:szCs w:val="15"/>
                <w:color w:val="auto"/>
              </w:rPr>
            </w:pPr>
          </w:p>
        </w:tc>
        <w:tc>
          <w:tcPr>
            <w:tcW w:w="200" w:type="dxa"/>
            <w:vAlign w:val="bottom"/>
          </w:tcPr>
          <w:p>
            <w:pPr>
              <w:spacing w:after="0"/>
              <w:rPr>
                <w:sz w:val="15"/>
                <w:szCs w:val="15"/>
                <w:color w:val="auto"/>
              </w:rPr>
            </w:pPr>
          </w:p>
        </w:tc>
        <w:tc>
          <w:tcPr>
            <w:tcW w:w="800" w:type="dxa"/>
            <w:vAlign w:val="bottom"/>
            <w:tcBorders>
              <w:top w:val="single" w:sz="8" w:color="auto"/>
            </w:tcBorders>
          </w:tcPr>
          <w:p>
            <w:pPr>
              <w:spacing w:after="0"/>
              <w:rPr>
                <w:sz w:val="15"/>
                <w:szCs w:val="15"/>
                <w:color w:val="auto"/>
              </w:rPr>
            </w:pPr>
          </w:p>
        </w:tc>
        <w:tc>
          <w:tcPr>
            <w:tcW w:w="220" w:type="dxa"/>
            <w:vAlign w:val="bottom"/>
          </w:tcPr>
          <w:p>
            <w:pPr>
              <w:spacing w:after="0"/>
              <w:rPr>
                <w:sz w:val="15"/>
                <w:szCs w:val="15"/>
                <w:color w:val="auto"/>
              </w:rPr>
            </w:pPr>
          </w:p>
        </w:tc>
        <w:tc>
          <w:tcPr>
            <w:tcW w:w="820" w:type="dxa"/>
            <w:vAlign w:val="bottom"/>
            <w:tcBorders>
              <w:top w:val="single" w:sz="8" w:color="auto"/>
            </w:tcBorders>
          </w:tcPr>
          <w:p>
            <w:pPr>
              <w:spacing w:after="0"/>
              <w:rPr>
                <w:sz w:val="15"/>
                <w:szCs w:val="15"/>
                <w:color w:val="auto"/>
              </w:rPr>
            </w:pPr>
          </w:p>
        </w:tc>
        <w:tc>
          <w:tcPr>
            <w:tcW w:w="200" w:type="dxa"/>
            <w:vAlign w:val="bottom"/>
          </w:tcPr>
          <w:p>
            <w:pPr>
              <w:spacing w:after="0"/>
              <w:rPr>
                <w:sz w:val="15"/>
                <w:szCs w:val="15"/>
                <w:color w:val="auto"/>
              </w:rPr>
            </w:pPr>
          </w:p>
        </w:tc>
        <w:tc>
          <w:tcPr>
            <w:tcW w:w="840" w:type="dxa"/>
            <w:vAlign w:val="bottom"/>
            <w:tcBorders>
              <w:top w:val="single" w:sz="8" w:color="auto"/>
            </w:tcBorders>
          </w:tcPr>
          <w:p>
            <w:pPr>
              <w:spacing w:after="0"/>
              <w:rPr>
                <w:sz w:val="15"/>
                <w:szCs w:val="15"/>
                <w:color w:val="auto"/>
              </w:rPr>
            </w:pPr>
          </w:p>
        </w:tc>
        <w:tc>
          <w:tcPr>
            <w:tcW w:w="1180" w:type="dxa"/>
            <w:vAlign w:val="bottom"/>
          </w:tcPr>
          <w:p>
            <w:pPr>
              <w:spacing w:after="0"/>
              <w:rPr>
                <w:sz w:val="15"/>
                <w:szCs w:val="15"/>
                <w:color w:val="auto"/>
              </w:rPr>
            </w:pPr>
          </w:p>
        </w:tc>
      </w:tr>
      <w:tr>
        <w:trPr>
          <w:trHeight w:val="162"/>
        </w:trPr>
        <w:tc>
          <w:tcPr>
            <w:tcW w:w="3400" w:type="dxa"/>
            <w:vAlign w:val="bottom"/>
            <w:shd w:val="clear" w:color="auto" w:fill="CFF0FC"/>
          </w:tcPr>
          <w:p>
            <w:pPr>
              <w:spacing w:after="0"/>
              <w:rPr>
                <w:sz w:val="20"/>
                <w:szCs w:val="20"/>
                <w:color w:val="auto"/>
              </w:rPr>
            </w:pPr>
            <w:r>
              <w:rPr>
                <w:rFonts w:ascii="Arial" w:cs="Arial" w:eastAsia="Arial" w:hAnsi="Arial"/>
                <w:sz w:val="14"/>
                <w:szCs w:val="14"/>
                <w:color w:val="auto"/>
              </w:rPr>
              <w:t>Clark County:</w:t>
            </w:r>
          </w:p>
        </w:tc>
        <w:tc>
          <w:tcPr>
            <w:tcW w:w="1940" w:type="dxa"/>
            <w:vAlign w:val="bottom"/>
            <w:shd w:val="clear" w:color="auto" w:fill="CFF0FC"/>
          </w:tcPr>
          <w:p>
            <w:pPr>
              <w:spacing w:after="0"/>
              <w:rPr>
                <w:sz w:val="14"/>
                <w:szCs w:val="14"/>
                <w:color w:val="auto"/>
              </w:rPr>
            </w:pPr>
          </w:p>
        </w:tc>
        <w:tc>
          <w:tcPr>
            <w:tcW w:w="800" w:type="dxa"/>
            <w:vAlign w:val="bottom"/>
            <w:shd w:val="clear" w:color="auto" w:fill="CFF0FC"/>
          </w:tcPr>
          <w:p>
            <w:pPr>
              <w:spacing w:after="0"/>
              <w:rPr>
                <w:sz w:val="14"/>
                <w:szCs w:val="14"/>
                <w:color w:val="auto"/>
              </w:rPr>
            </w:pPr>
          </w:p>
        </w:tc>
        <w:tc>
          <w:tcPr>
            <w:tcW w:w="220" w:type="dxa"/>
            <w:vAlign w:val="bottom"/>
            <w:shd w:val="clear" w:color="auto" w:fill="CFF0FC"/>
          </w:tcPr>
          <w:p>
            <w:pPr>
              <w:spacing w:after="0"/>
              <w:rPr>
                <w:sz w:val="14"/>
                <w:szCs w:val="14"/>
                <w:color w:val="auto"/>
              </w:rPr>
            </w:pPr>
          </w:p>
        </w:tc>
        <w:tc>
          <w:tcPr>
            <w:tcW w:w="800" w:type="dxa"/>
            <w:vAlign w:val="bottom"/>
            <w:shd w:val="clear" w:color="auto" w:fill="CFF0FC"/>
          </w:tcPr>
          <w:p>
            <w:pPr>
              <w:spacing w:after="0"/>
              <w:rPr>
                <w:sz w:val="14"/>
                <w:szCs w:val="14"/>
                <w:color w:val="auto"/>
              </w:rPr>
            </w:pPr>
          </w:p>
        </w:tc>
        <w:tc>
          <w:tcPr>
            <w:tcW w:w="200" w:type="dxa"/>
            <w:vAlign w:val="bottom"/>
            <w:shd w:val="clear" w:color="auto" w:fill="CFF0FC"/>
          </w:tcPr>
          <w:p>
            <w:pPr>
              <w:spacing w:after="0"/>
              <w:rPr>
                <w:sz w:val="14"/>
                <w:szCs w:val="14"/>
                <w:color w:val="auto"/>
              </w:rPr>
            </w:pPr>
          </w:p>
        </w:tc>
        <w:tc>
          <w:tcPr>
            <w:tcW w:w="800" w:type="dxa"/>
            <w:vAlign w:val="bottom"/>
            <w:shd w:val="clear" w:color="auto" w:fill="CFF0FC"/>
          </w:tcPr>
          <w:p>
            <w:pPr>
              <w:spacing w:after="0"/>
              <w:rPr>
                <w:sz w:val="14"/>
                <w:szCs w:val="14"/>
                <w:color w:val="auto"/>
              </w:rPr>
            </w:pPr>
          </w:p>
        </w:tc>
        <w:tc>
          <w:tcPr>
            <w:tcW w:w="220" w:type="dxa"/>
            <w:vAlign w:val="bottom"/>
            <w:shd w:val="clear" w:color="auto" w:fill="CFF0FC"/>
          </w:tcPr>
          <w:p>
            <w:pPr>
              <w:spacing w:after="0"/>
              <w:rPr>
                <w:sz w:val="14"/>
                <w:szCs w:val="14"/>
                <w:color w:val="auto"/>
              </w:rPr>
            </w:pPr>
          </w:p>
        </w:tc>
        <w:tc>
          <w:tcPr>
            <w:tcW w:w="820" w:type="dxa"/>
            <w:vAlign w:val="bottom"/>
            <w:shd w:val="clear" w:color="auto" w:fill="CFF0FC"/>
          </w:tcPr>
          <w:p>
            <w:pPr>
              <w:spacing w:after="0"/>
              <w:rPr>
                <w:sz w:val="14"/>
                <w:szCs w:val="14"/>
                <w:color w:val="auto"/>
              </w:rPr>
            </w:pPr>
          </w:p>
        </w:tc>
        <w:tc>
          <w:tcPr>
            <w:tcW w:w="200" w:type="dxa"/>
            <w:vAlign w:val="bottom"/>
            <w:shd w:val="clear" w:color="auto" w:fill="CFF0FC"/>
          </w:tcPr>
          <w:p>
            <w:pPr>
              <w:spacing w:after="0"/>
              <w:rPr>
                <w:sz w:val="14"/>
                <w:szCs w:val="14"/>
                <w:color w:val="auto"/>
              </w:rPr>
            </w:pPr>
          </w:p>
        </w:tc>
        <w:tc>
          <w:tcPr>
            <w:tcW w:w="840" w:type="dxa"/>
            <w:vAlign w:val="bottom"/>
            <w:shd w:val="clear" w:color="auto" w:fill="CFF0FC"/>
          </w:tcPr>
          <w:p>
            <w:pPr>
              <w:spacing w:after="0"/>
              <w:rPr>
                <w:sz w:val="14"/>
                <w:szCs w:val="14"/>
                <w:color w:val="auto"/>
              </w:rPr>
            </w:pPr>
          </w:p>
        </w:tc>
        <w:tc>
          <w:tcPr>
            <w:tcW w:w="1180" w:type="dxa"/>
            <w:vAlign w:val="bottom"/>
            <w:shd w:val="clear" w:color="auto" w:fill="CFF0FC"/>
          </w:tcPr>
          <w:p>
            <w:pPr>
              <w:spacing w:after="0"/>
              <w:rPr>
                <w:sz w:val="14"/>
                <w:szCs w:val="14"/>
                <w:color w:val="auto"/>
              </w:rPr>
            </w:pPr>
          </w:p>
        </w:tc>
      </w:tr>
      <w:tr>
        <w:trPr>
          <w:trHeight w:val="162"/>
        </w:trPr>
        <w:tc>
          <w:tcPr>
            <w:tcW w:w="3400" w:type="dxa"/>
            <w:vAlign w:val="bottom"/>
          </w:tcPr>
          <w:p>
            <w:pPr>
              <w:ind w:left="380"/>
              <w:spacing w:after="0"/>
              <w:rPr>
                <w:sz w:val="20"/>
                <w:szCs w:val="20"/>
                <w:color w:val="auto"/>
              </w:rPr>
            </w:pPr>
            <w:r>
              <w:rPr>
                <w:rFonts w:ascii="Arial" w:cs="Arial" w:eastAsia="Arial" w:hAnsi="Arial"/>
                <w:sz w:val="14"/>
                <w:szCs w:val="14"/>
                <w:color w:val="auto"/>
              </w:rPr>
              <w:t>LivingSmart at Eldorado Ridge</w:t>
            </w:r>
          </w:p>
        </w:tc>
        <w:tc>
          <w:tcPr>
            <w:tcW w:w="1940" w:type="dxa"/>
            <w:vAlign w:val="bottom"/>
          </w:tcPr>
          <w:p>
            <w:pPr>
              <w:ind w:left="1240"/>
              <w:spacing w:after="0"/>
              <w:rPr>
                <w:sz w:val="20"/>
                <w:szCs w:val="20"/>
                <w:color w:val="auto"/>
              </w:rPr>
            </w:pPr>
            <w:r>
              <w:rPr>
                <w:rFonts w:ascii="Arial" w:cs="Arial" w:eastAsia="Arial" w:hAnsi="Arial"/>
                <w:sz w:val="14"/>
                <w:szCs w:val="14"/>
                <w:color w:val="auto"/>
              </w:rPr>
              <w:t>2012</w:t>
            </w:r>
          </w:p>
        </w:tc>
        <w:tc>
          <w:tcPr>
            <w:tcW w:w="800" w:type="dxa"/>
            <w:vAlign w:val="bottom"/>
          </w:tcPr>
          <w:p>
            <w:pPr>
              <w:jc w:val="right"/>
              <w:spacing w:after="0"/>
              <w:rPr>
                <w:sz w:val="20"/>
                <w:szCs w:val="20"/>
                <w:color w:val="auto"/>
              </w:rPr>
            </w:pPr>
            <w:r>
              <w:rPr>
                <w:rFonts w:ascii="Arial" w:cs="Arial" w:eastAsia="Arial" w:hAnsi="Arial"/>
                <w:sz w:val="14"/>
                <w:szCs w:val="14"/>
                <w:color w:val="auto"/>
              </w:rPr>
              <w:t>179</w:t>
            </w:r>
          </w:p>
        </w:tc>
        <w:tc>
          <w:tcPr>
            <w:tcW w:w="220" w:type="dxa"/>
            <w:vAlign w:val="bottom"/>
          </w:tcPr>
          <w:p>
            <w:pPr>
              <w:spacing w:after="0"/>
              <w:rPr>
                <w:sz w:val="14"/>
                <w:szCs w:val="14"/>
                <w:color w:val="auto"/>
              </w:rPr>
            </w:pPr>
          </w:p>
        </w:tc>
        <w:tc>
          <w:tcPr>
            <w:tcW w:w="800" w:type="dxa"/>
            <w:vAlign w:val="bottom"/>
          </w:tcPr>
          <w:p>
            <w:pPr>
              <w:jc w:val="right"/>
              <w:spacing w:after="0"/>
              <w:rPr>
                <w:sz w:val="20"/>
                <w:szCs w:val="20"/>
                <w:color w:val="auto"/>
              </w:rPr>
            </w:pPr>
            <w:r>
              <w:rPr>
                <w:rFonts w:ascii="Arial" w:cs="Arial" w:eastAsia="Arial" w:hAnsi="Arial"/>
                <w:sz w:val="14"/>
                <w:szCs w:val="14"/>
                <w:color w:val="auto"/>
              </w:rPr>
              <w:t>131</w:t>
            </w:r>
          </w:p>
        </w:tc>
        <w:tc>
          <w:tcPr>
            <w:tcW w:w="200" w:type="dxa"/>
            <w:vAlign w:val="bottom"/>
          </w:tcPr>
          <w:p>
            <w:pPr>
              <w:spacing w:after="0"/>
              <w:rPr>
                <w:sz w:val="14"/>
                <w:szCs w:val="14"/>
                <w:color w:val="auto"/>
              </w:rPr>
            </w:pPr>
          </w:p>
        </w:tc>
        <w:tc>
          <w:tcPr>
            <w:tcW w:w="800" w:type="dxa"/>
            <w:vAlign w:val="bottom"/>
          </w:tcPr>
          <w:p>
            <w:pPr>
              <w:jc w:val="right"/>
              <w:spacing w:after="0"/>
              <w:rPr>
                <w:sz w:val="20"/>
                <w:szCs w:val="20"/>
                <w:color w:val="auto"/>
              </w:rPr>
            </w:pPr>
            <w:r>
              <w:rPr>
                <w:rFonts w:ascii="Arial" w:cs="Arial" w:eastAsia="Arial" w:hAnsi="Arial"/>
                <w:sz w:val="14"/>
                <w:szCs w:val="14"/>
                <w:color w:val="auto"/>
              </w:rPr>
              <w:t>48</w:t>
            </w:r>
          </w:p>
        </w:tc>
        <w:tc>
          <w:tcPr>
            <w:tcW w:w="220" w:type="dxa"/>
            <w:vAlign w:val="bottom"/>
          </w:tcPr>
          <w:p>
            <w:pPr>
              <w:spacing w:after="0"/>
              <w:rPr>
                <w:sz w:val="14"/>
                <w:szCs w:val="14"/>
                <w:color w:val="auto"/>
              </w:rPr>
            </w:pPr>
          </w:p>
        </w:tc>
        <w:tc>
          <w:tcPr>
            <w:tcW w:w="820" w:type="dxa"/>
            <w:vAlign w:val="bottom"/>
          </w:tcPr>
          <w:p>
            <w:pPr>
              <w:jc w:val="right"/>
              <w:spacing w:after="0"/>
              <w:rPr>
                <w:sz w:val="20"/>
                <w:szCs w:val="20"/>
                <w:color w:val="auto"/>
              </w:rPr>
            </w:pPr>
            <w:r>
              <w:rPr>
                <w:rFonts w:ascii="Arial" w:cs="Arial" w:eastAsia="Arial" w:hAnsi="Arial"/>
                <w:sz w:val="14"/>
                <w:szCs w:val="14"/>
                <w:color w:val="auto"/>
              </w:rPr>
              <w:t>12</w:t>
            </w:r>
          </w:p>
        </w:tc>
        <w:tc>
          <w:tcPr>
            <w:tcW w:w="200" w:type="dxa"/>
            <w:vAlign w:val="bottom"/>
          </w:tcPr>
          <w:p>
            <w:pPr>
              <w:spacing w:after="0"/>
              <w:rPr>
                <w:sz w:val="14"/>
                <w:szCs w:val="14"/>
                <w:color w:val="auto"/>
              </w:rPr>
            </w:pPr>
          </w:p>
        </w:tc>
        <w:tc>
          <w:tcPr>
            <w:tcW w:w="840" w:type="dxa"/>
            <w:vAlign w:val="bottom"/>
          </w:tcPr>
          <w:p>
            <w:pPr>
              <w:jc w:val="right"/>
              <w:spacing w:after="0"/>
              <w:rPr>
                <w:sz w:val="20"/>
                <w:szCs w:val="20"/>
                <w:color w:val="auto"/>
              </w:rPr>
            </w:pPr>
            <w:r>
              <w:rPr>
                <w:rFonts w:ascii="Arial" w:cs="Arial" w:eastAsia="Arial" w:hAnsi="Arial"/>
                <w:sz w:val="14"/>
                <w:szCs w:val="14"/>
                <w:color w:val="auto"/>
              </w:rPr>
              <w:t>8</w:t>
            </w:r>
          </w:p>
        </w:tc>
        <w:tc>
          <w:tcPr>
            <w:tcW w:w="1180" w:type="dxa"/>
            <w:vAlign w:val="bottom"/>
          </w:tcPr>
          <w:p>
            <w:pPr>
              <w:jc w:val="center"/>
              <w:ind w:left="132"/>
              <w:spacing w:after="0"/>
              <w:rPr>
                <w:sz w:val="20"/>
                <w:szCs w:val="20"/>
                <w:color w:val="auto"/>
              </w:rPr>
            </w:pPr>
            <w:r>
              <w:rPr>
                <w:rFonts w:ascii="Arial" w:cs="Arial" w:eastAsia="Arial" w:hAnsi="Arial"/>
                <w:sz w:val="14"/>
                <w:szCs w:val="14"/>
                <w:color w:val="auto"/>
                <w:w w:val="87"/>
              </w:rPr>
              <w:t>$255- $306</w:t>
            </w:r>
          </w:p>
        </w:tc>
      </w:tr>
      <w:tr>
        <w:trPr>
          <w:trHeight w:val="162"/>
        </w:trPr>
        <w:tc>
          <w:tcPr>
            <w:tcW w:w="3400" w:type="dxa"/>
            <w:vAlign w:val="bottom"/>
            <w:shd w:val="clear" w:color="auto" w:fill="CFF0FC"/>
          </w:tcPr>
          <w:p>
            <w:pPr>
              <w:ind w:left="380"/>
              <w:spacing w:after="0"/>
              <w:rPr>
                <w:sz w:val="20"/>
                <w:szCs w:val="20"/>
                <w:color w:val="auto"/>
              </w:rPr>
            </w:pPr>
            <w:r>
              <w:rPr>
                <w:rFonts w:ascii="Arial" w:cs="Arial" w:eastAsia="Arial" w:hAnsi="Arial"/>
                <w:sz w:val="14"/>
                <w:szCs w:val="14"/>
                <w:color w:val="auto"/>
              </w:rPr>
              <w:t>LivingSmart at Eldorado Heights</w:t>
            </w:r>
          </w:p>
        </w:tc>
        <w:tc>
          <w:tcPr>
            <w:tcW w:w="1940" w:type="dxa"/>
            <w:vAlign w:val="bottom"/>
            <w:shd w:val="clear" w:color="auto" w:fill="CFF0FC"/>
          </w:tcPr>
          <w:p>
            <w:pPr>
              <w:ind w:left="1240"/>
              <w:spacing w:after="0"/>
              <w:rPr>
                <w:sz w:val="20"/>
                <w:szCs w:val="20"/>
                <w:color w:val="auto"/>
              </w:rPr>
            </w:pPr>
            <w:r>
              <w:rPr>
                <w:rFonts w:ascii="Arial" w:cs="Arial" w:eastAsia="Arial" w:hAnsi="Arial"/>
                <w:sz w:val="14"/>
                <w:szCs w:val="14"/>
                <w:color w:val="auto"/>
              </w:rPr>
              <w:t>2013</w:t>
            </w:r>
          </w:p>
        </w:tc>
        <w:tc>
          <w:tcPr>
            <w:tcW w:w="800" w:type="dxa"/>
            <w:vAlign w:val="bottom"/>
            <w:shd w:val="clear" w:color="auto" w:fill="CFF0FC"/>
          </w:tcPr>
          <w:p>
            <w:pPr>
              <w:jc w:val="right"/>
              <w:spacing w:after="0"/>
              <w:rPr>
                <w:sz w:val="20"/>
                <w:szCs w:val="20"/>
                <w:color w:val="auto"/>
              </w:rPr>
            </w:pPr>
            <w:r>
              <w:rPr>
                <w:rFonts w:ascii="Arial" w:cs="Arial" w:eastAsia="Arial" w:hAnsi="Arial"/>
                <w:sz w:val="14"/>
                <w:szCs w:val="14"/>
                <w:color w:val="auto"/>
              </w:rPr>
              <w:t>133</w:t>
            </w:r>
          </w:p>
        </w:tc>
        <w:tc>
          <w:tcPr>
            <w:tcW w:w="220" w:type="dxa"/>
            <w:vAlign w:val="bottom"/>
            <w:shd w:val="clear" w:color="auto" w:fill="CFF0FC"/>
          </w:tcPr>
          <w:p>
            <w:pPr>
              <w:spacing w:after="0"/>
              <w:rPr>
                <w:sz w:val="14"/>
                <w:szCs w:val="14"/>
                <w:color w:val="auto"/>
              </w:rPr>
            </w:pPr>
          </w:p>
        </w:tc>
        <w:tc>
          <w:tcPr>
            <w:tcW w:w="800" w:type="dxa"/>
            <w:vAlign w:val="bottom"/>
            <w:shd w:val="clear" w:color="auto" w:fill="CFF0FC"/>
          </w:tcPr>
          <w:p>
            <w:pPr>
              <w:jc w:val="right"/>
              <w:spacing w:after="0"/>
              <w:rPr>
                <w:sz w:val="20"/>
                <w:szCs w:val="20"/>
                <w:color w:val="auto"/>
              </w:rPr>
            </w:pPr>
            <w:r>
              <w:rPr>
                <w:rFonts w:ascii="Arial" w:cs="Arial" w:eastAsia="Arial" w:hAnsi="Arial"/>
                <w:sz w:val="14"/>
                <w:szCs w:val="14"/>
                <w:color w:val="auto"/>
              </w:rPr>
              <w:t>95</w:t>
            </w:r>
          </w:p>
        </w:tc>
        <w:tc>
          <w:tcPr>
            <w:tcW w:w="200" w:type="dxa"/>
            <w:vAlign w:val="bottom"/>
            <w:shd w:val="clear" w:color="auto" w:fill="CFF0FC"/>
          </w:tcPr>
          <w:p>
            <w:pPr>
              <w:spacing w:after="0"/>
              <w:rPr>
                <w:sz w:val="14"/>
                <w:szCs w:val="14"/>
                <w:color w:val="auto"/>
              </w:rPr>
            </w:pPr>
          </w:p>
        </w:tc>
        <w:tc>
          <w:tcPr>
            <w:tcW w:w="800" w:type="dxa"/>
            <w:vAlign w:val="bottom"/>
            <w:shd w:val="clear" w:color="auto" w:fill="CFF0FC"/>
          </w:tcPr>
          <w:p>
            <w:pPr>
              <w:jc w:val="right"/>
              <w:spacing w:after="0"/>
              <w:rPr>
                <w:sz w:val="20"/>
                <w:szCs w:val="20"/>
                <w:color w:val="auto"/>
              </w:rPr>
            </w:pPr>
            <w:r>
              <w:rPr>
                <w:rFonts w:ascii="Arial" w:cs="Arial" w:eastAsia="Arial" w:hAnsi="Arial"/>
                <w:sz w:val="14"/>
                <w:szCs w:val="14"/>
                <w:color w:val="auto"/>
              </w:rPr>
              <w:t>38</w:t>
            </w:r>
          </w:p>
        </w:tc>
        <w:tc>
          <w:tcPr>
            <w:tcW w:w="220" w:type="dxa"/>
            <w:vAlign w:val="bottom"/>
            <w:shd w:val="clear" w:color="auto" w:fill="CFF0FC"/>
          </w:tcPr>
          <w:p>
            <w:pPr>
              <w:spacing w:after="0"/>
              <w:rPr>
                <w:sz w:val="14"/>
                <w:szCs w:val="14"/>
                <w:color w:val="auto"/>
              </w:rPr>
            </w:pPr>
          </w:p>
        </w:tc>
        <w:tc>
          <w:tcPr>
            <w:tcW w:w="820" w:type="dxa"/>
            <w:vAlign w:val="bottom"/>
            <w:shd w:val="clear" w:color="auto" w:fill="CFF0FC"/>
          </w:tcPr>
          <w:p>
            <w:pPr>
              <w:jc w:val="right"/>
              <w:spacing w:after="0"/>
              <w:rPr>
                <w:sz w:val="20"/>
                <w:szCs w:val="20"/>
                <w:color w:val="auto"/>
              </w:rPr>
            </w:pPr>
            <w:r>
              <w:rPr>
                <w:rFonts w:ascii="Arial" w:cs="Arial" w:eastAsia="Arial" w:hAnsi="Arial"/>
                <w:sz w:val="14"/>
                <w:szCs w:val="14"/>
                <w:color w:val="auto"/>
              </w:rPr>
              <w:t>8</w:t>
            </w:r>
          </w:p>
        </w:tc>
        <w:tc>
          <w:tcPr>
            <w:tcW w:w="200" w:type="dxa"/>
            <w:vAlign w:val="bottom"/>
            <w:shd w:val="clear" w:color="auto" w:fill="CFF0FC"/>
          </w:tcPr>
          <w:p>
            <w:pPr>
              <w:spacing w:after="0"/>
              <w:rPr>
                <w:sz w:val="14"/>
                <w:szCs w:val="14"/>
                <w:color w:val="auto"/>
              </w:rPr>
            </w:pPr>
          </w:p>
        </w:tc>
        <w:tc>
          <w:tcPr>
            <w:tcW w:w="840" w:type="dxa"/>
            <w:vAlign w:val="bottom"/>
            <w:shd w:val="clear" w:color="auto" w:fill="CFF0FC"/>
          </w:tcPr>
          <w:p>
            <w:pPr>
              <w:jc w:val="right"/>
              <w:spacing w:after="0"/>
              <w:rPr>
                <w:sz w:val="20"/>
                <w:szCs w:val="20"/>
                <w:color w:val="auto"/>
              </w:rPr>
            </w:pPr>
            <w:r>
              <w:rPr>
                <w:rFonts w:ascii="Arial" w:cs="Arial" w:eastAsia="Arial" w:hAnsi="Arial"/>
                <w:sz w:val="14"/>
                <w:szCs w:val="14"/>
                <w:color w:val="auto"/>
              </w:rPr>
              <w:t>9</w:t>
            </w:r>
          </w:p>
        </w:tc>
        <w:tc>
          <w:tcPr>
            <w:tcW w:w="1180" w:type="dxa"/>
            <w:vAlign w:val="bottom"/>
            <w:shd w:val="clear" w:color="auto" w:fill="CFF0FC"/>
          </w:tcPr>
          <w:p>
            <w:pPr>
              <w:jc w:val="center"/>
              <w:ind w:left="132"/>
              <w:spacing w:after="0"/>
              <w:rPr>
                <w:sz w:val="20"/>
                <w:szCs w:val="20"/>
                <w:color w:val="auto"/>
              </w:rPr>
            </w:pPr>
            <w:r>
              <w:rPr>
                <w:rFonts w:ascii="Arial" w:cs="Arial" w:eastAsia="Arial" w:hAnsi="Arial"/>
                <w:sz w:val="14"/>
                <w:szCs w:val="14"/>
                <w:color w:val="auto"/>
                <w:w w:val="88"/>
              </w:rPr>
              <w:t>$302 - $392</w:t>
            </w:r>
          </w:p>
        </w:tc>
      </w:tr>
      <w:tr>
        <w:trPr>
          <w:trHeight w:val="162"/>
        </w:trPr>
        <w:tc>
          <w:tcPr>
            <w:tcW w:w="3400" w:type="dxa"/>
            <w:vAlign w:val="bottom"/>
          </w:tcPr>
          <w:p>
            <w:pPr>
              <w:ind w:left="380"/>
              <w:spacing w:after="0"/>
              <w:rPr>
                <w:sz w:val="20"/>
                <w:szCs w:val="20"/>
                <w:color w:val="auto"/>
              </w:rPr>
            </w:pPr>
            <w:r>
              <w:rPr>
                <w:rFonts w:ascii="Arial" w:cs="Arial" w:eastAsia="Arial" w:hAnsi="Arial"/>
                <w:sz w:val="14"/>
                <w:szCs w:val="14"/>
                <w:color w:val="auto"/>
              </w:rPr>
              <w:t>LivingSmart Sandstone</w:t>
            </w:r>
          </w:p>
        </w:tc>
        <w:tc>
          <w:tcPr>
            <w:tcW w:w="1940" w:type="dxa"/>
            <w:vAlign w:val="bottom"/>
          </w:tcPr>
          <w:p>
            <w:pPr>
              <w:ind w:left="1240"/>
              <w:spacing w:after="0"/>
              <w:rPr>
                <w:sz w:val="20"/>
                <w:szCs w:val="20"/>
                <w:color w:val="auto"/>
              </w:rPr>
            </w:pPr>
            <w:r>
              <w:rPr>
                <w:rFonts w:ascii="Arial" w:cs="Arial" w:eastAsia="Arial" w:hAnsi="Arial"/>
                <w:sz w:val="14"/>
                <w:szCs w:val="14"/>
                <w:color w:val="auto"/>
              </w:rPr>
              <w:t>2013</w:t>
            </w:r>
          </w:p>
        </w:tc>
        <w:tc>
          <w:tcPr>
            <w:tcW w:w="800" w:type="dxa"/>
            <w:vAlign w:val="bottom"/>
          </w:tcPr>
          <w:p>
            <w:pPr>
              <w:jc w:val="right"/>
              <w:spacing w:after="0"/>
              <w:rPr>
                <w:sz w:val="20"/>
                <w:szCs w:val="20"/>
                <w:color w:val="auto"/>
              </w:rPr>
            </w:pPr>
            <w:r>
              <w:rPr>
                <w:rFonts w:ascii="Arial" w:cs="Arial" w:eastAsia="Arial" w:hAnsi="Arial"/>
                <w:sz w:val="14"/>
                <w:szCs w:val="14"/>
                <w:color w:val="auto"/>
              </w:rPr>
              <w:t>145</w:t>
            </w:r>
          </w:p>
        </w:tc>
        <w:tc>
          <w:tcPr>
            <w:tcW w:w="220" w:type="dxa"/>
            <w:vAlign w:val="bottom"/>
          </w:tcPr>
          <w:p>
            <w:pPr>
              <w:spacing w:after="0"/>
              <w:rPr>
                <w:sz w:val="14"/>
                <w:szCs w:val="14"/>
                <w:color w:val="auto"/>
              </w:rPr>
            </w:pPr>
          </w:p>
        </w:tc>
        <w:tc>
          <w:tcPr>
            <w:tcW w:w="800" w:type="dxa"/>
            <w:vAlign w:val="bottom"/>
          </w:tcPr>
          <w:p>
            <w:pPr>
              <w:jc w:val="right"/>
              <w:spacing w:after="0"/>
              <w:rPr>
                <w:sz w:val="20"/>
                <w:szCs w:val="20"/>
                <w:color w:val="auto"/>
              </w:rPr>
            </w:pPr>
            <w:r>
              <w:rPr>
                <w:rFonts w:ascii="Arial" w:cs="Arial" w:eastAsia="Arial" w:hAnsi="Arial"/>
                <w:sz w:val="14"/>
                <w:szCs w:val="14"/>
                <w:color w:val="auto"/>
              </w:rPr>
              <w:t>52</w:t>
            </w:r>
          </w:p>
        </w:tc>
        <w:tc>
          <w:tcPr>
            <w:tcW w:w="200" w:type="dxa"/>
            <w:vAlign w:val="bottom"/>
          </w:tcPr>
          <w:p>
            <w:pPr>
              <w:spacing w:after="0"/>
              <w:rPr>
                <w:sz w:val="14"/>
                <w:szCs w:val="14"/>
                <w:color w:val="auto"/>
              </w:rPr>
            </w:pPr>
          </w:p>
        </w:tc>
        <w:tc>
          <w:tcPr>
            <w:tcW w:w="800" w:type="dxa"/>
            <w:vAlign w:val="bottom"/>
          </w:tcPr>
          <w:p>
            <w:pPr>
              <w:jc w:val="right"/>
              <w:spacing w:after="0"/>
              <w:rPr>
                <w:sz w:val="20"/>
                <w:szCs w:val="20"/>
                <w:color w:val="auto"/>
              </w:rPr>
            </w:pPr>
            <w:r>
              <w:rPr>
                <w:rFonts w:ascii="Arial" w:cs="Arial" w:eastAsia="Arial" w:hAnsi="Arial"/>
                <w:sz w:val="14"/>
                <w:szCs w:val="14"/>
                <w:color w:val="auto"/>
              </w:rPr>
              <w:t>93</w:t>
            </w:r>
          </w:p>
        </w:tc>
        <w:tc>
          <w:tcPr>
            <w:tcW w:w="220" w:type="dxa"/>
            <w:vAlign w:val="bottom"/>
          </w:tcPr>
          <w:p>
            <w:pPr>
              <w:spacing w:after="0"/>
              <w:rPr>
                <w:sz w:val="14"/>
                <w:szCs w:val="14"/>
                <w:color w:val="auto"/>
              </w:rPr>
            </w:pPr>
          </w:p>
        </w:tc>
        <w:tc>
          <w:tcPr>
            <w:tcW w:w="820" w:type="dxa"/>
            <w:vAlign w:val="bottom"/>
          </w:tcPr>
          <w:p>
            <w:pPr>
              <w:jc w:val="right"/>
              <w:spacing w:after="0"/>
              <w:rPr>
                <w:sz w:val="20"/>
                <w:szCs w:val="20"/>
                <w:color w:val="auto"/>
              </w:rPr>
            </w:pPr>
            <w:r>
              <w:rPr>
                <w:rFonts w:ascii="Arial" w:cs="Arial" w:eastAsia="Arial" w:hAnsi="Arial"/>
                <w:sz w:val="14"/>
                <w:szCs w:val="14"/>
                <w:color w:val="auto"/>
              </w:rPr>
              <w:t>12</w:t>
            </w:r>
          </w:p>
        </w:tc>
        <w:tc>
          <w:tcPr>
            <w:tcW w:w="200" w:type="dxa"/>
            <w:vAlign w:val="bottom"/>
          </w:tcPr>
          <w:p>
            <w:pPr>
              <w:spacing w:after="0"/>
              <w:rPr>
                <w:sz w:val="14"/>
                <w:szCs w:val="14"/>
                <w:color w:val="auto"/>
              </w:rPr>
            </w:pPr>
          </w:p>
        </w:tc>
        <w:tc>
          <w:tcPr>
            <w:tcW w:w="840" w:type="dxa"/>
            <w:vAlign w:val="bottom"/>
          </w:tcPr>
          <w:p>
            <w:pPr>
              <w:jc w:val="right"/>
              <w:spacing w:after="0"/>
              <w:rPr>
                <w:sz w:val="20"/>
                <w:szCs w:val="20"/>
                <w:color w:val="auto"/>
              </w:rPr>
            </w:pPr>
            <w:r>
              <w:rPr>
                <w:rFonts w:ascii="Arial" w:cs="Arial" w:eastAsia="Arial" w:hAnsi="Arial"/>
                <w:sz w:val="14"/>
                <w:szCs w:val="14"/>
                <w:color w:val="auto"/>
              </w:rPr>
              <w:t>9</w:t>
            </w:r>
          </w:p>
        </w:tc>
        <w:tc>
          <w:tcPr>
            <w:tcW w:w="1180" w:type="dxa"/>
            <w:vAlign w:val="bottom"/>
          </w:tcPr>
          <w:p>
            <w:pPr>
              <w:jc w:val="center"/>
              <w:ind w:left="132"/>
              <w:spacing w:after="0"/>
              <w:rPr>
                <w:sz w:val="20"/>
                <w:szCs w:val="20"/>
                <w:color w:val="auto"/>
              </w:rPr>
            </w:pPr>
            <w:r>
              <w:rPr>
                <w:rFonts w:ascii="Arial" w:cs="Arial" w:eastAsia="Arial" w:hAnsi="Arial"/>
                <w:sz w:val="14"/>
                <w:szCs w:val="14"/>
                <w:color w:val="auto"/>
                <w:w w:val="88"/>
              </w:rPr>
              <w:t>$216 - $246</w:t>
            </w:r>
          </w:p>
        </w:tc>
      </w:tr>
      <w:tr>
        <w:trPr>
          <w:trHeight w:val="162"/>
        </w:trPr>
        <w:tc>
          <w:tcPr>
            <w:tcW w:w="3400" w:type="dxa"/>
            <w:vAlign w:val="bottom"/>
            <w:shd w:val="clear" w:color="auto" w:fill="CFF0FC"/>
          </w:tcPr>
          <w:p>
            <w:pPr>
              <w:ind w:left="380"/>
              <w:spacing w:after="0"/>
              <w:rPr>
                <w:sz w:val="20"/>
                <w:szCs w:val="20"/>
                <w:color w:val="auto"/>
              </w:rPr>
            </w:pPr>
            <w:r>
              <w:rPr>
                <w:rFonts w:ascii="Arial" w:cs="Arial" w:eastAsia="Arial" w:hAnsi="Arial"/>
                <w:sz w:val="14"/>
                <w:szCs w:val="14"/>
                <w:color w:val="auto"/>
              </w:rPr>
              <w:t>Ridgeview</w:t>
            </w:r>
          </w:p>
        </w:tc>
        <w:tc>
          <w:tcPr>
            <w:tcW w:w="1940" w:type="dxa"/>
            <w:vAlign w:val="bottom"/>
            <w:shd w:val="clear" w:color="auto" w:fill="CFF0FC"/>
          </w:tcPr>
          <w:p>
            <w:pPr>
              <w:ind w:left="1240"/>
              <w:spacing w:after="0"/>
              <w:rPr>
                <w:sz w:val="20"/>
                <w:szCs w:val="20"/>
                <w:color w:val="auto"/>
              </w:rPr>
            </w:pPr>
            <w:r>
              <w:rPr>
                <w:rFonts w:ascii="Arial" w:cs="Arial" w:eastAsia="Arial" w:hAnsi="Arial"/>
                <w:sz w:val="14"/>
                <w:szCs w:val="14"/>
                <w:color w:val="auto"/>
              </w:rPr>
              <w:t>2015</w:t>
            </w:r>
          </w:p>
        </w:tc>
        <w:tc>
          <w:tcPr>
            <w:tcW w:w="800" w:type="dxa"/>
            <w:vAlign w:val="bottom"/>
            <w:shd w:val="clear" w:color="auto" w:fill="CFF0FC"/>
          </w:tcPr>
          <w:p>
            <w:pPr>
              <w:jc w:val="right"/>
              <w:spacing w:after="0"/>
              <w:rPr>
                <w:sz w:val="20"/>
                <w:szCs w:val="20"/>
                <w:color w:val="auto"/>
              </w:rPr>
            </w:pPr>
            <w:r>
              <w:rPr>
                <w:rFonts w:ascii="Arial" w:cs="Arial" w:eastAsia="Arial" w:hAnsi="Arial"/>
                <w:sz w:val="14"/>
                <w:szCs w:val="14"/>
                <w:color w:val="auto"/>
              </w:rPr>
              <w:t>4</w:t>
            </w:r>
          </w:p>
        </w:tc>
        <w:tc>
          <w:tcPr>
            <w:tcW w:w="220" w:type="dxa"/>
            <w:vAlign w:val="bottom"/>
            <w:shd w:val="clear" w:color="auto" w:fill="CFF0FC"/>
          </w:tcPr>
          <w:p>
            <w:pPr>
              <w:spacing w:after="0"/>
              <w:rPr>
                <w:sz w:val="14"/>
                <w:szCs w:val="14"/>
                <w:color w:val="auto"/>
              </w:rPr>
            </w:pPr>
          </w:p>
        </w:tc>
        <w:tc>
          <w:tcPr>
            <w:tcW w:w="800" w:type="dxa"/>
            <w:vAlign w:val="bottom"/>
            <w:shd w:val="clear" w:color="auto" w:fill="CFF0FC"/>
          </w:tcPr>
          <w:p>
            <w:pPr>
              <w:jc w:val="right"/>
              <w:spacing w:after="0"/>
              <w:rPr>
                <w:sz w:val="20"/>
                <w:szCs w:val="20"/>
                <w:color w:val="auto"/>
              </w:rPr>
            </w:pPr>
            <w:r>
              <w:rPr>
                <w:rFonts w:ascii="Arial" w:cs="Arial" w:eastAsia="Arial" w:hAnsi="Arial"/>
                <w:sz w:val="14"/>
                <w:szCs w:val="14"/>
                <w:color w:val="auto"/>
              </w:rPr>
              <w:t>-</w:t>
            </w:r>
          </w:p>
        </w:tc>
        <w:tc>
          <w:tcPr>
            <w:tcW w:w="200" w:type="dxa"/>
            <w:vAlign w:val="bottom"/>
            <w:shd w:val="clear" w:color="auto" w:fill="CFF0FC"/>
          </w:tcPr>
          <w:p>
            <w:pPr>
              <w:spacing w:after="0"/>
              <w:rPr>
                <w:sz w:val="14"/>
                <w:szCs w:val="14"/>
                <w:color w:val="auto"/>
              </w:rPr>
            </w:pPr>
          </w:p>
        </w:tc>
        <w:tc>
          <w:tcPr>
            <w:tcW w:w="800" w:type="dxa"/>
            <w:vAlign w:val="bottom"/>
            <w:shd w:val="clear" w:color="auto" w:fill="CFF0FC"/>
          </w:tcPr>
          <w:p>
            <w:pPr>
              <w:jc w:val="right"/>
              <w:spacing w:after="0"/>
              <w:rPr>
                <w:sz w:val="20"/>
                <w:szCs w:val="20"/>
                <w:color w:val="auto"/>
              </w:rPr>
            </w:pPr>
            <w:r>
              <w:rPr>
                <w:rFonts w:ascii="Arial" w:cs="Arial" w:eastAsia="Arial" w:hAnsi="Arial"/>
                <w:sz w:val="14"/>
                <w:szCs w:val="14"/>
                <w:color w:val="auto"/>
              </w:rPr>
              <w:t>4</w:t>
            </w:r>
          </w:p>
        </w:tc>
        <w:tc>
          <w:tcPr>
            <w:tcW w:w="220" w:type="dxa"/>
            <w:vAlign w:val="bottom"/>
            <w:shd w:val="clear" w:color="auto" w:fill="CFF0FC"/>
          </w:tcPr>
          <w:p>
            <w:pPr>
              <w:spacing w:after="0"/>
              <w:rPr>
                <w:sz w:val="14"/>
                <w:szCs w:val="14"/>
                <w:color w:val="auto"/>
              </w:rPr>
            </w:pPr>
          </w:p>
        </w:tc>
        <w:tc>
          <w:tcPr>
            <w:tcW w:w="820" w:type="dxa"/>
            <w:vAlign w:val="bottom"/>
            <w:shd w:val="clear" w:color="auto" w:fill="CFF0FC"/>
          </w:tcPr>
          <w:p>
            <w:pPr>
              <w:jc w:val="right"/>
              <w:spacing w:after="0"/>
              <w:rPr>
                <w:sz w:val="20"/>
                <w:szCs w:val="20"/>
                <w:color w:val="auto"/>
              </w:rPr>
            </w:pPr>
            <w:r>
              <w:rPr>
                <w:rFonts w:ascii="Arial" w:cs="Arial" w:eastAsia="Arial" w:hAnsi="Arial"/>
                <w:sz w:val="14"/>
                <w:szCs w:val="14"/>
                <w:color w:val="auto"/>
              </w:rPr>
              <w:t>-</w:t>
            </w:r>
          </w:p>
        </w:tc>
        <w:tc>
          <w:tcPr>
            <w:tcW w:w="200" w:type="dxa"/>
            <w:vAlign w:val="bottom"/>
            <w:shd w:val="clear" w:color="auto" w:fill="CFF0FC"/>
          </w:tcPr>
          <w:p>
            <w:pPr>
              <w:spacing w:after="0"/>
              <w:rPr>
                <w:sz w:val="14"/>
                <w:szCs w:val="14"/>
                <w:color w:val="auto"/>
              </w:rPr>
            </w:pPr>
          </w:p>
        </w:tc>
        <w:tc>
          <w:tcPr>
            <w:tcW w:w="840" w:type="dxa"/>
            <w:vAlign w:val="bottom"/>
            <w:shd w:val="clear" w:color="auto" w:fill="CFF0FC"/>
          </w:tcPr>
          <w:p>
            <w:pPr>
              <w:jc w:val="right"/>
              <w:spacing w:after="0"/>
              <w:rPr>
                <w:sz w:val="20"/>
                <w:szCs w:val="20"/>
                <w:color w:val="auto"/>
              </w:rPr>
            </w:pPr>
            <w:r>
              <w:rPr>
                <w:rFonts w:ascii="Arial" w:cs="Arial" w:eastAsia="Arial" w:hAnsi="Arial"/>
                <w:sz w:val="14"/>
                <w:szCs w:val="14"/>
                <w:color w:val="auto"/>
              </w:rPr>
              <w:t>-</w:t>
            </w:r>
          </w:p>
        </w:tc>
        <w:tc>
          <w:tcPr>
            <w:tcW w:w="1180" w:type="dxa"/>
            <w:vAlign w:val="bottom"/>
            <w:shd w:val="clear" w:color="auto" w:fill="CFF0FC"/>
          </w:tcPr>
          <w:p>
            <w:pPr>
              <w:jc w:val="center"/>
              <w:ind w:left="132"/>
              <w:spacing w:after="0"/>
              <w:rPr>
                <w:sz w:val="20"/>
                <w:szCs w:val="20"/>
                <w:color w:val="auto"/>
              </w:rPr>
            </w:pPr>
            <w:r>
              <w:rPr>
                <w:rFonts w:ascii="Arial" w:cs="Arial" w:eastAsia="Arial" w:hAnsi="Arial"/>
                <w:sz w:val="14"/>
                <w:szCs w:val="14"/>
                <w:color w:val="auto"/>
                <w:w w:val="88"/>
              </w:rPr>
              <w:t>$227 - $283</w:t>
            </w:r>
          </w:p>
        </w:tc>
      </w:tr>
      <w:tr>
        <w:trPr>
          <w:trHeight w:val="162"/>
        </w:trPr>
        <w:tc>
          <w:tcPr>
            <w:tcW w:w="3400" w:type="dxa"/>
            <w:vAlign w:val="bottom"/>
          </w:tcPr>
          <w:p>
            <w:pPr>
              <w:ind w:left="380"/>
              <w:spacing w:after="0"/>
              <w:rPr>
                <w:sz w:val="20"/>
                <w:szCs w:val="20"/>
                <w:color w:val="auto"/>
              </w:rPr>
            </w:pPr>
            <w:r>
              <w:rPr>
                <w:rFonts w:ascii="Arial" w:cs="Arial" w:eastAsia="Arial" w:hAnsi="Arial"/>
                <w:sz w:val="14"/>
                <w:szCs w:val="14"/>
                <w:color w:val="auto"/>
              </w:rPr>
              <w:t>North Peak</w:t>
            </w:r>
          </w:p>
        </w:tc>
        <w:tc>
          <w:tcPr>
            <w:tcW w:w="1940" w:type="dxa"/>
            <w:vAlign w:val="bottom"/>
          </w:tcPr>
          <w:p>
            <w:pPr>
              <w:ind w:left="1240"/>
              <w:spacing w:after="0"/>
              <w:rPr>
                <w:sz w:val="20"/>
                <w:szCs w:val="20"/>
                <w:color w:val="auto"/>
              </w:rPr>
            </w:pPr>
            <w:r>
              <w:rPr>
                <w:rFonts w:ascii="Arial" w:cs="Arial" w:eastAsia="Arial" w:hAnsi="Arial"/>
                <w:sz w:val="14"/>
                <w:szCs w:val="14"/>
                <w:color w:val="auto"/>
              </w:rPr>
              <w:t>2015</w:t>
            </w:r>
          </w:p>
        </w:tc>
        <w:tc>
          <w:tcPr>
            <w:tcW w:w="800" w:type="dxa"/>
            <w:vAlign w:val="bottom"/>
          </w:tcPr>
          <w:p>
            <w:pPr>
              <w:jc w:val="right"/>
              <w:spacing w:after="0"/>
              <w:rPr>
                <w:sz w:val="20"/>
                <w:szCs w:val="20"/>
                <w:color w:val="auto"/>
              </w:rPr>
            </w:pPr>
            <w:r>
              <w:rPr>
                <w:rFonts w:ascii="Arial" w:cs="Arial" w:eastAsia="Arial" w:hAnsi="Arial"/>
                <w:sz w:val="14"/>
                <w:szCs w:val="14"/>
                <w:color w:val="auto"/>
              </w:rPr>
              <w:t>150</w:t>
            </w:r>
          </w:p>
        </w:tc>
        <w:tc>
          <w:tcPr>
            <w:tcW w:w="220" w:type="dxa"/>
            <w:vAlign w:val="bottom"/>
          </w:tcPr>
          <w:p>
            <w:pPr>
              <w:spacing w:after="0"/>
              <w:rPr>
                <w:sz w:val="14"/>
                <w:szCs w:val="14"/>
                <w:color w:val="auto"/>
              </w:rPr>
            </w:pPr>
          </w:p>
        </w:tc>
        <w:tc>
          <w:tcPr>
            <w:tcW w:w="800" w:type="dxa"/>
            <w:vAlign w:val="bottom"/>
          </w:tcPr>
          <w:p>
            <w:pPr>
              <w:jc w:val="right"/>
              <w:spacing w:after="0"/>
              <w:rPr>
                <w:sz w:val="20"/>
                <w:szCs w:val="20"/>
                <w:color w:val="auto"/>
              </w:rPr>
            </w:pPr>
            <w:r>
              <w:rPr>
                <w:rFonts w:ascii="Arial" w:cs="Arial" w:eastAsia="Arial" w:hAnsi="Arial"/>
                <w:sz w:val="14"/>
                <w:szCs w:val="14"/>
                <w:color w:val="auto"/>
              </w:rPr>
              <w:t>-</w:t>
            </w:r>
          </w:p>
        </w:tc>
        <w:tc>
          <w:tcPr>
            <w:tcW w:w="200" w:type="dxa"/>
            <w:vAlign w:val="bottom"/>
          </w:tcPr>
          <w:p>
            <w:pPr>
              <w:spacing w:after="0"/>
              <w:rPr>
                <w:sz w:val="14"/>
                <w:szCs w:val="14"/>
                <w:color w:val="auto"/>
              </w:rPr>
            </w:pPr>
          </w:p>
        </w:tc>
        <w:tc>
          <w:tcPr>
            <w:tcW w:w="800" w:type="dxa"/>
            <w:vAlign w:val="bottom"/>
          </w:tcPr>
          <w:p>
            <w:pPr>
              <w:jc w:val="right"/>
              <w:spacing w:after="0"/>
              <w:rPr>
                <w:sz w:val="20"/>
                <w:szCs w:val="20"/>
                <w:color w:val="auto"/>
              </w:rPr>
            </w:pPr>
            <w:r>
              <w:rPr>
                <w:rFonts w:ascii="Arial" w:cs="Arial" w:eastAsia="Arial" w:hAnsi="Arial"/>
                <w:sz w:val="14"/>
                <w:szCs w:val="14"/>
                <w:color w:val="auto"/>
              </w:rPr>
              <w:t>150</w:t>
            </w:r>
          </w:p>
        </w:tc>
        <w:tc>
          <w:tcPr>
            <w:tcW w:w="220" w:type="dxa"/>
            <w:vAlign w:val="bottom"/>
          </w:tcPr>
          <w:p>
            <w:pPr>
              <w:spacing w:after="0"/>
              <w:rPr>
                <w:sz w:val="14"/>
                <w:szCs w:val="14"/>
                <w:color w:val="auto"/>
              </w:rPr>
            </w:pPr>
          </w:p>
        </w:tc>
        <w:tc>
          <w:tcPr>
            <w:tcW w:w="820" w:type="dxa"/>
            <w:vAlign w:val="bottom"/>
          </w:tcPr>
          <w:p>
            <w:pPr>
              <w:jc w:val="right"/>
              <w:spacing w:after="0"/>
              <w:rPr>
                <w:sz w:val="20"/>
                <w:szCs w:val="20"/>
                <w:color w:val="auto"/>
              </w:rPr>
            </w:pPr>
            <w:r>
              <w:rPr>
                <w:rFonts w:ascii="Arial" w:cs="Arial" w:eastAsia="Arial" w:hAnsi="Arial"/>
                <w:sz w:val="14"/>
                <w:szCs w:val="14"/>
                <w:color w:val="auto"/>
              </w:rPr>
              <w:t>-</w:t>
            </w:r>
          </w:p>
        </w:tc>
        <w:tc>
          <w:tcPr>
            <w:tcW w:w="200" w:type="dxa"/>
            <w:vAlign w:val="bottom"/>
          </w:tcPr>
          <w:p>
            <w:pPr>
              <w:spacing w:after="0"/>
              <w:rPr>
                <w:sz w:val="14"/>
                <w:szCs w:val="14"/>
                <w:color w:val="auto"/>
              </w:rPr>
            </w:pPr>
          </w:p>
        </w:tc>
        <w:tc>
          <w:tcPr>
            <w:tcW w:w="840" w:type="dxa"/>
            <w:vAlign w:val="bottom"/>
          </w:tcPr>
          <w:p>
            <w:pPr>
              <w:jc w:val="right"/>
              <w:spacing w:after="0"/>
              <w:rPr>
                <w:sz w:val="20"/>
                <w:szCs w:val="20"/>
                <w:color w:val="auto"/>
              </w:rPr>
            </w:pPr>
            <w:r>
              <w:rPr>
                <w:rFonts w:ascii="Arial" w:cs="Arial" w:eastAsia="Arial" w:hAnsi="Arial"/>
                <w:sz w:val="14"/>
                <w:szCs w:val="14"/>
                <w:color w:val="auto"/>
              </w:rPr>
              <w:t>-</w:t>
            </w:r>
          </w:p>
        </w:tc>
        <w:tc>
          <w:tcPr>
            <w:tcW w:w="1180" w:type="dxa"/>
            <w:vAlign w:val="bottom"/>
          </w:tcPr>
          <w:p>
            <w:pPr>
              <w:jc w:val="center"/>
              <w:ind w:left="132"/>
              <w:spacing w:after="0"/>
              <w:rPr>
                <w:sz w:val="20"/>
                <w:szCs w:val="20"/>
                <w:color w:val="auto"/>
              </w:rPr>
            </w:pPr>
            <w:r>
              <w:rPr>
                <w:rFonts w:ascii="Arial" w:cs="Arial" w:eastAsia="Arial" w:hAnsi="Arial"/>
                <w:sz w:val="14"/>
                <w:szCs w:val="14"/>
                <w:color w:val="auto"/>
                <w:w w:val="88"/>
              </w:rPr>
              <w:t>$255 - $306</w:t>
            </w:r>
          </w:p>
        </w:tc>
      </w:tr>
      <w:tr>
        <w:trPr>
          <w:trHeight w:val="162"/>
        </w:trPr>
        <w:tc>
          <w:tcPr>
            <w:tcW w:w="3400" w:type="dxa"/>
            <w:vAlign w:val="bottom"/>
            <w:shd w:val="clear" w:color="auto" w:fill="CFF0FC"/>
          </w:tcPr>
          <w:p>
            <w:pPr>
              <w:ind w:left="380"/>
              <w:spacing w:after="0"/>
              <w:rPr>
                <w:sz w:val="20"/>
                <w:szCs w:val="20"/>
                <w:color w:val="auto"/>
              </w:rPr>
            </w:pPr>
            <w:r>
              <w:rPr>
                <w:rFonts w:ascii="Arial" w:cs="Arial" w:eastAsia="Arial" w:hAnsi="Arial"/>
                <w:sz w:val="14"/>
                <w:szCs w:val="14"/>
                <w:color w:val="auto"/>
              </w:rPr>
              <w:t>Castle Rock</w:t>
            </w:r>
          </w:p>
        </w:tc>
        <w:tc>
          <w:tcPr>
            <w:tcW w:w="1940" w:type="dxa"/>
            <w:vAlign w:val="bottom"/>
            <w:shd w:val="clear" w:color="auto" w:fill="CFF0FC"/>
          </w:tcPr>
          <w:p>
            <w:pPr>
              <w:ind w:left="1240"/>
              <w:spacing w:after="0"/>
              <w:rPr>
                <w:sz w:val="20"/>
                <w:szCs w:val="20"/>
                <w:color w:val="auto"/>
              </w:rPr>
            </w:pPr>
            <w:r>
              <w:rPr>
                <w:rFonts w:ascii="Arial" w:cs="Arial" w:eastAsia="Arial" w:hAnsi="Arial"/>
                <w:sz w:val="14"/>
                <w:szCs w:val="14"/>
                <w:color w:val="auto"/>
              </w:rPr>
              <w:t>2015</w:t>
            </w:r>
          </w:p>
        </w:tc>
        <w:tc>
          <w:tcPr>
            <w:tcW w:w="800" w:type="dxa"/>
            <w:vAlign w:val="bottom"/>
            <w:shd w:val="clear" w:color="auto" w:fill="CFF0FC"/>
          </w:tcPr>
          <w:p>
            <w:pPr>
              <w:jc w:val="right"/>
              <w:spacing w:after="0"/>
              <w:rPr>
                <w:sz w:val="20"/>
                <w:szCs w:val="20"/>
                <w:color w:val="auto"/>
              </w:rPr>
            </w:pPr>
            <w:r>
              <w:rPr>
                <w:rFonts w:ascii="Arial" w:cs="Arial" w:eastAsia="Arial" w:hAnsi="Arial"/>
                <w:sz w:val="14"/>
                <w:szCs w:val="14"/>
                <w:color w:val="auto"/>
              </w:rPr>
              <w:t>150</w:t>
            </w:r>
          </w:p>
        </w:tc>
        <w:tc>
          <w:tcPr>
            <w:tcW w:w="220" w:type="dxa"/>
            <w:vAlign w:val="bottom"/>
            <w:shd w:val="clear" w:color="auto" w:fill="CFF0FC"/>
          </w:tcPr>
          <w:p>
            <w:pPr>
              <w:spacing w:after="0"/>
              <w:rPr>
                <w:sz w:val="14"/>
                <w:szCs w:val="14"/>
                <w:color w:val="auto"/>
              </w:rPr>
            </w:pPr>
          </w:p>
        </w:tc>
        <w:tc>
          <w:tcPr>
            <w:tcW w:w="800" w:type="dxa"/>
            <w:vAlign w:val="bottom"/>
            <w:shd w:val="clear" w:color="auto" w:fill="CFF0FC"/>
          </w:tcPr>
          <w:p>
            <w:pPr>
              <w:jc w:val="right"/>
              <w:spacing w:after="0"/>
              <w:rPr>
                <w:sz w:val="20"/>
                <w:szCs w:val="20"/>
                <w:color w:val="auto"/>
              </w:rPr>
            </w:pPr>
            <w:r>
              <w:rPr>
                <w:rFonts w:ascii="Arial" w:cs="Arial" w:eastAsia="Arial" w:hAnsi="Arial"/>
                <w:sz w:val="14"/>
                <w:szCs w:val="14"/>
                <w:color w:val="auto"/>
              </w:rPr>
              <w:t>-</w:t>
            </w:r>
          </w:p>
        </w:tc>
        <w:tc>
          <w:tcPr>
            <w:tcW w:w="200" w:type="dxa"/>
            <w:vAlign w:val="bottom"/>
            <w:shd w:val="clear" w:color="auto" w:fill="CFF0FC"/>
          </w:tcPr>
          <w:p>
            <w:pPr>
              <w:spacing w:after="0"/>
              <w:rPr>
                <w:sz w:val="14"/>
                <w:szCs w:val="14"/>
                <w:color w:val="auto"/>
              </w:rPr>
            </w:pPr>
          </w:p>
        </w:tc>
        <w:tc>
          <w:tcPr>
            <w:tcW w:w="800" w:type="dxa"/>
            <w:vAlign w:val="bottom"/>
            <w:shd w:val="clear" w:color="auto" w:fill="CFF0FC"/>
          </w:tcPr>
          <w:p>
            <w:pPr>
              <w:jc w:val="right"/>
              <w:spacing w:after="0"/>
              <w:rPr>
                <w:sz w:val="20"/>
                <w:szCs w:val="20"/>
                <w:color w:val="auto"/>
              </w:rPr>
            </w:pPr>
            <w:r>
              <w:rPr>
                <w:rFonts w:ascii="Arial" w:cs="Arial" w:eastAsia="Arial" w:hAnsi="Arial"/>
                <w:sz w:val="14"/>
                <w:szCs w:val="14"/>
                <w:color w:val="auto"/>
              </w:rPr>
              <w:t>150</w:t>
            </w:r>
          </w:p>
        </w:tc>
        <w:tc>
          <w:tcPr>
            <w:tcW w:w="220" w:type="dxa"/>
            <w:vAlign w:val="bottom"/>
            <w:shd w:val="clear" w:color="auto" w:fill="CFF0FC"/>
          </w:tcPr>
          <w:p>
            <w:pPr>
              <w:spacing w:after="0"/>
              <w:rPr>
                <w:sz w:val="14"/>
                <w:szCs w:val="14"/>
                <w:color w:val="auto"/>
              </w:rPr>
            </w:pPr>
          </w:p>
        </w:tc>
        <w:tc>
          <w:tcPr>
            <w:tcW w:w="820" w:type="dxa"/>
            <w:vAlign w:val="bottom"/>
            <w:shd w:val="clear" w:color="auto" w:fill="CFF0FC"/>
          </w:tcPr>
          <w:p>
            <w:pPr>
              <w:jc w:val="right"/>
              <w:spacing w:after="0"/>
              <w:rPr>
                <w:sz w:val="20"/>
                <w:szCs w:val="20"/>
                <w:color w:val="auto"/>
              </w:rPr>
            </w:pPr>
            <w:r>
              <w:rPr>
                <w:rFonts w:ascii="Arial" w:cs="Arial" w:eastAsia="Arial" w:hAnsi="Arial"/>
                <w:sz w:val="14"/>
                <w:szCs w:val="14"/>
                <w:color w:val="auto"/>
              </w:rPr>
              <w:t>-</w:t>
            </w:r>
          </w:p>
        </w:tc>
        <w:tc>
          <w:tcPr>
            <w:tcW w:w="200" w:type="dxa"/>
            <w:vAlign w:val="bottom"/>
            <w:shd w:val="clear" w:color="auto" w:fill="CFF0FC"/>
          </w:tcPr>
          <w:p>
            <w:pPr>
              <w:spacing w:after="0"/>
              <w:rPr>
                <w:sz w:val="14"/>
                <w:szCs w:val="14"/>
                <w:color w:val="auto"/>
              </w:rPr>
            </w:pPr>
          </w:p>
        </w:tc>
        <w:tc>
          <w:tcPr>
            <w:tcW w:w="840" w:type="dxa"/>
            <w:vAlign w:val="bottom"/>
            <w:shd w:val="clear" w:color="auto" w:fill="CFF0FC"/>
          </w:tcPr>
          <w:p>
            <w:pPr>
              <w:jc w:val="right"/>
              <w:spacing w:after="0"/>
              <w:rPr>
                <w:sz w:val="20"/>
                <w:szCs w:val="20"/>
                <w:color w:val="auto"/>
              </w:rPr>
            </w:pPr>
            <w:r>
              <w:rPr>
                <w:rFonts w:ascii="Arial" w:cs="Arial" w:eastAsia="Arial" w:hAnsi="Arial"/>
                <w:sz w:val="14"/>
                <w:szCs w:val="14"/>
                <w:color w:val="auto"/>
              </w:rPr>
              <w:t>-</w:t>
            </w:r>
          </w:p>
        </w:tc>
        <w:tc>
          <w:tcPr>
            <w:tcW w:w="1180" w:type="dxa"/>
            <w:vAlign w:val="bottom"/>
            <w:shd w:val="clear" w:color="auto" w:fill="CFF0FC"/>
          </w:tcPr>
          <w:p>
            <w:pPr>
              <w:jc w:val="center"/>
              <w:ind w:left="132"/>
              <w:spacing w:after="0"/>
              <w:rPr>
                <w:sz w:val="20"/>
                <w:szCs w:val="20"/>
                <w:color w:val="auto"/>
              </w:rPr>
            </w:pPr>
            <w:r>
              <w:rPr>
                <w:rFonts w:ascii="Arial" w:cs="Arial" w:eastAsia="Arial" w:hAnsi="Arial"/>
                <w:sz w:val="14"/>
                <w:szCs w:val="14"/>
                <w:color w:val="auto"/>
                <w:w w:val="88"/>
              </w:rPr>
              <w:t>$302 - $392</w:t>
            </w:r>
          </w:p>
        </w:tc>
      </w:tr>
      <w:tr>
        <w:trPr>
          <w:trHeight w:val="162"/>
        </w:trPr>
        <w:tc>
          <w:tcPr>
            <w:tcW w:w="3400" w:type="dxa"/>
            <w:vAlign w:val="bottom"/>
          </w:tcPr>
          <w:p>
            <w:pPr>
              <w:ind w:left="380"/>
              <w:spacing w:after="0"/>
              <w:rPr>
                <w:sz w:val="20"/>
                <w:szCs w:val="20"/>
                <w:color w:val="auto"/>
              </w:rPr>
            </w:pPr>
            <w:r>
              <w:rPr>
                <w:rFonts w:ascii="Arial" w:cs="Arial" w:eastAsia="Arial" w:hAnsi="Arial"/>
                <w:sz w:val="14"/>
                <w:szCs w:val="14"/>
                <w:color w:val="auto"/>
              </w:rPr>
              <w:t>Eldorado Future</w:t>
            </w:r>
          </w:p>
        </w:tc>
        <w:tc>
          <w:tcPr>
            <w:tcW w:w="1940" w:type="dxa"/>
            <w:vAlign w:val="bottom"/>
          </w:tcPr>
          <w:p>
            <w:pPr>
              <w:ind w:left="1240"/>
              <w:spacing w:after="0"/>
              <w:rPr>
                <w:sz w:val="20"/>
                <w:szCs w:val="20"/>
                <w:color w:val="auto"/>
              </w:rPr>
            </w:pPr>
            <w:r>
              <w:rPr>
                <w:rFonts w:ascii="Arial" w:cs="Arial" w:eastAsia="Arial" w:hAnsi="Arial"/>
                <w:sz w:val="14"/>
                <w:szCs w:val="14"/>
                <w:color w:val="auto"/>
              </w:rPr>
              <w:t>TBD</w:t>
            </w:r>
          </w:p>
        </w:tc>
        <w:tc>
          <w:tcPr>
            <w:tcW w:w="800" w:type="dxa"/>
            <w:vAlign w:val="bottom"/>
          </w:tcPr>
          <w:p>
            <w:pPr>
              <w:jc w:val="right"/>
              <w:spacing w:after="0"/>
              <w:rPr>
                <w:sz w:val="20"/>
                <w:szCs w:val="20"/>
                <w:color w:val="auto"/>
              </w:rPr>
            </w:pPr>
            <w:r>
              <w:rPr>
                <w:rFonts w:ascii="Arial" w:cs="Arial" w:eastAsia="Arial" w:hAnsi="Arial"/>
                <w:sz w:val="14"/>
                <w:szCs w:val="14"/>
                <w:color w:val="auto"/>
              </w:rPr>
              <w:t>145</w:t>
            </w:r>
          </w:p>
        </w:tc>
        <w:tc>
          <w:tcPr>
            <w:tcW w:w="220" w:type="dxa"/>
            <w:vAlign w:val="bottom"/>
          </w:tcPr>
          <w:p>
            <w:pPr>
              <w:spacing w:after="0"/>
              <w:rPr>
                <w:sz w:val="14"/>
                <w:szCs w:val="14"/>
                <w:color w:val="auto"/>
              </w:rPr>
            </w:pPr>
          </w:p>
        </w:tc>
        <w:tc>
          <w:tcPr>
            <w:tcW w:w="800" w:type="dxa"/>
            <w:vAlign w:val="bottom"/>
          </w:tcPr>
          <w:p>
            <w:pPr>
              <w:jc w:val="right"/>
              <w:spacing w:after="0"/>
              <w:rPr>
                <w:sz w:val="20"/>
                <w:szCs w:val="20"/>
                <w:color w:val="auto"/>
              </w:rPr>
            </w:pPr>
            <w:r>
              <w:rPr>
                <w:rFonts w:ascii="Arial" w:cs="Arial" w:eastAsia="Arial" w:hAnsi="Arial"/>
                <w:sz w:val="14"/>
                <w:szCs w:val="14"/>
                <w:color w:val="auto"/>
              </w:rPr>
              <w:t>-</w:t>
            </w:r>
          </w:p>
        </w:tc>
        <w:tc>
          <w:tcPr>
            <w:tcW w:w="200" w:type="dxa"/>
            <w:vAlign w:val="bottom"/>
          </w:tcPr>
          <w:p>
            <w:pPr>
              <w:spacing w:after="0"/>
              <w:rPr>
                <w:sz w:val="14"/>
                <w:szCs w:val="14"/>
                <w:color w:val="auto"/>
              </w:rPr>
            </w:pPr>
          </w:p>
        </w:tc>
        <w:tc>
          <w:tcPr>
            <w:tcW w:w="800" w:type="dxa"/>
            <w:vAlign w:val="bottom"/>
          </w:tcPr>
          <w:p>
            <w:pPr>
              <w:jc w:val="right"/>
              <w:spacing w:after="0"/>
              <w:rPr>
                <w:sz w:val="20"/>
                <w:szCs w:val="20"/>
                <w:color w:val="auto"/>
              </w:rPr>
            </w:pPr>
            <w:r>
              <w:rPr>
                <w:rFonts w:ascii="Arial" w:cs="Arial" w:eastAsia="Arial" w:hAnsi="Arial"/>
                <w:sz w:val="14"/>
                <w:szCs w:val="14"/>
                <w:color w:val="auto"/>
              </w:rPr>
              <w:t>145</w:t>
            </w:r>
          </w:p>
        </w:tc>
        <w:tc>
          <w:tcPr>
            <w:tcW w:w="220" w:type="dxa"/>
            <w:vAlign w:val="bottom"/>
          </w:tcPr>
          <w:p>
            <w:pPr>
              <w:spacing w:after="0"/>
              <w:rPr>
                <w:sz w:val="14"/>
                <w:szCs w:val="14"/>
                <w:color w:val="auto"/>
              </w:rPr>
            </w:pPr>
          </w:p>
        </w:tc>
        <w:tc>
          <w:tcPr>
            <w:tcW w:w="820" w:type="dxa"/>
            <w:vAlign w:val="bottom"/>
          </w:tcPr>
          <w:p>
            <w:pPr>
              <w:jc w:val="right"/>
              <w:spacing w:after="0"/>
              <w:rPr>
                <w:sz w:val="20"/>
                <w:szCs w:val="20"/>
                <w:color w:val="auto"/>
              </w:rPr>
            </w:pPr>
            <w:r>
              <w:rPr>
                <w:rFonts w:ascii="Arial" w:cs="Arial" w:eastAsia="Arial" w:hAnsi="Arial"/>
                <w:sz w:val="14"/>
                <w:szCs w:val="14"/>
                <w:color w:val="auto"/>
              </w:rPr>
              <w:t>-</w:t>
            </w:r>
          </w:p>
        </w:tc>
        <w:tc>
          <w:tcPr>
            <w:tcW w:w="200" w:type="dxa"/>
            <w:vAlign w:val="bottom"/>
          </w:tcPr>
          <w:p>
            <w:pPr>
              <w:spacing w:after="0"/>
              <w:rPr>
                <w:sz w:val="14"/>
                <w:szCs w:val="14"/>
                <w:color w:val="auto"/>
              </w:rPr>
            </w:pPr>
          </w:p>
        </w:tc>
        <w:tc>
          <w:tcPr>
            <w:tcW w:w="840" w:type="dxa"/>
            <w:vAlign w:val="bottom"/>
          </w:tcPr>
          <w:p>
            <w:pPr>
              <w:jc w:val="right"/>
              <w:spacing w:after="0"/>
              <w:rPr>
                <w:sz w:val="20"/>
                <w:szCs w:val="20"/>
                <w:color w:val="auto"/>
              </w:rPr>
            </w:pPr>
            <w:r>
              <w:rPr>
                <w:rFonts w:ascii="Arial" w:cs="Arial" w:eastAsia="Arial" w:hAnsi="Arial"/>
                <w:sz w:val="14"/>
                <w:szCs w:val="14"/>
                <w:color w:val="auto"/>
              </w:rPr>
              <w:t>-</w:t>
            </w:r>
          </w:p>
        </w:tc>
        <w:tc>
          <w:tcPr>
            <w:tcW w:w="1180" w:type="dxa"/>
            <w:vAlign w:val="bottom"/>
          </w:tcPr>
          <w:p>
            <w:pPr>
              <w:ind w:left="560"/>
              <w:spacing w:after="0"/>
              <w:rPr>
                <w:sz w:val="20"/>
                <w:szCs w:val="20"/>
                <w:color w:val="auto"/>
              </w:rPr>
            </w:pPr>
            <w:r>
              <w:rPr>
                <w:rFonts w:ascii="Arial" w:cs="Arial" w:eastAsia="Arial" w:hAnsi="Arial"/>
                <w:sz w:val="14"/>
                <w:szCs w:val="14"/>
                <w:color w:val="auto"/>
              </w:rPr>
              <w:t>TBD</w:t>
            </w:r>
          </w:p>
        </w:tc>
      </w:tr>
      <w:tr>
        <w:trPr>
          <w:trHeight w:val="162"/>
        </w:trPr>
        <w:tc>
          <w:tcPr>
            <w:tcW w:w="3400" w:type="dxa"/>
            <w:vAlign w:val="bottom"/>
            <w:shd w:val="clear" w:color="auto" w:fill="CFF0FC"/>
          </w:tcPr>
          <w:p>
            <w:pPr>
              <w:ind w:left="380"/>
              <w:spacing w:after="0"/>
              <w:rPr>
                <w:sz w:val="20"/>
                <w:szCs w:val="20"/>
                <w:color w:val="auto"/>
              </w:rPr>
            </w:pPr>
            <w:r>
              <w:rPr>
                <w:rFonts w:ascii="Arial" w:cs="Arial" w:eastAsia="Arial" w:hAnsi="Arial"/>
                <w:sz w:val="14"/>
                <w:szCs w:val="14"/>
                <w:color w:val="auto"/>
              </w:rPr>
              <w:t>Horizon Terrace</w:t>
            </w:r>
          </w:p>
        </w:tc>
        <w:tc>
          <w:tcPr>
            <w:tcW w:w="1940" w:type="dxa"/>
            <w:vAlign w:val="bottom"/>
            <w:shd w:val="clear" w:color="auto" w:fill="CFF0FC"/>
          </w:tcPr>
          <w:p>
            <w:pPr>
              <w:ind w:left="1240"/>
              <w:spacing w:after="0"/>
              <w:rPr>
                <w:sz w:val="20"/>
                <w:szCs w:val="20"/>
                <w:color w:val="auto"/>
              </w:rPr>
            </w:pPr>
            <w:r>
              <w:rPr>
                <w:rFonts w:ascii="Arial" w:cs="Arial" w:eastAsia="Arial" w:hAnsi="Arial"/>
                <w:sz w:val="14"/>
                <w:szCs w:val="14"/>
                <w:color w:val="auto"/>
              </w:rPr>
              <w:t>2014</w:t>
            </w:r>
          </w:p>
        </w:tc>
        <w:tc>
          <w:tcPr>
            <w:tcW w:w="800" w:type="dxa"/>
            <w:vAlign w:val="bottom"/>
            <w:shd w:val="clear" w:color="auto" w:fill="CFF0FC"/>
          </w:tcPr>
          <w:p>
            <w:pPr>
              <w:jc w:val="right"/>
              <w:spacing w:after="0"/>
              <w:rPr>
                <w:sz w:val="20"/>
                <w:szCs w:val="20"/>
                <w:color w:val="auto"/>
              </w:rPr>
            </w:pPr>
            <w:r>
              <w:rPr>
                <w:rFonts w:ascii="Arial" w:cs="Arial" w:eastAsia="Arial" w:hAnsi="Arial"/>
                <w:sz w:val="14"/>
                <w:szCs w:val="14"/>
                <w:color w:val="auto"/>
              </w:rPr>
              <w:t>165</w:t>
            </w:r>
          </w:p>
        </w:tc>
        <w:tc>
          <w:tcPr>
            <w:tcW w:w="220" w:type="dxa"/>
            <w:vAlign w:val="bottom"/>
            <w:shd w:val="clear" w:color="auto" w:fill="CFF0FC"/>
          </w:tcPr>
          <w:p>
            <w:pPr>
              <w:spacing w:after="0"/>
              <w:rPr>
                <w:sz w:val="14"/>
                <w:szCs w:val="14"/>
                <w:color w:val="auto"/>
              </w:rPr>
            </w:pPr>
          </w:p>
        </w:tc>
        <w:tc>
          <w:tcPr>
            <w:tcW w:w="800" w:type="dxa"/>
            <w:vAlign w:val="bottom"/>
            <w:shd w:val="clear" w:color="auto" w:fill="CFF0FC"/>
          </w:tcPr>
          <w:p>
            <w:pPr>
              <w:jc w:val="right"/>
              <w:spacing w:after="0"/>
              <w:rPr>
                <w:sz w:val="20"/>
                <w:szCs w:val="20"/>
                <w:color w:val="auto"/>
              </w:rPr>
            </w:pPr>
            <w:r>
              <w:rPr>
                <w:rFonts w:ascii="Arial" w:cs="Arial" w:eastAsia="Arial" w:hAnsi="Arial"/>
                <w:sz w:val="14"/>
                <w:szCs w:val="14"/>
                <w:color w:val="auto"/>
              </w:rPr>
              <w:t>29</w:t>
            </w:r>
          </w:p>
        </w:tc>
        <w:tc>
          <w:tcPr>
            <w:tcW w:w="200" w:type="dxa"/>
            <w:vAlign w:val="bottom"/>
            <w:shd w:val="clear" w:color="auto" w:fill="CFF0FC"/>
          </w:tcPr>
          <w:p>
            <w:pPr>
              <w:spacing w:after="0"/>
              <w:rPr>
                <w:sz w:val="14"/>
                <w:szCs w:val="14"/>
                <w:color w:val="auto"/>
              </w:rPr>
            </w:pPr>
          </w:p>
        </w:tc>
        <w:tc>
          <w:tcPr>
            <w:tcW w:w="800" w:type="dxa"/>
            <w:vAlign w:val="bottom"/>
            <w:shd w:val="clear" w:color="auto" w:fill="CFF0FC"/>
          </w:tcPr>
          <w:p>
            <w:pPr>
              <w:jc w:val="right"/>
              <w:spacing w:after="0"/>
              <w:rPr>
                <w:sz w:val="20"/>
                <w:szCs w:val="20"/>
                <w:color w:val="auto"/>
              </w:rPr>
            </w:pPr>
            <w:r>
              <w:rPr>
                <w:rFonts w:ascii="Arial" w:cs="Arial" w:eastAsia="Arial" w:hAnsi="Arial"/>
                <w:sz w:val="14"/>
                <w:szCs w:val="14"/>
                <w:color w:val="auto"/>
              </w:rPr>
              <w:t>136</w:t>
            </w:r>
          </w:p>
        </w:tc>
        <w:tc>
          <w:tcPr>
            <w:tcW w:w="220" w:type="dxa"/>
            <w:vAlign w:val="bottom"/>
            <w:shd w:val="clear" w:color="auto" w:fill="CFF0FC"/>
          </w:tcPr>
          <w:p>
            <w:pPr>
              <w:spacing w:after="0"/>
              <w:rPr>
                <w:sz w:val="14"/>
                <w:szCs w:val="14"/>
                <w:color w:val="auto"/>
              </w:rPr>
            </w:pPr>
          </w:p>
        </w:tc>
        <w:tc>
          <w:tcPr>
            <w:tcW w:w="820" w:type="dxa"/>
            <w:vAlign w:val="bottom"/>
            <w:shd w:val="clear" w:color="auto" w:fill="CFF0FC"/>
          </w:tcPr>
          <w:p>
            <w:pPr>
              <w:jc w:val="right"/>
              <w:spacing w:after="0"/>
              <w:rPr>
                <w:sz w:val="20"/>
                <w:szCs w:val="20"/>
                <w:color w:val="auto"/>
              </w:rPr>
            </w:pPr>
            <w:r>
              <w:rPr>
                <w:rFonts w:ascii="Arial" w:cs="Arial" w:eastAsia="Arial" w:hAnsi="Arial"/>
                <w:sz w:val="14"/>
                <w:szCs w:val="14"/>
                <w:color w:val="auto"/>
              </w:rPr>
              <w:t>15</w:t>
            </w:r>
          </w:p>
        </w:tc>
        <w:tc>
          <w:tcPr>
            <w:tcW w:w="200" w:type="dxa"/>
            <w:vAlign w:val="bottom"/>
            <w:shd w:val="clear" w:color="auto" w:fill="CFF0FC"/>
          </w:tcPr>
          <w:p>
            <w:pPr>
              <w:spacing w:after="0"/>
              <w:rPr>
                <w:sz w:val="14"/>
                <w:szCs w:val="14"/>
                <w:color w:val="auto"/>
              </w:rPr>
            </w:pPr>
          </w:p>
        </w:tc>
        <w:tc>
          <w:tcPr>
            <w:tcW w:w="840" w:type="dxa"/>
            <w:vAlign w:val="bottom"/>
            <w:shd w:val="clear" w:color="auto" w:fill="CFF0FC"/>
          </w:tcPr>
          <w:p>
            <w:pPr>
              <w:jc w:val="right"/>
              <w:spacing w:after="0"/>
              <w:rPr>
                <w:sz w:val="20"/>
                <w:szCs w:val="20"/>
                <w:color w:val="auto"/>
              </w:rPr>
            </w:pPr>
            <w:r>
              <w:rPr>
                <w:rFonts w:ascii="Arial" w:cs="Arial" w:eastAsia="Arial" w:hAnsi="Arial"/>
                <w:sz w:val="14"/>
                <w:szCs w:val="14"/>
                <w:color w:val="auto"/>
              </w:rPr>
              <w:t>1</w:t>
            </w:r>
          </w:p>
        </w:tc>
        <w:tc>
          <w:tcPr>
            <w:tcW w:w="1180" w:type="dxa"/>
            <w:vAlign w:val="bottom"/>
            <w:shd w:val="clear" w:color="auto" w:fill="CFF0FC"/>
          </w:tcPr>
          <w:p>
            <w:pPr>
              <w:jc w:val="center"/>
              <w:ind w:left="132"/>
              <w:spacing w:after="0"/>
              <w:rPr>
                <w:sz w:val="20"/>
                <w:szCs w:val="20"/>
                <w:color w:val="auto"/>
              </w:rPr>
            </w:pPr>
            <w:r>
              <w:rPr>
                <w:rFonts w:ascii="Arial" w:cs="Arial" w:eastAsia="Arial" w:hAnsi="Arial"/>
                <w:sz w:val="14"/>
                <w:szCs w:val="14"/>
                <w:color w:val="auto"/>
                <w:w w:val="87"/>
              </w:rPr>
              <w:t>$400- $455</w:t>
            </w:r>
          </w:p>
        </w:tc>
      </w:tr>
      <w:tr>
        <w:trPr>
          <w:trHeight w:val="162"/>
        </w:trPr>
        <w:tc>
          <w:tcPr>
            <w:tcW w:w="3400" w:type="dxa"/>
            <w:vAlign w:val="bottom"/>
          </w:tcPr>
          <w:p>
            <w:pPr>
              <w:ind w:left="380"/>
              <w:spacing w:after="0"/>
              <w:rPr>
                <w:sz w:val="20"/>
                <w:szCs w:val="20"/>
                <w:color w:val="auto"/>
              </w:rPr>
            </w:pPr>
            <w:r>
              <w:rPr>
                <w:rFonts w:ascii="Arial" w:cs="Arial" w:eastAsia="Arial" w:hAnsi="Arial"/>
                <w:sz w:val="14"/>
                <w:szCs w:val="14"/>
                <w:color w:val="auto"/>
              </w:rPr>
              <w:t>Solano</w:t>
            </w:r>
          </w:p>
        </w:tc>
        <w:tc>
          <w:tcPr>
            <w:tcW w:w="1940" w:type="dxa"/>
            <w:vAlign w:val="bottom"/>
          </w:tcPr>
          <w:p>
            <w:pPr>
              <w:ind w:left="1240"/>
              <w:spacing w:after="0"/>
              <w:rPr>
                <w:sz w:val="20"/>
                <w:szCs w:val="20"/>
                <w:color w:val="auto"/>
              </w:rPr>
            </w:pPr>
            <w:r>
              <w:rPr>
                <w:rFonts w:ascii="Arial" w:cs="Arial" w:eastAsia="Arial" w:hAnsi="Arial"/>
                <w:sz w:val="14"/>
                <w:szCs w:val="14"/>
                <w:color w:val="auto"/>
              </w:rPr>
              <w:t>2014</w:t>
            </w:r>
          </w:p>
        </w:tc>
        <w:tc>
          <w:tcPr>
            <w:tcW w:w="800" w:type="dxa"/>
            <w:vAlign w:val="bottom"/>
          </w:tcPr>
          <w:p>
            <w:pPr>
              <w:jc w:val="right"/>
              <w:spacing w:after="0"/>
              <w:rPr>
                <w:sz w:val="20"/>
                <w:szCs w:val="20"/>
                <w:color w:val="auto"/>
              </w:rPr>
            </w:pPr>
            <w:r>
              <w:rPr>
                <w:rFonts w:ascii="Arial" w:cs="Arial" w:eastAsia="Arial" w:hAnsi="Arial"/>
                <w:sz w:val="14"/>
                <w:szCs w:val="14"/>
                <w:color w:val="auto"/>
              </w:rPr>
              <w:t>132</w:t>
            </w:r>
          </w:p>
        </w:tc>
        <w:tc>
          <w:tcPr>
            <w:tcW w:w="220" w:type="dxa"/>
            <w:vAlign w:val="bottom"/>
          </w:tcPr>
          <w:p>
            <w:pPr>
              <w:spacing w:after="0"/>
              <w:rPr>
                <w:sz w:val="14"/>
                <w:szCs w:val="14"/>
                <w:color w:val="auto"/>
              </w:rPr>
            </w:pPr>
          </w:p>
        </w:tc>
        <w:tc>
          <w:tcPr>
            <w:tcW w:w="800" w:type="dxa"/>
            <w:vAlign w:val="bottom"/>
          </w:tcPr>
          <w:p>
            <w:pPr>
              <w:jc w:val="right"/>
              <w:spacing w:after="0"/>
              <w:rPr>
                <w:sz w:val="20"/>
                <w:szCs w:val="20"/>
                <w:color w:val="auto"/>
              </w:rPr>
            </w:pPr>
            <w:r>
              <w:rPr>
                <w:rFonts w:ascii="Arial" w:cs="Arial" w:eastAsia="Arial" w:hAnsi="Arial"/>
                <w:sz w:val="14"/>
                <w:szCs w:val="14"/>
                <w:color w:val="auto"/>
              </w:rPr>
              <w:t>14</w:t>
            </w:r>
          </w:p>
        </w:tc>
        <w:tc>
          <w:tcPr>
            <w:tcW w:w="200" w:type="dxa"/>
            <w:vAlign w:val="bottom"/>
          </w:tcPr>
          <w:p>
            <w:pPr>
              <w:spacing w:after="0"/>
              <w:rPr>
                <w:sz w:val="14"/>
                <w:szCs w:val="14"/>
                <w:color w:val="auto"/>
              </w:rPr>
            </w:pPr>
          </w:p>
        </w:tc>
        <w:tc>
          <w:tcPr>
            <w:tcW w:w="800" w:type="dxa"/>
            <w:vAlign w:val="bottom"/>
          </w:tcPr>
          <w:p>
            <w:pPr>
              <w:jc w:val="right"/>
              <w:spacing w:after="0"/>
              <w:rPr>
                <w:sz w:val="20"/>
                <w:szCs w:val="20"/>
                <w:color w:val="auto"/>
              </w:rPr>
            </w:pPr>
            <w:r>
              <w:rPr>
                <w:rFonts w:ascii="Arial" w:cs="Arial" w:eastAsia="Arial" w:hAnsi="Arial"/>
                <w:sz w:val="14"/>
                <w:szCs w:val="14"/>
                <w:color w:val="auto"/>
              </w:rPr>
              <w:t>118</w:t>
            </w:r>
          </w:p>
        </w:tc>
        <w:tc>
          <w:tcPr>
            <w:tcW w:w="220" w:type="dxa"/>
            <w:vAlign w:val="bottom"/>
          </w:tcPr>
          <w:p>
            <w:pPr>
              <w:spacing w:after="0"/>
              <w:rPr>
                <w:sz w:val="14"/>
                <w:szCs w:val="14"/>
                <w:color w:val="auto"/>
              </w:rPr>
            </w:pPr>
          </w:p>
        </w:tc>
        <w:tc>
          <w:tcPr>
            <w:tcW w:w="820" w:type="dxa"/>
            <w:vAlign w:val="bottom"/>
          </w:tcPr>
          <w:p>
            <w:pPr>
              <w:jc w:val="right"/>
              <w:spacing w:after="0"/>
              <w:rPr>
                <w:sz w:val="20"/>
                <w:szCs w:val="20"/>
                <w:color w:val="auto"/>
              </w:rPr>
            </w:pPr>
            <w:r>
              <w:rPr>
                <w:rFonts w:ascii="Arial" w:cs="Arial" w:eastAsia="Arial" w:hAnsi="Arial"/>
                <w:sz w:val="14"/>
                <w:szCs w:val="14"/>
                <w:color w:val="auto"/>
              </w:rPr>
              <w:t>12</w:t>
            </w:r>
          </w:p>
        </w:tc>
        <w:tc>
          <w:tcPr>
            <w:tcW w:w="200" w:type="dxa"/>
            <w:vAlign w:val="bottom"/>
          </w:tcPr>
          <w:p>
            <w:pPr>
              <w:spacing w:after="0"/>
              <w:rPr>
                <w:sz w:val="14"/>
                <w:szCs w:val="14"/>
                <w:color w:val="auto"/>
              </w:rPr>
            </w:pPr>
          </w:p>
        </w:tc>
        <w:tc>
          <w:tcPr>
            <w:tcW w:w="840" w:type="dxa"/>
            <w:vAlign w:val="bottom"/>
          </w:tcPr>
          <w:p>
            <w:pPr>
              <w:jc w:val="right"/>
              <w:spacing w:after="0"/>
              <w:rPr>
                <w:sz w:val="20"/>
                <w:szCs w:val="20"/>
                <w:color w:val="auto"/>
              </w:rPr>
            </w:pPr>
            <w:r>
              <w:rPr>
                <w:rFonts w:ascii="Arial" w:cs="Arial" w:eastAsia="Arial" w:hAnsi="Arial"/>
                <w:sz w:val="14"/>
                <w:szCs w:val="14"/>
                <w:color w:val="auto"/>
              </w:rPr>
              <w:t>9</w:t>
            </w:r>
          </w:p>
        </w:tc>
        <w:tc>
          <w:tcPr>
            <w:tcW w:w="1180" w:type="dxa"/>
            <w:vAlign w:val="bottom"/>
          </w:tcPr>
          <w:p>
            <w:pPr>
              <w:jc w:val="center"/>
              <w:ind w:left="132"/>
              <w:spacing w:after="0"/>
              <w:rPr>
                <w:sz w:val="20"/>
                <w:szCs w:val="20"/>
                <w:color w:val="auto"/>
              </w:rPr>
            </w:pPr>
            <w:r>
              <w:rPr>
                <w:rFonts w:ascii="Arial" w:cs="Arial" w:eastAsia="Arial" w:hAnsi="Arial"/>
                <w:sz w:val="14"/>
                <w:szCs w:val="14"/>
                <w:color w:val="auto"/>
                <w:w w:val="88"/>
              </w:rPr>
              <w:t>$289 - $312</w:t>
            </w:r>
          </w:p>
        </w:tc>
      </w:tr>
      <w:tr>
        <w:trPr>
          <w:trHeight w:val="162"/>
        </w:trPr>
        <w:tc>
          <w:tcPr>
            <w:tcW w:w="3400" w:type="dxa"/>
            <w:vAlign w:val="bottom"/>
            <w:shd w:val="clear" w:color="auto" w:fill="CFF0FC"/>
          </w:tcPr>
          <w:p>
            <w:pPr>
              <w:ind w:left="380"/>
              <w:spacing w:after="0"/>
              <w:rPr>
                <w:sz w:val="20"/>
                <w:szCs w:val="20"/>
                <w:color w:val="auto"/>
              </w:rPr>
            </w:pPr>
            <w:r>
              <w:rPr>
                <w:rFonts w:ascii="Arial" w:cs="Arial" w:eastAsia="Arial" w:hAnsi="Arial"/>
                <w:sz w:val="14"/>
                <w:szCs w:val="14"/>
                <w:color w:val="auto"/>
              </w:rPr>
              <w:t>Alterra</w:t>
            </w:r>
          </w:p>
        </w:tc>
        <w:tc>
          <w:tcPr>
            <w:tcW w:w="1940" w:type="dxa"/>
            <w:vAlign w:val="bottom"/>
            <w:shd w:val="clear" w:color="auto" w:fill="CFF0FC"/>
          </w:tcPr>
          <w:p>
            <w:pPr>
              <w:ind w:left="1240"/>
              <w:spacing w:after="0"/>
              <w:rPr>
                <w:sz w:val="20"/>
                <w:szCs w:val="20"/>
                <w:color w:val="auto"/>
              </w:rPr>
            </w:pPr>
            <w:r>
              <w:rPr>
                <w:rFonts w:ascii="Arial" w:cs="Arial" w:eastAsia="Arial" w:hAnsi="Arial"/>
                <w:sz w:val="14"/>
                <w:szCs w:val="14"/>
                <w:color w:val="auto"/>
              </w:rPr>
              <w:t>2014</w:t>
            </w:r>
          </w:p>
        </w:tc>
        <w:tc>
          <w:tcPr>
            <w:tcW w:w="800" w:type="dxa"/>
            <w:vAlign w:val="bottom"/>
            <w:shd w:val="clear" w:color="auto" w:fill="CFF0FC"/>
          </w:tcPr>
          <w:p>
            <w:pPr>
              <w:jc w:val="right"/>
              <w:spacing w:after="0"/>
              <w:rPr>
                <w:sz w:val="20"/>
                <w:szCs w:val="20"/>
                <w:color w:val="auto"/>
              </w:rPr>
            </w:pPr>
            <w:r>
              <w:rPr>
                <w:rFonts w:ascii="Arial" w:cs="Arial" w:eastAsia="Arial" w:hAnsi="Arial"/>
                <w:sz w:val="14"/>
                <w:szCs w:val="14"/>
                <w:color w:val="auto"/>
              </w:rPr>
              <w:t>106</w:t>
            </w:r>
          </w:p>
        </w:tc>
        <w:tc>
          <w:tcPr>
            <w:tcW w:w="220" w:type="dxa"/>
            <w:vAlign w:val="bottom"/>
            <w:shd w:val="clear" w:color="auto" w:fill="CFF0FC"/>
          </w:tcPr>
          <w:p>
            <w:pPr>
              <w:spacing w:after="0"/>
              <w:rPr>
                <w:sz w:val="14"/>
                <w:szCs w:val="14"/>
                <w:color w:val="auto"/>
              </w:rPr>
            </w:pPr>
          </w:p>
        </w:tc>
        <w:tc>
          <w:tcPr>
            <w:tcW w:w="800" w:type="dxa"/>
            <w:vAlign w:val="bottom"/>
            <w:shd w:val="clear" w:color="auto" w:fill="CFF0FC"/>
          </w:tcPr>
          <w:p>
            <w:pPr>
              <w:jc w:val="right"/>
              <w:spacing w:after="0"/>
              <w:rPr>
                <w:sz w:val="20"/>
                <w:szCs w:val="20"/>
                <w:color w:val="auto"/>
              </w:rPr>
            </w:pPr>
            <w:r>
              <w:rPr>
                <w:rFonts w:ascii="Arial" w:cs="Arial" w:eastAsia="Arial" w:hAnsi="Arial"/>
                <w:sz w:val="14"/>
                <w:szCs w:val="14"/>
                <w:color w:val="auto"/>
              </w:rPr>
              <w:t>4</w:t>
            </w:r>
          </w:p>
        </w:tc>
        <w:tc>
          <w:tcPr>
            <w:tcW w:w="200" w:type="dxa"/>
            <w:vAlign w:val="bottom"/>
            <w:shd w:val="clear" w:color="auto" w:fill="CFF0FC"/>
          </w:tcPr>
          <w:p>
            <w:pPr>
              <w:spacing w:after="0"/>
              <w:rPr>
                <w:sz w:val="14"/>
                <w:szCs w:val="14"/>
                <w:color w:val="auto"/>
              </w:rPr>
            </w:pPr>
          </w:p>
        </w:tc>
        <w:tc>
          <w:tcPr>
            <w:tcW w:w="800" w:type="dxa"/>
            <w:vAlign w:val="bottom"/>
            <w:shd w:val="clear" w:color="auto" w:fill="CFF0FC"/>
          </w:tcPr>
          <w:p>
            <w:pPr>
              <w:jc w:val="right"/>
              <w:spacing w:after="0"/>
              <w:rPr>
                <w:sz w:val="20"/>
                <w:szCs w:val="20"/>
                <w:color w:val="auto"/>
              </w:rPr>
            </w:pPr>
            <w:r>
              <w:rPr>
                <w:rFonts w:ascii="Arial" w:cs="Arial" w:eastAsia="Arial" w:hAnsi="Arial"/>
                <w:sz w:val="14"/>
                <w:szCs w:val="14"/>
                <w:color w:val="auto"/>
              </w:rPr>
              <w:t>102</w:t>
            </w:r>
          </w:p>
        </w:tc>
        <w:tc>
          <w:tcPr>
            <w:tcW w:w="220" w:type="dxa"/>
            <w:vAlign w:val="bottom"/>
            <w:shd w:val="clear" w:color="auto" w:fill="CFF0FC"/>
          </w:tcPr>
          <w:p>
            <w:pPr>
              <w:spacing w:after="0"/>
              <w:rPr>
                <w:sz w:val="14"/>
                <w:szCs w:val="14"/>
                <w:color w:val="auto"/>
              </w:rPr>
            </w:pPr>
          </w:p>
        </w:tc>
        <w:tc>
          <w:tcPr>
            <w:tcW w:w="820" w:type="dxa"/>
            <w:vAlign w:val="bottom"/>
            <w:shd w:val="clear" w:color="auto" w:fill="CFF0FC"/>
          </w:tcPr>
          <w:p>
            <w:pPr>
              <w:jc w:val="right"/>
              <w:spacing w:after="0"/>
              <w:rPr>
                <w:sz w:val="20"/>
                <w:szCs w:val="20"/>
                <w:color w:val="auto"/>
              </w:rPr>
            </w:pPr>
            <w:r>
              <w:rPr>
                <w:rFonts w:ascii="Arial" w:cs="Arial" w:eastAsia="Arial" w:hAnsi="Arial"/>
                <w:sz w:val="14"/>
                <w:szCs w:val="14"/>
                <w:color w:val="auto"/>
              </w:rPr>
              <w:t>15</w:t>
            </w:r>
          </w:p>
        </w:tc>
        <w:tc>
          <w:tcPr>
            <w:tcW w:w="200" w:type="dxa"/>
            <w:vAlign w:val="bottom"/>
            <w:shd w:val="clear" w:color="auto" w:fill="CFF0FC"/>
          </w:tcPr>
          <w:p>
            <w:pPr>
              <w:spacing w:after="0"/>
              <w:rPr>
                <w:sz w:val="14"/>
                <w:szCs w:val="14"/>
                <w:color w:val="auto"/>
              </w:rPr>
            </w:pPr>
          </w:p>
        </w:tc>
        <w:tc>
          <w:tcPr>
            <w:tcW w:w="840" w:type="dxa"/>
            <w:vAlign w:val="bottom"/>
            <w:shd w:val="clear" w:color="auto" w:fill="CFF0FC"/>
          </w:tcPr>
          <w:p>
            <w:pPr>
              <w:jc w:val="right"/>
              <w:spacing w:after="0"/>
              <w:rPr>
                <w:sz w:val="20"/>
                <w:szCs w:val="20"/>
                <w:color w:val="auto"/>
              </w:rPr>
            </w:pPr>
            <w:r>
              <w:rPr>
                <w:rFonts w:ascii="Arial" w:cs="Arial" w:eastAsia="Arial" w:hAnsi="Arial"/>
                <w:sz w:val="14"/>
                <w:szCs w:val="14"/>
                <w:color w:val="auto"/>
              </w:rPr>
              <w:t>4</w:t>
            </w:r>
          </w:p>
        </w:tc>
        <w:tc>
          <w:tcPr>
            <w:tcW w:w="1180" w:type="dxa"/>
            <w:vAlign w:val="bottom"/>
            <w:shd w:val="clear" w:color="auto" w:fill="CFF0FC"/>
          </w:tcPr>
          <w:p>
            <w:pPr>
              <w:jc w:val="center"/>
              <w:ind w:left="132"/>
              <w:spacing w:after="0"/>
              <w:rPr>
                <w:sz w:val="20"/>
                <w:szCs w:val="20"/>
                <w:color w:val="auto"/>
              </w:rPr>
            </w:pPr>
            <w:r>
              <w:rPr>
                <w:rFonts w:ascii="Arial" w:cs="Arial" w:eastAsia="Arial" w:hAnsi="Arial"/>
                <w:sz w:val="14"/>
                <w:szCs w:val="14"/>
                <w:color w:val="auto"/>
                <w:w w:val="88"/>
              </w:rPr>
              <w:t>$438 - $505</w:t>
            </w:r>
          </w:p>
        </w:tc>
      </w:tr>
      <w:tr>
        <w:trPr>
          <w:trHeight w:val="162"/>
        </w:trPr>
        <w:tc>
          <w:tcPr>
            <w:tcW w:w="3400" w:type="dxa"/>
            <w:vAlign w:val="bottom"/>
          </w:tcPr>
          <w:p>
            <w:pPr>
              <w:ind w:left="380"/>
              <w:spacing w:after="0"/>
              <w:rPr>
                <w:sz w:val="20"/>
                <w:szCs w:val="20"/>
                <w:color w:val="auto"/>
              </w:rPr>
            </w:pPr>
            <w:r>
              <w:rPr>
                <w:rFonts w:ascii="Arial" w:cs="Arial" w:eastAsia="Arial" w:hAnsi="Arial"/>
                <w:sz w:val="14"/>
                <w:szCs w:val="14"/>
                <w:color w:val="auto"/>
              </w:rPr>
              <w:t>Bella Verdi</w:t>
            </w:r>
          </w:p>
        </w:tc>
        <w:tc>
          <w:tcPr>
            <w:tcW w:w="1940" w:type="dxa"/>
            <w:vAlign w:val="bottom"/>
          </w:tcPr>
          <w:p>
            <w:pPr>
              <w:ind w:left="1240"/>
              <w:spacing w:after="0"/>
              <w:rPr>
                <w:sz w:val="20"/>
                <w:szCs w:val="20"/>
                <w:color w:val="auto"/>
              </w:rPr>
            </w:pPr>
            <w:r>
              <w:rPr>
                <w:rFonts w:ascii="Arial" w:cs="Arial" w:eastAsia="Arial" w:hAnsi="Arial"/>
                <w:sz w:val="14"/>
                <w:szCs w:val="14"/>
                <w:color w:val="auto"/>
              </w:rPr>
              <w:t>2015</w:t>
            </w:r>
          </w:p>
        </w:tc>
        <w:tc>
          <w:tcPr>
            <w:tcW w:w="800" w:type="dxa"/>
            <w:vAlign w:val="bottom"/>
          </w:tcPr>
          <w:p>
            <w:pPr>
              <w:jc w:val="right"/>
              <w:spacing w:after="0"/>
              <w:rPr>
                <w:sz w:val="20"/>
                <w:szCs w:val="20"/>
                <w:color w:val="auto"/>
              </w:rPr>
            </w:pPr>
            <w:r>
              <w:rPr>
                <w:rFonts w:ascii="Arial" w:cs="Arial" w:eastAsia="Arial" w:hAnsi="Arial"/>
                <w:sz w:val="14"/>
                <w:szCs w:val="14"/>
                <w:color w:val="auto"/>
              </w:rPr>
              <w:t>106</w:t>
            </w:r>
          </w:p>
        </w:tc>
        <w:tc>
          <w:tcPr>
            <w:tcW w:w="220" w:type="dxa"/>
            <w:vAlign w:val="bottom"/>
          </w:tcPr>
          <w:p>
            <w:pPr>
              <w:spacing w:after="0"/>
              <w:rPr>
                <w:sz w:val="14"/>
                <w:szCs w:val="14"/>
                <w:color w:val="auto"/>
              </w:rPr>
            </w:pPr>
          </w:p>
        </w:tc>
        <w:tc>
          <w:tcPr>
            <w:tcW w:w="800" w:type="dxa"/>
            <w:vAlign w:val="bottom"/>
          </w:tcPr>
          <w:p>
            <w:pPr>
              <w:jc w:val="right"/>
              <w:spacing w:after="0"/>
              <w:rPr>
                <w:sz w:val="20"/>
                <w:szCs w:val="20"/>
                <w:color w:val="auto"/>
              </w:rPr>
            </w:pPr>
            <w:r>
              <w:rPr>
                <w:rFonts w:ascii="Arial" w:cs="Arial" w:eastAsia="Arial" w:hAnsi="Arial"/>
                <w:sz w:val="14"/>
                <w:szCs w:val="14"/>
                <w:color w:val="auto"/>
              </w:rPr>
              <w:t>-</w:t>
            </w:r>
          </w:p>
        </w:tc>
        <w:tc>
          <w:tcPr>
            <w:tcW w:w="200" w:type="dxa"/>
            <w:vAlign w:val="bottom"/>
          </w:tcPr>
          <w:p>
            <w:pPr>
              <w:spacing w:after="0"/>
              <w:rPr>
                <w:sz w:val="14"/>
                <w:szCs w:val="14"/>
                <w:color w:val="auto"/>
              </w:rPr>
            </w:pPr>
          </w:p>
        </w:tc>
        <w:tc>
          <w:tcPr>
            <w:tcW w:w="800" w:type="dxa"/>
            <w:vAlign w:val="bottom"/>
          </w:tcPr>
          <w:p>
            <w:pPr>
              <w:jc w:val="right"/>
              <w:spacing w:after="0"/>
              <w:rPr>
                <w:sz w:val="20"/>
                <w:szCs w:val="20"/>
                <w:color w:val="auto"/>
              </w:rPr>
            </w:pPr>
            <w:r>
              <w:rPr>
                <w:rFonts w:ascii="Arial" w:cs="Arial" w:eastAsia="Arial" w:hAnsi="Arial"/>
                <w:sz w:val="14"/>
                <w:szCs w:val="14"/>
                <w:color w:val="auto"/>
              </w:rPr>
              <w:t>106</w:t>
            </w:r>
          </w:p>
        </w:tc>
        <w:tc>
          <w:tcPr>
            <w:tcW w:w="220" w:type="dxa"/>
            <w:vAlign w:val="bottom"/>
          </w:tcPr>
          <w:p>
            <w:pPr>
              <w:spacing w:after="0"/>
              <w:rPr>
                <w:sz w:val="14"/>
                <w:szCs w:val="14"/>
                <w:color w:val="auto"/>
              </w:rPr>
            </w:pPr>
          </w:p>
        </w:tc>
        <w:tc>
          <w:tcPr>
            <w:tcW w:w="820" w:type="dxa"/>
            <w:vAlign w:val="bottom"/>
          </w:tcPr>
          <w:p>
            <w:pPr>
              <w:jc w:val="right"/>
              <w:spacing w:after="0"/>
              <w:rPr>
                <w:sz w:val="20"/>
                <w:szCs w:val="20"/>
                <w:color w:val="auto"/>
              </w:rPr>
            </w:pPr>
            <w:r>
              <w:rPr>
                <w:rFonts w:ascii="Arial" w:cs="Arial" w:eastAsia="Arial" w:hAnsi="Arial"/>
                <w:sz w:val="14"/>
                <w:szCs w:val="14"/>
                <w:color w:val="auto"/>
              </w:rPr>
              <w:t>-</w:t>
            </w:r>
          </w:p>
        </w:tc>
        <w:tc>
          <w:tcPr>
            <w:tcW w:w="200" w:type="dxa"/>
            <w:vAlign w:val="bottom"/>
          </w:tcPr>
          <w:p>
            <w:pPr>
              <w:spacing w:after="0"/>
              <w:rPr>
                <w:sz w:val="14"/>
                <w:szCs w:val="14"/>
                <w:color w:val="auto"/>
              </w:rPr>
            </w:pPr>
          </w:p>
        </w:tc>
        <w:tc>
          <w:tcPr>
            <w:tcW w:w="840" w:type="dxa"/>
            <w:vAlign w:val="bottom"/>
          </w:tcPr>
          <w:p>
            <w:pPr>
              <w:jc w:val="right"/>
              <w:spacing w:after="0"/>
              <w:rPr>
                <w:sz w:val="20"/>
                <w:szCs w:val="20"/>
                <w:color w:val="auto"/>
              </w:rPr>
            </w:pPr>
            <w:r>
              <w:rPr>
                <w:rFonts w:ascii="Arial" w:cs="Arial" w:eastAsia="Arial" w:hAnsi="Arial"/>
                <w:sz w:val="14"/>
                <w:szCs w:val="14"/>
                <w:color w:val="auto"/>
              </w:rPr>
              <w:t>-</w:t>
            </w:r>
          </w:p>
        </w:tc>
        <w:tc>
          <w:tcPr>
            <w:tcW w:w="1180" w:type="dxa"/>
            <w:vAlign w:val="bottom"/>
          </w:tcPr>
          <w:p>
            <w:pPr>
              <w:jc w:val="center"/>
              <w:ind w:left="132"/>
              <w:spacing w:after="0"/>
              <w:rPr>
                <w:sz w:val="20"/>
                <w:szCs w:val="20"/>
                <w:color w:val="auto"/>
              </w:rPr>
            </w:pPr>
            <w:r>
              <w:rPr>
                <w:rFonts w:ascii="Arial" w:cs="Arial" w:eastAsia="Arial" w:hAnsi="Arial"/>
                <w:sz w:val="14"/>
                <w:szCs w:val="14"/>
                <w:color w:val="auto"/>
                <w:w w:val="88"/>
              </w:rPr>
              <w:t>$375 - $420</w:t>
            </w:r>
          </w:p>
        </w:tc>
      </w:tr>
      <w:tr>
        <w:trPr>
          <w:trHeight w:val="162"/>
        </w:trPr>
        <w:tc>
          <w:tcPr>
            <w:tcW w:w="3400" w:type="dxa"/>
            <w:vAlign w:val="bottom"/>
            <w:shd w:val="clear" w:color="auto" w:fill="CFF0FC"/>
          </w:tcPr>
          <w:p>
            <w:pPr>
              <w:ind w:left="380"/>
              <w:spacing w:after="0"/>
              <w:rPr>
                <w:sz w:val="20"/>
                <w:szCs w:val="20"/>
                <w:color w:val="auto"/>
              </w:rPr>
            </w:pPr>
            <w:r>
              <w:rPr>
                <w:rFonts w:ascii="Arial" w:cs="Arial" w:eastAsia="Arial" w:hAnsi="Arial"/>
                <w:sz w:val="14"/>
                <w:szCs w:val="14"/>
                <w:color w:val="auto"/>
              </w:rPr>
              <w:t>Milennial</w:t>
            </w:r>
          </w:p>
        </w:tc>
        <w:tc>
          <w:tcPr>
            <w:tcW w:w="1940" w:type="dxa"/>
            <w:vAlign w:val="bottom"/>
            <w:shd w:val="clear" w:color="auto" w:fill="CFF0FC"/>
          </w:tcPr>
          <w:p>
            <w:pPr>
              <w:ind w:left="1240"/>
              <w:spacing w:after="0"/>
              <w:rPr>
                <w:sz w:val="20"/>
                <w:szCs w:val="20"/>
                <w:color w:val="auto"/>
              </w:rPr>
            </w:pPr>
            <w:r>
              <w:rPr>
                <w:rFonts w:ascii="Arial" w:cs="Arial" w:eastAsia="Arial" w:hAnsi="Arial"/>
                <w:sz w:val="14"/>
                <w:szCs w:val="14"/>
                <w:color w:val="auto"/>
              </w:rPr>
              <w:t>TBD</w:t>
            </w:r>
          </w:p>
        </w:tc>
        <w:tc>
          <w:tcPr>
            <w:tcW w:w="800" w:type="dxa"/>
            <w:vAlign w:val="bottom"/>
            <w:shd w:val="clear" w:color="auto" w:fill="CFF0FC"/>
          </w:tcPr>
          <w:p>
            <w:pPr>
              <w:jc w:val="right"/>
              <w:spacing w:after="0"/>
              <w:rPr>
                <w:sz w:val="20"/>
                <w:szCs w:val="20"/>
                <w:color w:val="auto"/>
              </w:rPr>
            </w:pPr>
            <w:r>
              <w:rPr>
                <w:rFonts w:ascii="Arial" w:cs="Arial" w:eastAsia="Arial" w:hAnsi="Arial"/>
                <w:sz w:val="14"/>
                <w:szCs w:val="14"/>
                <w:color w:val="auto"/>
              </w:rPr>
              <w:t>2</w:t>
            </w:r>
          </w:p>
        </w:tc>
        <w:tc>
          <w:tcPr>
            <w:tcW w:w="220" w:type="dxa"/>
            <w:vAlign w:val="bottom"/>
            <w:shd w:val="clear" w:color="auto" w:fill="CFF0FC"/>
          </w:tcPr>
          <w:p>
            <w:pPr>
              <w:spacing w:after="0"/>
              <w:rPr>
                <w:sz w:val="14"/>
                <w:szCs w:val="14"/>
                <w:color w:val="auto"/>
              </w:rPr>
            </w:pPr>
          </w:p>
        </w:tc>
        <w:tc>
          <w:tcPr>
            <w:tcW w:w="800" w:type="dxa"/>
            <w:vAlign w:val="bottom"/>
            <w:shd w:val="clear" w:color="auto" w:fill="CFF0FC"/>
          </w:tcPr>
          <w:p>
            <w:pPr>
              <w:jc w:val="right"/>
              <w:spacing w:after="0"/>
              <w:rPr>
                <w:sz w:val="20"/>
                <w:szCs w:val="20"/>
                <w:color w:val="auto"/>
              </w:rPr>
            </w:pPr>
            <w:r>
              <w:rPr>
                <w:rFonts w:ascii="Arial" w:cs="Arial" w:eastAsia="Arial" w:hAnsi="Arial"/>
                <w:sz w:val="14"/>
                <w:szCs w:val="14"/>
                <w:color w:val="auto"/>
              </w:rPr>
              <w:t>-</w:t>
            </w:r>
          </w:p>
        </w:tc>
        <w:tc>
          <w:tcPr>
            <w:tcW w:w="200" w:type="dxa"/>
            <w:vAlign w:val="bottom"/>
            <w:shd w:val="clear" w:color="auto" w:fill="CFF0FC"/>
          </w:tcPr>
          <w:p>
            <w:pPr>
              <w:spacing w:after="0"/>
              <w:rPr>
                <w:sz w:val="14"/>
                <w:szCs w:val="14"/>
                <w:color w:val="auto"/>
              </w:rPr>
            </w:pPr>
          </w:p>
        </w:tc>
        <w:tc>
          <w:tcPr>
            <w:tcW w:w="800" w:type="dxa"/>
            <w:vAlign w:val="bottom"/>
            <w:shd w:val="clear" w:color="auto" w:fill="CFF0FC"/>
          </w:tcPr>
          <w:p>
            <w:pPr>
              <w:jc w:val="right"/>
              <w:spacing w:after="0"/>
              <w:rPr>
                <w:sz w:val="20"/>
                <w:szCs w:val="20"/>
                <w:color w:val="auto"/>
              </w:rPr>
            </w:pPr>
            <w:r>
              <w:rPr>
                <w:rFonts w:ascii="Arial" w:cs="Arial" w:eastAsia="Arial" w:hAnsi="Arial"/>
                <w:sz w:val="14"/>
                <w:szCs w:val="14"/>
                <w:color w:val="auto"/>
              </w:rPr>
              <w:t>2</w:t>
            </w:r>
          </w:p>
        </w:tc>
        <w:tc>
          <w:tcPr>
            <w:tcW w:w="220" w:type="dxa"/>
            <w:vAlign w:val="bottom"/>
            <w:shd w:val="clear" w:color="auto" w:fill="CFF0FC"/>
          </w:tcPr>
          <w:p>
            <w:pPr>
              <w:spacing w:after="0"/>
              <w:rPr>
                <w:sz w:val="14"/>
                <w:szCs w:val="14"/>
                <w:color w:val="auto"/>
              </w:rPr>
            </w:pPr>
          </w:p>
        </w:tc>
        <w:tc>
          <w:tcPr>
            <w:tcW w:w="820" w:type="dxa"/>
            <w:vAlign w:val="bottom"/>
            <w:shd w:val="clear" w:color="auto" w:fill="CFF0FC"/>
          </w:tcPr>
          <w:p>
            <w:pPr>
              <w:jc w:val="right"/>
              <w:spacing w:after="0"/>
              <w:rPr>
                <w:sz w:val="20"/>
                <w:szCs w:val="20"/>
                <w:color w:val="auto"/>
              </w:rPr>
            </w:pPr>
            <w:r>
              <w:rPr>
                <w:rFonts w:ascii="Arial" w:cs="Arial" w:eastAsia="Arial" w:hAnsi="Arial"/>
                <w:sz w:val="14"/>
                <w:szCs w:val="14"/>
                <w:color w:val="auto"/>
              </w:rPr>
              <w:t>-</w:t>
            </w:r>
          </w:p>
        </w:tc>
        <w:tc>
          <w:tcPr>
            <w:tcW w:w="200" w:type="dxa"/>
            <w:vAlign w:val="bottom"/>
            <w:shd w:val="clear" w:color="auto" w:fill="CFF0FC"/>
          </w:tcPr>
          <w:p>
            <w:pPr>
              <w:spacing w:after="0"/>
              <w:rPr>
                <w:sz w:val="14"/>
                <w:szCs w:val="14"/>
                <w:color w:val="auto"/>
              </w:rPr>
            </w:pPr>
          </w:p>
        </w:tc>
        <w:tc>
          <w:tcPr>
            <w:tcW w:w="840" w:type="dxa"/>
            <w:vAlign w:val="bottom"/>
            <w:shd w:val="clear" w:color="auto" w:fill="CFF0FC"/>
          </w:tcPr>
          <w:p>
            <w:pPr>
              <w:jc w:val="right"/>
              <w:spacing w:after="0"/>
              <w:rPr>
                <w:sz w:val="20"/>
                <w:szCs w:val="20"/>
                <w:color w:val="auto"/>
              </w:rPr>
            </w:pPr>
            <w:r>
              <w:rPr>
                <w:rFonts w:ascii="Arial" w:cs="Arial" w:eastAsia="Arial" w:hAnsi="Arial"/>
                <w:sz w:val="14"/>
                <w:szCs w:val="14"/>
                <w:color w:val="auto"/>
              </w:rPr>
              <w:t>-</w:t>
            </w:r>
          </w:p>
        </w:tc>
        <w:tc>
          <w:tcPr>
            <w:tcW w:w="1180" w:type="dxa"/>
            <w:vAlign w:val="bottom"/>
            <w:shd w:val="clear" w:color="auto" w:fill="CFF0FC"/>
          </w:tcPr>
          <w:p>
            <w:pPr>
              <w:ind w:left="560"/>
              <w:spacing w:after="0"/>
              <w:rPr>
                <w:sz w:val="20"/>
                <w:szCs w:val="20"/>
                <w:color w:val="auto"/>
              </w:rPr>
            </w:pPr>
            <w:r>
              <w:rPr>
                <w:rFonts w:ascii="Arial" w:cs="Arial" w:eastAsia="Arial" w:hAnsi="Arial"/>
                <w:sz w:val="14"/>
                <w:szCs w:val="14"/>
                <w:color w:val="auto"/>
              </w:rPr>
              <w:t>TBD</w:t>
            </w:r>
          </w:p>
        </w:tc>
      </w:tr>
      <w:tr>
        <w:trPr>
          <w:trHeight w:val="162"/>
        </w:trPr>
        <w:tc>
          <w:tcPr>
            <w:tcW w:w="3400" w:type="dxa"/>
            <w:vAlign w:val="bottom"/>
          </w:tcPr>
          <w:p>
            <w:pPr>
              <w:ind w:left="380"/>
              <w:spacing w:after="0"/>
              <w:rPr>
                <w:sz w:val="20"/>
                <w:szCs w:val="20"/>
                <w:color w:val="auto"/>
              </w:rPr>
            </w:pPr>
            <w:r>
              <w:rPr>
                <w:rFonts w:ascii="Arial" w:cs="Arial" w:eastAsia="Arial" w:hAnsi="Arial"/>
                <w:sz w:val="14"/>
                <w:szCs w:val="14"/>
                <w:color w:val="auto"/>
              </w:rPr>
              <w:t>Escala</w:t>
            </w:r>
          </w:p>
        </w:tc>
        <w:tc>
          <w:tcPr>
            <w:tcW w:w="1940" w:type="dxa"/>
            <w:vAlign w:val="bottom"/>
          </w:tcPr>
          <w:p>
            <w:pPr>
              <w:ind w:left="1240"/>
              <w:spacing w:after="0"/>
              <w:rPr>
                <w:sz w:val="20"/>
                <w:szCs w:val="20"/>
                <w:color w:val="auto"/>
              </w:rPr>
            </w:pPr>
            <w:r>
              <w:rPr>
                <w:rFonts w:ascii="Arial" w:cs="Arial" w:eastAsia="Arial" w:hAnsi="Arial"/>
                <w:sz w:val="14"/>
                <w:szCs w:val="14"/>
                <w:color w:val="auto"/>
              </w:rPr>
              <w:t>2016</w:t>
            </w:r>
          </w:p>
        </w:tc>
        <w:tc>
          <w:tcPr>
            <w:tcW w:w="800" w:type="dxa"/>
            <w:vAlign w:val="bottom"/>
          </w:tcPr>
          <w:p>
            <w:pPr>
              <w:jc w:val="right"/>
              <w:spacing w:after="0"/>
              <w:rPr>
                <w:sz w:val="20"/>
                <w:szCs w:val="20"/>
                <w:color w:val="auto"/>
              </w:rPr>
            </w:pPr>
            <w:r>
              <w:rPr>
                <w:rFonts w:ascii="Arial" w:cs="Arial" w:eastAsia="Arial" w:hAnsi="Arial"/>
                <w:sz w:val="14"/>
                <w:szCs w:val="14"/>
                <w:color w:val="auto"/>
              </w:rPr>
              <w:t>78</w:t>
            </w:r>
          </w:p>
        </w:tc>
        <w:tc>
          <w:tcPr>
            <w:tcW w:w="220" w:type="dxa"/>
            <w:vAlign w:val="bottom"/>
          </w:tcPr>
          <w:p>
            <w:pPr>
              <w:spacing w:after="0"/>
              <w:rPr>
                <w:sz w:val="14"/>
                <w:szCs w:val="14"/>
                <w:color w:val="auto"/>
              </w:rPr>
            </w:pPr>
          </w:p>
        </w:tc>
        <w:tc>
          <w:tcPr>
            <w:tcW w:w="800" w:type="dxa"/>
            <w:vAlign w:val="bottom"/>
          </w:tcPr>
          <w:p>
            <w:pPr>
              <w:jc w:val="right"/>
              <w:spacing w:after="0"/>
              <w:rPr>
                <w:sz w:val="20"/>
                <w:szCs w:val="20"/>
                <w:color w:val="auto"/>
              </w:rPr>
            </w:pPr>
            <w:r>
              <w:rPr>
                <w:rFonts w:ascii="Arial" w:cs="Arial" w:eastAsia="Arial" w:hAnsi="Arial"/>
                <w:sz w:val="14"/>
                <w:szCs w:val="14"/>
                <w:color w:val="auto"/>
              </w:rPr>
              <w:t>-</w:t>
            </w:r>
          </w:p>
        </w:tc>
        <w:tc>
          <w:tcPr>
            <w:tcW w:w="200" w:type="dxa"/>
            <w:vAlign w:val="bottom"/>
          </w:tcPr>
          <w:p>
            <w:pPr>
              <w:spacing w:after="0"/>
              <w:rPr>
                <w:sz w:val="14"/>
                <w:szCs w:val="14"/>
                <w:color w:val="auto"/>
              </w:rPr>
            </w:pPr>
          </w:p>
        </w:tc>
        <w:tc>
          <w:tcPr>
            <w:tcW w:w="800" w:type="dxa"/>
            <w:vAlign w:val="bottom"/>
          </w:tcPr>
          <w:p>
            <w:pPr>
              <w:jc w:val="right"/>
              <w:spacing w:after="0"/>
              <w:rPr>
                <w:sz w:val="20"/>
                <w:szCs w:val="20"/>
                <w:color w:val="auto"/>
              </w:rPr>
            </w:pPr>
            <w:r>
              <w:rPr>
                <w:rFonts w:ascii="Arial" w:cs="Arial" w:eastAsia="Arial" w:hAnsi="Arial"/>
                <w:sz w:val="14"/>
                <w:szCs w:val="14"/>
                <w:color w:val="auto"/>
              </w:rPr>
              <w:t>78</w:t>
            </w:r>
          </w:p>
        </w:tc>
        <w:tc>
          <w:tcPr>
            <w:tcW w:w="220" w:type="dxa"/>
            <w:vAlign w:val="bottom"/>
          </w:tcPr>
          <w:p>
            <w:pPr>
              <w:spacing w:after="0"/>
              <w:rPr>
                <w:sz w:val="14"/>
                <w:szCs w:val="14"/>
                <w:color w:val="auto"/>
              </w:rPr>
            </w:pPr>
          </w:p>
        </w:tc>
        <w:tc>
          <w:tcPr>
            <w:tcW w:w="820" w:type="dxa"/>
            <w:vAlign w:val="bottom"/>
          </w:tcPr>
          <w:p>
            <w:pPr>
              <w:jc w:val="right"/>
              <w:spacing w:after="0"/>
              <w:rPr>
                <w:sz w:val="20"/>
                <w:szCs w:val="20"/>
                <w:color w:val="auto"/>
              </w:rPr>
            </w:pPr>
            <w:r>
              <w:rPr>
                <w:rFonts w:ascii="Arial" w:cs="Arial" w:eastAsia="Arial" w:hAnsi="Arial"/>
                <w:sz w:val="14"/>
                <w:szCs w:val="14"/>
                <w:color w:val="auto"/>
              </w:rPr>
              <w:t>-</w:t>
            </w:r>
          </w:p>
        </w:tc>
        <w:tc>
          <w:tcPr>
            <w:tcW w:w="200" w:type="dxa"/>
            <w:vAlign w:val="bottom"/>
          </w:tcPr>
          <w:p>
            <w:pPr>
              <w:spacing w:after="0"/>
              <w:rPr>
                <w:sz w:val="14"/>
                <w:szCs w:val="14"/>
                <w:color w:val="auto"/>
              </w:rPr>
            </w:pPr>
          </w:p>
        </w:tc>
        <w:tc>
          <w:tcPr>
            <w:tcW w:w="840" w:type="dxa"/>
            <w:vAlign w:val="bottom"/>
          </w:tcPr>
          <w:p>
            <w:pPr>
              <w:jc w:val="right"/>
              <w:spacing w:after="0"/>
              <w:rPr>
                <w:sz w:val="20"/>
                <w:szCs w:val="20"/>
                <w:color w:val="auto"/>
              </w:rPr>
            </w:pPr>
            <w:r>
              <w:rPr>
                <w:rFonts w:ascii="Arial" w:cs="Arial" w:eastAsia="Arial" w:hAnsi="Arial"/>
                <w:sz w:val="14"/>
                <w:szCs w:val="14"/>
                <w:color w:val="auto"/>
              </w:rPr>
              <w:t>-</w:t>
            </w:r>
          </w:p>
        </w:tc>
        <w:tc>
          <w:tcPr>
            <w:tcW w:w="1180" w:type="dxa"/>
            <w:vAlign w:val="bottom"/>
          </w:tcPr>
          <w:p>
            <w:pPr>
              <w:jc w:val="center"/>
              <w:ind w:left="132"/>
              <w:spacing w:after="0"/>
              <w:rPr>
                <w:sz w:val="20"/>
                <w:szCs w:val="20"/>
                <w:color w:val="auto"/>
              </w:rPr>
            </w:pPr>
            <w:r>
              <w:rPr>
                <w:rFonts w:ascii="Arial" w:cs="Arial" w:eastAsia="Arial" w:hAnsi="Arial"/>
                <w:sz w:val="14"/>
                <w:szCs w:val="14"/>
                <w:color w:val="auto"/>
                <w:w w:val="88"/>
              </w:rPr>
              <w:t>$545 - $591</w:t>
            </w:r>
          </w:p>
        </w:tc>
      </w:tr>
      <w:tr>
        <w:trPr>
          <w:trHeight w:val="162"/>
        </w:trPr>
        <w:tc>
          <w:tcPr>
            <w:tcW w:w="3400" w:type="dxa"/>
            <w:vAlign w:val="bottom"/>
            <w:shd w:val="clear" w:color="auto" w:fill="CFF0FC"/>
          </w:tcPr>
          <w:p>
            <w:pPr>
              <w:ind w:left="380"/>
              <w:spacing w:after="0"/>
              <w:rPr>
                <w:sz w:val="20"/>
                <w:szCs w:val="20"/>
                <w:color w:val="auto"/>
              </w:rPr>
            </w:pPr>
            <w:r>
              <w:rPr>
                <w:rFonts w:ascii="Arial" w:cs="Arial" w:eastAsia="Arial" w:hAnsi="Arial"/>
                <w:sz w:val="14"/>
                <w:szCs w:val="14"/>
                <w:color w:val="auto"/>
              </w:rPr>
              <w:t>POD 5-1 Future</w:t>
            </w:r>
          </w:p>
        </w:tc>
        <w:tc>
          <w:tcPr>
            <w:tcW w:w="1940" w:type="dxa"/>
            <w:vAlign w:val="bottom"/>
            <w:shd w:val="clear" w:color="auto" w:fill="CFF0FC"/>
          </w:tcPr>
          <w:p>
            <w:pPr>
              <w:ind w:left="1240"/>
              <w:spacing w:after="0"/>
              <w:rPr>
                <w:sz w:val="20"/>
                <w:szCs w:val="20"/>
                <w:color w:val="auto"/>
              </w:rPr>
            </w:pPr>
            <w:r>
              <w:rPr>
                <w:rFonts w:ascii="Arial" w:cs="Arial" w:eastAsia="Arial" w:hAnsi="Arial"/>
                <w:sz w:val="14"/>
                <w:szCs w:val="14"/>
                <w:color w:val="auto"/>
              </w:rPr>
              <w:t>TBD</w:t>
            </w:r>
          </w:p>
        </w:tc>
        <w:tc>
          <w:tcPr>
            <w:tcW w:w="800" w:type="dxa"/>
            <w:vAlign w:val="bottom"/>
            <w:shd w:val="clear" w:color="auto" w:fill="CFF0FC"/>
          </w:tcPr>
          <w:p>
            <w:pPr>
              <w:jc w:val="right"/>
              <w:spacing w:after="0"/>
              <w:rPr>
                <w:sz w:val="20"/>
                <w:szCs w:val="20"/>
                <w:color w:val="auto"/>
              </w:rPr>
            </w:pPr>
            <w:r>
              <w:rPr>
                <w:rFonts w:ascii="Arial" w:cs="Arial" w:eastAsia="Arial" w:hAnsi="Arial"/>
                <w:sz w:val="14"/>
                <w:szCs w:val="14"/>
                <w:color w:val="auto"/>
              </w:rPr>
              <w:t>215</w:t>
            </w:r>
          </w:p>
        </w:tc>
        <w:tc>
          <w:tcPr>
            <w:tcW w:w="220" w:type="dxa"/>
            <w:vAlign w:val="bottom"/>
            <w:shd w:val="clear" w:color="auto" w:fill="CFF0FC"/>
          </w:tcPr>
          <w:p>
            <w:pPr>
              <w:spacing w:after="0"/>
              <w:rPr>
                <w:sz w:val="14"/>
                <w:szCs w:val="14"/>
                <w:color w:val="auto"/>
              </w:rPr>
            </w:pPr>
          </w:p>
        </w:tc>
        <w:tc>
          <w:tcPr>
            <w:tcW w:w="800" w:type="dxa"/>
            <w:vAlign w:val="bottom"/>
            <w:shd w:val="clear" w:color="auto" w:fill="CFF0FC"/>
          </w:tcPr>
          <w:p>
            <w:pPr>
              <w:jc w:val="right"/>
              <w:spacing w:after="0"/>
              <w:rPr>
                <w:sz w:val="20"/>
                <w:szCs w:val="20"/>
                <w:color w:val="auto"/>
              </w:rPr>
            </w:pPr>
            <w:r>
              <w:rPr>
                <w:rFonts w:ascii="Arial" w:cs="Arial" w:eastAsia="Arial" w:hAnsi="Arial"/>
                <w:sz w:val="14"/>
                <w:szCs w:val="14"/>
                <w:color w:val="auto"/>
              </w:rPr>
              <w:t>-</w:t>
            </w:r>
          </w:p>
        </w:tc>
        <w:tc>
          <w:tcPr>
            <w:tcW w:w="200" w:type="dxa"/>
            <w:vAlign w:val="bottom"/>
            <w:shd w:val="clear" w:color="auto" w:fill="CFF0FC"/>
          </w:tcPr>
          <w:p>
            <w:pPr>
              <w:spacing w:after="0"/>
              <w:rPr>
                <w:sz w:val="14"/>
                <w:szCs w:val="14"/>
                <w:color w:val="auto"/>
              </w:rPr>
            </w:pPr>
          </w:p>
        </w:tc>
        <w:tc>
          <w:tcPr>
            <w:tcW w:w="800" w:type="dxa"/>
            <w:vAlign w:val="bottom"/>
            <w:shd w:val="clear" w:color="auto" w:fill="CFF0FC"/>
          </w:tcPr>
          <w:p>
            <w:pPr>
              <w:jc w:val="right"/>
              <w:spacing w:after="0"/>
              <w:rPr>
                <w:sz w:val="20"/>
                <w:szCs w:val="20"/>
                <w:color w:val="auto"/>
              </w:rPr>
            </w:pPr>
            <w:r>
              <w:rPr>
                <w:rFonts w:ascii="Arial" w:cs="Arial" w:eastAsia="Arial" w:hAnsi="Arial"/>
                <w:sz w:val="14"/>
                <w:szCs w:val="14"/>
                <w:color w:val="auto"/>
              </w:rPr>
              <w:t>215</w:t>
            </w:r>
          </w:p>
        </w:tc>
        <w:tc>
          <w:tcPr>
            <w:tcW w:w="220" w:type="dxa"/>
            <w:vAlign w:val="bottom"/>
            <w:shd w:val="clear" w:color="auto" w:fill="CFF0FC"/>
          </w:tcPr>
          <w:p>
            <w:pPr>
              <w:spacing w:after="0"/>
              <w:rPr>
                <w:sz w:val="14"/>
                <w:szCs w:val="14"/>
                <w:color w:val="auto"/>
              </w:rPr>
            </w:pPr>
          </w:p>
        </w:tc>
        <w:tc>
          <w:tcPr>
            <w:tcW w:w="820" w:type="dxa"/>
            <w:vAlign w:val="bottom"/>
            <w:shd w:val="clear" w:color="auto" w:fill="CFF0FC"/>
          </w:tcPr>
          <w:p>
            <w:pPr>
              <w:jc w:val="right"/>
              <w:spacing w:after="0"/>
              <w:rPr>
                <w:sz w:val="20"/>
                <w:szCs w:val="20"/>
                <w:color w:val="auto"/>
              </w:rPr>
            </w:pPr>
            <w:r>
              <w:rPr>
                <w:rFonts w:ascii="Arial" w:cs="Arial" w:eastAsia="Arial" w:hAnsi="Arial"/>
                <w:sz w:val="14"/>
                <w:szCs w:val="14"/>
                <w:color w:val="auto"/>
              </w:rPr>
              <w:t>-</w:t>
            </w:r>
          </w:p>
        </w:tc>
        <w:tc>
          <w:tcPr>
            <w:tcW w:w="200" w:type="dxa"/>
            <w:vAlign w:val="bottom"/>
            <w:shd w:val="clear" w:color="auto" w:fill="CFF0FC"/>
          </w:tcPr>
          <w:p>
            <w:pPr>
              <w:spacing w:after="0"/>
              <w:rPr>
                <w:sz w:val="14"/>
                <w:szCs w:val="14"/>
                <w:color w:val="auto"/>
              </w:rPr>
            </w:pPr>
          </w:p>
        </w:tc>
        <w:tc>
          <w:tcPr>
            <w:tcW w:w="840" w:type="dxa"/>
            <w:vAlign w:val="bottom"/>
            <w:shd w:val="clear" w:color="auto" w:fill="CFF0FC"/>
          </w:tcPr>
          <w:p>
            <w:pPr>
              <w:jc w:val="right"/>
              <w:spacing w:after="0"/>
              <w:rPr>
                <w:sz w:val="20"/>
                <w:szCs w:val="20"/>
                <w:color w:val="auto"/>
              </w:rPr>
            </w:pPr>
            <w:r>
              <w:rPr>
                <w:rFonts w:ascii="Arial" w:cs="Arial" w:eastAsia="Arial" w:hAnsi="Arial"/>
                <w:sz w:val="14"/>
                <w:szCs w:val="14"/>
                <w:color w:val="auto"/>
              </w:rPr>
              <w:t>-</w:t>
            </w:r>
          </w:p>
        </w:tc>
        <w:tc>
          <w:tcPr>
            <w:tcW w:w="1180" w:type="dxa"/>
            <w:vAlign w:val="bottom"/>
            <w:shd w:val="clear" w:color="auto" w:fill="CFF0FC"/>
          </w:tcPr>
          <w:p>
            <w:pPr>
              <w:ind w:left="560"/>
              <w:spacing w:after="0"/>
              <w:rPr>
                <w:sz w:val="20"/>
                <w:szCs w:val="20"/>
                <w:color w:val="auto"/>
              </w:rPr>
            </w:pPr>
            <w:r>
              <w:rPr>
                <w:rFonts w:ascii="Arial" w:cs="Arial" w:eastAsia="Arial" w:hAnsi="Arial"/>
                <w:sz w:val="14"/>
                <w:szCs w:val="14"/>
                <w:color w:val="auto"/>
              </w:rPr>
              <w:t>TBD</w:t>
            </w:r>
          </w:p>
        </w:tc>
      </w:tr>
      <w:tr>
        <w:trPr>
          <w:trHeight w:val="162"/>
        </w:trPr>
        <w:tc>
          <w:tcPr>
            <w:tcW w:w="3400" w:type="dxa"/>
            <w:vAlign w:val="bottom"/>
          </w:tcPr>
          <w:p>
            <w:pPr>
              <w:ind w:left="380"/>
              <w:spacing w:after="0"/>
              <w:rPr>
                <w:sz w:val="20"/>
                <w:szCs w:val="20"/>
                <w:color w:val="auto"/>
              </w:rPr>
            </w:pPr>
            <w:r>
              <w:rPr>
                <w:rFonts w:ascii="Arial" w:cs="Arial" w:eastAsia="Arial" w:hAnsi="Arial"/>
                <w:sz w:val="14"/>
                <w:szCs w:val="14"/>
                <w:color w:val="auto"/>
              </w:rPr>
              <w:t>Durango Ranch</w:t>
            </w:r>
          </w:p>
        </w:tc>
        <w:tc>
          <w:tcPr>
            <w:tcW w:w="1940" w:type="dxa"/>
            <w:vAlign w:val="bottom"/>
          </w:tcPr>
          <w:p>
            <w:pPr>
              <w:ind w:left="1240"/>
              <w:spacing w:after="0"/>
              <w:rPr>
                <w:sz w:val="20"/>
                <w:szCs w:val="20"/>
                <w:color w:val="auto"/>
              </w:rPr>
            </w:pPr>
            <w:r>
              <w:rPr>
                <w:rFonts w:ascii="Arial" w:cs="Arial" w:eastAsia="Arial" w:hAnsi="Arial"/>
                <w:sz w:val="14"/>
                <w:szCs w:val="14"/>
                <w:color w:val="auto"/>
              </w:rPr>
              <w:t>2012</w:t>
            </w:r>
          </w:p>
        </w:tc>
        <w:tc>
          <w:tcPr>
            <w:tcW w:w="800" w:type="dxa"/>
            <w:vAlign w:val="bottom"/>
          </w:tcPr>
          <w:p>
            <w:pPr>
              <w:jc w:val="right"/>
              <w:spacing w:after="0"/>
              <w:rPr>
                <w:sz w:val="20"/>
                <w:szCs w:val="20"/>
                <w:color w:val="auto"/>
              </w:rPr>
            </w:pPr>
            <w:r>
              <w:rPr>
                <w:rFonts w:ascii="Arial" w:cs="Arial" w:eastAsia="Arial" w:hAnsi="Arial"/>
                <w:sz w:val="14"/>
                <w:szCs w:val="14"/>
                <w:color w:val="auto"/>
              </w:rPr>
              <w:t>153</w:t>
            </w:r>
          </w:p>
        </w:tc>
        <w:tc>
          <w:tcPr>
            <w:tcW w:w="220" w:type="dxa"/>
            <w:vAlign w:val="bottom"/>
          </w:tcPr>
          <w:p>
            <w:pPr>
              <w:spacing w:after="0"/>
              <w:rPr>
                <w:sz w:val="14"/>
                <w:szCs w:val="14"/>
                <w:color w:val="auto"/>
              </w:rPr>
            </w:pPr>
          </w:p>
        </w:tc>
        <w:tc>
          <w:tcPr>
            <w:tcW w:w="800" w:type="dxa"/>
            <w:vAlign w:val="bottom"/>
          </w:tcPr>
          <w:p>
            <w:pPr>
              <w:jc w:val="right"/>
              <w:spacing w:after="0"/>
              <w:rPr>
                <w:sz w:val="20"/>
                <w:szCs w:val="20"/>
                <w:color w:val="auto"/>
              </w:rPr>
            </w:pPr>
            <w:r>
              <w:rPr>
                <w:rFonts w:ascii="Arial" w:cs="Arial" w:eastAsia="Arial" w:hAnsi="Arial"/>
                <w:sz w:val="14"/>
                <w:szCs w:val="14"/>
                <w:color w:val="auto"/>
              </w:rPr>
              <w:t>114</w:t>
            </w:r>
          </w:p>
        </w:tc>
        <w:tc>
          <w:tcPr>
            <w:tcW w:w="200" w:type="dxa"/>
            <w:vAlign w:val="bottom"/>
          </w:tcPr>
          <w:p>
            <w:pPr>
              <w:spacing w:after="0"/>
              <w:rPr>
                <w:sz w:val="14"/>
                <w:szCs w:val="14"/>
                <w:color w:val="auto"/>
              </w:rPr>
            </w:pPr>
          </w:p>
        </w:tc>
        <w:tc>
          <w:tcPr>
            <w:tcW w:w="800" w:type="dxa"/>
            <w:vAlign w:val="bottom"/>
          </w:tcPr>
          <w:p>
            <w:pPr>
              <w:jc w:val="right"/>
              <w:spacing w:after="0"/>
              <w:rPr>
                <w:sz w:val="20"/>
                <w:szCs w:val="20"/>
                <w:color w:val="auto"/>
              </w:rPr>
            </w:pPr>
            <w:r>
              <w:rPr>
                <w:rFonts w:ascii="Arial" w:cs="Arial" w:eastAsia="Arial" w:hAnsi="Arial"/>
                <w:sz w:val="14"/>
                <w:szCs w:val="14"/>
                <w:color w:val="auto"/>
              </w:rPr>
              <w:t>39</w:t>
            </w:r>
          </w:p>
        </w:tc>
        <w:tc>
          <w:tcPr>
            <w:tcW w:w="220" w:type="dxa"/>
            <w:vAlign w:val="bottom"/>
          </w:tcPr>
          <w:p>
            <w:pPr>
              <w:spacing w:after="0"/>
              <w:rPr>
                <w:sz w:val="14"/>
                <w:szCs w:val="14"/>
                <w:color w:val="auto"/>
              </w:rPr>
            </w:pPr>
          </w:p>
        </w:tc>
        <w:tc>
          <w:tcPr>
            <w:tcW w:w="820" w:type="dxa"/>
            <w:vAlign w:val="bottom"/>
          </w:tcPr>
          <w:p>
            <w:pPr>
              <w:jc w:val="right"/>
              <w:spacing w:after="0"/>
              <w:rPr>
                <w:sz w:val="20"/>
                <w:szCs w:val="20"/>
                <w:color w:val="auto"/>
              </w:rPr>
            </w:pPr>
            <w:r>
              <w:rPr>
                <w:rFonts w:ascii="Arial" w:cs="Arial" w:eastAsia="Arial" w:hAnsi="Arial"/>
                <w:sz w:val="14"/>
                <w:szCs w:val="14"/>
                <w:color w:val="auto"/>
              </w:rPr>
              <w:t>15</w:t>
            </w:r>
          </w:p>
        </w:tc>
        <w:tc>
          <w:tcPr>
            <w:tcW w:w="200" w:type="dxa"/>
            <w:vAlign w:val="bottom"/>
          </w:tcPr>
          <w:p>
            <w:pPr>
              <w:spacing w:after="0"/>
              <w:rPr>
                <w:sz w:val="14"/>
                <w:szCs w:val="14"/>
                <w:color w:val="auto"/>
              </w:rPr>
            </w:pPr>
          </w:p>
        </w:tc>
        <w:tc>
          <w:tcPr>
            <w:tcW w:w="840" w:type="dxa"/>
            <w:vAlign w:val="bottom"/>
          </w:tcPr>
          <w:p>
            <w:pPr>
              <w:jc w:val="right"/>
              <w:spacing w:after="0"/>
              <w:rPr>
                <w:sz w:val="20"/>
                <w:szCs w:val="20"/>
                <w:color w:val="auto"/>
              </w:rPr>
            </w:pPr>
            <w:r>
              <w:rPr>
                <w:rFonts w:ascii="Arial" w:cs="Arial" w:eastAsia="Arial" w:hAnsi="Arial"/>
                <w:sz w:val="14"/>
                <w:szCs w:val="14"/>
                <w:color w:val="auto"/>
              </w:rPr>
              <w:t>5</w:t>
            </w:r>
          </w:p>
        </w:tc>
        <w:tc>
          <w:tcPr>
            <w:tcW w:w="1180" w:type="dxa"/>
            <w:vAlign w:val="bottom"/>
          </w:tcPr>
          <w:p>
            <w:pPr>
              <w:jc w:val="center"/>
              <w:ind w:left="132"/>
              <w:spacing w:after="0"/>
              <w:rPr>
                <w:sz w:val="20"/>
                <w:szCs w:val="20"/>
                <w:color w:val="auto"/>
              </w:rPr>
            </w:pPr>
            <w:r>
              <w:rPr>
                <w:rFonts w:ascii="Arial" w:cs="Arial" w:eastAsia="Arial" w:hAnsi="Arial"/>
                <w:sz w:val="14"/>
                <w:szCs w:val="14"/>
                <w:color w:val="auto"/>
                <w:w w:val="88"/>
              </w:rPr>
              <w:t>$460 - $536</w:t>
            </w:r>
          </w:p>
        </w:tc>
      </w:tr>
      <w:tr>
        <w:trPr>
          <w:trHeight w:val="162"/>
        </w:trPr>
        <w:tc>
          <w:tcPr>
            <w:tcW w:w="3400" w:type="dxa"/>
            <w:vAlign w:val="bottom"/>
            <w:shd w:val="clear" w:color="auto" w:fill="CFF0FC"/>
          </w:tcPr>
          <w:p>
            <w:pPr>
              <w:ind w:left="380"/>
              <w:spacing w:after="0"/>
              <w:rPr>
                <w:sz w:val="20"/>
                <w:szCs w:val="20"/>
                <w:color w:val="auto"/>
              </w:rPr>
            </w:pPr>
            <w:r>
              <w:rPr>
                <w:rFonts w:ascii="Arial" w:cs="Arial" w:eastAsia="Arial" w:hAnsi="Arial"/>
                <w:sz w:val="14"/>
                <w:szCs w:val="14"/>
                <w:color w:val="auto"/>
              </w:rPr>
              <w:t>Durango Trail</w:t>
            </w:r>
          </w:p>
        </w:tc>
        <w:tc>
          <w:tcPr>
            <w:tcW w:w="1940" w:type="dxa"/>
            <w:vAlign w:val="bottom"/>
            <w:shd w:val="clear" w:color="auto" w:fill="CFF0FC"/>
          </w:tcPr>
          <w:p>
            <w:pPr>
              <w:ind w:left="1240"/>
              <w:spacing w:after="0"/>
              <w:rPr>
                <w:sz w:val="20"/>
                <w:szCs w:val="20"/>
                <w:color w:val="auto"/>
              </w:rPr>
            </w:pPr>
            <w:r>
              <w:rPr>
                <w:rFonts w:ascii="Arial" w:cs="Arial" w:eastAsia="Arial" w:hAnsi="Arial"/>
                <w:sz w:val="14"/>
                <w:szCs w:val="14"/>
                <w:color w:val="auto"/>
              </w:rPr>
              <w:t>2014</w:t>
            </w:r>
          </w:p>
        </w:tc>
        <w:tc>
          <w:tcPr>
            <w:tcW w:w="800" w:type="dxa"/>
            <w:vAlign w:val="bottom"/>
            <w:shd w:val="clear" w:color="auto" w:fill="CFF0FC"/>
          </w:tcPr>
          <w:p>
            <w:pPr>
              <w:jc w:val="right"/>
              <w:spacing w:after="0"/>
              <w:rPr>
                <w:sz w:val="20"/>
                <w:szCs w:val="20"/>
                <w:color w:val="auto"/>
              </w:rPr>
            </w:pPr>
            <w:r>
              <w:rPr>
                <w:rFonts w:ascii="Arial" w:cs="Arial" w:eastAsia="Arial" w:hAnsi="Arial"/>
                <w:sz w:val="14"/>
                <w:szCs w:val="14"/>
                <w:color w:val="auto"/>
              </w:rPr>
              <w:t>77</w:t>
            </w:r>
          </w:p>
        </w:tc>
        <w:tc>
          <w:tcPr>
            <w:tcW w:w="220" w:type="dxa"/>
            <w:vAlign w:val="bottom"/>
            <w:shd w:val="clear" w:color="auto" w:fill="CFF0FC"/>
          </w:tcPr>
          <w:p>
            <w:pPr>
              <w:spacing w:after="0"/>
              <w:rPr>
                <w:sz w:val="14"/>
                <w:szCs w:val="14"/>
                <w:color w:val="auto"/>
              </w:rPr>
            </w:pPr>
          </w:p>
        </w:tc>
        <w:tc>
          <w:tcPr>
            <w:tcW w:w="800" w:type="dxa"/>
            <w:vAlign w:val="bottom"/>
            <w:shd w:val="clear" w:color="auto" w:fill="CFF0FC"/>
          </w:tcPr>
          <w:p>
            <w:pPr>
              <w:jc w:val="right"/>
              <w:spacing w:after="0"/>
              <w:rPr>
                <w:sz w:val="20"/>
                <w:szCs w:val="20"/>
                <w:color w:val="auto"/>
              </w:rPr>
            </w:pPr>
            <w:r>
              <w:rPr>
                <w:rFonts w:ascii="Arial" w:cs="Arial" w:eastAsia="Arial" w:hAnsi="Arial"/>
                <w:sz w:val="14"/>
                <w:szCs w:val="14"/>
                <w:color w:val="auto"/>
              </w:rPr>
              <w:t>45</w:t>
            </w:r>
          </w:p>
        </w:tc>
        <w:tc>
          <w:tcPr>
            <w:tcW w:w="200" w:type="dxa"/>
            <w:vAlign w:val="bottom"/>
            <w:shd w:val="clear" w:color="auto" w:fill="CFF0FC"/>
          </w:tcPr>
          <w:p>
            <w:pPr>
              <w:spacing w:after="0"/>
              <w:rPr>
                <w:sz w:val="14"/>
                <w:szCs w:val="14"/>
                <w:color w:val="auto"/>
              </w:rPr>
            </w:pPr>
          </w:p>
        </w:tc>
        <w:tc>
          <w:tcPr>
            <w:tcW w:w="800" w:type="dxa"/>
            <w:vAlign w:val="bottom"/>
            <w:shd w:val="clear" w:color="auto" w:fill="CFF0FC"/>
          </w:tcPr>
          <w:p>
            <w:pPr>
              <w:jc w:val="right"/>
              <w:spacing w:after="0"/>
              <w:rPr>
                <w:sz w:val="20"/>
                <w:szCs w:val="20"/>
                <w:color w:val="auto"/>
              </w:rPr>
            </w:pPr>
            <w:r>
              <w:rPr>
                <w:rFonts w:ascii="Arial" w:cs="Arial" w:eastAsia="Arial" w:hAnsi="Arial"/>
                <w:sz w:val="14"/>
                <w:szCs w:val="14"/>
                <w:color w:val="auto"/>
              </w:rPr>
              <w:t>32</w:t>
            </w:r>
          </w:p>
        </w:tc>
        <w:tc>
          <w:tcPr>
            <w:tcW w:w="220" w:type="dxa"/>
            <w:vAlign w:val="bottom"/>
            <w:shd w:val="clear" w:color="auto" w:fill="CFF0FC"/>
          </w:tcPr>
          <w:p>
            <w:pPr>
              <w:spacing w:after="0"/>
              <w:rPr>
                <w:sz w:val="14"/>
                <w:szCs w:val="14"/>
                <w:color w:val="auto"/>
              </w:rPr>
            </w:pPr>
          </w:p>
        </w:tc>
        <w:tc>
          <w:tcPr>
            <w:tcW w:w="820" w:type="dxa"/>
            <w:vAlign w:val="bottom"/>
            <w:shd w:val="clear" w:color="auto" w:fill="CFF0FC"/>
          </w:tcPr>
          <w:p>
            <w:pPr>
              <w:jc w:val="right"/>
              <w:spacing w:after="0"/>
              <w:rPr>
                <w:sz w:val="20"/>
                <w:szCs w:val="20"/>
                <w:color w:val="auto"/>
              </w:rPr>
            </w:pPr>
            <w:r>
              <w:rPr>
                <w:rFonts w:ascii="Arial" w:cs="Arial" w:eastAsia="Arial" w:hAnsi="Arial"/>
                <w:sz w:val="14"/>
                <w:szCs w:val="14"/>
                <w:color w:val="auto"/>
              </w:rPr>
              <w:t>9</w:t>
            </w:r>
          </w:p>
        </w:tc>
        <w:tc>
          <w:tcPr>
            <w:tcW w:w="200" w:type="dxa"/>
            <w:vAlign w:val="bottom"/>
            <w:shd w:val="clear" w:color="auto" w:fill="CFF0FC"/>
          </w:tcPr>
          <w:p>
            <w:pPr>
              <w:spacing w:after="0"/>
              <w:rPr>
                <w:sz w:val="14"/>
                <w:szCs w:val="14"/>
                <w:color w:val="auto"/>
              </w:rPr>
            </w:pPr>
          </w:p>
        </w:tc>
        <w:tc>
          <w:tcPr>
            <w:tcW w:w="840" w:type="dxa"/>
            <w:vAlign w:val="bottom"/>
            <w:shd w:val="clear" w:color="auto" w:fill="CFF0FC"/>
          </w:tcPr>
          <w:p>
            <w:pPr>
              <w:jc w:val="right"/>
              <w:spacing w:after="0"/>
              <w:rPr>
                <w:sz w:val="20"/>
                <w:szCs w:val="20"/>
                <w:color w:val="auto"/>
              </w:rPr>
            </w:pPr>
            <w:r>
              <w:rPr>
                <w:rFonts w:ascii="Arial" w:cs="Arial" w:eastAsia="Arial" w:hAnsi="Arial"/>
                <w:sz w:val="14"/>
                <w:szCs w:val="14"/>
                <w:color w:val="auto"/>
              </w:rPr>
              <w:t>4</w:t>
            </w:r>
          </w:p>
        </w:tc>
        <w:tc>
          <w:tcPr>
            <w:tcW w:w="1180" w:type="dxa"/>
            <w:vAlign w:val="bottom"/>
            <w:shd w:val="clear" w:color="auto" w:fill="CFF0FC"/>
          </w:tcPr>
          <w:p>
            <w:pPr>
              <w:jc w:val="center"/>
              <w:ind w:left="132"/>
              <w:spacing w:after="0"/>
              <w:rPr>
                <w:sz w:val="20"/>
                <w:szCs w:val="20"/>
                <w:color w:val="auto"/>
              </w:rPr>
            </w:pPr>
            <w:r>
              <w:rPr>
                <w:rFonts w:ascii="Arial" w:cs="Arial" w:eastAsia="Arial" w:hAnsi="Arial"/>
                <w:sz w:val="14"/>
                <w:szCs w:val="14"/>
                <w:color w:val="auto"/>
                <w:w w:val="88"/>
              </w:rPr>
              <w:t>$373 - $399</w:t>
            </w:r>
          </w:p>
        </w:tc>
      </w:tr>
      <w:tr>
        <w:trPr>
          <w:trHeight w:val="162"/>
        </w:trPr>
        <w:tc>
          <w:tcPr>
            <w:tcW w:w="3400" w:type="dxa"/>
            <w:vAlign w:val="bottom"/>
          </w:tcPr>
          <w:p>
            <w:pPr>
              <w:ind w:left="380"/>
              <w:spacing w:after="0"/>
              <w:rPr>
                <w:sz w:val="20"/>
                <w:szCs w:val="20"/>
                <w:color w:val="auto"/>
              </w:rPr>
            </w:pPr>
            <w:r>
              <w:rPr>
                <w:rFonts w:ascii="Arial" w:cs="Arial" w:eastAsia="Arial" w:hAnsi="Arial"/>
                <w:sz w:val="14"/>
                <w:szCs w:val="14"/>
                <w:color w:val="auto"/>
              </w:rPr>
              <w:t>Meridian</w:t>
            </w:r>
          </w:p>
        </w:tc>
        <w:tc>
          <w:tcPr>
            <w:tcW w:w="1940" w:type="dxa"/>
            <w:vAlign w:val="bottom"/>
          </w:tcPr>
          <w:p>
            <w:pPr>
              <w:ind w:left="1240"/>
              <w:spacing w:after="0"/>
              <w:rPr>
                <w:sz w:val="20"/>
                <w:szCs w:val="20"/>
                <w:color w:val="auto"/>
              </w:rPr>
            </w:pPr>
            <w:r>
              <w:rPr>
                <w:rFonts w:ascii="Arial" w:cs="Arial" w:eastAsia="Arial" w:hAnsi="Arial"/>
                <w:sz w:val="14"/>
                <w:szCs w:val="14"/>
                <w:color w:val="auto"/>
              </w:rPr>
              <w:t>2016</w:t>
            </w:r>
          </w:p>
        </w:tc>
        <w:tc>
          <w:tcPr>
            <w:tcW w:w="800" w:type="dxa"/>
            <w:vAlign w:val="bottom"/>
          </w:tcPr>
          <w:p>
            <w:pPr>
              <w:jc w:val="right"/>
              <w:spacing w:after="0"/>
              <w:rPr>
                <w:sz w:val="20"/>
                <w:szCs w:val="20"/>
                <w:color w:val="auto"/>
              </w:rPr>
            </w:pPr>
            <w:r>
              <w:rPr>
                <w:rFonts w:ascii="Arial" w:cs="Arial" w:eastAsia="Arial" w:hAnsi="Arial"/>
                <w:sz w:val="14"/>
                <w:szCs w:val="14"/>
                <w:color w:val="auto"/>
              </w:rPr>
              <w:t>78</w:t>
            </w:r>
          </w:p>
        </w:tc>
        <w:tc>
          <w:tcPr>
            <w:tcW w:w="220" w:type="dxa"/>
            <w:vAlign w:val="bottom"/>
          </w:tcPr>
          <w:p>
            <w:pPr>
              <w:spacing w:after="0"/>
              <w:rPr>
                <w:sz w:val="14"/>
                <w:szCs w:val="14"/>
                <w:color w:val="auto"/>
              </w:rPr>
            </w:pPr>
          </w:p>
        </w:tc>
        <w:tc>
          <w:tcPr>
            <w:tcW w:w="800" w:type="dxa"/>
            <w:vAlign w:val="bottom"/>
          </w:tcPr>
          <w:p>
            <w:pPr>
              <w:jc w:val="right"/>
              <w:spacing w:after="0"/>
              <w:rPr>
                <w:sz w:val="20"/>
                <w:szCs w:val="20"/>
                <w:color w:val="auto"/>
              </w:rPr>
            </w:pPr>
            <w:r>
              <w:rPr>
                <w:rFonts w:ascii="Arial" w:cs="Arial" w:eastAsia="Arial" w:hAnsi="Arial"/>
                <w:sz w:val="14"/>
                <w:szCs w:val="14"/>
                <w:color w:val="auto"/>
              </w:rPr>
              <w:t>-</w:t>
            </w:r>
          </w:p>
        </w:tc>
        <w:tc>
          <w:tcPr>
            <w:tcW w:w="200" w:type="dxa"/>
            <w:vAlign w:val="bottom"/>
          </w:tcPr>
          <w:p>
            <w:pPr>
              <w:spacing w:after="0"/>
              <w:rPr>
                <w:sz w:val="14"/>
                <w:szCs w:val="14"/>
                <w:color w:val="auto"/>
              </w:rPr>
            </w:pPr>
          </w:p>
        </w:tc>
        <w:tc>
          <w:tcPr>
            <w:tcW w:w="800" w:type="dxa"/>
            <w:vAlign w:val="bottom"/>
          </w:tcPr>
          <w:p>
            <w:pPr>
              <w:jc w:val="right"/>
              <w:spacing w:after="0"/>
              <w:rPr>
                <w:sz w:val="20"/>
                <w:szCs w:val="20"/>
                <w:color w:val="auto"/>
              </w:rPr>
            </w:pPr>
            <w:r>
              <w:rPr>
                <w:rFonts w:ascii="Arial" w:cs="Arial" w:eastAsia="Arial" w:hAnsi="Arial"/>
                <w:sz w:val="14"/>
                <w:szCs w:val="14"/>
                <w:color w:val="auto"/>
              </w:rPr>
              <w:t>44</w:t>
            </w:r>
          </w:p>
        </w:tc>
        <w:tc>
          <w:tcPr>
            <w:tcW w:w="220" w:type="dxa"/>
            <w:vAlign w:val="bottom"/>
          </w:tcPr>
          <w:p>
            <w:pPr>
              <w:spacing w:after="0"/>
              <w:rPr>
                <w:sz w:val="14"/>
                <w:szCs w:val="14"/>
                <w:color w:val="auto"/>
              </w:rPr>
            </w:pPr>
          </w:p>
        </w:tc>
        <w:tc>
          <w:tcPr>
            <w:tcW w:w="820" w:type="dxa"/>
            <w:vAlign w:val="bottom"/>
          </w:tcPr>
          <w:p>
            <w:pPr>
              <w:jc w:val="right"/>
              <w:spacing w:after="0"/>
              <w:rPr>
                <w:sz w:val="20"/>
                <w:szCs w:val="20"/>
                <w:color w:val="auto"/>
              </w:rPr>
            </w:pPr>
            <w:r>
              <w:rPr>
                <w:rFonts w:ascii="Arial" w:cs="Arial" w:eastAsia="Arial" w:hAnsi="Arial"/>
                <w:sz w:val="14"/>
                <w:szCs w:val="14"/>
                <w:color w:val="auto"/>
              </w:rPr>
              <w:t>-</w:t>
            </w:r>
          </w:p>
        </w:tc>
        <w:tc>
          <w:tcPr>
            <w:tcW w:w="200" w:type="dxa"/>
            <w:vAlign w:val="bottom"/>
          </w:tcPr>
          <w:p>
            <w:pPr>
              <w:spacing w:after="0"/>
              <w:rPr>
                <w:sz w:val="14"/>
                <w:szCs w:val="14"/>
                <w:color w:val="auto"/>
              </w:rPr>
            </w:pPr>
          </w:p>
        </w:tc>
        <w:tc>
          <w:tcPr>
            <w:tcW w:w="840" w:type="dxa"/>
            <w:vAlign w:val="bottom"/>
          </w:tcPr>
          <w:p>
            <w:pPr>
              <w:jc w:val="right"/>
              <w:spacing w:after="0"/>
              <w:rPr>
                <w:sz w:val="20"/>
                <w:szCs w:val="20"/>
                <w:color w:val="auto"/>
              </w:rPr>
            </w:pPr>
            <w:r>
              <w:rPr>
                <w:rFonts w:ascii="Arial" w:cs="Arial" w:eastAsia="Arial" w:hAnsi="Arial"/>
                <w:sz w:val="14"/>
                <w:szCs w:val="14"/>
                <w:color w:val="auto"/>
              </w:rPr>
              <w:t>-</w:t>
            </w:r>
          </w:p>
        </w:tc>
        <w:tc>
          <w:tcPr>
            <w:tcW w:w="1180" w:type="dxa"/>
            <w:vAlign w:val="bottom"/>
          </w:tcPr>
          <w:p>
            <w:pPr>
              <w:jc w:val="center"/>
              <w:ind w:left="132"/>
              <w:spacing w:after="0"/>
              <w:rPr>
                <w:sz w:val="20"/>
                <w:szCs w:val="20"/>
                <w:color w:val="auto"/>
              </w:rPr>
            </w:pPr>
            <w:r>
              <w:rPr>
                <w:rFonts w:ascii="Arial" w:cs="Arial" w:eastAsia="Arial" w:hAnsi="Arial"/>
                <w:sz w:val="14"/>
                <w:szCs w:val="14"/>
                <w:color w:val="auto"/>
                <w:w w:val="88"/>
              </w:rPr>
              <w:t>$455 - $530</w:t>
            </w:r>
          </w:p>
        </w:tc>
      </w:tr>
      <w:tr>
        <w:trPr>
          <w:trHeight w:val="162"/>
        </w:trPr>
        <w:tc>
          <w:tcPr>
            <w:tcW w:w="3400" w:type="dxa"/>
            <w:vAlign w:val="bottom"/>
            <w:shd w:val="clear" w:color="auto" w:fill="CFF0FC"/>
          </w:tcPr>
          <w:p>
            <w:pPr>
              <w:ind w:left="380"/>
              <w:spacing w:after="0"/>
              <w:rPr>
                <w:sz w:val="20"/>
                <w:szCs w:val="20"/>
                <w:color w:val="auto"/>
              </w:rPr>
            </w:pPr>
            <w:r>
              <w:rPr>
                <w:rFonts w:ascii="Arial" w:cs="Arial" w:eastAsia="Arial" w:hAnsi="Arial"/>
                <w:sz w:val="14"/>
                <w:szCs w:val="14"/>
                <w:color w:val="auto"/>
              </w:rPr>
              <w:t>LivingSmart at Providence</w:t>
            </w:r>
          </w:p>
        </w:tc>
        <w:tc>
          <w:tcPr>
            <w:tcW w:w="1940" w:type="dxa"/>
            <w:vAlign w:val="bottom"/>
            <w:shd w:val="clear" w:color="auto" w:fill="CFF0FC"/>
          </w:tcPr>
          <w:p>
            <w:pPr>
              <w:ind w:left="1240"/>
              <w:spacing w:after="0"/>
              <w:rPr>
                <w:sz w:val="20"/>
                <w:szCs w:val="20"/>
                <w:color w:val="auto"/>
              </w:rPr>
            </w:pPr>
            <w:r>
              <w:rPr>
                <w:rFonts w:ascii="Arial" w:cs="Arial" w:eastAsia="Arial" w:hAnsi="Arial"/>
                <w:sz w:val="14"/>
                <w:szCs w:val="14"/>
                <w:color w:val="auto"/>
              </w:rPr>
              <w:t>2012</w:t>
            </w:r>
          </w:p>
        </w:tc>
        <w:tc>
          <w:tcPr>
            <w:tcW w:w="800" w:type="dxa"/>
            <w:vAlign w:val="bottom"/>
            <w:shd w:val="clear" w:color="auto" w:fill="CFF0FC"/>
          </w:tcPr>
          <w:p>
            <w:pPr>
              <w:jc w:val="right"/>
              <w:spacing w:after="0"/>
              <w:rPr>
                <w:sz w:val="20"/>
                <w:szCs w:val="20"/>
                <w:color w:val="auto"/>
              </w:rPr>
            </w:pPr>
            <w:r>
              <w:rPr>
                <w:rFonts w:ascii="Arial" w:cs="Arial" w:eastAsia="Arial" w:hAnsi="Arial"/>
                <w:sz w:val="14"/>
                <w:szCs w:val="14"/>
                <w:color w:val="auto"/>
              </w:rPr>
              <w:t>106</w:t>
            </w:r>
          </w:p>
        </w:tc>
        <w:tc>
          <w:tcPr>
            <w:tcW w:w="220" w:type="dxa"/>
            <w:vAlign w:val="bottom"/>
            <w:shd w:val="clear" w:color="auto" w:fill="CFF0FC"/>
          </w:tcPr>
          <w:p>
            <w:pPr>
              <w:spacing w:after="0"/>
              <w:rPr>
                <w:sz w:val="14"/>
                <w:szCs w:val="14"/>
                <w:color w:val="auto"/>
              </w:rPr>
            </w:pPr>
          </w:p>
        </w:tc>
        <w:tc>
          <w:tcPr>
            <w:tcW w:w="800" w:type="dxa"/>
            <w:vAlign w:val="bottom"/>
            <w:shd w:val="clear" w:color="auto" w:fill="CFF0FC"/>
          </w:tcPr>
          <w:p>
            <w:pPr>
              <w:jc w:val="right"/>
              <w:spacing w:after="0"/>
              <w:rPr>
                <w:sz w:val="20"/>
                <w:szCs w:val="20"/>
                <w:color w:val="auto"/>
              </w:rPr>
            </w:pPr>
            <w:r>
              <w:rPr>
                <w:rFonts w:ascii="Arial" w:cs="Arial" w:eastAsia="Arial" w:hAnsi="Arial"/>
                <w:sz w:val="14"/>
                <w:szCs w:val="14"/>
                <w:color w:val="auto"/>
              </w:rPr>
              <w:t>106</w:t>
            </w:r>
          </w:p>
        </w:tc>
        <w:tc>
          <w:tcPr>
            <w:tcW w:w="200" w:type="dxa"/>
            <w:vAlign w:val="bottom"/>
            <w:shd w:val="clear" w:color="auto" w:fill="CFF0FC"/>
          </w:tcPr>
          <w:p>
            <w:pPr>
              <w:spacing w:after="0"/>
              <w:rPr>
                <w:sz w:val="14"/>
                <w:szCs w:val="14"/>
                <w:color w:val="auto"/>
              </w:rPr>
            </w:pPr>
          </w:p>
        </w:tc>
        <w:tc>
          <w:tcPr>
            <w:tcW w:w="800" w:type="dxa"/>
            <w:vAlign w:val="bottom"/>
            <w:shd w:val="clear" w:color="auto" w:fill="CFF0FC"/>
          </w:tcPr>
          <w:p>
            <w:pPr>
              <w:jc w:val="right"/>
              <w:spacing w:after="0"/>
              <w:rPr>
                <w:sz w:val="20"/>
                <w:szCs w:val="20"/>
                <w:color w:val="auto"/>
              </w:rPr>
            </w:pPr>
            <w:r>
              <w:rPr>
                <w:rFonts w:ascii="Arial" w:cs="Arial" w:eastAsia="Arial" w:hAnsi="Arial"/>
                <w:sz w:val="14"/>
                <w:szCs w:val="14"/>
                <w:color w:val="auto"/>
              </w:rPr>
              <w:t>-</w:t>
            </w:r>
          </w:p>
        </w:tc>
        <w:tc>
          <w:tcPr>
            <w:tcW w:w="220" w:type="dxa"/>
            <w:vAlign w:val="bottom"/>
            <w:shd w:val="clear" w:color="auto" w:fill="CFF0FC"/>
          </w:tcPr>
          <w:p>
            <w:pPr>
              <w:spacing w:after="0"/>
              <w:rPr>
                <w:sz w:val="14"/>
                <w:szCs w:val="14"/>
                <w:color w:val="auto"/>
              </w:rPr>
            </w:pPr>
          </w:p>
        </w:tc>
        <w:tc>
          <w:tcPr>
            <w:tcW w:w="820" w:type="dxa"/>
            <w:vAlign w:val="bottom"/>
            <w:shd w:val="clear" w:color="auto" w:fill="CFF0FC"/>
          </w:tcPr>
          <w:p>
            <w:pPr>
              <w:jc w:val="right"/>
              <w:spacing w:after="0"/>
              <w:rPr>
                <w:sz w:val="20"/>
                <w:szCs w:val="20"/>
                <w:color w:val="auto"/>
              </w:rPr>
            </w:pPr>
            <w:r>
              <w:rPr>
                <w:rFonts w:ascii="Arial" w:cs="Arial" w:eastAsia="Arial" w:hAnsi="Arial"/>
                <w:sz w:val="14"/>
                <w:szCs w:val="14"/>
                <w:color w:val="auto"/>
              </w:rPr>
              <w:t>-</w:t>
            </w:r>
          </w:p>
        </w:tc>
        <w:tc>
          <w:tcPr>
            <w:tcW w:w="200" w:type="dxa"/>
            <w:vAlign w:val="bottom"/>
            <w:shd w:val="clear" w:color="auto" w:fill="CFF0FC"/>
          </w:tcPr>
          <w:p>
            <w:pPr>
              <w:spacing w:after="0"/>
              <w:rPr>
                <w:sz w:val="14"/>
                <w:szCs w:val="14"/>
                <w:color w:val="auto"/>
              </w:rPr>
            </w:pPr>
          </w:p>
        </w:tc>
        <w:tc>
          <w:tcPr>
            <w:tcW w:w="840" w:type="dxa"/>
            <w:vAlign w:val="bottom"/>
            <w:shd w:val="clear" w:color="auto" w:fill="CFF0FC"/>
          </w:tcPr>
          <w:p>
            <w:pPr>
              <w:jc w:val="right"/>
              <w:spacing w:after="0"/>
              <w:rPr>
                <w:sz w:val="20"/>
                <w:szCs w:val="20"/>
                <w:color w:val="auto"/>
              </w:rPr>
            </w:pPr>
            <w:r>
              <w:rPr>
                <w:rFonts w:ascii="Arial" w:cs="Arial" w:eastAsia="Arial" w:hAnsi="Arial"/>
                <w:sz w:val="14"/>
                <w:szCs w:val="14"/>
                <w:color w:val="auto"/>
              </w:rPr>
              <w:t>1</w:t>
            </w:r>
          </w:p>
        </w:tc>
        <w:tc>
          <w:tcPr>
            <w:tcW w:w="1180" w:type="dxa"/>
            <w:vAlign w:val="bottom"/>
            <w:shd w:val="clear" w:color="auto" w:fill="CFF0FC"/>
          </w:tcPr>
          <w:p>
            <w:pPr>
              <w:jc w:val="center"/>
              <w:ind w:left="132"/>
              <w:spacing w:after="0"/>
              <w:rPr>
                <w:sz w:val="20"/>
                <w:szCs w:val="20"/>
                <w:color w:val="auto"/>
              </w:rPr>
            </w:pPr>
            <w:r>
              <w:rPr>
                <w:rFonts w:ascii="Arial" w:cs="Arial" w:eastAsia="Arial" w:hAnsi="Arial"/>
                <w:sz w:val="14"/>
                <w:szCs w:val="14"/>
                <w:color w:val="auto"/>
                <w:w w:val="88"/>
              </w:rPr>
              <w:t>$260 - $323</w:t>
            </w:r>
          </w:p>
        </w:tc>
      </w:tr>
      <w:tr>
        <w:trPr>
          <w:trHeight w:val="162"/>
        </w:trPr>
        <w:tc>
          <w:tcPr>
            <w:tcW w:w="3400" w:type="dxa"/>
            <w:vAlign w:val="bottom"/>
          </w:tcPr>
          <w:p>
            <w:pPr>
              <w:ind w:left="380"/>
              <w:spacing w:after="0"/>
              <w:rPr>
                <w:sz w:val="20"/>
                <w:szCs w:val="20"/>
                <w:color w:val="auto"/>
              </w:rPr>
            </w:pPr>
            <w:r>
              <w:rPr>
                <w:rFonts w:ascii="Arial" w:cs="Arial" w:eastAsia="Arial" w:hAnsi="Arial"/>
                <w:sz w:val="14"/>
                <w:szCs w:val="14"/>
                <w:color w:val="auto"/>
              </w:rPr>
              <w:t>Encanto</w:t>
            </w:r>
          </w:p>
        </w:tc>
        <w:tc>
          <w:tcPr>
            <w:tcW w:w="1940" w:type="dxa"/>
            <w:vAlign w:val="bottom"/>
          </w:tcPr>
          <w:p>
            <w:pPr>
              <w:ind w:left="1240"/>
              <w:spacing w:after="0"/>
              <w:rPr>
                <w:sz w:val="20"/>
                <w:szCs w:val="20"/>
                <w:color w:val="auto"/>
              </w:rPr>
            </w:pPr>
            <w:r>
              <w:rPr>
                <w:rFonts w:ascii="Arial" w:cs="Arial" w:eastAsia="Arial" w:hAnsi="Arial"/>
                <w:sz w:val="14"/>
                <w:szCs w:val="14"/>
                <w:color w:val="auto"/>
              </w:rPr>
              <w:t>2015</w:t>
            </w:r>
          </w:p>
        </w:tc>
        <w:tc>
          <w:tcPr>
            <w:tcW w:w="800" w:type="dxa"/>
            <w:vAlign w:val="bottom"/>
          </w:tcPr>
          <w:p>
            <w:pPr>
              <w:jc w:val="right"/>
              <w:spacing w:after="0"/>
              <w:rPr>
                <w:sz w:val="20"/>
                <w:szCs w:val="20"/>
                <w:color w:val="auto"/>
              </w:rPr>
            </w:pPr>
            <w:r>
              <w:rPr>
                <w:rFonts w:ascii="Arial" w:cs="Arial" w:eastAsia="Arial" w:hAnsi="Arial"/>
                <w:sz w:val="14"/>
                <w:szCs w:val="14"/>
                <w:color w:val="auto"/>
              </w:rPr>
              <w:t>129</w:t>
            </w:r>
          </w:p>
        </w:tc>
        <w:tc>
          <w:tcPr>
            <w:tcW w:w="220" w:type="dxa"/>
            <w:vAlign w:val="bottom"/>
          </w:tcPr>
          <w:p>
            <w:pPr>
              <w:spacing w:after="0"/>
              <w:rPr>
                <w:sz w:val="14"/>
                <w:szCs w:val="14"/>
                <w:color w:val="auto"/>
              </w:rPr>
            </w:pPr>
          </w:p>
        </w:tc>
        <w:tc>
          <w:tcPr>
            <w:tcW w:w="800" w:type="dxa"/>
            <w:vAlign w:val="bottom"/>
          </w:tcPr>
          <w:p>
            <w:pPr>
              <w:jc w:val="right"/>
              <w:spacing w:after="0"/>
              <w:rPr>
                <w:sz w:val="20"/>
                <w:szCs w:val="20"/>
                <w:color w:val="auto"/>
              </w:rPr>
            </w:pPr>
            <w:r>
              <w:rPr>
                <w:rFonts w:ascii="Arial" w:cs="Arial" w:eastAsia="Arial" w:hAnsi="Arial"/>
                <w:sz w:val="14"/>
                <w:szCs w:val="14"/>
                <w:color w:val="auto"/>
              </w:rPr>
              <w:t>-</w:t>
            </w:r>
          </w:p>
        </w:tc>
        <w:tc>
          <w:tcPr>
            <w:tcW w:w="200" w:type="dxa"/>
            <w:vAlign w:val="bottom"/>
          </w:tcPr>
          <w:p>
            <w:pPr>
              <w:spacing w:after="0"/>
              <w:rPr>
                <w:sz w:val="14"/>
                <w:szCs w:val="14"/>
                <w:color w:val="auto"/>
              </w:rPr>
            </w:pPr>
          </w:p>
        </w:tc>
        <w:tc>
          <w:tcPr>
            <w:tcW w:w="800" w:type="dxa"/>
            <w:vAlign w:val="bottom"/>
          </w:tcPr>
          <w:p>
            <w:pPr>
              <w:jc w:val="right"/>
              <w:spacing w:after="0"/>
              <w:rPr>
                <w:sz w:val="20"/>
                <w:szCs w:val="20"/>
                <w:color w:val="auto"/>
              </w:rPr>
            </w:pPr>
            <w:r>
              <w:rPr>
                <w:rFonts w:ascii="Arial" w:cs="Arial" w:eastAsia="Arial" w:hAnsi="Arial"/>
                <w:sz w:val="14"/>
                <w:szCs w:val="14"/>
                <w:color w:val="auto"/>
              </w:rPr>
              <w:t>129</w:t>
            </w:r>
          </w:p>
        </w:tc>
        <w:tc>
          <w:tcPr>
            <w:tcW w:w="220" w:type="dxa"/>
            <w:vAlign w:val="bottom"/>
          </w:tcPr>
          <w:p>
            <w:pPr>
              <w:spacing w:after="0"/>
              <w:rPr>
                <w:sz w:val="14"/>
                <w:szCs w:val="14"/>
                <w:color w:val="auto"/>
              </w:rPr>
            </w:pPr>
          </w:p>
        </w:tc>
        <w:tc>
          <w:tcPr>
            <w:tcW w:w="820" w:type="dxa"/>
            <w:vAlign w:val="bottom"/>
          </w:tcPr>
          <w:p>
            <w:pPr>
              <w:jc w:val="right"/>
              <w:spacing w:after="0"/>
              <w:rPr>
                <w:sz w:val="20"/>
                <w:szCs w:val="20"/>
                <w:color w:val="auto"/>
              </w:rPr>
            </w:pPr>
            <w:r>
              <w:rPr>
                <w:rFonts w:ascii="Arial" w:cs="Arial" w:eastAsia="Arial" w:hAnsi="Arial"/>
                <w:sz w:val="14"/>
                <w:szCs w:val="14"/>
                <w:color w:val="auto"/>
              </w:rPr>
              <w:t>-</w:t>
            </w:r>
          </w:p>
        </w:tc>
        <w:tc>
          <w:tcPr>
            <w:tcW w:w="200" w:type="dxa"/>
            <w:vAlign w:val="bottom"/>
          </w:tcPr>
          <w:p>
            <w:pPr>
              <w:spacing w:after="0"/>
              <w:rPr>
                <w:sz w:val="14"/>
                <w:szCs w:val="14"/>
                <w:color w:val="auto"/>
              </w:rPr>
            </w:pPr>
          </w:p>
        </w:tc>
        <w:tc>
          <w:tcPr>
            <w:tcW w:w="840" w:type="dxa"/>
            <w:vAlign w:val="bottom"/>
          </w:tcPr>
          <w:p>
            <w:pPr>
              <w:jc w:val="right"/>
              <w:spacing w:after="0"/>
              <w:rPr>
                <w:sz w:val="20"/>
                <w:szCs w:val="20"/>
                <w:color w:val="auto"/>
              </w:rPr>
            </w:pPr>
            <w:r>
              <w:rPr>
                <w:rFonts w:ascii="Arial" w:cs="Arial" w:eastAsia="Arial" w:hAnsi="Arial"/>
                <w:sz w:val="14"/>
                <w:szCs w:val="14"/>
                <w:color w:val="auto"/>
              </w:rPr>
              <w:t>-</w:t>
            </w:r>
          </w:p>
        </w:tc>
        <w:tc>
          <w:tcPr>
            <w:tcW w:w="1180" w:type="dxa"/>
            <w:vAlign w:val="bottom"/>
          </w:tcPr>
          <w:p>
            <w:pPr>
              <w:jc w:val="center"/>
              <w:ind w:left="132"/>
              <w:spacing w:after="0"/>
              <w:rPr>
                <w:sz w:val="20"/>
                <w:szCs w:val="20"/>
                <w:color w:val="auto"/>
              </w:rPr>
            </w:pPr>
            <w:r>
              <w:rPr>
                <w:rFonts w:ascii="Arial" w:cs="Arial" w:eastAsia="Arial" w:hAnsi="Arial"/>
                <w:sz w:val="14"/>
                <w:szCs w:val="14"/>
                <w:color w:val="auto"/>
                <w:w w:val="88"/>
              </w:rPr>
              <w:t>$406 - $468</w:t>
            </w:r>
          </w:p>
        </w:tc>
      </w:tr>
      <w:tr>
        <w:trPr>
          <w:trHeight w:val="162"/>
        </w:trPr>
        <w:tc>
          <w:tcPr>
            <w:tcW w:w="3400" w:type="dxa"/>
            <w:vAlign w:val="bottom"/>
            <w:shd w:val="clear" w:color="auto" w:fill="CFF0FC"/>
          </w:tcPr>
          <w:p>
            <w:pPr>
              <w:ind w:left="380"/>
              <w:spacing w:after="0"/>
              <w:rPr>
                <w:sz w:val="20"/>
                <w:szCs w:val="20"/>
                <w:color w:val="auto"/>
              </w:rPr>
            </w:pPr>
            <w:r>
              <w:rPr>
                <w:rFonts w:ascii="Arial" w:cs="Arial" w:eastAsia="Arial" w:hAnsi="Arial"/>
                <w:sz w:val="14"/>
                <w:szCs w:val="14"/>
                <w:color w:val="auto"/>
              </w:rPr>
              <w:t>Summerglen</w:t>
            </w:r>
          </w:p>
        </w:tc>
        <w:tc>
          <w:tcPr>
            <w:tcW w:w="1940" w:type="dxa"/>
            <w:vAlign w:val="bottom"/>
            <w:shd w:val="clear" w:color="auto" w:fill="CFF0FC"/>
          </w:tcPr>
          <w:p>
            <w:pPr>
              <w:ind w:left="1240"/>
              <w:spacing w:after="0"/>
              <w:rPr>
                <w:sz w:val="20"/>
                <w:szCs w:val="20"/>
                <w:color w:val="auto"/>
              </w:rPr>
            </w:pPr>
            <w:r>
              <w:rPr>
                <w:rFonts w:ascii="Arial" w:cs="Arial" w:eastAsia="Arial" w:hAnsi="Arial"/>
                <w:sz w:val="14"/>
                <w:szCs w:val="14"/>
                <w:color w:val="auto"/>
              </w:rPr>
              <w:t>2014</w:t>
            </w:r>
          </w:p>
        </w:tc>
        <w:tc>
          <w:tcPr>
            <w:tcW w:w="80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4"/>
                <w:szCs w:val="14"/>
                <w:color w:val="auto"/>
              </w:rPr>
              <w:t>140</w:t>
            </w:r>
          </w:p>
        </w:tc>
        <w:tc>
          <w:tcPr>
            <w:tcW w:w="220" w:type="dxa"/>
            <w:vAlign w:val="bottom"/>
            <w:shd w:val="clear" w:color="auto" w:fill="CFF0FC"/>
          </w:tcPr>
          <w:p>
            <w:pPr>
              <w:spacing w:after="0"/>
              <w:rPr>
                <w:sz w:val="14"/>
                <w:szCs w:val="14"/>
                <w:color w:val="auto"/>
              </w:rPr>
            </w:pPr>
          </w:p>
        </w:tc>
        <w:tc>
          <w:tcPr>
            <w:tcW w:w="80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4"/>
                <w:szCs w:val="14"/>
                <w:color w:val="auto"/>
              </w:rPr>
              <w:t>36</w:t>
            </w:r>
          </w:p>
        </w:tc>
        <w:tc>
          <w:tcPr>
            <w:tcW w:w="200" w:type="dxa"/>
            <w:vAlign w:val="bottom"/>
            <w:shd w:val="clear" w:color="auto" w:fill="CFF0FC"/>
          </w:tcPr>
          <w:p>
            <w:pPr>
              <w:spacing w:after="0"/>
              <w:rPr>
                <w:sz w:val="14"/>
                <w:szCs w:val="14"/>
                <w:color w:val="auto"/>
              </w:rPr>
            </w:pPr>
          </w:p>
        </w:tc>
        <w:tc>
          <w:tcPr>
            <w:tcW w:w="80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4"/>
                <w:szCs w:val="14"/>
                <w:color w:val="auto"/>
              </w:rPr>
              <w:t>104</w:t>
            </w:r>
          </w:p>
        </w:tc>
        <w:tc>
          <w:tcPr>
            <w:tcW w:w="220" w:type="dxa"/>
            <w:vAlign w:val="bottom"/>
            <w:shd w:val="clear" w:color="auto" w:fill="CFF0FC"/>
          </w:tcPr>
          <w:p>
            <w:pPr>
              <w:spacing w:after="0"/>
              <w:rPr>
                <w:sz w:val="14"/>
                <w:szCs w:val="14"/>
                <w:color w:val="auto"/>
              </w:rPr>
            </w:pPr>
          </w:p>
        </w:tc>
        <w:tc>
          <w:tcPr>
            <w:tcW w:w="8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4"/>
                <w:szCs w:val="14"/>
                <w:color w:val="auto"/>
              </w:rPr>
              <w:t>7</w:t>
            </w:r>
          </w:p>
        </w:tc>
        <w:tc>
          <w:tcPr>
            <w:tcW w:w="200" w:type="dxa"/>
            <w:vAlign w:val="bottom"/>
            <w:shd w:val="clear" w:color="auto" w:fill="CFF0FC"/>
          </w:tcPr>
          <w:p>
            <w:pPr>
              <w:spacing w:after="0"/>
              <w:rPr>
                <w:sz w:val="14"/>
                <w:szCs w:val="14"/>
                <w:color w:val="auto"/>
              </w:rPr>
            </w:pPr>
          </w:p>
        </w:tc>
        <w:tc>
          <w:tcPr>
            <w:tcW w:w="84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4"/>
                <w:szCs w:val="14"/>
                <w:color w:val="auto"/>
              </w:rPr>
              <w:t>4</w:t>
            </w:r>
          </w:p>
        </w:tc>
        <w:tc>
          <w:tcPr>
            <w:tcW w:w="1180" w:type="dxa"/>
            <w:vAlign w:val="bottom"/>
            <w:shd w:val="clear" w:color="auto" w:fill="CFF0FC"/>
          </w:tcPr>
          <w:p>
            <w:pPr>
              <w:jc w:val="center"/>
              <w:ind w:left="132"/>
              <w:spacing w:after="0"/>
              <w:rPr>
                <w:sz w:val="20"/>
                <w:szCs w:val="20"/>
                <w:color w:val="auto"/>
              </w:rPr>
            </w:pPr>
            <w:r>
              <w:rPr>
                <w:rFonts w:ascii="Arial" w:cs="Arial" w:eastAsia="Arial" w:hAnsi="Arial"/>
                <w:sz w:val="14"/>
                <w:szCs w:val="14"/>
                <w:color w:val="auto"/>
                <w:w w:val="88"/>
              </w:rPr>
              <w:t>$292 - $298</w:t>
            </w:r>
          </w:p>
        </w:tc>
      </w:tr>
      <w:tr>
        <w:trPr>
          <w:trHeight w:val="156"/>
        </w:trPr>
        <w:tc>
          <w:tcPr>
            <w:tcW w:w="3400" w:type="dxa"/>
            <w:vAlign w:val="bottom"/>
            <w:tcBorders>
              <w:bottom w:val="single" w:sz="8" w:color="CFF0FC"/>
            </w:tcBorders>
          </w:tcPr>
          <w:p>
            <w:pPr>
              <w:spacing w:after="0" w:line="155" w:lineRule="exact"/>
              <w:rPr>
                <w:sz w:val="20"/>
                <w:szCs w:val="20"/>
                <w:color w:val="auto"/>
              </w:rPr>
            </w:pPr>
            <w:r>
              <w:rPr>
                <w:rFonts w:ascii="Arial" w:cs="Arial" w:eastAsia="Arial" w:hAnsi="Arial"/>
                <w:sz w:val="14"/>
                <w:szCs w:val="14"/>
                <w:b w:val="1"/>
                <w:bCs w:val="1"/>
                <w:color w:val="auto"/>
              </w:rPr>
              <w:t>Nevada Total</w:t>
            </w:r>
          </w:p>
        </w:tc>
        <w:tc>
          <w:tcPr>
            <w:tcW w:w="1940" w:type="dxa"/>
            <w:vAlign w:val="bottom"/>
            <w:tcBorders>
              <w:bottom w:val="single" w:sz="8" w:color="CFF0FC"/>
            </w:tcBorders>
          </w:tcPr>
          <w:p>
            <w:pPr>
              <w:spacing w:after="0"/>
              <w:rPr>
                <w:sz w:val="13"/>
                <w:szCs w:val="13"/>
                <w:color w:val="auto"/>
              </w:rPr>
            </w:pPr>
          </w:p>
        </w:tc>
        <w:tc>
          <w:tcPr>
            <w:tcW w:w="800" w:type="dxa"/>
            <w:vAlign w:val="bottom"/>
            <w:tcBorders>
              <w:bottom w:val="single" w:sz="8" w:color="auto"/>
            </w:tcBorders>
          </w:tcPr>
          <w:p>
            <w:pPr>
              <w:jc w:val="right"/>
              <w:spacing w:after="0" w:line="155" w:lineRule="exact"/>
              <w:rPr>
                <w:sz w:val="20"/>
                <w:szCs w:val="20"/>
                <w:color w:val="auto"/>
              </w:rPr>
            </w:pPr>
            <w:r>
              <w:rPr>
                <w:rFonts w:ascii="Arial" w:cs="Arial" w:eastAsia="Arial" w:hAnsi="Arial"/>
                <w:sz w:val="14"/>
                <w:szCs w:val="14"/>
                <w:b w:val="1"/>
                <w:bCs w:val="1"/>
                <w:color w:val="auto"/>
              </w:rPr>
              <w:t>2,393</w:t>
            </w:r>
          </w:p>
        </w:tc>
        <w:tc>
          <w:tcPr>
            <w:tcW w:w="220" w:type="dxa"/>
            <w:vAlign w:val="bottom"/>
            <w:tcBorders>
              <w:bottom w:val="single" w:sz="8" w:color="CFF0FC"/>
            </w:tcBorders>
          </w:tcPr>
          <w:p>
            <w:pPr>
              <w:spacing w:after="0"/>
              <w:rPr>
                <w:sz w:val="13"/>
                <w:szCs w:val="13"/>
                <w:color w:val="auto"/>
              </w:rPr>
            </w:pPr>
          </w:p>
        </w:tc>
        <w:tc>
          <w:tcPr>
            <w:tcW w:w="800" w:type="dxa"/>
            <w:vAlign w:val="bottom"/>
            <w:tcBorders>
              <w:bottom w:val="single" w:sz="8" w:color="auto"/>
            </w:tcBorders>
          </w:tcPr>
          <w:p>
            <w:pPr>
              <w:jc w:val="right"/>
              <w:spacing w:after="0" w:line="155" w:lineRule="exact"/>
              <w:rPr>
                <w:sz w:val="20"/>
                <w:szCs w:val="20"/>
                <w:color w:val="auto"/>
              </w:rPr>
            </w:pPr>
            <w:r>
              <w:rPr>
                <w:rFonts w:ascii="Arial" w:cs="Arial" w:eastAsia="Arial" w:hAnsi="Arial"/>
                <w:sz w:val="14"/>
                <w:szCs w:val="14"/>
                <w:b w:val="1"/>
                <w:bCs w:val="1"/>
                <w:color w:val="auto"/>
              </w:rPr>
              <w:t>626</w:t>
            </w:r>
          </w:p>
        </w:tc>
        <w:tc>
          <w:tcPr>
            <w:tcW w:w="200" w:type="dxa"/>
            <w:vAlign w:val="bottom"/>
            <w:tcBorders>
              <w:bottom w:val="single" w:sz="8" w:color="CFF0FC"/>
            </w:tcBorders>
          </w:tcPr>
          <w:p>
            <w:pPr>
              <w:spacing w:after="0"/>
              <w:rPr>
                <w:sz w:val="13"/>
                <w:szCs w:val="13"/>
                <w:color w:val="auto"/>
              </w:rPr>
            </w:pPr>
          </w:p>
        </w:tc>
        <w:tc>
          <w:tcPr>
            <w:tcW w:w="800" w:type="dxa"/>
            <w:vAlign w:val="bottom"/>
            <w:tcBorders>
              <w:bottom w:val="single" w:sz="8" w:color="auto"/>
            </w:tcBorders>
          </w:tcPr>
          <w:p>
            <w:pPr>
              <w:jc w:val="right"/>
              <w:spacing w:after="0" w:line="155" w:lineRule="exact"/>
              <w:rPr>
                <w:sz w:val="20"/>
                <w:szCs w:val="20"/>
                <w:color w:val="auto"/>
              </w:rPr>
            </w:pPr>
            <w:r>
              <w:rPr>
                <w:rFonts w:ascii="Arial" w:cs="Arial" w:eastAsia="Arial" w:hAnsi="Arial"/>
                <w:sz w:val="14"/>
                <w:szCs w:val="14"/>
                <w:b w:val="1"/>
                <w:bCs w:val="1"/>
                <w:color w:val="auto"/>
              </w:rPr>
              <w:t>1,733</w:t>
            </w:r>
          </w:p>
        </w:tc>
        <w:tc>
          <w:tcPr>
            <w:tcW w:w="220" w:type="dxa"/>
            <w:vAlign w:val="bottom"/>
            <w:tcBorders>
              <w:bottom w:val="single" w:sz="8" w:color="CFF0FC"/>
            </w:tcBorders>
          </w:tcPr>
          <w:p>
            <w:pPr>
              <w:spacing w:after="0"/>
              <w:rPr>
                <w:sz w:val="13"/>
                <w:szCs w:val="13"/>
                <w:color w:val="auto"/>
              </w:rPr>
            </w:pPr>
          </w:p>
        </w:tc>
        <w:tc>
          <w:tcPr>
            <w:tcW w:w="820" w:type="dxa"/>
            <w:vAlign w:val="bottom"/>
            <w:tcBorders>
              <w:bottom w:val="single" w:sz="8" w:color="auto"/>
            </w:tcBorders>
          </w:tcPr>
          <w:p>
            <w:pPr>
              <w:jc w:val="right"/>
              <w:spacing w:after="0" w:line="155" w:lineRule="exact"/>
              <w:rPr>
                <w:sz w:val="20"/>
                <w:szCs w:val="20"/>
                <w:color w:val="auto"/>
              </w:rPr>
            </w:pPr>
            <w:r>
              <w:rPr>
                <w:rFonts w:ascii="Arial" w:cs="Arial" w:eastAsia="Arial" w:hAnsi="Arial"/>
                <w:sz w:val="14"/>
                <w:szCs w:val="14"/>
                <w:b w:val="1"/>
                <w:bCs w:val="1"/>
                <w:color w:val="auto"/>
              </w:rPr>
              <w:t>105</w:t>
            </w:r>
          </w:p>
        </w:tc>
        <w:tc>
          <w:tcPr>
            <w:tcW w:w="200" w:type="dxa"/>
            <w:vAlign w:val="bottom"/>
            <w:tcBorders>
              <w:bottom w:val="single" w:sz="8" w:color="CFF0FC"/>
            </w:tcBorders>
          </w:tcPr>
          <w:p>
            <w:pPr>
              <w:spacing w:after="0"/>
              <w:rPr>
                <w:sz w:val="13"/>
                <w:szCs w:val="13"/>
                <w:color w:val="auto"/>
              </w:rPr>
            </w:pPr>
          </w:p>
        </w:tc>
        <w:tc>
          <w:tcPr>
            <w:tcW w:w="840" w:type="dxa"/>
            <w:vAlign w:val="bottom"/>
            <w:tcBorders>
              <w:bottom w:val="single" w:sz="8" w:color="auto"/>
            </w:tcBorders>
          </w:tcPr>
          <w:p>
            <w:pPr>
              <w:jc w:val="right"/>
              <w:spacing w:after="0" w:line="155" w:lineRule="exact"/>
              <w:rPr>
                <w:sz w:val="20"/>
                <w:szCs w:val="20"/>
                <w:color w:val="auto"/>
              </w:rPr>
            </w:pPr>
            <w:r>
              <w:rPr>
                <w:rFonts w:ascii="Arial" w:cs="Arial" w:eastAsia="Arial" w:hAnsi="Arial"/>
                <w:sz w:val="14"/>
                <w:szCs w:val="14"/>
                <w:b w:val="1"/>
                <w:bCs w:val="1"/>
                <w:color w:val="auto"/>
              </w:rPr>
              <w:t>54</w:t>
            </w:r>
          </w:p>
        </w:tc>
        <w:tc>
          <w:tcPr>
            <w:tcW w:w="1180" w:type="dxa"/>
            <w:vAlign w:val="bottom"/>
            <w:tcBorders>
              <w:bottom w:val="single" w:sz="8" w:color="CFF0FC"/>
            </w:tcBorders>
          </w:tcPr>
          <w:p>
            <w:pPr>
              <w:spacing w:after="0"/>
              <w:rPr>
                <w:sz w:val="13"/>
                <w:szCs w:val="13"/>
                <w:color w:val="auto"/>
              </w:rPr>
            </w:pPr>
          </w:p>
        </w:tc>
      </w:tr>
      <w:tr>
        <w:trPr>
          <w:trHeight w:val="156"/>
        </w:trPr>
        <w:tc>
          <w:tcPr>
            <w:tcW w:w="3400" w:type="dxa"/>
            <w:vAlign w:val="bottom"/>
            <w:tcBorders>
              <w:bottom w:val="single" w:sz="8" w:color="CFF0FC"/>
            </w:tcBorders>
            <w:shd w:val="clear" w:color="auto" w:fill="CFF0FC"/>
          </w:tcPr>
          <w:p>
            <w:pPr>
              <w:spacing w:after="0" w:line="155" w:lineRule="exact"/>
              <w:rPr>
                <w:sz w:val="20"/>
                <w:szCs w:val="20"/>
                <w:color w:val="auto"/>
              </w:rPr>
            </w:pPr>
            <w:r>
              <w:rPr>
                <w:rFonts w:ascii="Arial" w:cs="Arial" w:eastAsia="Arial" w:hAnsi="Arial"/>
                <w:sz w:val="14"/>
                <w:szCs w:val="14"/>
                <w:b w:val="1"/>
                <w:bCs w:val="1"/>
                <w:color w:val="auto"/>
              </w:rPr>
              <w:t>Pardee Total</w:t>
            </w:r>
          </w:p>
        </w:tc>
        <w:tc>
          <w:tcPr>
            <w:tcW w:w="1940" w:type="dxa"/>
            <w:vAlign w:val="bottom"/>
            <w:tcBorders>
              <w:bottom w:val="single" w:sz="8" w:color="CFF0FC"/>
            </w:tcBorders>
            <w:shd w:val="clear" w:color="auto" w:fill="CFF0FC"/>
          </w:tcPr>
          <w:p>
            <w:pPr>
              <w:spacing w:after="0"/>
              <w:rPr>
                <w:sz w:val="13"/>
                <w:szCs w:val="13"/>
                <w:color w:val="auto"/>
              </w:rPr>
            </w:pPr>
          </w:p>
        </w:tc>
        <w:tc>
          <w:tcPr>
            <w:tcW w:w="800" w:type="dxa"/>
            <w:vAlign w:val="bottom"/>
            <w:tcBorders>
              <w:bottom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b w:val="1"/>
                <w:bCs w:val="1"/>
                <w:color w:val="auto"/>
              </w:rPr>
              <w:t>19,309</w:t>
            </w:r>
          </w:p>
        </w:tc>
        <w:tc>
          <w:tcPr>
            <w:tcW w:w="220" w:type="dxa"/>
            <w:vAlign w:val="bottom"/>
            <w:tcBorders>
              <w:bottom w:val="single" w:sz="8" w:color="CFF0FC"/>
            </w:tcBorders>
            <w:shd w:val="clear" w:color="auto" w:fill="CFF0FC"/>
          </w:tcPr>
          <w:p>
            <w:pPr>
              <w:spacing w:after="0"/>
              <w:rPr>
                <w:sz w:val="13"/>
                <w:szCs w:val="13"/>
                <w:color w:val="auto"/>
              </w:rPr>
            </w:pPr>
          </w:p>
        </w:tc>
        <w:tc>
          <w:tcPr>
            <w:tcW w:w="800" w:type="dxa"/>
            <w:vAlign w:val="bottom"/>
            <w:tcBorders>
              <w:bottom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b w:val="1"/>
                <w:bCs w:val="1"/>
                <w:color w:val="auto"/>
              </w:rPr>
              <w:t>2,012</w:t>
            </w:r>
          </w:p>
        </w:tc>
        <w:tc>
          <w:tcPr>
            <w:tcW w:w="200" w:type="dxa"/>
            <w:vAlign w:val="bottom"/>
            <w:tcBorders>
              <w:bottom w:val="single" w:sz="8" w:color="CFF0FC"/>
            </w:tcBorders>
            <w:shd w:val="clear" w:color="auto" w:fill="CFF0FC"/>
          </w:tcPr>
          <w:p>
            <w:pPr>
              <w:spacing w:after="0"/>
              <w:rPr>
                <w:sz w:val="13"/>
                <w:szCs w:val="13"/>
                <w:color w:val="auto"/>
              </w:rPr>
            </w:pPr>
          </w:p>
        </w:tc>
        <w:tc>
          <w:tcPr>
            <w:tcW w:w="800" w:type="dxa"/>
            <w:vAlign w:val="bottom"/>
            <w:tcBorders>
              <w:bottom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b w:val="1"/>
                <w:bCs w:val="1"/>
                <w:color w:val="auto"/>
              </w:rPr>
              <w:t>17,263</w:t>
            </w:r>
          </w:p>
        </w:tc>
        <w:tc>
          <w:tcPr>
            <w:tcW w:w="220" w:type="dxa"/>
            <w:vAlign w:val="bottom"/>
            <w:tcBorders>
              <w:bottom w:val="single" w:sz="8" w:color="CFF0FC"/>
            </w:tcBorders>
            <w:shd w:val="clear" w:color="auto" w:fill="CFF0FC"/>
          </w:tcPr>
          <w:p>
            <w:pPr>
              <w:spacing w:after="0"/>
              <w:rPr>
                <w:sz w:val="13"/>
                <w:szCs w:val="13"/>
                <w:color w:val="auto"/>
              </w:rPr>
            </w:pPr>
          </w:p>
        </w:tc>
        <w:tc>
          <w:tcPr>
            <w:tcW w:w="820" w:type="dxa"/>
            <w:vAlign w:val="bottom"/>
            <w:tcBorders>
              <w:bottom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b w:val="1"/>
                <w:bCs w:val="1"/>
                <w:color w:val="auto"/>
              </w:rPr>
              <w:t>358</w:t>
            </w:r>
          </w:p>
        </w:tc>
        <w:tc>
          <w:tcPr>
            <w:tcW w:w="200" w:type="dxa"/>
            <w:vAlign w:val="bottom"/>
            <w:tcBorders>
              <w:bottom w:val="single" w:sz="8" w:color="CFF0FC"/>
            </w:tcBorders>
            <w:shd w:val="clear" w:color="auto" w:fill="CFF0FC"/>
          </w:tcPr>
          <w:p>
            <w:pPr>
              <w:spacing w:after="0"/>
              <w:rPr>
                <w:sz w:val="13"/>
                <w:szCs w:val="13"/>
                <w:color w:val="auto"/>
              </w:rPr>
            </w:pPr>
          </w:p>
        </w:tc>
        <w:tc>
          <w:tcPr>
            <w:tcW w:w="840" w:type="dxa"/>
            <w:vAlign w:val="bottom"/>
            <w:tcBorders>
              <w:bottom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b w:val="1"/>
                <w:bCs w:val="1"/>
                <w:color w:val="auto"/>
              </w:rPr>
              <w:t>168</w:t>
            </w:r>
          </w:p>
        </w:tc>
        <w:tc>
          <w:tcPr>
            <w:tcW w:w="1180" w:type="dxa"/>
            <w:vAlign w:val="bottom"/>
            <w:tcBorders>
              <w:bottom w:val="single" w:sz="8" w:color="CFF0FC"/>
            </w:tcBorders>
            <w:shd w:val="clear" w:color="auto" w:fill="CFF0FC"/>
          </w:tcPr>
          <w:p>
            <w:pPr>
              <w:spacing w:after="0"/>
              <w:rPr>
                <w:sz w:val="13"/>
                <w:szCs w:val="13"/>
                <w:color w:val="auto"/>
              </w:rPr>
            </w:pPr>
          </w:p>
        </w:tc>
      </w:tr>
      <w:tr>
        <w:trPr>
          <w:trHeight w:val="20"/>
        </w:trPr>
        <w:tc>
          <w:tcPr>
            <w:tcW w:w="3400" w:type="dxa"/>
            <w:vAlign w:val="bottom"/>
          </w:tcPr>
          <w:p>
            <w:pPr>
              <w:spacing w:after="0" w:line="20" w:lineRule="exact"/>
              <w:rPr>
                <w:sz w:val="1"/>
                <w:szCs w:val="1"/>
                <w:color w:val="auto"/>
              </w:rPr>
            </w:pPr>
          </w:p>
        </w:tc>
        <w:tc>
          <w:tcPr>
            <w:tcW w:w="1940" w:type="dxa"/>
            <w:vAlign w:val="bottom"/>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118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6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- 39 -</w:t>
      </w:r>
    </w:p>
    <w:p>
      <w:pPr>
        <w:sectPr>
          <w:pgSz w:w="11900" w:h="16838" w:orient="portrait"/>
          <w:cols w:equalWidth="0" w:num="1">
            <w:col w:w="11420"/>
          </w:cols>
          <w:pgMar w:left="240" w:top="133" w:right="239" w:bottom="1440" w:gutter="0" w:footer="0" w:header="0"/>
        </w:sectPr>
      </w:pPr>
    </w:p>
    <w:bookmarkStart w:id="39" w:name="page40"/>
    <w:bookmarkEnd w:id="39"/>
    <w:p>
      <w:pPr>
        <w:spacing w:after="0"/>
        <w:rPr>
          <w:sz w:val="20"/>
          <w:szCs w:val="20"/>
          <w:color w:val="auto"/>
        </w:rPr>
      </w:pPr>
      <w:r>
        <w:rPr>
          <w:rFonts w:ascii="Arial" w:cs="Arial" w:eastAsia="Arial" w:hAnsi="Arial"/>
          <w:sz w:val="18"/>
          <w:szCs w:val="18"/>
          <w:b w:val="1"/>
          <w:bCs w:val="1"/>
          <w:i w:val="1"/>
          <w:iCs w:val="1"/>
          <w:color w:val="auto"/>
        </w:rPr>
        <w:t>Quadrant</w:t>
      </w:r>
    </w:p>
    <w:p>
      <w:pPr>
        <w:spacing w:after="0" w:line="240" w:lineRule="exact"/>
        <w:rPr>
          <w:sz w:val="20"/>
          <w:szCs w:val="20"/>
          <w:color w:val="auto"/>
        </w:rPr>
      </w:pPr>
    </w:p>
    <w:tbl>
      <w:tblPr>
        <w:tblLayout w:type="fixed"/>
        <w:tblInd w:w="0" w:type="dxa"/>
        <w:tblCellMar>
          <w:top w:w="0" w:type="dxa"/>
          <w:left w:w="0" w:type="dxa"/>
          <w:bottom w:w="0" w:type="dxa"/>
          <w:right w:w="0" w:type="dxa"/>
        </w:tblCellMar>
      </w:tblPr>
      <w:tr>
        <w:trPr>
          <w:trHeight w:val="162"/>
        </w:trPr>
        <w:tc>
          <w:tcPr>
            <w:tcW w:w="1220" w:type="dxa"/>
            <w:vAlign w:val="bottom"/>
          </w:tcPr>
          <w:p>
            <w:pPr>
              <w:spacing w:after="0"/>
              <w:rPr>
                <w:sz w:val="14"/>
                <w:szCs w:val="14"/>
                <w:color w:val="auto"/>
              </w:rPr>
            </w:pPr>
          </w:p>
        </w:tc>
        <w:tc>
          <w:tcPr>
            <w:tcW w:w="300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08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w w:val="90"/>
              </w:rPr>
              <w:t>Cumulative</w:t>
            </w:r>
          </w:p>
        </w:tc>
        <w:tc>
          <w:tcPr>
            <w:tcW w:w="7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980" w:type="dxa"/>
            <w:vAlign w:val="bottom"/>
          </w:tcPr>
          <w:p>
            <w:pPr>
              <w:jc w:val="center"/>
              <w:spacing w:after="0"/>
              <w:rPr>
                <w:sz w:val="20"/>
                <w:szCs w:val="20"/>
                <w:color w:val="auto"/>
              </w:rPr>
            </w:pPr>
            <w:r>
              <w:rPr>
                <w:rFonts w:ascii="Arial" w:cs="Arial" w:eastAsia="Arial" w:hAnsi="Arial"/>
                <w:sz w:val="14"/>
                <w:szCs w:val="14"/>
                <w:b w:val="1"/>
                <w:bCs w:val="1"/>
                <w:color w:val="auto"/>
                <w:w w:val="86"/>
              </w:rPr>
              <w:t>Homes Delivered</w:t>
            </w:r>
          </w:p>
        </w:tc>
        <w:tc>
          <w:tcPr>
            <w:tcW w:w="22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1220" w:type="dxa"/>
            <w:vAlign w:val="bottom"/>
          </w:tcPr>
          <w:p>
            <w:pPr>
              <w:spacing w:after="0"/>
              <w:rPr>
                <w:sz w:val="14"/>
                <w:szCs w:val="14"/>
                <w:color w:val="auto"/>
              </w:rPr>
            </w:pPr>
          </w:p>
        </w:tc>
        <w:tc>
          <w:tcPr>
            <w:tcW w:w="300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08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w w:val="85"/>
              </w:rPr>
              <w:t>Homes</w:t>
            </w:r>
          </w:p>
        </w:tc>
        <w:tc>
          <w:tcPr>
            <w:tcW w:w="100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w w:val="81"/>
              </w:rPr>
              <w:t>Lots</w:t>
            </w:r>
          </w:p>
        </w:tc>
        <w:tc>
          <w:tcPr>
            <w:tcW w:w="7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980" w:type="dxa"/>
            <w:vAlign w:val="bottom"/>
          </w:tcPr>
          <w:p>
            <w:pPr>
              <w:jc w:val="center"/>
              <w:spacing w:after="0"/>
              <w:rPr>
                <w:sz w:val="20"/>
                <w:szCs w:val="20"/>
                <w:color w:val="auto"/>
              </w:rPr>
            </w:pPr>
            <w:r>
              <w:rPr>
                <w:rFonts w:ascii="Arial" w:cs="Arial" w:eastAsia="Arial" w:hAnsi="Arial"/>
                <w:sz w:val="14"/>
                <w:szCs w:val="14"/>
                <w:b w:val="1"/>
                <w:bCs w:val="1"/>
                <w:color w:val="auto"/>
                <w:w w:val="88"/>
              </w:rPr>
              <w:t>for the Three</w:t>
            </w:r>
          </w:p>
        </w:tc>
        <w:tc>
          <w:tcPr>
            <w:tcW w:w="22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1220" w:type="dxa"/>
            <w:vAlign w:val="bottom"/>
          </w:tcPr>
          <w:p>
            <w:pPr>
              <w:spacing w:after="0"/>
              <w:rPr>
                <w:sz w:val="14"/>
                <w:szCs w:val="14"/>
                <w:color w:val="auto"/>
              </w:rPr>
            </w:pPr>
          </w:p>
        </w:tc>
        <w:tc>
          <w:tcPr>
            <w:tcW w:w="3000" w:type="dxa"/>
            <w:vAlign w:val="bottom"/>
          </w:tcPr>
          <w:p>
            <w:pPr>
              <w:spacing w:after="0"/>
              <w:rPr>
                <w:sz w:val="14"/>
                <w:szCs w:val="14"/>
                <w:color w:val="auto"/>
              </w:rPr>
            </w:pPr>
          </w:p>
        </w:tc>
        <w:tc>
          <w:tcPr>
            <w:tcW w:w="1020" w:type="dxa"/>
            <w:vAlign w:val="bottom"/>
            <w:gridSpan w:val="2"/>
          </w:tcPr>
          <w:p>
            <w:pPr>
              <w:jc w:val="center"/>
              <w:ind w:right="120"/>
              <w:spacing w:after="0"/>
              <w:rPr>
                <w:sz w:val="20"/>
                <w:szCs w:val="20"/>
                <w:color w:val="auto"/>
              </w:rPr>
            </w:pPr>
            <w:r>
              <w:rPr>
                <w:rFonts w:ascii="Arial" w:cs="Arial" w:eastAsia="Arial" w:hAnsi="Arial"/>
                <w:sz w:val="14"/>
                <w:szCs w:val="14"/>
                <w:b w:val="1"/>
                <w:bCs w:val="1"/>
                <w:color w:val="auto"/>
                <w:w w:val="88"/>
              </w:rPr>
              <w:t>Year of</w:t>
            </w:r>
          </w:p>
        </w:tc>
        <w:tc>
          <w:tcPr>
            <w:tcW w:w="100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w w:val="83"/>
              </w:rPr>
              <w:t>Total</w:t>
            </w:r>
          </w:p>
        </w:tc>
        <w:tc>
          <w:tcPr>
            <w:tcW w:w="108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w w:val="84"/>
              </w:rPr>
              <w:t>Delivered as of</w:t>
            </w:r>
          </w:p>
        </w:tc>
        <w:tc>
          <w:tcPr>
            <w:tcW w:w="100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w w:val="86"/>
              </w:rPr>
              <w:t>Owned as of</w:t>
            </w:r>
          </w:p>
        </w:tc>
        <w:tc>
          <w:tcPr>
            <w:tcW w:w="100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w w:val="83"/>
              </w:rPr>
              <w:t>Backlog as of</w:t>
            </w:r>
          </w:p>
        </w:tc>
        <w:tc>
          <w:tcPr>
            <w:tcW w:w="980" w:type="dxa"/>
            <w:vAlign w:val="bottom"/>
          </w:tcPr>
          <w:p>
            <w:pPr>
              <w:jc w:val="center"/>
              <w:spacing w:after="0"/>
              <w:rPr>
                <w:sz w:val="20"/>
                <w:szCs w:val="20"/>
                <w:color w:val="auto"/>
              </w:rPr>
            </w:pPr>
            <w:r>
              <w:rPr>
                <w:rFonts w:ascii="Arial" w:cs="Arial" w:eastAsia="Arial" w:hAnsi="Arial"/>
                <w:sz w:val="14"/>
                <w:szCs w:val="14"/>
                <w:b w:val="1"/>
                <w:bCs w:val="1"/>
                <w:color w:val="auto"/>
                <w:w w:val="87"/>
              </w:rPr>
              <w:t>Months Ended</w:t>
            </w:r>
          </w:p>
        </w:tc>
        <w:tc>
          <w:tcPr>
            <w:tcW w:w="220" w:type="dxa"/>
            <w:vAlign w:val="bottom"/>
          </w:tcPr>
          <w:p>
            <w:pPr>
              <w:spacing w:after="0"/>
              <w:rPr>
                <w:sz w:val="14"/>
                <w:szCs w:val="14"/>
                <w:color w:val="auto"/>
              </w:rPr>
            </w:pPr>
          </w:p>
        </w:tc>
        <w:tc>
          <w:tcPr>
            <w:tcW w:w="900" w:type="dxa"/>
            <w:vAlign w:val="bottom"/>
          </w:tcPr>
          <w:p>
            <w:pPr>
              <w:jc w:val="center"/>
              <w:spacing w:after="0"/>
              <w:rPr>
                <w:sz w:val="20"/>
                <w:szCs w:val="20"/>
                <w:color w:val="auto"/>
              </w:rPr>
            </w:pPr>
            <w:r>
              <w:rPr>
                <w:rFonts w:ascii="Arial" w:cs="Arial" w:eastAsia="Arial" w:hAnsi="Arial"/>
                <w:sz w:val="14"/>
                <w:szCs w:val="14"/>
                <w:b w:val="1"/>
                <w:bCs w:val="1"/>
                <w:color w:val="auto"/>
                <w:w w:val="85"/>
              </w:rPr>
              <w:t>Sales Price</w:t>
            </w:r>
          </w:p>
        </w:tc>
        <w:tc>
          <w:tcPr>
            <w:tcW w:w="0" w:type="dxa"/>
            <w:vAlign w:val="bottom"/>
          </w:tcPr>
          <w:p>
            <w:pPr>
              <w:spacing w:after="0"/>
              <w:rPr>
                <w:sz w:val="1"/>
                <w:szCs w:val="1"/>
                <w:color w:val="auto"/>
              </w:rPr>
            </w:pPr>
          </w:p>
        </w:tc>
      </w:tr>
      <w:tr>
        <w:trPr>
          <w:trHeight w:val="162"/>
        </w:trPr>
        <w:tc>
          <w:tcPr>
            <w:tcW w:w="1220" w:type="dxa"/>
            <w:vAlign w:val="bottom"/>
          </w:tcPr>
          <w:p>
            <w:pPr>
              <w:spacing w:after="0"/>
              <w:rPr>
                <w:sz w:val="14"/>
                <w:szCs w:val="14"/>
                <w:color w:val="auto"/>
              </w:rPr>
            </w:pPr>
          </w:p>
        </w:tc>
        <w:tc>
          <w:tcPr>
            <w:tcW w:w="3000" w:type="dxa"/>
            <w:vAlign w:val="bottom"/>
          </w:tcPr>
          <w:p>
            <w:pPr>
              <w:spacing w:after="0"/>
              <w:rPr>
                <w:sz w:val="14"/>
                <w:szCs w:val="14"/>
                <w:color w:val="auto"/>
              </w:rPr>
            </w:pPr>
          </w:p>
        </w:tc>
        <w:tc>
          <w:tcPr>
            <w:tcW w:w="1020" w:type="dxa"/>
            <w:vAlign w:val="bottom"/>
            <w:gridSpan w:val="2"/>
          </w:tcPr>
          <w:p>
            <w:pPr>
              <w:jc w:val="center"/>
              <w:ind w:right="140"/>
              <w:spacing w:after="0"/>
              <w:rPr>
                <w:sz w:val="20"/>
                <w:szCs w:val="20"/>
                <w:color w:val="auto"/>
              </w:rPr>
            </w:pPr>
            <w:r>
              <w:rPr>
                <w:rFonts w:ascii="Arial" w:cs="Arial" w:eastAsia="Arial" w:hAnsi="Arial"/>
                <w:sz w:val="14"/>
                <w:szCs w:val="14"/>
                <w:b w:val="1"/>
                <w:bCs w:val="1"/>
                <w:color w:val="auto"/>
                <w:w w:val="92"/>
              </w:rPr>
              <w:t>First</w:t>
            </w:r>
          </w:p>
        </w:tc>
        <w:tc>
          <w:tcPr>
            <w:tcW w:w="100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w w:val="91"/>
              </w:rPr>
              <w:t>Number of</w:t>
            </w:r>
          </w:p>
        </w:tc>
        <w:tc>
          <w:tcPr>
            <w:tcW w:w="108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w w:val="92"/>
              </w:rPr>
              <w:t>March 31,</w:t>
            </w:r>
          </w:p>
        </w:tc>
        <w:tc>
          <w:tcPr>
            <w:tcW w:w="100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w w:val="92"/>
              </w:rPr>
              <w:t>March 31,</w:t>
            </w:r>
          </w:p>
        </w:tc>
        <w:tc>
          <w:tcPr>
            <w:tcW w:w="100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w w:val="92"/>
              </w:rPr>
              <w:t>March 31,</w:t>
            </w:r>
          </w:p>
        </w:tc>
        <w:tc>
          <w:tcPr>
            <w:tcW w:w="980" w:type="dxa"/>
            <w:vAlign w:val="bottom"/>
          </w:tcPr>
          <w:p>
            <w:pPr>
              <w:jc w:val="center"/>
              <w:spacing w:after="0"/>
              <w:rPr>
                <w:sz w:val="20"/>
                <w:szCs w:val="20"/>
                <w:color w:val="auto"/>
              </w:rPr>
            </w:pPr>
            <w:r>
              <w:rPr>
                <w:rFonts w:ascii="Arial" w:cs="Arial" w:eastAsia="Arial" w:hAnsi="Arial"/>
                <w:sz w:val="14"/>
                <w:szCs w:val="14"/>
                <w:b w:val="1"/>
                <w:bCs w:val="1"/>
                <w:color w:val="auto"/>
                <w:w w:val="92"/>
              </w:rPr>
              <w:t>March 31,</w:t>
            </w:r>
          </w:p>
        </w:tc>
        <w:tc>
          <w:tcPr>
            <w:tcW w:w="220" w:type="dxa"/>
            <w:vAlign w:val="bottom"/>
          </w:tcPr>
          <w:p>
            <w:pPr>
              <w:spacing w:after="0"/>
              <w:rPr>
                <w:sz w:val="14"/>
                <w:szCs w:val="14"/>
                <w:color w:val="auto"/>
              </w:rPr>
            </w:pPr>
          </w:p>
        </w:tc>
        <w:tc>
          <w:tcPr>
            <w:tcW w:w="900" w:type="dxa"/>
            <w:vAlign w:val="bottom"/>
          </w:tcPr>
          <w:p>
            <w:pPr>
              <w:jc w:val="center"/>
              <w:spacing w:after="0"/>
              <w:rPr>
                <w:sz w:val="20"/>
                <w:szCs w:val="20"/>
                <w:color w:val="auto"/>
              </w:rPr>
            </w:pPr>
            <w:r>
              <w:rPr>
                <w:rFonts w:ascii="Arial" w:cs="Arial" w:eastAsia="Arial" w:hAnsi="Arial"/>
                <w:sz w:val="14"/>
                <w:szCs w:val="14"/>
                <w:b w:val="1"/>
                <w:bCs w:val="1"/>
                <w:color w:val="auto"/>
                <w:w w:val="84"/>
              </w:rPr>
              <w:t>Range</w:t>
            </w:r>
          </w:p>
        </w:tc>
        <w:tc>
          <w:tcPr>
            <w:tcW w:w="0" w:type="dxa"/>
            <w:vAlign w:val="bottom"/>
          </w:tcPr>
          <w:p>
            <w:pPr>
              <w:spacing w:after="0"/>
              <w:rPr>
                <w:sz w:val="1"/>
                <w:szCs w:val="1"/>
                <w:color w:val="auto"/>
              </w:rPr>
            </w:pPr>
          </w:p>
        </w:tc>
      </w:tr>
      <w:tr>
        <w:trPr>
          <w:trHeight w:val="155"/>
        </w:trPr>
        <w:tc>
          <w:tcPr>
            <w:tcW w:w="4220" w:type="dxa"/>
            <w:vAlign w:val="bottom"/>
            <w:gridSpan w:val="2"/>
            <w:vMerge w:val="restart"/>
          </w:tcPr>
          <w:p>
            <w:pPr>
              <w:spacing w:after="0"/>
              <w:rPr>
                <w:sz w:val="20"/>
                <w:szCs w:val="20"/>
                <w:color w:val="auto"/>
              </w:rPr>
            </w:pPr>
            <w:r>
              <w:rPr>
                <w:rFonts w:ascii="Arial" w:cs="Arial" w:eastAsia="Arial" w:hAnsi="Arial"/>
                <w:sz w:val="14"/>
                <w:szCs w:val="14"/>
                <w:b w:val="1"/>
                <w:bCs w:val="1"/>
                <w:color w:val="auto"/>
              </w:rPr>
              <w:t>County, Project, City</w:t>
            </w:r>
          </w:p>
        </w:tc>
        <w:tc>
          <w:tcPr>
            <w:tcW w:w="1020" w:type="dxa"/>
            <w:vAlign w:val="bottom"/>
            <w:gridSpan w:val="2"/>
            <w:vMerge w:val="restart"/>
          </w:tcPr>
          <w:p>
            <w:pPr>
              <w:jc w:val="center"/>
              <w:ind w:right="120"/>
              <w:spacing w:after="0"/>
              <w:rPr>
                <w:sz w:val="20"/>
                <w:szCs w:val="20"/>
                <w:color w:val="auto"/>
              </w:rPr>
            </w:pPr>
            <w:r>
              <w:rPr>
                <w:rFonts w:ascii="Arial" w:cs="Arial" w:eastAsia="Arial" w:hAnsi="Arial"/>
                <w:sz w:val="14"/>
                <w:szCs w:val="14"/>
                <w:b w:val="1"/>
                <w:bCs w:val="1"/>
                <w:color w:val="auto"/>
                <w:w w:val="91"/>
              </w:rPr>
              <w:t>Delivery</w:t>
            </w:r>
            <w:r>
              <w:rPr>
                <w:rFonts w:ascii="Arial" w:cs="Arial" w:eastAsia="Arial" w:hAnsi="Arial"/>
                <w:sz w:val="11"/>
                <w:szCs w:val="11"/>
                <w:b w:val="1"/>
                <w:bCs w:val="1"/>
                <w:color w:val="auto"/>
                <w:w w:val="91"/>
              </w:rPr>
              <w:t>(1)</w:t>
            </w:r>
          </w:p>
        </w:tc>
        <w:tc>
          <w:tcPr>
            <w:tcW w:w="1000" w:type="dxa"/>
            <w:vAlign w:val="bottom"/>
            <w:gridSpan w:val="2"/>
            <w:vMerge w:val="restart"/>
          </w:tcPr>
          <w:p>
            <w:pPr>
              <w:jc w:val="center"/>
              <w:ind w:right="240"/>
              <w:spacing w:after="0"/>
              <w:rPr>
                <w:sz w:val="20"/>
                <w:szCs w:val="20"/>
                <w:color w:val="auto"/>
              </w:rPr>
            </w:pPr>
            <w:r>
              <w:rPr>
                <w:rFonts w:ascii="Arial" w:cs="Arial" w:eastAsia="Arial" w:hAnsi="Arial"/>
                <w:sz w:val="14"/>
                <w:szCs w:val="14"/>
                <w:b w:val="1"/>
                <w:bCs w:val="1"/>
                <w:color w:val="auto"/>
                <w:w w:val="92"/>
              </w:rPr>
              <w:t>Lots</w:t>
            </w:r>
            <w:r>
              <w:rPr>
                <w:rFonts w:ascii="Arial" w:cs="Arial" w:eastAsia="Arial" w:hAnsi="Arial"/>
                <w:sz w:val="11"/>
                <w:szCs w:val="11"/>
                <w:b w:val="1"/>
                <w:bCs w:val="1"/>
                <w:color w:val="auto"/>
                <w:w w:val="92"/>
              </w:rPr>
              <w:t>(2)</w:t>
            </w:r>
          </w:p>
        </w:tc>
        <w:tc>
          <w:tcPr>
            <w:tcW w:w="86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89"/>
              </w:rPr>
              <w:t>2015</w:t>
            </w:r>
          </w:p>
        </w:tc>
        <w:tc>
          <w:tcPr>
            <w:tcW w:w="220" w:type="dxa"/>
            <w:vAlign w:val="bottom"/>
          </w:tcPr>
          <w:p>
            <w:pPr>
              <w:spacing w:after="0"/>
              <w:rPr>
                <w:sz w:val="13"/>
                <w:szCs w:val="13"/>
                <w:color w:val="auto"/>
              </w:rPr>
            </w:pPr>
          </w:p>
        </w:tc>
        <w:tc>
          <w:tcPr>
            <w:tcW w:w="78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89"/>
              </w:rPr>
              <w:t>2015</w:t>
            </w:r>
            <w:r>
              <w:rPr>
                <w:rFonts w:ascii="Arial" w:cs="Arial" w:eastAsia="Arial" w:hAnsi="Arial"/>
                <w:sz w:val="11"/>
                <w:szCs w:val="11"/>
                <w:b w:val="1"/>
                <w:bCs w:val="1"/>
                <w:color w:val="auto"/>
                <w:w w:val="89"/>
              </w:rPr>
              <w:t>(3)</w:t>
            </w:r>
          </w:p>
        </w:tc>
        <w:tc>
          <w:tcPr>
            <w:tcW w:w="220" w:type="dxa"/>
            <w:vAlign w:val="bottom"/>
          </w:tcPr>
          <w:p>
            <w:pPr>
              <w:spacing w:after="0"/>
              <w:rPr>
                <w:sz w:val="13"/>
                <w:szCs w:val="13"/>
                <w:color w:val="auto"/>
              </w:rPr>
            </w:pPr>
          </w:p>
        </w:tc>
        <w:tc>
          <w:tcPr>
            <w:tcW w:w="78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92"/>
              </w:rPr>
              <w:t>2015</w:t>
            </w:r>
            <w:r>
              <w:rPr>
                <w:rFonts w:ascii="Arial" w:cs="Arial" w:eastAsia="Arial" w:hAnsi="Arial"/>
                <w:sz w:val="11"/>
                <w:szCs w:val="11"/>
                <w:b w:val="1"/>
                <w:bCs w:val="1"/>
                <w:color w:val="auto"/>
                <w:w w:val="92"/>
              </w:rPr>
              <w:t>(4)(5)</w:t>
            </w:r>
          </w:p>
        </w:tc>
        <w:tc>
          <w:tcPr>
            <w:tcW w:w="220" w:type="dxa"/>
            <w:vAlign w:val="bottom"/>
          </w:tcPr>
          <w:p>
            <w:pPr>
              <w:spacing w:after="0"/>
              <w:rPr>
                <w:sz w:val="13"/>
                <w:szCs w:val="13"/>
                <w:color w:val="auto"/>
              </w:rPr>
            </w:pPr>
          </w:p>
        </w:tc>
        <w:tc>
          <w:tcPr>
            <w:tcW w:w="98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89"/>
              </w:rPr>
              <w:t>2015</w:t>
            </w:r>
          </w:p>
        </w:tc>
        <w:tc>
          <w:tcPr>
            <w:tcW w:w="220" w:type="dxa"/>
            <w:vAlign w:val="bottom"/>
          </w:tcPr>
          <w:p>
            <w:pPr>
              <w:spacing w:after="0"/>
              <w:rPr>
                <w:sz w:val="13"/>
                <w:szCs w:val="13"/>
                <w:color w:val="auto"/>
              </w:rPr>
            </w:pPr>
          </w:p>
        </w:tc>
        <w:tc>
          <w:tcPr>
            <w:tcW w:w="900" w:type="dxa"/>
            <w:vAlign w:val="bottom"/>
          </w:tcPr>
          <w:p>
            <w:pPr>
              <w:jc w:val="center"/>
              <w:spacing w:after="0" w:line="155" w:lineRule="exact"/>
              <w:rPr>
                <w:sz w:val="20"/>
                <w:szCs w:val="20"/>
                <w:color w:val="auto"/>
              </w:rPr>
            </w:pPr>
            <w:r>
              <w:rPr>
                <w:rFonts w:ascii="Arial" w:cs="Arial" w:eastAsia="Arial" w:hAnsi="Arial"/>
                <w:sz w:val="14"/>
                <w:szCs w:val="14"/>
                <w:b w:val="1"/>
                <w:bCs w:val="1"/>
                <w:color w:val="auto"/>
                <w:w w:val="87"/>
              </w:rPr>
              <w:t>(in thousands)</w:t>
            </w:r>
          </w:p>
        </w:tc>
        <w:tc>
          <w:tcPr>
            <w:tcW w:w="0" w:type="dxa"/>
            <w:vAlign w:val="bottom"/>
          </w:tcPr>
          <w:p>
            <w:pPr>
              <w:spacing w:after="0"/>
              <w:rPr>
                <w:sz w:val="1"/>
                <w:szCs w:val="1"/>
                <w:color w:val="auto"/>
              </w:rPr>
            </w:pPr>
          </w:p>
        </w:tc>
      </w:tr>
      <w:tr>
        <w:trPr>
          <w:trHeight w:val="148"/>
        </w:trPr>
        <w:tc>
          <w:tcPr>
            <w:tcW w:w="4220" w:type="dxa"/>
            <w:vAlign w:val="bottom"/>
            <w:gridSpan w:val="2"/>
            <w:vMerge w:val="continue"/>
          </w:tcPr>
          <w:p>
            <w:pPr>
              <w:spacing w:after="0"/>
              <w:rPr>
                <w:sz w:val="12"/>
                <w:szCs w:val="12"/>
                <w:color w:val="auto"/>
              </w:rPr>
            </w:pPr>
          </w:p>
        </w:tc>
        <w:tc>
          <w:tcPr>
            <w:tcW w:w="1020" w:type="dxa"/>
            <w:vAlign w:val="bottom"/>
            <w:gridSpan w:val="2"/>
            <w:vMerge w:val="continue"/>
          </w:tcPr>
          <w:p>
            <w:pPr>
              <w:spacing w:after="0"/>
              <w:rPr>
                <w:sz w:val="12"/>
                <w:szCs w:val="12"/>
                <w:color w:val="auto"/>
              </w:rPr>
            </w:pPr>
          </w:p>
        </w:tc>
        <w:tc>
          <w:tcPr>
            <w:tcW w:w="1000" w:type="dxa"/>
            <w:vAlign w:val="bottom"/>
            <w:gridSpan w:val="2"/>
            <w:vMerge w:val="continue"/>
          </w:tcPr>
          <w:p>
            <w:pPr>
              <w:spacing w:after="0"/>
              <w:rPr>
                <w:sz w:val="12"/>
                <w:szCs w:val="12"/>
                <w:color w:val="auto"/>
              </w:rPr>
            </w:pPr>
          </w:p>
        </w:tc>
        <w:tc>
          <w:tcPr>
            <w:tcW w:w="860" w:type="dxa"/>
            <w:vAlign w:val="bottom"/>
            <w:vMerge w:val="continue"/>
          </w:tcPr>
          <w:p>
            <w:pPr>
              <w:spacing w:after="0"/>
              <w:rPr>
                <w:sz w:val="12"/>
                <w:szCs w:val="12"/>
                <w:color w:val="auto"/>
              </w:rPr>
            </w:pPr>
          </w:p>
        </w:tc>
        <w:tc>
          <w:tcPr>
            <w:tcW w:w="220" w:type="dxa"/>
            <w:vAlign w:val="bottom"/>
          </w:tcPr>
          <w:p>
            <w:pPr>
              <w:spacing w:after="0"/>
              <w:rPr>
                <w:sz w:val="12"/>
                <w:szCs w:val="12"/>
                <w:color w:val="auto"/>
              </w:rPr>
            </w:pPr>
          </w:p>
        </w:tc>
        <w:tc>
          <w:tcPr>
            <w:tcW w:w="780" w:type="dxa"/>
            <w:vAlign w:val="bottom"/>
            <w:vMerge w:val="continue"/>
          </w:tcPr>
          <w:p>
            <w:pPr>
              <w:spacing w:after="0"/>
              <w:rPr>
                <w:sz w:val="12"/>
                <w:szCs w:val="12"/>
                <w:color w:val="auto"/>
              </w:rPr>
            </w:pPr>
          </w:p>
        </w:tc>
        <w:tc>
          <w:tcPr>
            <w:tcW w:w="220" w:type="dxa"/>
            <w:vAlign w:val="bottom"/>
          </w:tcPr>
          <w:p>
            <w:pPr>
              <w:spacing w:after="0"/>
              <w:rPr>
                <w:sz w:val="12"/>
                <w:szCs w:val="12"/>
                <w:color w:val="auto"/>
              </w:rPr>
            </w:pPr>
          </w:p>
        </w:tc>
        <w:tc>
          <w:tcPr>
            <w:tcW w:w="780" w:type="dxa"/>
            <w:vAlign w:val="bottom"/>
            <w:vMerge w:val="continue"/>
          </w:tcPr>
          <w:p>
            <w:pPr>
              <w:spacing w:after="0"/>
              <w:rPr>
                <w:sz w:val="12"/>
                <w:szCs w:val="12"/>
                <w:color w:val="auto"/>
              </w:rPr>
            </w:pPr>
          </w:p>
        </w:tc>
        <w:tc>
          <w:tcPr>
            <w:tcW w:w="220" w:type="dxa"/>
            <w:vAlign w:val="bottom"/>
          </w:tcPr>
          <w:p>
            <w:pPr>
              <w:spacing w:after="0"/>
              <w:rPr>
                <w:sz w:val="12"/>
                <w:szCs w:val="12"/>
                <w:color w:val="auto"/>
              </w:rPr>
            </w:pPr>
          </w:p>
        </w:tc>
        <w:tc>
          <w:tcPr>
            <w:tcW w:w="980" w:type="dxa"/>
            <w:vAlign w:val="bottom"/>
            <w:vMerge w:val="continue"/>
          </w:tcPr>
          <w:p>
            <w:pPr>
              <w:spacing w:after="0"/>
              <w:rPr>
                <w:sz w:val="12"/>
                <w:szCs w:val="12"/>
                <w:color w:val="auto"/>
              </w:rPr>
            </w:pPr>
          </w:p>
        </w:tc>
        <w:tc>
          <w:tcPr>
            <w:tcW w:w="1120" w:type="dxa"/>
            <w:vAlign w:val="bottom"/>
            <w:gridSpan w:val="2"/>
          </w:tcPr>
          <w:p>
            <w:pPr>
              <w:jc w:val="center"/>
              <w:ind w:left="133"/>
              <w:spacing w:after="0"/>
              <w:rPr>
                <w:sz w:val="20"/>
                <w:szCs w:val="20"/>
                <w:color w:val="auto"/>
              </w:rPr>
            </w:pPr>
            <w:r>
              <w:rPr>
                <w:rFonts w:ascii="Arial" w:cs="Arial" w:eastAsia="Arial" w:hAnsi="Arial"/>
                <w:sz w:val="11"/>
                <w:szCs w:val="11"/>
                <w:b w:val="1"/>
                <w:bCs w:val="1"/>
                <w:color w:val="auto"/>
                <w:w w:val="88"/>
              </w:rPr>
              <w:t>(6)</w:t>
            </w:r>
          </w:p>
        </w:tc>
        <w:tc>
          <w:tcPr>
            <w:tcW w:w="0" w:type="dxa"/>
            <w:vAlign w:val="bottom"/>
          </w:tcPr>
          <w:p>
            <w:pPr>
              <w:spacing w:after="0"/>
              <w:rPr>
                <w:sz w:val="1"/>
                <w:szCs w:val="1"/>
                <w:color w:val="auto"/>
              </w:rPr>
            </w:pPr>
          </w:p>
        </w:tc>
      </w:tr>
      <w:tr>
        <w:trPr>
          <w:trHeight w:val="149"/>
        </w:trPr>
        <w:tc>
          <w:tcPr>
            <w:tcW w:w="1220" w:type="dxa"/>
            <w:vAlign w:val="bottom"/>
            <w:tcBorders>
              <w:top w:val="single" w:sz="8" w:color="auto"/>
            </w:tcBorders>
          </w:tcPr>
          <w:p>
            <w:pPr>
              <w:spacing w:after="0" w:line="149" w:lineRule="exact"/>
              <w:rPr>
                <w:sz w:val="20"/>
                <w:szCs w:val="20"/>
                <w:color w:val="auto"/>
              </w:rPr>
            </w:pPr>
            <w:r>
              <w:rPr>
                <w:rFonts w:ascii="Arial" w:cs="Arial" w:eastAsia="Arial" w:hAnsi="Arial"/>
                <w:sz w:val="14"/>
                <w:szCs w:val="14"/>
                <w:b w:val="1"/>
                <w:bCs w:val="1"/>
                <w:color w:val="auto"/>
              </w:rPr>
              <w:t>Washington</w:t>
            </w:r>
          </w:p>
        </w:tc>
        <w:tc>
          <w:tcPr>
            <w:tcW w:w="3000" w:type="dxa"/>
            <w:vAlign w:val="bottom"/>
          </w:tcPr>
          <w:p>
            <w:pPr>
              <w:spacing w:after="0"/>
              <w:rPr>
                <w:sz w:val="12"/>
                <w:szCs w:val="12"/>
                <w:color w:val="auto"/>
              </w:rPr>
            </w:pPr>
          </w:p>
        </w:tc>
        <w:tc>
          <w:tcPr>
            <w:tcW w:w="900" w:type="dxa"/>
            <w:vAlign w:val="bottom"/>
            <w:tcBorders>
              <w:top w:val="single" w:sz="8" w:color="auto"/>
            </w:tcBorders>
          </w:tcPr>
          <w:p>
            <w:pPr>
              <w:spacing w:after="0"/>
              <w:rPr>
                <w:sz w:val="12"/>
                <w:szCs w:val="12"/>
                <w:color w:val="auto"/>
              </w:rPr>
            </w:pPr>
          </w:p>
        </w:tc>
        <w:tc>
          <w:tcPr>
            <w:tcW w:w="120" w:type="dxa"/>
            <w:vAlign w:val="bottom"/>
          </w:tcPr>
          <w:p>
            <w:pPr>
              <w:spacing w:after="0"/>
              <w:rPr>
                <w:sz w:val="12"/>
                <w:szCs w:val="12"/>
                <w:color w:val="auto"/>
              </w:rPr>
            </w:pPr>
          </w:p>
        </w:tc>
        <w:tc>
          <w:tcPr>
            <w:tcW w:w="780" w:type="dxa"/>
            <w:vAlign w:val="bottom"/>
            <w:tcBorders>
              <w:top w:val="single" w:sz="8" w:color="auto"/>
            </w:tcBorders>
          </w:tcPr>
          <w:p>
            <w:pPr>
              <w:spacing w:after="0"/>
              <w:rPr>
                <w:sz w:val="12"/>
                <w:szCs w:val="12"/>
                <w:color w:val="auto"/>
              </w:rPr>
            </w:pPr>
          </w:p>
        </w:tc>
        <w:tc>
          <w:tcPr>
            <w:tcW w:w="220" w:type="dxa"/>
            <w:vAlign w:val="bottom"/>
          </w:tcPr>
          <w:p>
            <w:pPr>
              <w:spacing w:after="0"/>
              <w:rPr>
                <w:sz w:val="12"/>
                <w:szCs w:val="12"/>
                <w:color w:val="auto"/>
              </w:rPr>
            </w:pPr>
          </w:p>
        </w:tc>
        <w:tc>
          <w:tcPr>
            <w:tcW w:w="860" w:type="dxa"/>
            <w:vAlign w:val="bottom"/>
            <w:tcBorders>
              <w:top w:val="single" w:sz="8" w:color="auto"/>
            </w:tcBorders>
          </w:tcPr>
          <w:p>
            <w:pPr>
              <w:spacing w:after="0"/>
              <w:rPr>
                <w:sz w:val="12"/>
                <w:szCs w:val="12"/>
                <w:color w:val="auto"/>
              </w:rPr>
            </w:pPr>
          </w:p>
        </w:tc>
        <w:tc>
          <w:tcPr>
            <w:tcW w:w="220" w:type="dxa"/>
            <w:vAlign w:val="bottom"/>
          </w:tcPr>
          <w:p>
            <w:pPr>
              <w:spacing w:after="0"/>
              <w:rPr>
                <w:sz w:val="12"/>
                <w:szCs w:val="12"/>
                <w:color w:val="auto"/>
              </w:rPr>
            </w:pPr>
          </w:p>
        </w:tc>
        <w:tc>
          <w:tcPr>
            <w:tcW w:w="780" w:type="dxa"/>
            <w:vAlign w:val="bottom"/>
            <w:tcBorders>
              <w:top w:val="single" w:sz="8" w:color="auto"/>
            </w:tcBorders>
          </w:tcPr>
          <w:p>
            <w:pPr>
              <w:spacing w:after="0"/>
              <w:rPr>
                <w:sz w:val="12"/>
                <w:szCs w:val="12"/>
                <w:color w:val="auto"/>
              </w:rPr>
            </w:pPr>
          </w:p>
        </w:tc>
        <w:tc>
          <w:tcPr>
            <w:tcW w:w="220" w:type="dxa"/>
            <w:vAlign w:val="bottom"/>
          </w:tcPr>
          <w:p>
            <w:pPr>
              <w:spacing w:after="0"/>
              <w:rPr>
                <w:sz w:val="12"/>
                <w:szCs w:val="12"/>
                <w:color w:val="auto"/>
              </w:rPr>
            </w:pPr>
          </w:p>
        </w:tc>
        <w:tc>
          <w:tcPr>
            <w:tcW w:w="780" w:type="dxa"/>
            <w:vAlign w:val="bottom"/>
            <w:tcBorders>
              <w:top w:val="single" w:sz="8" w:color="auto"/>
            </w:tcBorders>
          </w:tcPr>
          <w:p>
            <w:pPr>
              <w:spacing w:after="0"/>
              <w:rPr>
                <w:sz w:val="12"/>
                <w:szCs w:val="12"/>
                <w:color w:val="auto"/>
              </w:rPr>
            </w:pPr>
          </w:p>
        </w:tc>
        <w:tc>
          <w:tcPr>
            <w:tcW w:w="220" w:type="dxa"/>
            <w:vAlign w:val="bottom"/>
          </w:tcPr>
          <w:p>
            <w:pPr>
              <w:spacing w:after="0"/>
              <w:rPr>
                <w:sz w:val="12"/>
                <w:szCs w:val="12"/>
                <w:color w:val="auto"/>
              </w:rPr>
            </w:pPr>
          </w:p>
        </w:tc>
        <w:tc>
          <w:tcPr>
            <w:tcW w:w="980" w:type="dxa"/>
            <w:vAlign w:val="bottom"/>
            <w:tcBorders>
              <w:top w:val="single" w:sz="8" w:color="auto"/>
            </w:tcBorders>
          </w:tcPr>
          <w:p>
            <w:pPr>
              <w:spacing w:after="0"/>
              <w:rPr>
                <w:sz w:val="12"/>
                <w:szCs w:val="12"/>
                <w:color w:val="auto"/>
              </w:rPr>
            </w:pPr>
          </w:p>
        </w:tc>
        <w:tc>
          <w:tcPr>
            <w:tcW w:w="220" w:type="dxa"/>
            <w:vAlign w:val="bottom"/>
          </w:tcPr>
          <w:p>
            <w:pPr>
              <w:spacing w:after="0"/>
              <w:rPr>
                <w:sz w:val="12"/>
                <w:szCs w:val="12"/>
                <w:color w:val="auto"/>
              </w:rPr>
            </w:pPr>
          </w:p>
        </w:tc>
        <w:tc>
          <w:tcPr>
            <w:tcW w:w="900" w:type="dxa"/>
            <w:vAlign w:val="bottom"/>
            <w:tcBorders>
              <w:top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162"/>
        </w:trPr>
        <w:tc>
          <w:tcPr>
            <w:tcW w:w="4220" w:type="dxa"/>
            <w:vAlign w:val="bottom"/>
            <w:gridSpan w:val="2"/>
            <w:shd w:val="clear" w:color="auto" w:fill="CFF0FC"/>
          </w:tcPr>
          <w:p>
            <w:pPr>
              <w:spacing w:after="0"/>
              <w:rPr>
                <w:sz w:val="20"/>
                <w:szCs w:val="20"/>
                <w:color w:val="auto"/>
              </w:rPr>
            </w:pPr>
            <w:r>
              <w:rPr>
                <w:rFonts w:ascii="Arial" w:cs="Arial" w:eastAsia="Arial" w:hAnsi="Arial"/>
                <w:sz w:val="14"/>
                <w:szCs w:val="14"/>
                <w:color w:val="auto"/>
              </w:rPr>
              <w:t>Skagit County:</w:t>
            </w:r>
          </w:p>
        </w:tc>
        <w:tc>
          <w:tcPr>
            <w:tcW w:w="900" w:type="dxa"/>
            <w:vAlign w:val="bottom"/>
            <w:shd w:val="clear" w:color="auto" w:fill="CFF0FC"/>
          </w:tcPr>
          <w:p>
            <w:pPr>
              <w:spacing w:after="0"/>
              <w:rPr>
                <w:sz w:val="14"/>
                <w:szCs w:val="14"/>
                <w:color w:val="auto"/>
              </w:rPr>
            </w:pPr>
          </w:p>
        </w:tc>
        <w:tc>
          <w:tcPr>
            <w:tcW w:w="120" w:type="dxa"/>
            <w:vAlign w:val="bottom"/>
            <w:shd w:val="clear" w:color="auto" w:fill="CFF0FC"/>
          </w:tcPr>
          <w:p>
            <w:pPr>
              <w:spacing w:after="0"/>
              <w:rPr>
                <w:sz w:val="14"/>
                <w:szCs w:val="14"/>
                <w:color w:val="auto"/>
              </w:rPr>
            </w:pPr>
          </w:p>
        </w:tc>
        <w:tc>
          <w:tcPr>
            <w:tcW w:w="780" w:type="dxa"/>
            <w:vAlign w:val="bottom"/>
            <w:shd w:val="clear" w:color="auto" w:fill="CFF0FC"/>
          </w:tcPr>
          <w:p>
            <w:pPr>
              <w:spacing w:after="0"/>
              <w:rPr>
                <w:sz w:val="14"/>
                <w:szCs w:val="14"/>
                <w:color w:val="auto"/>
              </w:rPr>
            </w:pPr>
          </w:p>
        </w:tc>
        <w:tc>
          <w:tcPr>
            <w:tcW w:w="220" w:type="dxa"/>
            <w:vAlign w:val="bottom"/>
            <w:shd w:val="clear" w:color="auto" w:fill="CFF0FC"/>
          </w:tcPr>
          <w:p>
            <w:pPr>
              <w:spacing w:after="0"/>
              <w:rPr>
                <w:sz w:val="14"/>
                <w:szCs w:val="14"/>
                <w:color w:val="auto"/>
              </w:rPr>
            </w:pPr>
          </w:p>
        </w:tc>
        <w:tc>
          <w:tcPr>
            <w:tcW w:w="860" w:type="dxa"/>
            <w:vAlign w:val="bottom"/>
            <w:shd w:val="clear" w:color="auto" w:fill="CFF0FC"/>
          </w:tcPr>
          <w:p>
            <w:pPr>
              <w:spacing w:after="0"/>
              <w:rPr>
                <w:sz w:val="14"/>
                <w:szCs w:val="14"/>
                <w:color w:val="auto"/>
              </w:rPr>
            </w:pPr>
          </w:p>
        </w:tc>
        <w:tc>
          <w:tcPr>
            <w:tcW w:w="220" w:type="dxa"/>
            <w:vAlign w:val="bottom"/>
            <w:shd w:val="clear" w:color="auto" w:fill="CFF0FC"/>
          </w:tcPr>
          <w:p>
            <w:pPr>
              <w:spacing w:after="0"/>
              <w:rPr>
                <w:sz w:val="14"/>
                <w:szCs w:val="14"/>
                <w:color w:val="auto"/>
              </w:rPr>
            </w:pPr>
          </w:p>
        </w:tc>
        <w:tc>
          <w:tcPr>
            <w:tcW w:w="780" w:type="dxa"/>
            <w:vAlign w:val="bottom"/>
            <w:shd w:val="clear" w:color="auto" w:fill="CFF0FC"/>
          </w:tcPr>
          <w:p>
            <w:pPr>
              <w:spacing w:after="0"/>
              <w:rPr>
                <w:sz w:val="14"/>
                <w:szCs w:val="14"/>
                <w:color w:val="auto"/>
              </w:rPr>
            </w:pPr>
          </w:p>
        </w:tc>
        <w:tc>
          <w:tcPr>
            <w:tcW w:w="220" w:type="dxa"/>
            <w:vAlign w:val="bottom"/>
            <w:shd w:val="clear" w:color="auto" w:fill="CFF0FC"/>
          </w:tcPr>
          <w:p>
            <w:pPr>
              <w:spacing w:after="0"/>
              <w:rPr>
                <w:sz w:val="14"/>
                <w:szCs w:val="14"/>
                <w:color w:val="auto"/>
              </w:rPr>
            </w:pPr>
          </w:p>
        </w:tc>
        <w:tc>
          <w:tcPr>
            <w:tcW w:w="780" w:type="dxa"/>
            <w:vAlign w:val="bottom"/>
            <w:shd w:val="clear" w:color="auto" w:fill="CFF0FC"/>
          </w:tcPr>
          <w:p>
            <w:pPr>
              <w:spacing w:after="0"/>
              <w:rPr>
                <w:sz w:val="14"/>
                <w:szCs w:val="14"/>
                <w:color w:val="auto"/>
              </w:rPr>
            </w:pPr>
          </w:p>
        </w:tc>
        <w:tc>
          <w:tcPr>
            <w:tcW w:w="220" w:type="dxa"/>
            <w:vAlign w:val="bottom"/>
            <w:shd w:val="clear" w:color="auto" w:fill="CFF0FC"/>
          </w:tcPr>
          <w:p>
            <w:pPr>
              <w:spacing w:after="0"/>
              <w:rPr>
                <w:sz w:val="14"/>
                <w:szCs w:val="14"/>
                <w:color w:val="auto"/>
              </w:rPr>
            </w:pPr>
          </w:p>
        </w:tc>
        <w:tc>
          <w:tcPr>
            <w:tcW w:w="980" w:type="dxa"/>
            <w:vAlign w:val="bottom"/>
            <w:shd w:val="clear" w:color="auto" w:fill="CFF0FC"/>
          </w:tcPr>
          <w:p>
            <w:pPr>
              <w:spacing w:after="0"/>
              <w:rPr>
                <w:sz w:val="14"/>
                <w:szCs w:val="14"/>
                <w:color w:val="auto"/>
              </w:rPr>
            </w:pPr>
          </w:p>
        </w:tc>
        <w:tc>
          <w:tcPr>
            <w:tcW w:w="220" w:type="dxa"/>
            <w:vAlign w:val="bottom"/>
            <w:shd w:val="clear" w:color="auto" w:fill="CFF0FC"/>
          </w:tcPr>
          <w:p>
            <w:pPr>
              <w:spacing w:after="0"/>
              <w:rPr>
                <w:sz w:val="14"/>
                <w:szCs w:val="14"/>
                <w:color w:val="auto"/>
              </w:rPr>
            </w:pPr>
          </w:p>
        </w:tc>
        <w:tc>
          <w:tcPr>
            <w:tcW w:w="900" w:type="dxa"/>
            <w:vAlign w:val="bottom"/>
            <w:shd w:val="clear" w:color="auto" w:fill="CFF0FC"/>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4220" w:type="dxa"/>
            <w:vAlign w:val="bottom"/>
            <w:gridSpan w:val="2"/>
          </w:tcPr>
          <w:p>
            <w:pPr>
              <w:ind w:left="380"/>
              <w:spacing w:after="0"/>
              <w:rPr>
                <w:sz w:val="20"/>
                <w:szCs w:val="20"/>
                <w:color w:val="auto"/>
              </w:rPr>
            </w:pPr>
            <w:r>
              <w:rPr>
                <w:rFonts w:ascii="Arial" w:cs="Arial" w:eastAsia="Arial" w:hAnsi="Arial"/>
                <w:sz w:val="14"/>
                <w:szCs w:val="14"/>
                <w:color w:val="auto"/>
              </w:rPr>
              <w:t>Skagit Highlands, Mt Vernon</w:t>
            </w:r>
          </w:p>
        </w:tc>
        <w:tc>
          <w:tcPr>
            <w:tcW w:w="900" w:type="dxa"/>
            <w:vAlign w:val="bottom"/>
          </w:tcPr>
          <w:p>
            <w:pPr>
              <w:jc w:val="center"/>
              <w:spacing w:after="0"/>
              <w:rPr>
                <w:sz w:val="20"/>
                <w:szCs w:val="20"/>
                <w:color w:val="auto"/>
              </w:rPr>
            </w:pPr>
            <w:r>
              <w:rPr>
                <w:rFonts w:ascii="Arial" w:cs="Arial" w:eastAsia="Arial" w:hAnsi="Arial"/>
                <w:sz w:val="14"/>
                <w:szCs w:val="14"/>
                <w:color w:val="auto"/>
                <w:w w:val="83"/>
              </w:rPr>
              <w:t>2005</w:t>
            </w:r>
          </w:p>
        </w:tc>
        <w:tc>
          <w:tcPr>
            <w:tcW w:w="120" w:type="dxa"/>
            <w:vAlign w:val="bottom"/>
          </w:tcPr>
          <w:p>
            <w:pPr>
              <w:spacing w:after="0"/>
              <w:rPr>
                <w:sz w:val="14"/>
                <w:szCs w:val="14"/>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423</w:t>
            </w:r>
          </w:p>
        </w:tc>
        <w:tc>
          <w:tcPr>
            <w:tcW w:w="220" w:type="dxa"/>
            <w:vAlign w:val="bottom"/>
          </w:tcPr>
          <w:p>
            <w:pPr>
              <w:spacing w:after="0"/>
              <w:rPr>
                <w:sz w:val="14"/>
                <w:szCs w:val="14"/>
                <w:color w:val="auto"/>
              </w:rPr>
            </w:pPr>
          </w:p>
        </w:tc>
        <w:tc>
          <w:tcPr>
            <w:tcW w:w="860" w:type="dxa"/>
            <w:vAlign w:val="bottom"/>
          </w:tcPr>
          <w:p>
            <w:pPr>
              <w:jc w:val="right"/>
              <w:spacing w:after="0"/>
              <w:rPr>
                <w:sz w:val="20"/>
                <w:szCs w:val="20"/>
                <w:color w:val="auto"/>
              </w:rPr>
            </w:pPr>
            <w:r>
              <w:rPr>
                <w:rFonts w:ascii="Arial" w:cs="Arial" w:eastAsia="Arial" w:hAnsi="Arial"/>
                <w:sz w:val="14"/>
                <w:szCs w:val="14"/>
                <w:color w:val="auto"/>
              </w:rPr>
              <w:t>368</w:t>
            </w:r>
          </w:p>
        </w:tc>
        <w:tc>
          <w:tcPr>
            <w:tcW w:w="220" w:type="dxa"/>
            <w:vAlign w:val="bottom"/>
          </w:tcPr>
          <w:p>
            <w:pPr>
              <w:spacing w:after="0"/>
              <w:rPr>
                <w:sz w:val="14"/>
                <w:szCs w:val="14"/>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55</w:t>
            </w:r>
          </w:p>
        </w:tc>
        <w:tc>
          <w:tcPr>
            <w:tcW w:w="220" w:type="dxa"/>
            <w:vAlign w:val="bottom"/>
          </w:tcPr>
          <w:p>
            <w:pPr>
              <w:spacing w:after="0"/>
              <w:rPr>
                <w:sz w:val="14"/>
                <w:szCs w:val="14"/>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22</w:t>
            </w:r>
          </w:p>
        </w:tc>
        <w:tc>
          <w:tcPr>
            <w:tcW w:w="220" w:type="dxa"/>
            <w:vAlign w:val="bottom"/>
          </w:tcPr>
          <w:p>
            <w:pPr>
              <w:spacing w:after="0"/>
              <w:rPr>
                <w:sz w:val="14"/>
                <w:szCs w:val="14"/>
                <w:color w:val="auto"/>
              </w:rPr>
            </w:pPr>
          </w:p>
        </w:tc>
        <w:tc>
          <w:tcPr>
            <w:tcW w:w="980" w:type="dxa"/>
            <w:vAlign w:val="bottom"/>
          </w:tcPr>
          <w:p>
            <w:pPr>
              <w:jc w:val="right"/>
              <w:spacing w:after="0"/>
              <w:rPr>
                <w:sz w:val="20"/>
                <w:szCs w:val="20"/>
                <w:color w:val="auto"/>
              </w:rPr>
            </w:pPr>
            <w:r>
              <w:rPr>
                <w:rFonts w:ascii="Arial" w:cs="Arial" w:eastAsia="Arial" w:hAnsi="Arial"/>
                <w:sz w:val="14"/>
                <w:szCs w:val="14"/>
                <w:color w:val="auto"/>
              </w:rPr>
              <w:t>8</w:t>
            </w:r>
          </w:p>
        </w:tc>
        <w:tc>
          <w:tcPr>
            <w:tcW w:w="1120" w:type="dxa"/>
            <w:vAlign w:val="bottom"/>
            <w:gridSpan w:val="2"/>
          </w:tcPr>
          <w:p>
            <w:pPr>
              <w:jc w:val="center"/>
              <w:ind w:left="133"/>
              <w:spacing w:after="0"/>
              <w:rPr>
                <w:sz w:val="20"/>
                <w:szCs w:val="20"/>
                <w:color w:val="auto"/>
              </w:rPr>
            </w:pPr>
            <w:r>
              <w:rPr>
                <w:rFonts w:ascii="Arial" w:cs="Arial" w:eastAsia="Arial" w:hAnsi="Arial"/>
                <w:sz w:val="14"/>
                <w:szCs w:val="14"/>
                <w:color w:val="auto"/>
                <w:w w:val="85"/>
              </w:rPr>
              <w:t>$223 - $316</w:t>
            </w:r>
          </w:p>
        </w:tc>
        <w:tc>
          <w:tcPr>
            <w:tcW w:w="0" w:type="dxa"/>
            <w:vAlign w:val="bottom"/>
          </w:tcPr>
          <w:p>
            <w:pPr>
              <w:spacing w:after="0"/>
              <w:rPr>
                <w:sz w:val="1"/>
                <w:szCs w:val="1"/>
                <w:color w:val="auto"/>
              </w:rPr>
            </w:pPr>
          </w:p>
        </w:tc>
      </w:tr>
      <w:tr>
        <w:trPr>
          <w:trHeight w:val="162"/>
        </w:trPr>
        <w:tc>
          <w:tcPr>
            <w:tcW w:w="4220" w:type="dxa"/>
            <w:vAlign w:val="bottom"/>
            <w:gridSpan w:val="2"/>
            <w:shd w:val="clear" w:color="auto" w:fill="CFF0FC"/>
          </w:tcPr>
          <w:p>
            <w:pPr>
              <w:ind w:left="380"/>
              <w:spacing w:after="0"/>
              <w:rPr>
                <w:sz w:val="20"/>
                <w:szCs w:val="20"/>
                <w:color w:val="auto"/>
              </w:rPr>
            </w:pPr>
            <w:r>
              <w:rPr>
                <w:rFonts w:ascii="Arial" w:cs="Arial" w:eastAsia="Arial" w:hAnsi="Arial"/>
                <w:sz w:val="14"/>
                <w:szCs w:val="14"/>
                <w:color w:val="auto"/>
              </w:rPr>
              <w:t>Skagit Pod D, Mt Vernon</w:t>
            </w:r>
          </w:p>
        </w:tc>
        <w:tc>
          <w:tcPr>
            <w:tcW w:w="900" w:type="dxa"/>
            <w:vAlign w:val="bottom"/>
            <w:shd w:val="clear" w:color="auto" w:fill="CFF0FC"/>
          </w:tcPr>
          <w:p>
            <w:pPr>
              <w:jc w:val="center"/>
              <w:spacing w:after="0"/>
              <w:rPr>
                <w:sz w:val="20"/>
                <w:szCs w:val="20"/>
                <w:color w:val="auto"/>
              </w:rPr>
            </w:pPr>
            <w:r>
              <w:rPr>
                <w:rFonts w:ascii="Arial" w:cs="Arial" w:eastAsia="Arial" w:hAnsi="Arial"/>
                <w:sz w:val="14"/>
                <w:szCs w:val="14"/>
                <w:color w:val="auto"/>
                <w:w w:val="83"/>
              </w:rPr>
              <w:t>2015</w:t>
            </w:r>
          </w:p>
        </w:tc>
        <w:tc>
          <w:tcPr>
            <w:tcW w:w="120" w:type="dxa"/>
            <w:vAlign w:val="bottom"/>
            <w:shd w:val="clear" w:color="auto" w:fill="CFF0FC"/>
          </w:tcPr>
          <w:p>
            <w:pPr>
              <w:spacing w:after="0"/>
              <w:rPr>
                <w:sz w:val="14"/>
                <w:szCs w:val="14"/>
                <w:color w:val="auto"/>
              </w:rPr>
            </w:pPr>
          </w:p>
        </w:tc>
        <w:tc>
          <w:tcPr>
            <w:tcW w:w="7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11</w:t>
            </w:r>
          </w:p>
        </w:tc>
        <w:tc>
          <w:tcPr>
            <w:tcW w:w="220" w:type="dxa"/>
            <w:vAlign w:val="bottom"/>
            <w:shd w:val="clear" w:color="auto" w:fill="CFF0FC"/>
          </w:tcPr>
          <w:p>
            <w:pPr>
              <w:spacing w:after="0"/>
              <w:rPr>
                <w:sz w:val="14"/>
                <w:szCs w:val="14"/>
                <w:color w:val="auto"/>
              </w:rPr>
            </w:pPr>
          </w:p>
        </w:tc>
        <w:tc>
          <w:tcPr>
            <w:tcW w:w="860" w:type="dxa"/>
            <w:vAlign w:val="bottom"/>
            <w:shd w:val="clear" w:color="auto" w:fill="CFF0FC"/>
          </w:tcPr>
          <w:p>
            <w:pPr>
              <w:jc w:val="right"/>
              <w:spacing w:after="0"/>
              <w:rPr>
                <w:sz w:val="20"/>
                <w:szCs w:val="20"/>
                <w:color w:val="auto"/>
              </w:rPr>
            </w:pPr>
            <w:r>
              <w:rPr>
                <w:rFonts w:ascii="Arial" w:cs="Arial" w:eastAsia="Arial" w:hAnsi="Arial"/>
                <w:sz w:val="14"/>
                <w:szCs w:val="14"/>
                <w:color w:val="auto"/>
              </w:rPr>
              <w:t>-</w:t>
            </w:r>
          </w:p>
        </w:tc>
        <w:tc>
          <w:tcPr>
            <w:tcW w:w="220" w:type="dxa"/>
            <w:vAlign w:val="bottom"/>
            <w:shd w:val="clear" w:color="auto" w:fill="CFF0FC"/>
          </w:tcPr>
          <w:p>
            <w:pPr>
              <w:spacing w:after="0"/>
              <w:rPr>
                <w:sz w:val="14"/>
                <w:szCs w:val="14"/>
                <w:color w:val="auto"/>
              </w:rPr>
            </w:pPr>
          </w:p>
        </w:tc>
        <w:tc>
          <w:tcPr>
            <w:tcW w:w="7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11</w:t>
            </w:r>
          </w:p>
        </w:tc>
        <w:tc>
          <w:tcPr>
            <w:tcW w:w="220" w:type="dxa"/>
            <w:vAlign w:val="bottom"/>
            <w:shd w:val="clear" w:color="auto" w:fill="CFF0FC"/>
          </w:tcPr>
          <w:p>
            <w:pPr>
              <w:spacing w:after="0"/>
              <w:rPr>
                <w:sz w:val="14"/>
                <w:szCs w:val="14"/>
                <w:color w:val="auto"/>
              </w:rPr>
            </w:pPr>
          </w:p>
        </w:tc>
        <w:tc>
          <w:tcPr>
            <w:tcW w:w="7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w:t>
            </w:r>
          </w:p>
        </w:tc>
        <w:tc>
          <w:tcPr>
            <w:tcW w:w="220" w:type="dxa"/>
            <w:vAlign w:val="bottom"/>
            <w:shd w:val="clear" w:color="auto" w:fill="CFF0FC"/>
          </w:tcPr>
          <w:p>
            <w:pPr>
              <w:spacing w:after="0"/>
              <w:rPr>
                <w:sz w:val="14"/>
                <w:szCs w:val="14"/>
                <w:color w:val="auto"/>
              </w:rPr>
            </w:pPr>
          </w:p>
        </w:tc>
        <w:tc>
          <w:tcPr>
            <w:tcW w:w="9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w:t>
            </w:r>
          </w:p>
        </w:tc>
        <w:tc>
          <w:tcPr>
            <w:tcW w:w="1120" w:type="dxa"/>
            <w:vAlign w:val="bottom"/>
            <w:gridSpan w:val="2"/>
            <w:shd w:val="clear" w:color="auto" w:fill="CFF0FC"/>
          </w:tcPr>
          <w:p>
            <w:pPr>
              <w:jc w:val="center"/>
              <w:ind w:left="133"/>
              <w:spacing w:after="0"/>
              <w:rPr>
                <w:sz w:val="20"/>
                <w:szCs w:val="20"/>
                <w:color w:val="auto"/>
              </w:rPr>
            </w:pPr>
            <w:r>
              <w:rPr>
                <w:rFonts w:ascii="Arial" w:cs="Arial" w:eastAsia="Arial" w:hAnsi="Arial"/>
                <w:sz w:val="14"/>
                <w:szCs w:val="14"/>
                <w:color w:val="auto"/>
                <w:w w:val="85"/>
              </w:rPr>
              <w:t>$287 - $307</w:t>
            </w:r>
          </w:p>
        </w:tc>
        <w:tc>
          <w:tcPr>
            <w:tcW w:w="0" w:type="dxa"/>
            <w:vAlign w:val="bottom"/>
          </w:tcPr>
          <w:p>
            <w:pPr>
              <w:spacing w:after="0"/>
              <w:rPr>
                <w:sz w:val="1"/>
                <w:szCs w:val="1"/>
                <w:color w:val="auto"/>
              </w:rPr>
            </w:pPr>
          </w:p>
        </w:tc>
      </w:tr>
      <w:tr>
        <w:trPr>
          <w:trHeight w:val="162"/>
        </w:trPr>
        <w:tc>
          <w:tcPr>
            <w:tcW w:w="4220" w:type="dxa"/>
            <w:vAlign w:val="bottom"/>
            <w:gridSpan w:val="2"/>
          </w:tcPr>
          <w:p>
            <w:pPr>
              <w:ind w:left="380"/>
              <w:spacing w:after="0"/>
              <w:rPr>
                <w:sz w:val="20"/>
                <w:szCs w:val="20"/>
                <w:color w:val="auto"/>
              </w:rPr>
            </w:pPr>
            <w:r>
              <w:rPr>
                <w:rFonts w:ascii="Arial" w:cs="Arial" w:eastAsia="Arial" w:hAnsi="Arial"/>
                <w:sz w:val="14"/>
                <w:szCs w:val="14"/>
                <w:color w:val="auto"/>
              </w:rPr>
              <w:t>Skagit Surplus Pod E, Mt Vernon</w:t>
            </w:r>
          </w:p>
        </w:tc>
        <w:tc>
          <w:tcPr>
            <w:tcW w:w="1020" w:type="dxa"/>
            <w:vAlign w:val="bottom"/>
            <w:gridSpan w:val="2"/>
          </w:tcPr>
          <w:p>
            <w:pPr>
              <w:jc w:val="center"/>
              <w:ind w:right="120"/>
              <w:spacing w:after="0"/>
              <w:rPr>
                <w:sz w:val="20"/>
                <w:szCs w:val="20"/>
                <w:color w:val="auto"/>
              </w:rPr>
            </w:pPr>
            <w:r>
              <w:rPr>
                <w:rFonts w:ascii="Arial" w:cs="Arial" w:eastAsia="Arial" w:hAnsi="Arial"/>
                <w:sz w:val="14"/>
                <w:szCs w:val="14"/>
                <w:color w:val="auto"/>
                <w:w w:val="92"/>
              </w:rPr>
              <w:t>TBD</w:t>
            </w:r>
          </w:p>
        </w:tc>
        <w:tc>
          <w:tcPr>
            <w:tcW w:w="780" w:type="dxa"/>
            <w:vAlign w:val="bottom"/>
          </w:tcPr>
          <w:p>
            <w:pPr>
              <w:jc w:val="right"/>
              <w:spacing w:after="0"/>
              <w:rPr>
                <w:sz w:val="20"/>
                <w:szCs w:val="20"/>
                <w:color w:val="auto"/>
              </w:rPr>
            </w:pPr>
            <w:r>
              <w:rPr>
                <w:rFonts w:ascii="Arial" w:cs="Arial" w:eastAsia="Arial" w:hAnsi="Arial"/>
                <w:sz w:val="14"/>
                <w:szCs w:val="14"/>
                <w:color w:val="auto"/>
              </w:rPr>
              <w:t>-</w:t>
            </w:r>
          </w:p>
        </w:tc>
        <w:tc>
          <w:tcPr>
            <w:tcW w:w="220" w:type="dxa"/>
            <w:vAlign w:val="bottom"/>
          </w:tcPr>
          <w:p>
            <w:pPr>
              <w:spacing w:after="0"/>
              <w:rPr>
                <w:sz w:val="14"/>
                <w:szCs w:val="14"/>
                <w:color w:val="auto"/>
              </w:rPr>
            </w:pPr>
          </w:p>
        </w:tc>
        <w:tc>
          <w:tcPr>
            <w:tcW w:w="860" w:type="dxa"/>
            <w:vAlign w:val="bottom"/>
          </w:tcPr>
          <w:p>
            <w:pPr>
              <w:jc w:val="right"/>
              <w:spacing w:after="0"/>
              <w:rPr>
                <w:sz w:val="20"/>
                <w:szCs w:val="20"/>
                <w:color w:val="auto"/>
              </w:rPr>
            </w:pPr>
            <w:r>
              <w:rPr>
                <w:rFonts w:ascii="Arial" w:cs="Arial" w:eastAsia="Arial" w:hAnsi="Arial"/>
                <w:sz w:val="14"/>
                <w:szCs w:val="14"/>
                <w:color w:val="auto"/>
              </w:rPr>
              <w:t>-</w:t>
            </w:r>
          </w:p>
        </w:tc>
        <w:tc>
          <w:tcPr>
            <w:tcW w:w="220" w:type="dxa"/>
            <w:vAlign w:val="bottom"/>
          </w:tcPr>
          <w:p>
            <w:pPr>
              <w:spacing w:after="0"/>
              <w:rPr>
                <w:sz w:val="14"/>
                <w:szCs w:val="14"/>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4</w:t>
            </w:r>
          </w:p>
        </w:tc>
        <w:tc>
          <w:tcPr>
            <w:tcW w:w="220" w:type="dxa"/>
            <w:vAlign w:val="bottom"/>
          </w:tcPr>
          <w:p>
            <w:pPr>
              <w:spacing w:after="0"/>
              <w:rPr>
                <w:sz w:val="14"/>
                <w:szCs w:val="14"/>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w:t>
            </w:r>
          </w:p>
        </w:tc>
        <w:tc>
          <w:tcPr>
            <w:tcW w:w="220" w:type="dxa"/>
            <w:vAlign w:val="bottom"/>
          </w:tcPr>
          <w:p>
            <w:pPr>
              <w:spacing w:after="0"/>
              <w:rPr>
                <w:sz w:val="14"/>
                <w:szCs w:val="14"/>
                <w:color w:val="auto"/>
              </w:rPr>
            </w:pPr>
          </w:p>
        </w:tc>
        <w:tc>
          <w:tcPr>
            <w:tcW w:w="980" w:type="dxa"/>
            <w:vAlign w:val="bottom"/>
          </w:tcPr>
          <w:p>
            <w:pPr>
              <w:jc w:val="right"/>
              <w:spacing w:after="0"/>
              <w:rPr>
                <w:sz w:val="20"/>
                <w:szCs w:val="20"/>
                <w:color w:val="auto"/>
              </w:rPr>
            </w:pPr>
            <w:r>
              <w:rPr>
                <w:rFonts w:ascii="Arial" w:cs="Arial" w:eastAsia="Arial" w:hAnsi="Arial"/>
                <w:sz w:val="14"/>
                <w:szCs w:val="14"/>
                <w:color w:val="auto"/>
              </w:rPr>
              <w:t>-</w:t>
            </w:r>
          </w:p>
        </w:tc>
        <w:tc>
          <w:tcPr>
            <w:tcW w:w="220" w:type="dxa"/>
            <w:vAlign w:val="bottom"/>
          </w:tcPr>
          <w:p>
            <w:pPr>
              <w:spacing w:after="0"/>
              <w:rPr>
                <w:sz w:val="14"/>
                <w:szCs w:val="14"/>
                <w:color w:val="auto"/>
              </w:rPr>
            </w:pPr>
          </w:p>
        </w:tc>
        <w:tc>
          <w:tcPr>
            <w:tcW w:w="900" w:type="dxa"/>
            <w:vAlign w:val="bottom"/>
          </w:tcPr>
          <w:p>
            <w:pPr>
              <w:jc w:val="center"/>
              <w:spacing w:after="0"/>
              <w:rPr>
                <w:sz w:val="20"/>
                <w:szCs w:val="20"/>
                <w:color w:val="auto"/>
              </w:rPr>
            </w:pPr>
            <w:r>
              <w:rPr>
                <w:rFonts w:ascii="Arial" w:cs="Arial" w:eastAsia="Arial" w:hAnsi="Arial"/>
                <w:sz w:val="14"/>
                <w:szCs w:val="14"/>
                <w:color w:val="auto"/>
                <w:w w:val="99"/>
              </w:rPr>
              <w:t>TBD</w:t>
            </w:r>
          </w:p>
        </w:tc>
        <w:tc>
          <w:tcPr>
            <w:tcW w:w="0" w:type="dxa"/>
            <w:vAlign w:val="bottom"/>
          </w:tcPr>
          <w:p>
            <w:pPr>
              <w:spacing w:after="0"/>
              <w:rPr>
                <w:sz w:val="1"/>
                <w:szCs w:val="1"/>
                <w:color w:val="auto"/>
              </w:rPr>
            </w:pPr>
          </w:p>
        </w:tc>
      </w:tr>
      <w:tr>
        <w:trPr>
          <w:trHeight w:val="162"/>
        </w:trPr>
        <w:tc>
          <w:tcPr>
            <w:tcW w:w="4220" w:type="dxa"/>
            <w:vAlign w:val="bottom"/>
            <w:gridSpan w:val="2"/>
            <w:shd w:val="clear" w:color="auto" w:fill="CFF0FC"/>
          </w:tcPr>
          <w:p>
            <w:pPr>
              <w:spacing w:after="0"/>
              <w:rPr>
                <w:sz w:val="20"/>
                <w:szCs w:val="20"/>
                <w:color w:val="auto"/>
              </w:rPr>
            </w:pPr>
            <w:r>
              <w:rPr>
                <w:rFonts w:ascii="Arial" w:cs="Arial" w:eastAsia="Arial" w:hAnsi="Arial"/>
                <w:sz w:val="14"/>
                <w:szCs w:val="14"/>
                <w:color w:val="auto"/>
              </w:rPr>
              <w:t>Snohomish County:</w:t>
            </w:r>
          </w:p>
        </w:tc>
        <w:tc>
          <w:tcPr>
            <w:tcW w:w="900" w:type="dxa"/>
            <w:vAlign w:val="bottom"/>
            <w:shd w:val="clear" w:color="auto" w:fill="CFF0FC"/>
          </w:tcPr>
          <w:p>
            <w:pPr>
              <w:spacing w:after="0"/>
              <w:rPr>
                <w:sz w:val="14"/>
                <w:szCs w:val="14"/>
                <w:color w:val="auto"/>
              </w:rPr>
            </w:pPr>
          </w:p>
        </w:tc>
        <w:tc>
          <w:tcPr>
            <w:tcW w:w="120" w:type="dxa"/>
            <w:vAlign w:val="bottom"/>
            <w:shd w:val="clear" w:color="auto" w:fill="CFF0FC"/>
          </w:tcPr>
          <w:p>
            <w:pPr>
              <w:spacing w:after="0"/>
              <w:rPr>
                <w:sz w:val="14"/>
                <w:szCs w:val="14"/>
                <w:color w:val="auto"/>
              </w:rPr>
            </w:pPr>
          </w:p>
        </w:tc>
        <w:tc>
          <w:tcPr>
            <w:tcW w:w="780" w:type="dxa"/>
            <w:vAlign w:val="bottom"/>
            <w:shd w:val="clear" w:color="auto" w:fill="CFF0FC"/>
          </w:tcPr>
          <w:p>
            <w:pPr>
              <w:spacing w:after="0"/>
              <w:rPr>
                <w:sz w:val="14"/>
                <w:szCs w:val="14"/>
                <w:color w:val="auto"/>
              </w:rPr>
            </w:pPr>
          </w:p>
        </w:tc>
        <w:tc>
          <w:tcPr>
            <w:tcW w:w="220" w:type="dxa"/>
            <w:vAlign w:val="bottom"/>
            <w:shd w:val="clear" w:color="auto" w:fill="CFF0FC"/>
          </w:tcPr>
          <w:p>
            <w:pPr>
              <w:spacing w:after="0"/>
              <w:rPr>
                <w:sz w:val="14"/>
                <w:szCs w:val="14"/>
                <w:color w:val="auto"/>
              </w:rPr>
            </w:pPr>
          </w:p>
        </w:tc>
        <w:tc>
          <w:tcPr>
            <w:tcW w:w="860" w:type="dxa"/>
            <w:vAlign w:val="bottom"/>
            <w:shd w:val="clear" w:color="auto" w:fill="CFF0FC"/>
          </w:tcPr>
          <w:p>
            <w:pPr>
              <w:spacing w:after="0"/>
              <w:rPr>
                <w:sz w:val="14"/>
                <w:szCs w:val="14"/>
                <w:color w:val="auto"/>
              </w:rPr>
            </w:pPr>
          </w:p>
        </w:tc>
        <w:tc>
          <w:tcPr>
            <w:tcW w:w="220" w:type="dxa"/>
            <w:vAlign w:val="bottom"/>
            <w:shd w:val="clear" w:color="auto" w:fill="CFF0FC"/>
          </w:tcPr>
          <w:p>
            <w:pPr>
              <w:spacing w:after="0"/>
              <w:rPr>
                <w:sz w:val="14"/>
                <w:szCs w:val="14"/>
                <w:color w:val="auto"/>
              </w:rPr>
            </w:pPr>
          </w:p>
        </w:tc>
        <w:tc>
          <w:tcPr>
            <w:tcW w:w="780" w:type="dxa"/>
            <w:vAlign w:val="bottom"/>
            <w:shd w:val="clear" w:color="auto" w:fill="CFF0FC"/>
          </w:tcPr>
          <w:p>
            <w:pPr>
              <w:spacing w:after="0"/>
              <w:rPr>
                <w:sz w:val="14"/>
                <w:szCs w:val="14"/>
                <w:color w:val="auto"/>
              </w:rPr>
            </w:pPr>
          </w:p>
        </w:tc>
        <w:tc>
          <w:tcPr>
            <w:tcW w:w="220" w:type="dxa"/>
            <w:vAlign w:val="bottom"/>
            <w:shd w:val="clear" w:color="auto" w:fill="CFF0FC"/>
          </w:tcPr>
          <w:p>
            <w:pPr>
              <w:spacing w:after="0"/>
              <w:rPr>
                <w:sz w:val="14"/>
                <w:szCs w:val="14"/>
                <w:color w:val="auto"/>
              </w:rPr>
            </w:pPr>
          </w:p>
        </w:tc>
        <w:tc>
          <w:tcPr>
            <w:tcW w:w="780" w:type="dxa"/>
            <w:vAlign w:val="bottom"/>
            <w:shd w:val="clear" w:color="auto" w:fill="CFF0FC"/>
          </w:tcPr>
          <w:p>
            <w:pPr>
              <w:spacing w:after="0"/>
              <w:rPr>
                <w:sz w:val="14"/>
                <w:szCs w:val="14"/>
                <w:color w:val="auto"/>
              </w:rPr>
            </w:pPr>
          </w:p>
        </w:tc>
        <w:tc>
          <w:tcPr>
            <w:tcW w:w="220" w:type="dxa"/>
            <w:vAlign w:val="bottom"/>
            <w:shd w:val="clear" w:color="auto" w:fill="CFF0FC"/>
          </w:tcPr>
          <w:p>
            <w:pPr>
              <w:spacing w:after="0"/>
              <w:rPr>
                <w:sz w:val="14"/>
                <w:szCs w:val="14"/>
                <w:color w:val="auto"/>
              </w:rPr>
            </w:pPr>
          </w:p>
        </w:tc>
        <w:tc>
          <w:tcPr>
            <w:tcW w:w="980" w:type="dxa"/>
            <w:vAlign w:val="bottom"/>
            <w:shd w:val="clear" w:color="auto" w:fill="CFF0FC"/>
          </w:tcPr>
          <w:p>
            <w:pPr>
              <w:spacing w:after="0"/>
              <w:rPr>
                <w:sz w:val="14"/>
                <w:szCs w:val="14"/>
                <w:color w:val="auto"/>
              </w:rPr>
            </w:pPr>
          </w:p>
        </w:tc>
        <w:tc>
          <w:tcPr>
            <w:tcW w:w="220" w:type="dxa"/>
            <w:vAlign w:val="bottom"/>
            <w:shd w:val="clear" w:color="auto" w:fill="CFF0FC"/>
          </w:tcPr>
          <w:p>
            <w:pPr>
              <w:spacing w:after="0"/>
              <w:rPr>
                <w:sz w:val="14"/>
                <w:szCs w:val="14"/>
                <w:color w:val="auto"/>
              </w:rPr>
            </w:pPr>
          </w:p>
        </w:tc>
        <w:tc>
          <w:tcPr>
            <w:tcW w:w="900" w:type="dxa"/>
            <w:vAlign w:val="bottom"/>
            <w:shd w:val="clear" w:color="auto" w:fill="CFF0FC"/>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4220" w:type="dxa"/>
            <w:vAlign w:val="bottom"/>
            <w:gridSpan w:val="2"/>
          </w:tcPr>
          <w:p>
            <w:pPr>
              <w:ind w:left="380"/>
              <w:spacing w:after="0"/>
              <w:rPr>
                <w:sz w:val="20"/>
                <w:szCs w:val="20"/>
                <w:color w:val="auto"/>
              </w:rPr>
            </w:pPr>
            <w:r>
              <w:rPr>
                <w:rFonts w:ascii="Arial" w:cs="Arial" w:eastAsia="Arial" w:hAnsi="Arial"/>
                <w:sz w:val="14"/>
                <w:szCs w:val="14"/>
                <w:color w:val="auto"/>
              </w:rPr>
              <w:t>Sonterra, Lake Stevens</w:t>
            </w:r>
          </w:p>
        </w:tc>
        <w:tc>
          <w:tcPr>
            <w:tcW w:w="900" w:type="dxa"/>
            <w:vAlign w:val="bottom"/>
          </w:tcPr>
          <w:p>
            <w:pPr>
              <w:jc w:val="center"/>
              <w:spacing w:after="0"/>
              <w:rPr>
                <w:sz w:val="20"/>
                <w:szCs w:val="20"/>
                <w:color w:val="auto"/>
              </w:rPr>
            </w:pPr>
            <w:r>
              <w:rPr>
                <w:rFonts w:ascii="Arial" w:cs="Arial" w:eastAsia="Arial" w:hAnsi="Arial"/>
                <w:sz w:val="14"/>
                <w:szCs w:val="14"/>
                <w:color w:val="auto"/>
                <w:w w:val="83"/>
              </w:rPr>
              <w:t>2013</w:t>
            </w:r>
          </w:p>
        </w:tc>
        <w:tc>
          <w:tcPr>
            <w:tcW w:w="120" w:type="dxa"/>
            <w:vAlign w:val="bottom"/>
          </w:tcPr>
          <w:p>
            <w:pPr>
              <w:spacing w:after="0"/>
              <w:rPr>
                <w:sz w:val="14"/>
                <w:szCs w:val="14"/>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44</w:t>
            </w:r>
          </w:p>
        </w:tc>
        <w:tc>
          <w:tcPr>
            <w:tcW w:w="220" w:type="dxa"/>
            <w:vAlign w:val="bottom"/>
          </w:tcPr>
          <w:p>
            <w:pPr>
              <w:spacing w:after="0"/>
              <w:rPr>
                <w:sz w:val="14"/>
                <w:szCs w:val="14"/>
                <w:color w:val="auto"/>
              </w:rPr>
            </w:pPr>
          </w:p>
        </w:tc>
        <w:tc>
          <w:tcPr>
            <w:tcW w:w="860" w:type="dxa"/>
            <w:vAlign w:val="bottom"/>
          </w:tcPr>
          <w:p>
            <w:pPr>
              <w:jc w:val="right"/>
              <w:spacing w:after="0"/>
              <w:rPr>
                <w:sz w:val="20"/>
                <w:szCs w:val="20"/>
                <w:color w:val="auto"/>
              </w:rPr>
            </w:pPr>
            <w:r>
              <w:rPr>
                <w:rFonts w:ascii="Arial" w:cs="Arial" w:eastAsia="Arial" w:hAnsi="Arial"/>
                <w:sz w:val="14"/>
                <w:szCs w:val="14"/>
                <w:color w:val="auto"/>
              </w:rPr>
              <w:t>43</w:t>
            </w:r>
          </w:p>
        </w:tc>
        <w:tc>
          <w:tcPr>
            <w:tcW w:w="220" w:type="dxa"/>
            <w:vAlign w:val="bottom"/>
          </w:tcPr>
          <w:p>
            <w:pPr>
              <w:spacing w:after="0"/>
              <w:rPr>
                <w:sz w:val="14"/>
                <w:szCs w:val="14"/>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1</w:t>
            </w:r>
          </w:p>
        </w:tc>
        <w:tc>
          <w:tcPr>
            <w:tcW w:w="220" w:type="dxa"/>
            <w:vAlign w:val="bottom"/>
          </w:tcPr>
          <w:p>
            <w:pPr>
              <w:spacing w:after="0"/>
              <w:rPr>
                <w:sz w:val="14"/>
                <w:szCs w:val="14"/>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1</w:t>
            </w:r>
          </w:p>
        </w:tc>
        <w:tc>
          <w:tcPr>
            <w:tcW w:w="220" w:type="dxa"/>
            <w:vAlign w:val="bottom"/>
          </w:tcPr>
          <w:p>
            <w:pPr>
              <w:spacing w:after="0"/>
              <w:rPr>
                <w:sz w:val="14"/>
                <w:szCs w:val="14"/>
                <w:color w:val="auto"/>
              </w:rPr>
            </w:pPr>
          </w:p>
        </w:tc>
        <w:tc>
          <w:tcPr>
            <w:tcW w:w="980" w:type="dxa"/>
            <w:vAlign w:val="bottom"/>
          </w:tcPr>
          <w:p>
            <w:pPr>
              <w:jc w:val="right"/>
              <w:spacing w:after="0"/>
              <w:rPr>
                <w:sz w:val="20"/>
                <w:szCs w:val="20"/>
                <w:color w:val="auto"/>
              </w:rPr>
            </w:pPr>
            <w:r>
              <w:rPr>
                <w:rFonts w:ascii="Arial" w:cs="Arial" w:eastAsia="Arial" w:hAnsi="Arial"/>
                <w:sz w:val="14"/>
                <w:szCs w:val="14"/>
                <w:color w:val="auto"/>
              </w:rPr>
              <w:t>1</w:t>
            </w:r>
          </w:p>
        </w:tc>
        <w:tc>
          <w:tcPr>
            <w:tcW w:w="1120" w:type="dxa"/>
            <w:vAlign w:val="bottom"/>
            <w:gridSpan w:val="2"/>
          </w:tcPr>
          <w:p>
            <w:pPr>
              <w:jc w:val="center"/>
              <w:ind w:left="133"/>
              <w:spacing w:after="0"/>
              <w:rPr>
                <w:sz w:val="20"/>
                <w:szCs w:val="20"/>
                <w:color w:val="auto"/>
              </w:rPr>
            </w:pPr>
            <w:r>
              <w:rPr>
                <w:rFonts w:ascii="Arial" w:cs="Arial" w:eastAsia="Arial" w:hAnsi="Arial"/>
                <w:sz w:val="14"/>
                <w:szCs w:val="14"/>
                <w:color w:val="auto"/>
                <w:w w:val="89"/>
              </w:rPr>
              <w:t>$362</w:t>
            </w:r>
          </w:p>
        </w:tc>
        <w:tc>
          <w:tcPr>
            <w:tcW w:w="0" w:type="dxa"/>
            <w:vAlign w:val="bottom"/>
          </w:tcPr>
          <w:p>
            <w:pPr>
              <w:spacing w:after="0"/>
              <w:rPr>
                <w:sz w:val="1"/>
                <w:szCs w:val="1"/>
                <w:color w:val="auto"/>
              </w:rPr>
            </w:pPr>
          </w:p>
        </w:tc>
      </w:tr>
      <w:tr>
        <w:trPr>
          <w:trHeight w:val="162"/>
        </w:trPr>
        <w:tc>
          <w:tcPr>
            <w:tcW w:w="4220" w:type="dxa"/>
            <w:vAlign w:val="bottom"/>
            <w:gridSpan w:val="2"/>
            <w:shd w:val="clear" w:color="auto" w:fill="CFF0FC"/>
          </w:tcPr>
          <w:p>
            <w:pPr>
              <w:ind w:left="380"/>
              <w:spacing w:after="0"/>
              <w:rPr>
                <w:sz w:val="20"/>
                <w:szCs w:val="20"/>
                <w:color w:val="auto"/>
              </w:rPr>
            </w:pPr>
            <w:r>
              <w:rPr>
                <w:rFonts w:ascii="Arial" w:cs="Arial" w:eastAsia="Arial" w:hAnsi="Arial"/>
                <w:sz w:val="14"/>
                <w:szCs w:val="14"/>
                <w:color w:val="auto"/>
              </w:rPr>
              <w:t>Kings Corner 1&amp;2, Mill Creek</w:t>
            </w:r>
          </w:p>
        </w:tc>
        <w:tc>
          <w:tcPr>
            <w:tcW w:w="900" w:type="dxa"/>
            <w:vAlign w:val="bottom"/>
            <w:shd w:val="clear" w:color="auto" w:fill="CFF0FC"/>
          </w:tcPr>
          <w:p>
            <w:pPr>
              <w:jc w:val="center"/>
              <w:spacing w:after="0"/>
              <w:rPr>
                <w:sz w:val="20"/>
                <w:szCs w:val="20"/>
                <w:color w:val="auto"/>
              </w:rPr>
            </w:pPr>
            <w:r>
              <w:rPr>
                <w:rFonts w:ascii="Arial" w:cs="Arial" w:eastAsia="Arial" w:hAnsi="Arial"/>
                <w:sz w:val="14"/>
                <w:szCs w:val="14"/>
                <w:color w:val="auto"/>
                <w:w w:val="83"/>
              </w:rPr>
              <w:t>2014</w:t>
            </w:r>
          </w:p>
        </w:tc>
        <w:tc>
          <w:tcPr>
            <w:tcW w:w="120" w:type="dxa"/>
            <w:vAlign w:val="bottom"/>
            <w:shd w:val="clear" w:color="auto" w:fill="CFF0FC"/>
          </w:tcPr>
          <w:p>
            <w:pPr>
              <w:spacing w:after="0"/>
              <w:rPr>
                <w:sz w:val="14"/>
                <w:szCs w:val="14"/>
                <w:color w:val="auto"/>
              </w:rPr>
            </w:pPr>
          </w:p>
        </w:tc>
        <w:tc>
          <w:tcPr>
            <w:tcW w:w="7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116</w:t>
            </w:r>
          </w:p>
        </w:tc>
        <w:tc>
          <w:tcPr>
            <w:tcW w:w="220" w:type="dxa"/>
            <w:vAlign w:val="bottom"/>
            <w:shd w:val="clear" w:color="auto" w:fill="CFF0FC"/>
          </w:tcPr>
          <w:p>
            <w:pPr>
              <w:spacing w:after="0"/>
              <w:rPr>
                <w:sz w:val="14"/>
                <w:szCs w:val="14"/>
                <w:color w:val="auto"/>
              </w:rPr>
            </w:pPr>
          </w:p>
        </w:tc>
        <w:tc>
          <w:tcPr>
            <w:tcW w:w="860" w:type="dxa"/>
            <w:vAlign w:val="bottom"/>
            <w:shd w:val="clear" w:color="auto" w:fill="CFF0FC"/>
          </w:tcPr>
          <w:p>
            <w:pPr>
              <w:jc w:val="right"/>
              <w:spacing w:after="0"/>
              <w:rPr>
                <w:sz w:val="20"/>
                <w:szCs w:val="20"/>
                <w:color w:val="auto"/>
              </w:rPr>
            </w:pPr>
            <w:r>
              <w:rPr>
                <w:rFonts w:ascii="Arial" w:cs="Arial" w:eastAsia="Arial" w:hAnsi="Arial"/>
                <w:sz w:val="14"/>
                <w:szCs w:val="14"/>
                <w:color w:val="auto"/>
              </w:rPr>
              <w:t>55</w:t>
            </w:r>
          </w:p>
        </w:tc>
        <w:tc>
          <w:tcPr>
            <w:tcW w:w="220" w:type="dxa"/>
            <w:vAlign w:val="bottom"/>
            <w:shd w:val="clear" w:color="auto" w:fill="CFF0FC"/>
          </w:tcPr>
          <w:p>
            <w:pPr>
              <w:spacing w:after="0"/>
              <w:rPr>
                <w:sz w:val="14"/>
                <w:szCs w:val="14"/>
                <w:color w:val="auto"/>
              </w:rPr>
            </w:pPr>
          </w:p>
        </w:tc>
        <w:tc>
          <w:tcPr>
            <w:tcW w:w="7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61</w:t>
            </w:r>
          </w:p>
        </w:tc>
        <w:tc>
          <w:tcPr>
            <w:tcW w:w="220" w:type="dxa"/>
            <w:vAlign w:val="bottom"/>
            <w:shd w:val="clear" w:color="auto" w:fill="CFF0FC"/>
          </w:tcPr>
          <w:p>
            <w:pPr>
              <w:spacing w:after="0"/>
              <w:rPr>
                <w:sz w:val="14"/>
                <w:szCs w:val="14"/>
                <w:color w:val="auto"/>
              </w:rPr>
            </w:pPr>
          </w:p>
        </w:tc>
        <w:tc>
          <w:tcPr>
            <w:tcW w:w="7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19</w:t>
            </w:r>
          </w:p>
        </w:tc>
        <w:tc>
          <w:tcPr>
            <w:tcW w:w="220" w:type="dxa"/>
            <w:vAlign w:val="bottom"/>
            <w:shd w:val="clear" w:color="auto" w:fill="CFF0FC"/>
          </w:tcPr>
          <w:p>
            <w:pPr>
              <w:spacing w:after="0"/>
              <w:rPr>
                <w:sz w:val="14"/>
                <w:szCs w:val="14"/>
                <w:color w:val="auto"/>
              </w:rPr>
            </w:pPr>
          </w:p>
        </w:tc>
        <w:tc>
          <w:tcPr>
            <w:tcW w:w="9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11</w:t>
            </w:r>
          </w:p>
        </w:tc>
        <w:tc>
          <w:tcPr>
            <w:tcW w:w="1120" w:type="dxa"/>
            <w:vAlign w:val="bottom"/>
            <w:gridSpan w:val="2"/>
            <w:shd w:val="clear" w:color="auto" w:fill="CFF0FC"/>
          </w:tcPr>
          <w:p>
            <w:pPr>
              <w:jc w:val="center"/>
              <w:ind w:left="153"/>
              <w:spacing w:after="0"/>
              <w:rPr>
                <w:sz w:val="20"/>
                <w:szCs w:val="20"/>
                <w:color w:val="auto"/>
              </w:rPr>
            </w:pPr>
            <w:r>
              <w:rPr>
                <w:rFonts w:ascii="Arial" w:cs="Arial" w:eastAsia="Arial" w:hAnsi="Arial"/>
                <w:sz w:val="14"/>
                <w:szCs w:val="14"/>
                <w:color w:val="auto"/>
                <w:w w:val="87"/>
              </w:rPr>
              <w:t>$435- $500</w:t>
            </w:r>
          </w:p>
        </w:tc>
        <w:tc>
          <w:tcPr>
            <w:tcW w:w="0" w:type="dxa"/>
            <w:vAlign w:val="bottom"/>
          </w:tcPr>
          <w:p>
            <w:pPr>
              <w:spacing w:after="0"/>
              <w:rPr>
                <w:sz w:val="1"/>
                <w:szCs w:val="1"/>
                <w:color w:val="auto"/>
              </w:rPr>
            </w:pPr>
          </w:p>
        </w:tc>
      </w:tr>
      <w:tr>
        <w:trPr>
          <w:trHeight w:val="162"/>
        </w:trPr>
        <w:tc>
          <w:tcPr>
            <w:tcW w:w="4220" w:type="dxa"/>
            <w:vAlign w:val="bottom"/>
            <w:gridSpan w:val="2"/>
          </w:tcPr>
          <w:p>
            <w:pPr>
              <w:ind w:left="380"/>
              <w:spacing w:after="0"/>
              <w:rPr>
                <w:sz w:val="20"/>
                <w:szCs w:val="20"/>
                <w:color w:val="auto"/>
              </w:rPr>
            </w:pPr>
            <w:r>
              <w:rPr>
                <w:rFonts w:ascii="Arial" w:cs="Arial" w:eastAsia="Arial" w:hAnsi="Arial"/>
                <w:sz w:val="14"/>
                <w:szCs w:val="14"/>
                <w:color w:val="auto"/>
              </w:rPr>
              <w:t>Filbert Glen, Bothell</w:t>
            </w:r>
          </w:p>
        </w:tc>
        <w:tc>
          <w:tcPr>
            <w:tcW w:w="900" w:type="dxa"/>
            <w:vAlign w:val="bottom"/>
          </w:tcPr>
          <w:p>
            <w:pPr>
              <w:jc w:val="center"/>
              <w:spacing w:after="0"/>
              <w:rPr>
                <w:sz w:val="20"/>
                <w:szCs w:val="20"/>
                <w:color w:val="auto"/>
              </w:rPr>
            </w:pPr>
            <w:r>
              <w:rPr>
                <w:rFonts w:ascii="Arial" w:cs="Arial" w:eastAsia="Arial" w:hAnsi="Arial"/>
                <w:sz w:val="14"/>
                <w:szCs w:val="14"/>
                <w:color w:val="auto"/>
                <w:w w:val="83"/>
              </w:rPr>
              <w:t>2015</w:t>
            </w:r>
          </w:p>
        </w:tc>
        <w:tc>
          <w:tcPr>
            <w:tcW w:w="120" w:type="dxa"/>
            <w:vAlign w:val="bottom"/>
          </w:tcPr>
          <w:p>
            <w:pPr>
              <w:spacing w:after="0"/>
              <w:rPr>
                <w:sz w:val="14"/>
                <w:szCs w:val="14"/>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16</w:t>
            </w:r>
          </w:p>
        </w:tc>
        <w:tc>
          <w:tcPr>
            <w:tcW w:w="220" w:type="dxa"/>
            <w:vAlign w:val="bottom"/>
          </w:tcPr>
          <w:p>
            <w:pPr>
              <w:spacing w:after="0"/>
              <w:rPr>
                <w:sz w:val="14"/>
                <w:szCs w:val="14"/>
                <w:color w:val="auto"/>
              </w:rPr>
            </w:pPr>
          </w:p>
        </w:tc>
        <w:tc>
          <w:tcPr>
            <w:tcW w:w="860" w:type="dxa"/>
            <w:vAlign w:val="bottom"/>
          </w:tcPr>
          <w:p>
            <w:pPr>
              <w:jc w:val="right"/>
              <w:spacing w:after="0"/>
              <w:rPr>
                <w:sz w:val="20"/>
                <w:szCs w:val="20"/>
                <w:color w:val="auto"/>
              </w:rPr>
            </w:pPr>
            <w:r>
              <w:rPr>
                <w:rFonts w:ascii="Arial" w:cs="Arial" w:eastAsia="Arial" w:hAnsi="Arial"/>
                <w:sz w:val="14"/>
                <w:szCs w:val="14"/>
                <w:color w:val="auto"/>
              </w:rPr>
              <w:t>-</w:t>
            </w:r>
          </w:p>
        </w:tc>
        <w:tc>
          <w:tcPr>
            <w:tcW w:w="220" w:type="dxa"/>
            <w:vAlign w:val="bottom"/>
          </w:tcPr>
          <w:p>
            <w:pPr>
              <w:spacing w:after="0"/>
              <w:rPr>
                <w:sz w:val="14"/>
                <w:szCs w:val="14"/>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16</w:t>
            </w:r>
          </w:p>
        </w:tc>
        <w:tc>
          <w:tcPr>
            <w:tcW w:w="220" w:type="dxa"/>
            <w:vAlign w:val="bottom"/>
          </w:tcPr>
          <w:p>
            <w:pPr>
              <w:spacing w:after="0"/>
              <w:rPr>
                <w:sz w:val="14"/>
                <w:szCs w:val="14"/>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10</w:t>
            </w:r>
          </w:p>
        </w:tc>
        <w:tc>
          <w:tcPr>
            <w:tcW w:w="220" w:type="dxa"/>
            <w:vAlign w:val="bottom"/>
          </w:tcPr>
          <w:p>
            <w:pPr>
              <w:spacing w:after="0"/>
              <w:rPr>
                <w:sz w:val="14"/>
                <w:szCs w:val="14"/>
                <w:color w:val="auto"/>
              </w:rPr>
            </w:pPr>
          </w:p>
        </w:tc>
        <w:tc>
          <w:tcPr>
            <w:tcW w:w="980" w:type="dxa"/>
            <w:vAlign w:val="bottom"/>
          </w:tcPr>
          <w:p>
            <w:pPr>
              <w:jc w:val="right"/>
              <w:spacing w:after="0"/>
              <w:rPr>
                <w:sz w:val="20"/>
                <w:szCs w:val="20"/>
                <w:color w:val="auto"/>
              </w:rPr>
            </w:pPr>
            <w:r>
              <w:rPr>
                <w:rFonts w:ascii="Arial" w:cs="Arial" w:eastAsia="Arial" w:hAnsi="Arial"/>
                <w:sz w:val="14"/>
                <w:szCs w:val="14"/>
                <w:color w:val="auto"/>
              </w:rPr>
              <w:t>-</w:t>
            </w:r>
          </w:p>
        </w:tc>
        <w:tc>
          <w:tcPr>
            <w:tcW w:w="1120" w:type="dxa"/>
            <w:vAlign w:val="bottom"/>
            <w:gridSpan w:val="2"/>
          </w:tcPr>
          <w:p>
            <w:pPr>
              <w:jc w:val="center"/>
              <w:ind w:left="133"/>
              <w:spacing w:after="0"/>
              <w:rPr>
                <w:sz w:val="20"/>
                <w:szCs w:val="20"/>
                <w:color w:val="auto"/>
              </w:rPr>
            </w:pPr>
            <w:r>
              <w:rPr>
                <w:rFonts w:ascii="Arial" w:cs="Arial" w:eastAsia="Arial" w:hAnsi="Arial"/>
                <w:sz w:val="14"/>
                <w:szCs w:val="14"/>
                <w:color w:val="auto"/>
                <w:w w:val="85"/>
              </w:rPr>
              <w:t>$580 - $615</w:t>
            </w:r>
          </w:p>
        </w:tc>
        <w:tc>
          <w:tcPr>
            <w:tcW w:w="0" w:type="dxa"/>
            <w:vAlign w:val="bottom"/>
          </w:tcPr>
          <w:p>
            <w:pPr>
              <w:spacing w:after="0"/>
              <w:rPr>
                <w:sz w:val="1"/>
                <w:szCs w:val="1"/>
                <w:color w:val="auto"/>
              </w:rPr>
            </w:pPr>
          </w:p>
        </w:tc>
      </w:tr>
      <w:tr>
        <w:trPr>
          <w:trHeight w:val="162"/>
        </w:trPr>
        <w:tc>
          <w:tcPr>
            <w:tcW w:w="4220" w:type="dxa"/>
            <w:vAlign w:val="bottom"/>
            <w:gridSpan w:val="2"/>
            <w:shd w:val="clear" w:color="auto" w:fill="CFF0FC"/>
          </w:tcPr>
          <w:p>
            <w:pPr>
              <w:ind w:left="380"/>
              <w:spacing w:after="0"/>
              <w:rPr>
                <w:sz w:val="20"/>
                <w:szCs w:val="20"/>
                <w:color w:val="auto"/>
              </w:rPr>
            </w:pPr>
            <w:r>
              <w:rPr>
                <w:rFonts w:ascii="Arial" w:cs="Arial" w:eastAsia="Arial" w:hAnsi="Arial"/>
                <w:sz w:val="14"/>
                <w:szCs w:val="14"/>
                <w:color w:val="auto"/>
              </w:rPr>
              <w:t>King's Corner 3, Mill Creek</w:t>
            </w:r>
          </w:p>
        </w:tc>
        <w:tc>
          <w:tcPr>
            <w:tcW w:w="900" w:type="dxa"/>
            <w:vAlign w:val="bottom"/>
            <w:shd w:val="clear" w:color="auto" w:fill="CFF0FC"/>
          </w:tcPr>
          <w:p>
            <w:pPr>
              <w:jc w:val="center"/>
              <w:spacing w:after="0"/>
              <w:rPr>
                <w:sz w:val="20"/>
                <w:szCs w:val="20"/>
                <w:color w:val="auto"/>
              </w:rPr>
            </w:pPr>
            <w:r>
              <w:rPr>
                <w:rFonts w:ascii="Arial" w:cs="Arial" w:eastAsia="Arial" w:hAnsi="Arial"/>
                <w:sz w:val="14"/>
                <w:szCs w:val="14"/>
                <w:color w:val="auto"/>
                <w:w w:val="83"/>
              </w:rPr>
              <w:t>2016</w:t>
            </w:r>
          </w:p>
        </w:tc>
        <w:tc>
          <w:tcPr>
            <w:tcW w:w="120" w:type="dxa"/>
            <w:vAlign w:val="bottom"/>
            <w:shd w:val="clear" w:color="auto" w:fill="CFF0FC"/>
          </w:tcPr>
          <w:p>
            <w:pPr>
              <w:spacing w:after="0"/>
              <w:rPr>
                <w:sz w:val="14"/>
                <w:szCs w:val="14"/>
                <w:color w:val="auto"/>
              </w:rPr>
            </w:pPr>
          </w:p>
        </w:tc>
        <w:tc>
          <w:tcPr>
            <w:tcW w:w="7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29</w:t>
            </w:r>
          </w:p>
        </w:tc>
        <w:tc>
          <w:tcPr>
            <w:tcW w:w="220" w:type="dxa"/>
            <w:vAlign w:val="bottom"/>
            <w:shd w:val="clear" w:color="auto" w:fill="CFF0FC"/>
          </w:tcPr>
          <w:p>
            <w:pPr>
              <w:spacing w:after="0"/>
              <w:rPr>
                <w:sz w:val="14"/>
                <w:szCs w:val="14"/>
                <w:color w:val="auto"/>
              </w:rPr>
            </w:pPr>
          </w:p>
        </w:tc>
        <w:tc>
          <w:tcPr>
            <w:tcW w:w="860" w:type="dxa"/>
            <w:vAlign w:val="bottom"/>
            <w:shd w:val="clear" w:color="auto" w:fill="CFF0FC"/>
          </w:tcPr>
          <w:p>
            <w:pPr>
              <w:jc w:val="right"/>
              <w:spacing w:after="0"/>
              <w:rPr>
                <w:sz w:val="20"/>
                <w:szCs w:val="20"/>
                <w:color w:val="auto"/>
              </w:rPr>
            </w:pPr>
            <w:r>
              <w:rPr>
                <w:rFonts w:ascii="Arial" w:cs="Arial" w:eastAsia="Arial" w:hAnsi="Arial"/>
                <w:sz w:val="14"/>
                <w:szCs w:val="14"/>
                <w:color w:val="auto"/>
              </w:rPr>
              <w:t>-</w:t>
            </w:r>
          </w:p>
        </w:tc>
        <w:tc>
          <w:tcPr>
            <w:tcW w:w="220" w:type="dxa"/>
            <w:vAlign w:val="bottom"/>
            <w:shd w:val="clear" w:color="auto" w:fill="CFF0FC"/>
          </w:tcPr>
          <w:p>
            <w:pPr>
              <w:spacing w:after="0"/>
              <w:rPr>
                <w:sz w:val="14"/>
                <w:szCs w:val="14"/>
                <w:color w:val="auto"/>
              </w:rPr>
            </w:pPr>
          </w:p>
        </w:tc>
        <w:tc>
          <w:tcPr>
            <w:tcW w:w="7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29</w:t>
            </w:r>
          </w:p>
        </w:tc>
        <w:tc>
          <w:tcPr>
            <w:tcW w:w="220" w:type="dxa"/>
            <w:vAlign w:val="bottom"/>
            <w:shd w:val="clear" w:color="auto" w:fill="CFF0FC"/>
          </w:tcPr>
          <w:p>
            <w:pPr>
              <w:spacing w:after="0"/>
              <w:rPr>
                <w:sz w:val="14"/>
                <w:szCs w:val="14"/>
                <w:color w:val="auto"/>
              </w:rPr>
            </w:pPr>
          </w:p>
        </w:tc>
        <w:tc>
          <w:tcPr>
            <w:tcW w:w="7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w:t>
            </w:r>
          </w:p>
        </w:tc>
        <w:tc>
          <w:tcPr>
            <w:tcW w:w="220" w:type="dxa"/>
            <w:vAlign w:val="bottom"/>
            <w:shd w:val="clear" w:color="auto" w:fill="CFF0FC"/>
          </w:tcPr>
          <w:p>
            <w:pPr>
              <w:spacing w:after="0"/>
              <w:rPr>
                <w:sz w:val="14"/>
                <w:szCs w:val="14"/>
                <w:color w:val="auto"/>
              </w:rPr>
            </w:pPr>
          </w:p>
        </w:tc>
        <w:tc>
          <w:tcPr>
            <w:tcW w:w="9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w:t>
            </w:r>
          </w:p>
        </w:tc>
        <w:tc>
          <w:tcPr>
            <w:tcW w:w="1120" w:type="dxa"/>
            <w:vAlign w:val="bottom"/>
            <w:gridSpan w:val="2"/>
            <w:shd w:val="clear" w:color="auto" w:fill="CFF0FC"/>
          </w:tcPr>
          <w:p>
            <w:pPr>
              <w:jc w:val="center"/>
              <w:ind w:left="133"/>
              <w:spacing w:after="0"/>
              <w:rPr>
                <w:sz w:val="20"/>
                <w:szCs w:val="20"/>
                <w:color w:val="auto"/>
              </w:rPr>
            </w:pPr>
            <w:r>
              <w:rPr>
                <w:rFonts w:ascii="Arial" w:cs="Arial" w:eastAsia="Arial" w:hAnsi="Arial"/>
                <w:sz w:val="14"/>
                <w:szCs w:val="14"/>
                <w:color w:val="auto"/>
                <w:w w:val="85"/>
              </w:rPr>
              <w:t>$306 - $370</w:t>
            </w:r>
          </w:p>
        </w:tc>
        <w:tc>
          <w:tcPr>
            <w:tcW w:w="0" w:type="dxa"/>
            <w:vAlign w:val="bottom"/>
          </w:tcPr>
          <w:p>
            <w:pPr>
              <w:spacing w:after="0"/>
              <w:rPr>
                <w:sz w:val="1"/>
                <w:szCs w:val="1"/>
                <w:color w:val="auto"/>
              </w:rPr>
            </w:pPr>
          </w:p>
        </w:tc>
      </w:tr>
      <w:tr>
        <w:trPr>
          <w:trHeight w:val="162"/>
        </w:trPr>
        <w:tc>
          <w:tcPr>
            <w:tcW w:w="4220" w:type="dxa"/>
            <w:vAlign w:val="bottom"/>
            <w:gridSpan w:val="2"/>
          </w:tcPr>
          <w:p>
            <w:pPr>
              <w:spacing w:after="0"/>
              <w:rPr>
                <w:sz w:val="20"/>
                <w:szCs w:val="20"/>
                <w:color w:val="auto"/>
              </w:rPr>
            </w:pPr>
            <w:r>
              <w:rPr>
                <w:rFonts w:ascii="Arial" w:cs="Arial" w:eastAsia="Arial" w:hAnsi="Arial"/>
                <w:sz w:val="14"/>
                <w:szCs w:val="14"/>
                <w:color w:val="auto"/>
              </w:rPr>
              <w:t>King County:</w:t>
            </w:r>
          </w:p>
        </w:tc>
        <w:tc>
          <w:tcPr>
            <w:tcW w:w="9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4220" w:type="dxa"/>
            <w:vAlign w:val="bottom"/>
            <w:gridSpan w:val="2"/>
            <w:shd w:val="clear" w:color="auto" w:fill="CFF0FC"/>
          </w:tcPr>
          <w:p>
            <w:pPr>
              <w:ind w:left="380"/>
              <w:spacing w:after="0"/>
              <w:rPr>
                <w:sz w:val="20"/>
                <w:szCs w:val="20"/>
                <w:color w:val="auto"/>
              </w:rPr>
            </w:pPr>
            <w:r>
              <w:rPr>
                <w:rFonts w:ascii="Arial" w:cs="Arial" w:eastAsia="Arial" w:hAnsi="Arial"/>
                <w:sz w:val="14"/>
                <w:szCs w:val="14"/>
                <w:color w:val="auto"/>
              </w:rPr>
              <w:t>Evoke at the Willows, Kirkland</w:t>
            </w:r>
          </w:p>
        </w:tc>
        <w:tc>
          <w:tcPr>
            <w:tcW w:w="900" w:type="dxa"/>
            <w:vAlign w:val="bottom"/>
            <w:shd w:val="clear" w:color="auto" w:fill="CFF0FC"/>
          </w:tcPr>
          <w:p>
            <w:pPr>
              <w:jc w:val="center"/>
              <w:spacing w:after="0"/>
              <w:rPr>
                <w:sz w:val="20"/>
                <w:szCs w:val="20"/>
                <w:color w:val="auto"/>
              </w:rPr>
            </w:pPr>
            <w:r>
              <w:rPr>
                <w:rFonts w:ascii="Arial" w:cs="Arial" w:eastAsia="Arial" w:hAnsi="Arial"/>
                <w:sz w:val="14"/>
                <w:szCs w:val="14"/>
                <w:color w:val="auto"/>
                <w:w w:val="83"/>
              </w:rPr>
              <w:t>2014</w:t>
            </w:r>
          </w:p>
        </w:tc>
        <w:tc>
          <w:tcPr>
            <w:tcW w:w="120" w:type="dxa"/>
            <w:vAlign w:val="bottom"/>
            <w:shd w:val="clear" w:color="auto" w:fill="CFF0FC"/>
          </w:tcPr>
          <w:p>
            <w:pPr>
              <w:spacing w:after="0"/>
              <w:rPr>
                <w:sz w:val="14"/>
                <w:szCs w:val="14"/>
                <w:color w:val="auto"/>
              </w:rPr>
            </w:pPr>
          </w:p>
        </w:tc>
        <w:tc>
          <w:tcPr>
            <w:tcW w:w="7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7</w:t>
            </w:r>
          </w:p>
        </w:tc>
        <w:tc>
          <w:tcPr>
            <w:tcW w:w="220" w:type="dxa"/>
            <w:vAlign w:val="bottom"/>
            <w:shd w:val="clear" w:color="auto" w:fill="CFF0FC"/>
          </w:tcPr>
          <w:p>
            <w:pPr>
              <w:spacing w:after="0"/>
              <w:rPr>
                <w:sz w:val="14"/>
                <w:szCs w:val="14"/>
                <w:color w:val="auto"/>
              </w:rPr>
            </w:pPr>
          </w:p>
        </w:tc>
        <w:tc>
          <w:tcPr>
            <w:tcW w:w="860" w:type="dxa"/>
            <w:vAlign w:val="bottom"/>
            <w:shd w:val="clear" w:color="auto" w:fill="CFF0FC"/>
          </w:tcPr>
          <w:p>
            <w:pPr>
              <w:jc w:val="right"/>
              <w:spacing w:after="0"/>
              <w:rPr>
                <w:sz w:val="20"/>
                <w:szCs w:val="20"/>
                <w:color w:val="auto"/>
              </w:rPr>
            </w:pPr>
            <w:r>
              <w:rPr>
                <w:rFonts w:ascii="Arial" w:cs="Arial" w:eastAsia="Arial" w:hAnsi="Arial"/>
                <w:sz w:val="14"/>
                <w:szCs w:val="14"/>
                <w:color w:val="auto"/>
              </w:rPr>
              <w:t>5</w:t>
            </w:r>
          </w:p>
        </w:tc>
        <w:tc>
          <w:tcPr>
            <w:tcW w:w="220" w:type="dxa"/>
            <w:vAlign w:val="bottom"/>
            <w:shd w:val="clear" w:color="auto" w:fill="CFF0FC"/>
          </w:tcPr>
          <w:p>
            <w:pPr>
              <w:spacing w:after="0"/>
              <w:rPr>
                <w:sz w:val="14"/>
                <w:szCs w:val="14"/>
                <w:color w:val="auto"/>
              </w:rPr>
            </w:pPr>
          </w:p>
        </w:tc>
        <w:tc>
          <w:tcPr>
            <w:tcW w:w="7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2</w:t>
            </w:r>
          </w:p>
        </w:tc>
        <w:tc>
          <w:tcPr>
            <w:tcW w:w="220" w:type="dxa"/>
            <w:vAlign w:val="bottom"/>
            <w:shd w:val="clear" w:color="auto" w:fill="CFF0FC"/>
          </w:tcPr>
          <w:p>
            <w:pPr>
              <w:spacing w:after="0"/>
              <w:rPr>
                <w:sz w:val="14"/>
                <w:szCs w:val="14"/>
                <w:color w:val="auto"/>
              </w:rPr>
            </w:pPr>
          </w:p>
        </w:tc>
        <w:tc>
          <w:tcPr>
            <w:tcW w:w="7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2</w:t>
            </w:r>
          </w:p>
        </w:tc>
        <w:tc>
          <w:tcPr>
            <w:tcW w:w="220" w:type="dxa"/>
            <w:vAlign w:val="bottom"/>
            <w:shd w:val="clear" w:color="auto" w:fill="CFF0FC"/>
          </w:tcPr>
          <w:p>
            <w:pPr>
              <w:spacing w:after="0"/>
              <w:rPr>
                <w:sz w:val="14"/>
                <w:szCs w:val="14"/>
                <w:color w:val="auto"/>
              </w:rPr>
            </w:pPr>
          </w:p>
        </w:tc>
        <w:tc>
          <w:tcPr>
            <w:tcW w:w="9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5</w:t>
            </w:r>
          </w:p>
        </w:tc>
        <w:tc>
          <w:tcPr>
            <w:tcW w:w="1120" w:type="dxa"/>
            <w:vAlign w:val="bottom"/>
            <w:gridSpan w:val="2"/>
            <w:shd w:val="clear" w:color="auto" w:fill="CFF0FC"/>
          </w:tcPr>
          <w:p>
            <w:pPr>
              <w:jc w:val="center"/>
              <w:ind w:left="133"/>
              <w:spacing w:after="0"/>
              <w:rPr>
                <w:sz w:val="20"/>
                <w:szCs w:val="20"/>
                <w:color w:val="auto"/>
              </w:rPr>
            </w:pPr>
            <w:r>
              <w:rPr>
                <w:rFonts w:ascii="Arial" w:cs="Arial" w:eastAsia="Arial" w:hAnsi="Arial"/>
                <w:sz w:val="14"/>
                <w:szCs w:val="14"/>
                <w:color w:val="auto"/>
                <w:w w:val="85"/>
              </w:rPr>
              <w:t>$910 - $925</w:t>
            </w:r>
          </w:p>
        </w:tc>
        <w:tc>
          <w:tcPr>
            <w:tcW w:w="0" w:type="dxa"/>
            <w:vAlign w:val="bottom"/>
          </w:tcPr>
          <w:p>
            <w:pPr>
              <w:spacing w:after="0"/>
              <w:rPr>
                <w:sz w:val="1"/>
                <w:szCs w:val="1"/>
                <w:color w:val="auto"/>
              </w:rPr>
            </w:pPr>
          </w:p>
        </w:tc>
      </w:tr>
      <w:tr>
        <w:trPr>
          <w:trHeight w:val="162"/>
        </w:trPr>
        <w:tc>
          <w:tcPr>
            <w:tcW w:w="4220" w:type="dxa"/>
            <w:vAlign w:val="bottom"/>
            <w:gridSpan w:val="2"/>
          </w:tcPr>
          <w:p>
            <w:pPr>
              <w:ind w:left="380"/>
              <w:spacing w:after="0"/>
              <w:rPr>
                <w:sz w:val="20"/>
                <w:szCs w:val="20"/>
                <w:color w:val="auto"/>
              </w:rPr>
            </w:pPr>
            <w:r>
              <w:rPr>
                <w:rFonts w:ascii="Arial" w:cs="Arial" w:eastAsia="Arial" w:hAnsi="Arial"/>
                <w:sz w:val="14"/>
                <w:szCs w:val="14"/>
                <w:color w:val="auto"/>
              </w:rPr>
              <w:t>Evoke at Pine Lake, Sammamish</w:t>
            </w:r>
          </w:p>
        </w:tc>
        <w:tc>
          <w:tcPr>
            <w:tcW w:w="900" w:type="dxa"/>
            <w:vAlign w:val="bottom"/>
          </w:tcPr>
          <w:p>
            <w:pPr>
              <w:jc w:val="center"/>
              <w:spacing w:after="0"/>
              <w:rPr>
                <w:sz w:val="20"/>
                <w:szCs w:val="20"/>
                <w:color w:val="auto"/>
              </w:rPr>
            </w:pPr>
            <w:r>
              <w:rPr>
                <w:rFonts w:ascii="Arial" w:cs="Arial" w:eastAsia="Arial" w:hAnsi="Arial"/>
                <w:sz w:val="14"/>
                <w:szCs w:val="14"/>
                <w:color w:val="auto"/>
                <w:w w:val="83"/>
              </w:rPr>
              <w:t>2013</w:t>
            </w:r>
          </w:p>
        </w:tc>
        <w:tc>
          <w:tcPr>
            <w:tcW w:w="120" w:type="dxa"/>
            <w:vAlign w:val="bottom"/>
          </w:tcPr>
          <w:p>
            <w:pPr>
              <w:spacing w:after="0"/>
              <w:rPr>
                <w:sz w:val="14"/>
                <w:szCs w:val="14"/>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13</w:t>
            </w:r>
          </w:p>
        </w:tc>
        <w:tc>
          <w:tcPr>
            <w:tcW w:w="220" w:type="dxa"/>
            <w:vAlign w:val="bottom"/>
          </w:tcPr>
          <w:p>
            <w:pPr>
              <w:spacing w:after="0"/>
              <w:rPr>
                <w:sz w:val="14"/>
                <w:szCs w:val="14"/>
                <w:color w:val="auto"/>
              </w:rPr>
            </w:pPr>
          </w:p>
        </w:tc>
        <w:tc>
          <w:tcPr>
            <w:tcW w:w="860" w:type="dxa"/>
            <w:vAlign w:val="bottom"/>
          </w:tcPr>
          <w:p>
            <w:pPr>
              <w:jc w:val="right"/>
              <w:spacing w:after="0"/>
              <w:rPr>
                <w:sz w:val="20"/>
                <w:szCs w:val="20"/>
                <w:color w:val="auto"/>
              </w:rPr>
            </w:pPr>
            <w:r>
              <w:rPr>
                <w:rFonts w:ascii="Arial" w:cs="Arial" w:eastAsia="Arial" w:hAnsi="Arial"/>
                <w:sz w:val="14"/>
                <w:szCs w:val="14"/>
                <w:color w:val="auto"/>
              </w:rPr>
              <w:t>13</w:t>
            </w:r>
          </w:p>
        </w:tc>
        <w:tc>
          <w:tcPr>
            <w:tcW w:w="220" w:type="dxa"/>
            <w:vAlign w:val="bottom"/>
          </w:tcPr>
          <w:p>
            <w:pPr>
              <w:spacing w:after="0"/>
              <w:rPr>
                <w:sz w:val="14"/>
                <w:szCs w:val="14"/>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w:t>
            </w:r>
          </w:p>
        </w:tc>
        <w:tc>
          <w:tcPr>
            <w:tcW w:w="220" w:type="dxa"/>
            <w:vAlign w:val="bottom"/>
          </w:tcPr>
          <w:p>
            <w:pPr>
              <w:spacing w:after="0"/>
              <w:rPr>
                <w:sz w:val="14"/>
                <w:szCs w:val="14"/>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w:t>
            </w:r>
          </w:p>
        </w:tc>
        <w:tc>
          <w:tcPr>
            <w:tcW w:w="220" w:type="dxa"/>
            <w:vAlign w:val="bottom"/>
          </w:tcPr>
          <w:p>
            <w:pPr>
              <w:spacing w:after="0"/>
              <w:rPr>
                <w:sz w:val="14"/>
                <w:szCs w:val="14"/>
                <w:color w:val="auto"/>
              </w:rPr>
            </w:pPr>
          </w:p>
        </w:tc>
        <w:tc>
          <w:tcPr>
            <w:tcW w:w="980" w:type="dxa"/>
            <w:vAlign w:val="bottom"/>
          </w:tcPr>
          <w:p>
            <w:pPr>
              <w:jc w:val="right"/>
              <w:spacing w:after="0"/>
              <w:rPr>
                <w:sz w:val="20"/>
                <w:szCs w:val="20"/>
                <w:color w:val="auto"/>
              </w:rPr>
            </w:pPr>
            <w:r>
              <w:rPr>
                <w:rFonts w:ascii="Arial" w:cs="Arial" w:eastAsia="Arial" w:hAnsi="Arial"/>
                <w:sz w:val="14"/>
                <w:szCs w:val="14"/>
                <w:color w:val="auto"/>
              </w:rPr>
              <w:t>2</w:t>
            </w:r>
          </w:p>
        </w:tc>
        <w:tc>
          <w:tcPr>
            <w:tcW w:w="220" w:type="dxa"/>
            <w:vAlign w:val="bottom"/>
          </w:tcPr>
          <w:p>
            <w:pPr>
              <w:spacing w:after="0"/>
              <w:rPr>
                <w:sz w:val="14"/>
                <w:szCs w:val="14"/>
                <w:color w:val="auto"/>
              </w:rPr>
            </w:pPr>
          </w:p>
        </w:tc>
        <w:tc>
          <w:tcPr>
            <w:tcW w:w="900" w:type="dxa"/>
            <w:vAlign w:val="bottom"/>
          </w:tcPr>
          <w:p>
            <w:pPr>
              <w:jc w:val="center"/>
              <w:spacing w:after="0"/>
              <w:rPr>
                <w:sz w:val="20"/>
                <w:szCs w:val="20"/>
                <w:color w:val="auto"/>
              </w:rPr>
            </w:pPr>
            <w:r>
              <w:rPr>
                <w:rFonts w:ascii="Arial" w:cs="Arial" w:eastAsia="Arial" w:hAnsi="Arial"/>
                <w:sz w:val="14"/>
                <w:szCs w:val="14"/>
                <w:color w:val="auto"/>
              </w:rPr>
              <w:t>N/A</w:t>
            </w:r>
          </w:p>
        </w:tc>
        <w:tc>
          <w:tcPr>
            <w:tcW w:w="0" w:type="dxa"/>
            <w:vAlign w:val="bottom"/>
          </w:tcPr>
          <w:p>
            <w:pPr>
              <w:spacing w:after="0"/>
              <w:rPr>
                <w:sz w:val="1"/>
                <w:szCs w:val="1"/>
                <w:color w:val="auto"/>
              </w:rPr>
            </w:pPr>
          </w:p>
        </w:tc>
      </w:tr>
      <w:tr>
        <w:trPr>
          <w:trHeight w:val="162"/>
        </w:trPr>
        <w:tc>
          <w:tcPr>
            <w:tcW w:w="4220" w:type="dxa"/>
            <w:vAlign w:val="bottom"/>
            <w:gridSpan w:val="2"/>
            <w:shd w:val="clear" w:color="auto" w:fill="CFF0FC"/>
          </w:tcPr>
          <w:p>
            <w:pPr>
              <w:ind w:left="380"/>
              <w:spacing w:after="0"/>
              <w:rPr>
                <w:sz w:val="20"/>
                <w:szCs w:val="20"/>
                <w:color w:val="auto"/>
              </w:rPr>
            </w:pPr>
            <w:r>
              <w:rPr>
                <w:rFonts w:ascii="Arial" w:cs="Arial" w:eastAsia="Arial" w:hAnsi="Arial"/>
                <w:sz w:val="14"/>
                <w:szCs w:val="14"/>
                <w:color w:val="auto"/>
              </w:rPr>
              <w:t>Beclan Place, Renton</w:t>
            </w:r>
          </w:p>
        </w:tc>
        <w:tc>
          <w:tcPr>
            <w:tcW w:w="900" w:type="dxa"/>
            <w:vAlign w:val="bottom"/>
            <w:shd w:val="clear" w:color="auto" w:fill="CFF0FC"/>
          </w:tcPr>
          <w:p>
            <w:pPr>
              <w:jc w:val="center"/>
              <w:spacing w:after="0"/>
              <w:rPr>
                <w:sz w:val="20"/>
                <w:szCs w:val="20"/>
                <w:color w:val="auto"/>
              </w:rPr>
            </w:pPr>
            <w:r>
              <w:rPr>
                <w:rFonts w:ascii="Arial" w:cs="Arial" w:eastAsia="Arial" w:hAnsi="Arial"/>
                <w:sz w:val="14"/>
                <w:szCs w:val="14"/>
                <w:color w:val="auto"/>
                <w:w w:val="83"/>
              </w:rPr>
              <w:t>2013</w:t>
            </w:r>
          </w:p>
        </w:tc>
        <w:tc>
          <w:tcPr>
            <w:tcW w:w="120" w:type="dxa"/>
            <w:vAlign w:val="bottom"/>
            <w:shd w:val="clear" w:color="auto" w:fill="CFF0FC"/>
          </w:tcPr>
          <w:p>
            <w:pPr>
              <w:spacing w:after="0"/>
              <w:rPr>
                <w:sz w:val="14"/>
                <w:szCs w:val="14"/>
                <w:color w:val="auto"/>
              </w:rPr>
            </w:pPr>
          </w:p>
        </w:tc>
        <w:tc>
          <w:tcPr>
            <w:tcW w:w="7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30</w:t>
            </w:r>
          </w:p>
        </w:tc>
        <w:tc>
          <w:tcPr>
            <w:tcW w:w="220" w:type="dxa"/>
            <w:vAlign w:val="bottom"/>
            <w:shd w:val="clear" w:color="auto" w:fill="CFF0FC"/>
          </w:tcPr>
          <w:p>
            <w:pPr>
              <w:spacing w:after="0"/>
              <w:rPr>
                <w:sz w:val="14"/>
                <w:szCs w:val="14"/>
                <w:color w:val="auto"/>
              </w:rPr>
            </w:pPr>
          </w:p>
        </w:tc>
        <w:tc>
          <w:tcPr>
            <w:tcW w:w="860" w:type="dxa"/>
            <w:vAlign w:val="bottom"/>
            <w:shd w:val="clear" w:color="auto" w:fill="CFF0FC"/>
          </w:tcPr>
          <w:p>
            <w:pPr>
              <w:jc w:val="right"/>
              <w:spacing w:after="0"/>
              <w:rPr>
                <w:sz w:val="20"/>
                <w:szCs w:val="20"/>
                <w:color w:val="auto"/>
              </w:rPr>
            </w:pPr>
            <w:r>
              <w:rPr>
                <w:rFonts w:ascii="Arial" w:cs="Arial" w:eastAsia="Arial" w:hAnsi="Arial"/>
                <w:sz w:val="14"/>
                <w:szCs w:val="14"/>
                <w:color w:val="auto"/>
              </w:rPr>
              <w:t>30</w:t>
            </w:r>
          </w:p>
        </w:tc>
        <w:tc>
          <w:tcPr>
            <w:tcW w:w="220" w:type="dxa"/>
            <w:vAlign w:val="bottom"/>
            <w:shd w:val="clear" w:color="auto" w:fill="CFF0FC"/>
          </w:tcPr>
          <w:p>
            <w:pPr>
              <w:spacing w:after="0"/>
              <w:rPr>
                <w:sz w:val="14"/>
                <w:szCs w:val="14"/>
                <w:color w:val="auto"/>
              </w:rPr>
            </w:pPr>
          </w:p>
        </w:tc>
        <w:tc>
          <w:tcPr>
            <w:tcW w:w="7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w:t>
            </w:r>
          </w:p>
        </w:tc>
        <w:tc>
          <w:tcPr>
            <w:tcW w:w="220" w:type="dxa"/>
            <w:vAlign w:val="bottom"/>
            <w:shd w:val="clear" w:color="auto" w:fill="CFF0FC"/>
          </w:tcPr>
          <w:p>
            <w:pPr>
              <w:spacing w:after="0"/>
              <w:rPr>
                <w:sz w:val="14"/>
                <w:szCs w:val="14"/>
                <w:color w:val="auto"/>
              </w:rPr>
            </w:pPr>
          </w:p>
        </w:tc>
        <w:tc>
          <w:tcPr>
            <w:tcW w:w="7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w:t>
            </w:r>
          </w:p>
        </w:tc>
        <w:tc>
          <w:tcPr>
            <w:tcW w:w="220" w:type="dxa"/>
            <w:vAlign w:val="bottom"/>
            <w:shd w:val="clear" w:color="auto" w:fill="CFF0FC"/>
          </w:tcPr>
          <w:p>
            <w:pPr>
              <w:spacing w:after="0"/>
              <w:rPr>
                <w:sz w:val="14"/>
                <w:szCs w:val="14"/>
                <w:color w:val="auto"/>
              </w:rPr>
            </w:pPr>
          </w:p>
        </w:tc>
        <w:tc>
          <w:tcPr>
            <w:tcW w:w="9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3</w:t>
            </w:r>
          </w:p>
        </w:tc>
        <w:tc>
          <w:tcPr>
            <w:tcW w:w="220" w:type="dxa"/>
            <w:vAlign w:val="bottom"/>
            <w:shd w:val="clear" w:color="auto" w:fill="CFF0FC"/>
          </w:tcPr>
          <w:p>
            <w:pPr>
              <w:spacing w:after="0"/>
              <w:rPr>
                <w:sz w:val="14"/>
                <w:szCs w:val="14"/>
                <w:color w:val="auto"/>
              </w:rPr>
            </w:pPr>
          </w:p>
        </w:tc>
        <w:tc>
          <w:tcPr>
            <w:tcW w:w="900" w:type="dxa"/>
            <w:vAlign w:val="bottom"/>
            <w:shd w:val="clear" w:color="auto" w:fill="CFF0FC"/>
          </w:tcPr>
          <w:p>
            <w:pPr>
              <w:jc w:val="center"/>
              <w:spacing w:after="0"/>
              <w:rPr>
                <w:sz w:val="20"/>
                <w:szCs w:val="20"/>
                <w:color w:val="auto"/>
              </w:rPr>
            </w:pPr>
            <w:r>
              <w:rPr>
                <w:rFonts w:ascii="Arial" w:cs="Arial" w:eastAsia="Arial" w:hAnsi="Arial"/>
                <w:sz w:val="14"/>
                <w:szCs w:val="14"/>
                <w:color w:val="auto"/>
              </w:rPr>
              <w:t>N/A</w:t>
            </w:r>
          </w:p>
        </w:tc>
        <w:tc>
          <w:tcPr>
            <w:tcW w:w="0" w:type="dxa"/>
            <w:vAlign w:val="bottom"/>
          </w:tcPr>
          <w:p>
            <w:pPr>
              <w:spacing w:after="0"/>
              <w:rPr>
                <w:sz w:val="1"/>
                <w:szCs w:val="1"/>
                <w:color w:val="auto"/>
              </w:rPr>
            </w:pPr>
          </w:p>
        </w:tc>
      </w:tr>
      <w:tr>
        <w:trPr>
          <w:trHeight w:val="162"/>
        </w:trPr>
        <w:tc>
          <w:tcPr>
            <w:tcW w:w="4220" w:type="dxa"/>
            <w:vAlign w:val="bottom"/>
            <w:gridSpan w:val="2"/>
          </w:tcPr>
          <w:p>
            <w:pPr>
              <w:ind w:left="380"/>
              <w:spacing w:after="0"/>
              <w:rPr>
                <w:sz w:val="20"/>
                <w:szCs w:val="20"/>
                <w:color w:val="auto"/>
              </w:rPr>
            </w:pPr>
            <w:r>
              <w:rPr>
                <w:rFonts w:ascii="Arial" w:cs="Arial" w:eastAsia="Arial" w:hAnsi="Arial"/>
                <w:sz w:val="14"/>
                <w:szCs w:val="14"/>
                <w:color w:val="auto"/>
              </w:rPr>
              <w:t>Wynstone East, Federal Way</w:t>
            </w:r>
          </w:p>
        </w:tc>
        <w:tc>
          <w:tcPr>
            <w:tcW w:w="900" w:type="dxa"/>
            <w:vAlign w:val="bottom"/>
          </w:tcPr>
          <w:p>
            <w:pPr>
              <w:jc w:val="center"/>
              <w:spacing w:after="0"/>
              <w:rPr>
                <w:sz w:val="20"/>
                <w:szCs w:val="20"/>
                <w:color w:val="auto"/>
              </w:rPr>
            </w:pPr>
            <w:r>
              <w:rPr>
                <w:rFonts w:ascii="Arial" w:cs="Arial" w:eastAsia="Arial" w:hAnsi="Arial"/>
                <w:sz w:val="14"/>
                <w:szCs w:val="14"/>
                <w:color w:val="auto"/>
                <w:w w:val="83"/>
              </w:rPr>
              <w:t>2013</w:t>
            </w:r>
          </w:p>
        </w:tc>
        <w:tc>
          <w:tcPr>
            <w:tcW w:w="120" w:type="dxa"/>
            <w:vAlign w:val="bottom"/>
          </w:tcPr>
          <w:p>
            <w:pPr>
              <w:spacing w:after="0"/>
              <w:rPr>
                <w:sz w:val="14"/>
                <w:szCs w:val="14"/>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57</w:t>
            </w:r>
          </w:p>
        </w:tc>
        <w:tc>
          <w:tcPr>
            <w:tcW w:w="220" w:type="dxa"/>
            <w:vAlign w:val="bottom"/>
          </w:tcPr>
          <w:p>
            <w:pPr>
              <w:spacing w:after="0"/>
              <w:rPr>
                <w:sz w:val="14"/>
                <w:szCs w:val="14"/>
                <w:color w:val="auto"/>
              </w:rPr>
            </w:pPr>
          </w:p>
        </w:tc>
        <w:tc>
          <w:tcPr>
            <w:tcW w:w="860" w:type="dxa"/>
            <w:vAlign w:val="bottom"/>
          </w:tcPr>
          <w:p>
            <w:pPr>
              <w:jc w:val="right"/>
              <w:spacing w:after="0"/>
              <w:rPr>
                <w:sz w:val="20"/>
                <w:szCs w:val="20"/>
                <w:color w:val="auto"/>
              </w:rPr>
            </w:pPr>
            <w:r>
              <w:rPr>
                <w:rFonts w:ascii="Arial" w:cs="Arial" w:eastAsia="Arial" w:hAnsi="Arial"/>
                <w:sz w:val="14"/>
                <w:szCs w:val="14"/>
                <w:color w:val="auto"/>
              </w:rPr>
              <w:t>56</w:t>
            </w:r>
          </w:p>
        </w:tc>
        <w:tc>
          <w:tcPr>
            <w:tcW w:w="220" w:type="dxa"/>
            <w:vAlign w:val="bottom"/>
          </w:tcPr>
          <w:p>
            <w:pPr>
              <w:spacing w:after="0"/>
              <w:rPr>
                <w:sz w:val="14"/>
                <w:szCs w:val="14"/>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1</w:t>
            </w:r>
          </w:p>
        </w:tc>
        <w:tc>
          <w:tcPr>
            <w:tcW w:w="220" w:type="dxa"/>
            <w:vAlign w:val="bottom"/>
          </w:tcPr>
          <w:p>
            <w:pPr>
              <w:spacing w:after="0"/>
              <w:rPr>
                <w:sz w:val="14"/>
                <w:szCs w:val="14"/>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1</w:t>
            </w:r>
          </w:p>
        </w:tc>
        <w:tc>
          <w:tcPr>
            <w:tcW w:w="220" w:type="dxa"/>
            <w:vAlign w:val="bottom"/>
          </w:tcPr>
          <w:p>
            <w:pPr>
              <w:spacing w:after="0"/>
              <w:rPr>
                <w:sz w:val="14"/>
                <w:szCs w:val="14"/>
                <w:color w:val="auto"/>
              </w:rPr>
            </w:pPr>
          </w:p>
        </w:tc>
        <w:tc>
          <w:tcPr>
            <w:tcW w:w="980" w:type="dxa"/>
            <w:vAlign w:val="bottom"/>
          </w:tcPr>
          <w:p>
            <w:pPr>
              <w:jc w:val="right"/>
              <w:spacing w:after="0"/>
              <w:rPr>
                <w:sz w:val="20"/>
                <w:szCs w:val="20"/>
                <w:color w:val="auto"/>
              </w:rPr>
            </w:pPr>
            <w:r>
              <w:rPr>
                <w:rFonts w:ascii="Arial" w:cs="Arial" w:eastAsia="Arial" w:hAnsi="Arial"/>
                <w:sz w:val="14"/>
                <w:szCs w:val="14"/>
                <w:color w:val="auto"/>
              </w:rPr>
              <w:t>7</w:t>
            </w:r>
          </w:p>
        </w:tc>
        <w:tc>
          <w:tcPr>
            <w:tcW w:w="1120" w:type="dxa"/>
            <w:vAlign w:val="bottom"/>
            <w:gridSpan w:val="2"/>
          </w:tcPr>
          <w:p>
            <w:pPr>
              <w:jc w:val="center"/>
              <w:ind w:left="133"/>
              <w:spacing w:after="0"/>
              <w:rPr>
                <w:sz w:val="20"/>
                <w:szCs w:val="20"/>
                <w:color w:val="auto"/>
              </w:rPr>
            </w:pPr>
            <w:r>
              <w:rPr>
                <w:rFonts w:ascii="Arial" w:cs="Arial" w:eastAsia="Arial" w:hAnsi="Arial"/>
                <w:sz w:val="14"/>
                <w:szCs w:val="14"/>
                <w:color w:val="auto"/>
                <w:w w:val="89"/>
              </w:rPr>
              <w:t>$348</w:t>
            </w:r>
          </w:p>
        </w:tc>
        <w:tc>
          <w:tcPr>
            <w:tcW w:w="0" w:type="dxa"/>
            <w:vAlign w:val="bottom"/>
          </w:tcPr>
          <w:p>
            <w:pPr>
              <w:spacing w:after="0"/>
              <w:rPr>
                <w:sz w:val="1"/>
                <w:szCs w:val="1"/>
                <w:color w:val="auto"/>
              </w:rPr>
            </w:pPr>
          </w:p>
        </w:tc>
      </w:tr>
      <w:tr>
        <w:trPr>
          <w:trHeight w:val="162"/>
        </w:trPr>
        <w:tc>
          <w:tcPr>
            <w:tcW w:w="4220" w:type="dxa"/>
            <w:vAlign w:val="bottom"/>
            <w:gridSpan w:val="2"/>
            <w:shd w:val="clear" w:color="auto" w:fill="CFF0FC"/>
          </w:tcPr>
          <w:p>
            <w:pPr>
              <w:ind w:left="380"/>
              <w:spacing w:after="0"/>
              <w:rPr>
                <w:sz w:val="20"/>
                <w:szCs w:val="20"/>
                <w:color w:val="auto"/>
              </w:rPr>
            </w:pPr>
            <w:r>
              <w:rPr>
                <w:rFonts w:ascii="Arial" w:cs="Arial" w:eastAsia="Arial" w:hAnsi="Arial"/>
                <w:sz w:val="14"/>
                <w:szCs w:val="14"/>
                <w:color w:val="auto"/>
              </w:rPr>
              <w:t>Woodland, Woodinville</w:t>
            </w:r>
          </w:p>
        </w:tc>
        <w:tc>
          <w:tcPr>
            <w:tcW w:w="900" w:type="dxa"/>
            <w:vAlign w:val="bottom"/>
            <w:shd w:val="clear" w:color="auto" w:fill="CFF0FC"/>
          </w:tcPr>
          <w:p>
            <w:pPr>
              <w:jc w:val="center"/>
              <w:spacing w:after="0"/>
              <w:rPr>
                <w:sz w:val="20"/>
                <w:szCs w:val="20"/>
                <w:color w:val="auto"/>
              </w:rPr>
            </w:pPr>
            <w:r>
              <w:rPr>
                <w:rFonts w:ascii="Arial" w:cs="Arial" w:eastAsia="Arial" w:hAnsi="Arial"/>
                <w:sz w:val="14"/>
                <w:szCs w:val="14"/>
                <w:color w:val="auto"/>
                <w:w w:val="83"/>
              </w:rPr>
              <w:t>2014</w:t>
            </w:r>
          </w:p>
        </w:tc>
        <w:tc>
          <w:tcPr>
            <w:tcW w:w="120" w:type="dxa"/>
            <w:vAlign w:val="bottom"/>
            <w:shd w:val="clear" w:color="auto" w:fill="CFF0FC"/>
          </w:tcPr>
          <w:p>
            <w:pPr>
              <w:spacing w:after="0"/>
              <w:rPr>
                <w:sz w:val="14"/>
                <w:szCs w:val="14"/>
                <w:color w:val="auto"/>
              </w:rPr>
            </w:pPr>
          </w:p>
        </w:tc>
        <w:tc>
          <w:tcPr>
            <w:tcW w:w="7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23</w:t>
            </w:r>
          </w:p>
        </w:tc>
        <w:tc>
          <w:tcPr>
            <w:tcW w:w="220" w:type="dxa"/>
            <w:vAlign w:val="bottom"/>
            <w:shd w:val="clear" w:color="auto" w:fill="CFF0FC"/>
          </w:tcPr>
          <w:p>
            <w:pPr>
              <w:spacing w:after="0"/>
              <w:rPr>
                <w:sz w:val="14"/>
                <w:szCs w:val="14"/>
                <w:color w:val="auto"/>
              </w:rPr>
            </w:pPr>
          </w:p>
        </w:tc>
        <w:tc>
          <w:tcPr>
            <w:tcW w:w="860" w:type="dxa"/>
            <w:vAlign w:val="bottom"/>
            <w:shd w:val="clear" w:color="auto" w:fill="CFF0FC"/>
          </w:tcPr>
          <w:p>
            <w:pPr>
              <w:jc w:val="right"/>
              <w:spacing w:after="0"/>
              <w:rPr>
                <w:sz w:val="20"/>
                <w:szCs w:val="20"/>
                <w:color w:val="auto"/>
              </w:rPr>
            </w:pPr>
            <w:r>
              <w:rPr>
                <w:rFonts w:ascii="Arial" w:cs="Arial" w:eastAsia="Arial" w:hAnsi="Arial"/>
                <w:sz w:val="14"/>
                <w:szCs w:val="14"/>
                <w:color w:val="auto"/>
              </w:rPr>
              <w:t>20</w:t>
            </w:r>
          </w:p>
        </w:tc>
        <w:tc>
          <w:tcPr>
            <w:tcW w:w="220" w:type="dxa"/>
            <w:vAlign w:val="bottom"/>
            <w:shd w:val="clear" w:color="auto" w:fill="CFF0FC"/>
          </w:tcPr>
          <w:p>
            <w:pPr>
              <w:spacing w:after="0"/>
              <w:rPr>
                <w:sz w:val="14"/>
                <w:szCs w:val="14"/>
                <w:color w:val="auto"/>
              </w:rPr>
            </w:pPr>
          </w:p>
        </w:tc>
        <w:tc>
          <w:tcPr>
            <w:tcW w:w="7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3</w:t>
            </w:r>
          </w:p>
        </w:tc>
        <w:tc>
          <w:tcPr>
            <w:tcW w:w="220" w:type="dxa"/>
            <w:vAlign w:val="bottom"/>
            <w:shd w:val="clear" w:color="auto" w:fill="CFF0FC"/>
          </w:tcPr>
          <w:p>
            <w:pPr>
              <w:spacing w:after="0"/>
              <w:rPr>
                <w:sz w:val="14"/>
                <w:szCs w:val="14"/>
                <w:color w:val="auto"/>
              </w:rPr>
            </w:pPr>
          </w:p>
        </w:tc>
        <w:tc>
          <w:tcPr>
            <w:tcW w:w="7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3</w:t>
            </w:r>
          </w:p>
        </w:tc>
        <w:tc>
          <w:tcPr>
            <w:tcW w:w="220" w:type="dxa"/>
            <w:vAlign w:val="bottom"/>
            <w:shd w:val="clear" w:color="auto" w:fill="CFF0FC"/>
          </w:tcPr>
          <w:p>
            <w:pPr>
              <w:spacing w:after="0"/>
              <w:rPr>
                <w:sz w:val="14"/>
                <w:szCs w:val="14"/>
                <w:color w:val="auto"/>
              </w:rPr>
            </w:pPr>
          </w:p>
        </w:tc>
        <w:tc>
          <w:tcPr>
            <w:tcW w:w="9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11</w:t>
            </w:r>
          </w:p>
        </w:tc>
        <w:tc>
          <w:tcPr>
            <w:tcW w:w="1120" w:type="dxa"/>
            <w:vAlign w:val="bottom"/>
            <w:gridSpan w:val="2"/>
            <w:shd w:val="clear" w:color="auto" w:fill="CFF0FC"/>
          </w:tcPr>
          <w:p>
            <w:pPr>
              <w:jc w:val="center"/>
              <w:ind w:left="133"/>
              <w:spacing w:after="0"/>
              <w:rPr>
                <w:sz w:val="20"/>
                <w:szCs w:val="20"/>
                <w:color w:val="auto"/>
              </w:rPr>
            </w:pPr>
            <w:r>
              <w:rPr>
                <w:rFonts w:ascii="Arial" w:cs="Arial" w:eastAsia="Arial" w:hAnsi="Arial"/>
                <w:sz w:val="14"/>
                <w:szCs w:val="14"/>
                <w:color w:val="auto"/>
                <w:w w:val="85"/>
              </w:rPr>
              <w:t>$571 - $576</w:t>
            </w:r>
          </w:p>
        </w:tc>
        <w:tc>
          <w:tcPr>
            <w:tcW w:w="0" w:type="dxa"/>
            <w:vAlign w:val="bottom"/>
          </w:tcPr>
          <w:p>
            <w:pPr>
              <w:spacing w:after="0"/>
              <w:rPr>
                <w:sz w:val="1"/>
                <w:szCs w:val="1"/>
                <w:color w:val="auto"/>
              </w:rPr>
            </w:pPr>
          </w:p>
        </w:tc>
      </w:tr>
      <w:tr>
        <w:trPr>
          <w:trHeight w:val="162"/>
        </w:trPr>
        <w:tc>
          <w:tcPr>
            <w:tcW w:w="4220" w:type="dxa"/>
            <w:vAlign w:val="bottom"/>
            <w:gridSpan w:val="2"/>
          </w:tcPr>
          <w:p>
            <w:pPr>
              <w:ind w:left="380"/>
              <w:spacing w:after="0"/>
              <w:rPr>
                <w:sz w:val="20"/>
                <w:szCs w:val="20"/>
                <w:color w:val="auto"/>
              </w:rPr>
            </w:pPr>
            <w:r>
              <w:rPr>
                <w:rFonts w:ascii="Arial" w:cs="Arial" w:eastAsia="Arial" w:hAnsi="Arial"/>
                <w:sz w:val="14"/>
                <w:szCs w:val="14"/>
                <w:color w:val="auto"/>
              </w:rPr>
              <w:t>Garrison Glen, Kent</w:t>
            </w:r>
          </w:p>
        </w:tc>
        <w:tc>
          <w:tcPr>
            <w:tcW w:w="900" w:type="dxa"/>
            <w:vAlign w:val="bottom"/>
          </w:tcPr>
          <w:p>
            <w:pPr>
              <w:jc w:val="center"/>
              <w:spacing w:after="0"/>
              <w:rPr>
                <w:sz w:val="20"/>
                <w:szCs w:val="20"/>
                <w:color w:val="auto"/>
              </w:rPr>
            </w:pPr>
            <w:r>
              <w:rPr>
                <w:rFonts w:ascii="Arial" w:cs="Arial" w:eastAsia="Arial" w:hAnsi="Arial"/>
                <w:sz w:val="14"/>
                <w:szCs w:val="14"/>
                <w:color w:val="auto"/>
                <w:w w:val="83"/>
              </w:rPr>
              <w:t>2014</w:t>
            </w:r>
          </w:p>
        </w:tc>
        <w:tc>
          <w:tcPr>
            <w:tcW w:w="120" w:type="dxa"/>
            <w:vAlign w:val="bottom"/>
          </w:tcPr>
          <w:p>
            <w:pPr>
              <w:spacing w:after="0"/>
              <w:rPr>
                <w:sz w:val="14"/>
                <w:szCs w:val="14"/>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30</w:t>
            </w:r>
          </w:p>
        </w:tc>
        <w:tc>
          <w:tcPr>
            <w:tcW w:w="220" w:type="dxa"/>
            <w:vAlign w:val="bottom"/>
          </w:tcPr>
          <w:p>
            <w:pPr>
              <w:spacing w:after="0"/>
              <w:rPr>
                <w:sz w:val="14"/>
                <w:szCs w:val="14"/>
                <w:color w:val="auto"/>
              </w:rPr>
            </w:pPr>
          </w:p>
        </w:tc>
        <w:tc>
          <w:tcPr>
            <w:tcW w:w="860" w:type="dxa"/>
            <w:vAlign w:val="bottom"/>
          </w:tcPr>
          <w:p>
            <w:pPr>
              <w:jc w:val="right"/>
              <w:spacing w:after="0"/>
              <w:rPr>
                <w:sz w:val="20"/>
                <w:szCs w:val="20"/>
                <w:color w:val="auto"/>
              </w:rPr>
            </w:pPr>
            <w:r>
              <w:rPr>
                <w:rFonts w:ascii="Arial" w:cs="Arial" w:eastAsia="Arial" w:hAnsi="Arial"/>
                <w:sz w:val="14"/>
                <w:szCs w:val="14"/>
                <w:color w:val="auto"/>
              </w:rPr>
              <w:t>10</w:t>
            </w:r>
          </w:p>
        </w:tc>
        <w:tc>
          <w:tcPr>
            <w:tcW w:w="220" w:type="dxa"/>
            <w:vAlign w:val="bottom"/>
          </w:tcPr>
          <w:p>
            <w:pPr>
              <w:spacing w:after="0"/>
              <w:rPr>
                <w:sz w:val="14"/>
                <w:szCs w:val="14"/>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20</w:t>
            </w:r>
          </w:p>
        </w:tc>
        <w:tc>
          <w:tcPr>
            <w:tcW w:w="220" w:type="dxa"/>
            <w:vAlign w:val="bottom"/>
          </w:tcPr>
          <w:p>
            <w:pPr>
              <w:spacing w:after="0"/>
              <w:rPr>
                <w:sz w:val="14"/>
                <w:szCs w:val="14"/>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16</w:t>
            </w:r>
          </w:p>
        </w:tc>
        <w:tc>
          <w:tcPr>
            <w:tcW w:w="220" w:type="dxa"/>
            <w:vAlign w:val="bottom"/>
          </w:tcPr>
          <w:p>
            <w:pPr>
              <w:spacing w:after="0"/>
              <w:rPr>
                <w:sz w:val="14"/>
                <w:szCs w:val="14"/>
                <w:color w:val="auto"/>
              </w:rPr>
            </w:pPr>
          </w:p>
        </w:tc>
        <w:tc>
          <w:tcPr>
            <w:tcW w:w="980" w:type="dxa"/>
            <w:vAlign w:val="bottom"/>
          </w:tcPr>
          <w:p>
            <w:pPr>
              <w:jc w:val="right"/>
              <w:spacing w:after="0"/>
              <w:rPr>
                <w:sz w:val="20"/>
                <w:szCs w:val="20"/>
                <w:color w:val="auto"/>
              </w:rPr>
            </w:pPr>
            <w:r>
              <w:rPr>
                <w:rFonts w:ascii="Arial" w:cs="Arial" w:eastAsia="Arial" w:hAnsi="Arial"/>
                <w:sz w:val="14"/>
                <w:szCs w:val="14"/>
                <w:color w:val="auto"/>
              </w:rPr>
              <w:t>5</w:t>
            </w:r>
          </w:p>
        </w:tc>
        <w:tc>
          <w:tcPr>
            <w:tcW w:w="1120" w:type="dxa"/>
            <w:vAlign w:val="bottom"/>
            <w:gridSpan w:val="2"/>
          </w:tcPr>
          <w:p>
            <w:pPr>
              <w:jc w:val="center"/>
              <w:ind w:left="133"/>
              <w:spacing w:after="0"/>
              <w:rPr>
                <w:sz w:val="20"/>
                <w:szCs w:val="20"/>
                <w:color w:val="auto"/>
              </w:rPr>
            </w:pPr>
            <w:r>
              <w:rPr>
                <w:rFonts w:ascii="Arial" w:cs="Arial" w:eastAsia="Arial" w:hAnsi="Arial"/>
                <w:sz w:val="14"/>
                <w:szCs w:val="14"/>
                <w:color w:val="auto"/>
                <w:w w:val="85"/>
              </w:rPr>
              <w:t>$374 - $405</w:t>
            </w:r>
          </w:p>
        </w:tc>
        <w:tc>
          <w:tcPr>
            <w:tcW w:w="0" w:type="dxa"/>
            <w:vAlign w:val="bottom"/>
          </w:tcPr>
          <w:p>
            <w:pPr>
              <w:spacing w:after="0"/>
              <w:rPr>
                <w:sz w:val="1"/>
                <w:szCs w:val="1"/>
                <w:color w:val="auto"/>
              </w:rPr>
            </w:pPr>
          </w:p>
        </w:tc>
      </w:tr>
      <w:tr>
        <w:trPr>
          <w:trHeight w:val="162"/>
        </w:trPr>
        <w:tc>
          <w:tcPr>
            <w:tcW w:w="4220" w:type="dxa"/>
            <w:vAlign w:val="bottom"/>
            <w:gridSpan w:val="2"/>
            <w:shd w:val="clear" w:color="auto" w:fill="CFF0FC"/>
          </w:tcPr>
          <w:p>
            <w:pPr>
              <w:ind w:left="380"/>
              <w:spacing w:after="0"/>
              <w:rPr>
                <w:sz w:val="20"/>
                <w:szCs w:val="20"/>
                <w:color w:val="auto"/>
              </w:rPr>
            </w:pPr>
            <w:r>
              <w:rPr>
                <w:rFonts w:ascii="Arial" w:cs="Arial" w:eastAsia="Arial" w:hAnsi="Arial"/>
                <w:sz w:val="14"/>
                <w:szCs w:val="14"/>
                <w:color w:val="auto"/>
              </w:rPr>
              <w:t>Sonata Hill, Auburn</w:t>
            </w:r>
          </w:p>
        </w:tc>
        <w:tc>
          <w:tcPr>
            <w:tcW w:w="900" w:type="dxa"/>
            <w:vAlign w:val="bottom"/>
            <w:shd w:val="clear" w:color="auto" w:fill="CFF0FC"/>
          </w:tcPr>
          <w:p>
            <w:pPr>
              <w:jc w:val="center"/>
              <w:spacing w:after="0"/>
              <w:rPr>
                <w:sz w:val="20"/>
                <w:szCs w:val="20"/>
                <w:color w:val="auto"/>
              </w:rPr>
            </w:pPr>
            <w:r>
              <w:rPr>
                <w:rFonts w:ascii="Arial" w:cs="Arial" w:eastAsia="Arial" w:hAnsi="Arial"/>
                <w:sz w:val="14"/>
                <w:szCs w:val="14"/>
                <w:color w:val="auto"/>
                <w:w w:val="83"/>
              </w:rPr>
              <w:t>2014</w:t>
            </w:r>
          </w:p>
        </w:tc>
        <w:tc>
          <w:tcPr>
            <w:tcW w:w="120" w:type="dxa"/>
            <w:vAlign w:val="bottom"/>
            <w:shd w:val="clear" w:color="auto" w:fill="CFF0FC"/>
          </w:tcPr>
          <w:p>
            <w:pPr>
              <w:spacing w:after="0"/>
              <w:rPr>
                <w:sz w:val="14"/>
                <w:szCs w:val="14"/>
                <w:color w:val="auto"/>
              </w:rPr>
            </w:pPr>
          </w:p>
        </w:tc>
        <w:tc>
          <w:tcPr>
            <w:tcW w:w="7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71</w:t>
            </w:r>
          </w:p>
        </w:tc>
        <w:tc>
          <w:tcPr>
            <w:tcW w:w="220" w:type="dxa"/>
            <w:vAlign w:val="bottom"/>
            <w:shd w:val="clear" w:color="auto" w:fill="CFF0FC"/>
          </w:tcPr>
          <w:p>
            <w:pPr>
              <w:spacing w:after="0"/>
              <w:rPr>
                <w:sz w:val="14"/>
                <w:szCs w:val="14"/>
                <w:color w:val="auto"/>
              </w:rPr>
            </w:pPr>
          </w:p>
        </w:tc>
        <w:tc>
          <w:tcPr>
            <w:tcW w:w="860" w:type="dxa"/>
            <w:vAlign w:val="bottom"/>
            <w:shd w:val="clear" w:color="auto" w:fill="CFF0FC"/>
          </w:tcPr>
          <w:p>
            <w:pPr>
              <w:jc w:val="right"/>
              <w:spacing w:after="0"/>
              <w:rPr>
                <w:sz w:val="20"/>
                <w:szCs w:val="20"/>
                <w:color w:val="auto"/>
              </w:rPr>
            </w:pPr>
            <w:r>
              <w:rPr>
                <w:rFonts w:ascii="Arial" w:cs="Arial" w:eastAsia="Arial" w:hAnsi="Arial"/>
                <w:sz w:val="14"/>
                <w:szCs w:val="14"/>
                <w:color w:val="auto"/>
              </w:rPr>
              <w:t>12</w:t>
            </w:r>
          </w:p>
        </w:tc>
        <w:tc>
          <w:tcPr>
            <w:tcW w:w="220" w:type="dxa"/>
            <w:vAlign w:val="bottom"/>
            <w:shd w:val="clear" w:color="auto" w:fill="CFF0FC"/>
          </w:tcPr>
          <w:p>
            <w:pPr>
              <w:spacing w:after="0"/>
              <w:rPr>
                <w:sz w:val="14"/>
                <w:szCs w:val="14"/>
                <w:color w:val="auto"/>
              </w:rPr>
            </w:pPr>
          </w:p>
        </w:tc>
        <w:tc>
          <w:tcPr>
            <w:tcW w:w="7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59</w:t>
            </w:r>
          </w:p>
        </w:tc>
        <w:tc>
          <w:tcPr>
            <w:tcW w:w="220" w:type="dxa"/>
            <w:vAlign w:val="bottom"/>
            <w:shd w:val="clear" w:color="auto" w:fill="CFF0FC"/>
          </w:tcPr>
          <w:p>
            <w:pPr>
              <w:spacing w:after="0"/>
              <w:rPr>
                <w:sz w:val="14"/>
                <w:szCs w:val="14"/>
                <w:color w:val="auto"/>
              </w:rPr>
            </w:pPr>
          </w:p>
        </w:tc>
        <w:tc>
          <w:tcPr>
            <w:tcW w:w="7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12</w:t>
            </w:r>
          </w:p>
        </w:tc>
        <w:tc>
          <w:tcPr>
            <w:tcW w:w="220" w:type="dxa"/>
            <w:vAlign w:val="bottom"/>
            <w:shd w:val="clear" w:color="auto" w:fill="CFF0FC"/>
          </w:tcPr>
          <w:p>
            <w:pPr>
              <w:spacing w:after="0"/>
              <w:rPr>
                <w:sz w:val="14"/>
                <w:szCs w:val="14"/>
                <w:color w:val="auto"/>
              </w:rPr>
            </w:pPr>
          </w:p>
        </w:tc>
        <w:tc>
          <w:tcPr>
            <w:tcW w:w="9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5</w:t>
            </w:r>
          </w:p>
        </w:tc>
        <w:tc>
          <w:tcPr>
            <w:tcW w:w="1120" w:type="dxa"/>
            <w:vAlign w:val="bottom"/>
            <w:gridSpan w:val="2"/>
            <w:shd w:val="clear" w:color="auto" w:fill="CFF0FC"/>
          </w:tcPr>
          <w:p>
            <w:pPr>
              <w:jc w:val="center"/>
              <w:ind w:left="133"/>
              <w:spacing w:after="0"/>
              <w:rPr>
                <w:sz w:val="20"/>
                <w:szCs w:val="20"/>
                <w:color w:val="auto"/>
              </w:rPr>
            </w:pPr>
            <w:r>
              <w:rPr>
                <w:rFonts w:ascii="Arial" w:cs="Arial" w:eastAsia="Arial" w:hAnsi="Arial"/>
                <w:sz w:val="14"/>
                <w:szCs w:val="14"/>
                <w:color w:val="auto"/>
                <w:w w:val="85"/>
              </w:rPr>
              <w:t>$332 - $420</w:t>
            </w:r>
          </w:p>
        </w:tc>
        <w:tc>
          <w:tcPr>
            <w:tcW w:w="0" w:type="dxa"/>
            <w:vAlign w:val="bottom"/>
          </w:tcPr>
          <w:p>
            <w:pPr>
              <w:spacing w:after="0"/>
              <w:rPr>
                <w:sz w:val="1"/>
                <w:szCs w:val="1"/>
                <w:color w:val="auto"/>
              </w:rPr>
            </w:pPr>
          </w:p>
        </w:tc>
      </w:tr>
      <w:tr>
        <w:trPr>
          <w:trHeight w:val="162"/>
        </w:trPr>
        <w:tc>
          <w:tcPr>
            <w:tcW w:w="4220" w:type="dxa"/>
            <w:vAlign w:val="bottom"/>
            <w:gridSpan w:val="2"/>
          </w:tcPr>
          <w:p>
            <w:pPr>
              <w:ind w:left="380"/>
              <w:spacing w:after="0"/>
              <w:rPr>
                <w:sz w:val="20"/>
                <w:szCs w:val="20"/>
                <w:color w:val="auto"/>
              </w:rPr>
            </w:pPr>
            <w:r>
              <w:rPr>
                <w:rFonts w:ascii="Arial" w:cs="Arial" w:eastAsia="Arial" w:hAnsi="Arial"/>
                <w:sz w:val="14"/>
                <w:szCs w:val="14"/>
                <w:color w:val="auto"/>
              </w:rPr>
              <w:t>Ibrahim, Issaquah</w:t>
            </w:r>
          </w:p>
        </w:tc>
        <w:tc>
          <w:tcPr>
            <w:tcW w:w="900" w:type="dxa"/>
            <w:vAlign w:val="bottom"/>
          </w:tcPr>
          <w:p>
            <w:pPr>
              <w:jc w:val="center"/>
              <w:spacing w:after="0"/>
              <w:rPr>
                <w:sz w:val="20"/>
                <w:szCs w:val="20"/>
                <w:color w:val="auto"/>
              </w:rPr>
            </w:pPr>
            <w:r>
              <w:rPr>
                <w:rFonts w:ascii="Arial" w:cs="Arial" w:eastAsia="Arial" w:hAnsi="Arial"/>
                <w:sz w:val="14"/>
                <w:szCs w:val="14"/>
                <w:color w:val="auto"/>
                <w:w w:val="83"/>
              </w:rPr>
              <w:t>2015</w:t>
            </w:r>
          </w:p>
        </w:tc>
        <w:tc>
          <w:tcPr>
            <w:tcW w:w="120" w:type="dxa"/>
            <w:vAlign w:val="bottom"/>
          </w:tcPr>
          <w:p>
            <w:pPr>
              <w:spacing w:after="0"/>
              <w:rPr>
                <w:sz w:val="14"/>
                <w:szCs w:val="14"/>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2</w:t>
            </w:r>
          </w:p>
        </w:tc>
        <w:tc>
          <w:tcPr>
            <w:tcW w:w="220" w:type="dxa"/>
            <w:vAlign w:val="bottom"/>
          </w:tcPr>
          <w:p>
            <w:pPr>
              <w:spacing w:after="0"/>
              <w:rPr>
                <w:sz w:val="14"/>
                <w:szCs w:val="14"/>
                <w:color w:val="auto"/>
              </w:rPr>
            </w:pPr>
          </w:p>
        </w:tc>
        <w:tc>
          <w:tcPr>
            <w:tcW w:w="860" w:type="dxa"/>
            <w:vAlign w:val="bottom"/>
          </w:tcPr>
          <w:p>
            <w:pPr>
              <w:jc w:val="right"/>
              <w:spacing w:after="0"/>
              <w:rPr>
                <w:sz w:val="20"/>
                <w:szCs w:val="20"/>
                <w:color w:val="auto"/>
              </w:rPr>
            </w:pPr>
            <w:r>
              <w:rPr>
                <w:rFonts w:ascii="Arial" w:cs="Arial" w:eastAsia="Arial" w:hAnsi="Arial"/>
                <w:sz w:val="14"/>
                <w:szCs w:val="14"/>
                <w:color w:val="auto"/>
              </w:rPr>
              <w:t>1</w:t>
            </w:r>
          </w:p>
        </w:tc>
        <w:tc>
          <w:tcPr>
            <w:tcW w:w="220" w:type="dxa"/>
            <w:vAlign w:val="bottom"/>
          </w:tcPr>
          <w:p>
            <w:pPr>
              <w:spacing w:after="0"/>
              <w:rPr>
                <w:sz w:val="14"/>
                <w:szCs w:val="14"/>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1</w:t>
            </w:r>
          </w:p>
        </w:tc>
        <w:tc>
          <w:tcPr>
            <w:tcW w:w="220" w:type="dxa"/>
            <w:vAlign w:val="bottom"/>
          </w:tcPr>
          <w:p>
            <w:pPr>
              <w:spacing w:after="0"/>
              <w:rPr>
                <w:sz w:val="14"/>
                <w:szCs w:val="14"/>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1</w:t>
            </w:r>
          </w:p>
        </w:tc>
        <w:tc>
          <w:tcPr>
            <w:tcW w:w="220" w:type="dxa"/>
            <w:vAlign w:val="bottom"/>
          </w:tcPr>
          <w:p>
            <w:pPr>
              <w:spacing w:after="0"/>
              <w:rPr>
                <w:sz w:val="14"/>
                <w:szCs w:val="14"/>
                <w:color w:val="auto"/>
              </w:rPr>
            </w:pPr>
          </w:p>
        </w:tc>
        <w:tc>
          <w:tcPr>
            <w:tcW w:w="980" w:type="dxa"/>
            <w:vAlign w:val="bottom"/>
          </w:tcPr>
          <w:p>
            <w:pPr>
              <w:jc w:val="right"/>
              <w:spacing w:after="0"/>
              <w:rPr>
                <w:sz w:val="20"/>
                <w:szCs w:val="20"/>
                <w:color w:val="auto"/>
              </w:rPr>
            </w:pPr>
            <w:r>
              <w:rPr>
                <w:rFonts w:ascii="Arial" w:cs="Arial" w:eastAsia="Arial" w:hAnsi="Arial"/>
                <w:sz w:val="14"/>
                <w:szCs w:val="14"/>
                <w:color w:val="auto"/>
              </w:rPr>
              <w:t>1</w:t>
            </w:r>
          </w:p>
        </w:tc>
        <w:tc>
          <w:tcPr>
            <w:tcW w:w="1120" w:type="dxa"/>
            <w:vAlign w:val="bottom"/>
            <w:gridSpan w:val="2"/>
          </w:tcPr>
          <w:p>
            <w:pPr>
              <w:jc w:val="center"/>
              <w:ind w:left="133"/>
              <w:spacing w:after="0"/>
              <w:rPr>
                <w:sz w:val="20"/>
                <w:szCs w:val="20"/>
                <w:color w:val="auto"/>
              </w:rPr>
            </w:pPr>
            <w:r>
              <w:rPr>
                <w:rFonts w:ascii="Arial" w:cs="Arial" w:eastAsia="Arial" w:hAnsi="Arial"/>
                <w:sz w:val="14"/>
                <w:szCs w:val="14"/>
                <w:color w:val="auto"/>
                <w:w w:val="82"/>
              </w:rPr>
              <w:t>$1050</w:t>
            </w:r>
          </w:p>
        </w:tc>
        <w:tc>
          <w:tcPr>
            <w:tcW w:w="0" w:type="dxa"/>
            <w:vAlign w:val="bottom"/>
          </w:tcPr>
          <w:p>
            <w:pPr>
              <w:spacing w:after="0"/>
              <w:rPr>
                <w:sz w:val="1"/>
                <w:szCs w:val="1"/>
                <w:color w:val="auto"/>
              </w:rPr>
            </w:pPr>
          </w:p>
        </w:tc>
      </w:tr>
      <w:tr>
        <w:trPr>
          <w:trHeight w:val="162"/>
        </w:trPr>
        <w:tc>
          <w:tcPr>
            <w:tcW w:w="4220" w:type="dxa"/>
            <w:vAlign w:val="bottom"/>
            <w:gridSpan w:val="2"/>
            <w:shd w:val="clear" w:color="auto" w:fill="CFF0FC"/>
          </w:tcPr>
          <w:p>
            <w:pPr>
              <w:ind w:left="380"/>
              <w:spacing w:after="0"/>
              <w:rPr>
                <w:sz w:val="20"/>
                <w:szCs w:val="20"/>
                <w:color w:val="auto"/>
              </w:rPr>
            </w:pPr>
            <w:r>
              <w:rPr>
                <w:rFonts w:ascii="Arial" w:cs="Arial" w:eastAsia="Arial" w:hAnsi="Arial"/>
                <w:sz w:val="14"/>
                <w:szCs w:val="14"/>
                <w:color w:val="auto"/>
              </w:rPr>
              <w:t>The Gardens at Eastlake, Sammamish</w:t>
            </w:r>
          </w:p>
        </w:tc>
        <w:tc>
          <w:tcPr>
            <w:tcW w:w="900" w:type="dxa"/>
            <w:vAlign w:val="bottom"/>
            <w:shd w:val="clear" w:color="auto" w:fill="CFF0FC"/>
          </w:tcPr>
          <w:p>
            <w:pPr>
              <w:jc w:val="center"/>
              <w:spacing w:after="0"/>
              <w:rPr>
                <w:sz w:val="20"/>
                <w:szCs w:val="20"/>
                <w:color w:val="auto"/>
              </w:rPr>
            </w:pPr>
            <w:r>
              <w:rPr>
                <w:rFonts w:ascii="Arial" w:cs="Arial" w:eastAsia="Arial" w:hAnsi="Arial"/>
                <w:sz w:val="14"/>
                <w:szCs w:val="14"/>
                <w:color w:val="auto"/>
                <w:w w:val="83"/>
              </w:rPr>
              <w:t>2015</w:t>
            </w:r>
          </w:p>
        </w:tc>
        <w:tc>
          <w:tcPr>
            <w:tcW w:w="120" w:type="dxa"/>
            <w:vAlign w:val="bottom"/>
            <w:shd w:val="clear" w:color="auto" w:fill="CFF0FC"/>
          </w:tcPr>
          <w:p>
            <w:pPr>
              <w:spacing w:after="0"/>
              <w:rPr>
                <w:sz w:val="14"/>
                <w:szCs w:val="14"/>
                <w:color w:val="auto"/>
              </w:rPr>
            </w:pPr>
          </w:p>
        </w:tc>
        <w:tc>
          <w:tcPr>
            <w:tcW w:w="7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8</w:t>
            </w:r>
          </w:p>
        </w:tc>
        <w:tc>
          <w:tcPr>
            <w:tcW w:w="220" w:type="dxa"/>
            <w:vAlign w:val="bottom"/>
            <w:shd w:val="clear" w:color="auto" w:fill="CFF0FC"/>
          </w:tcPr>
          <w:p>
            <w:pPr>
              <w:spacing w:after="0"/>
              <w:rPr>
                <w:sz w:val="14"/>
                <w:szCs w:val="14"/>
                <w:color w:val="auto"/>
              </w:rPr>
            </w:pPr>
          </w:p>
        </w:tc>
        <w:tc>
          <w:tcPr>
            <w:tcW w:w="860" w:type="dxa"/>
            <w:vAlign w:val="bottom"/>
            <w:shd w:val="clear" w:color="auto" w:fill="CFF0FC"/>
          </w:tcPr>
          <w:p>
            <w:pPr>
              <w:jc w:val="right"/>
              <w:spacing w:after="0"/>
              <w:rPr>
                <w:sz w:val="20"/>
                <w:szCs w:val="20"/>
                <w:color w:val="auto"/>
              </w:rPr>
            </w:pPr>
            <w:r>
              <w:rPr>
                <w:rFonts w:ascii="Arial" w:cs="Arial" w:eastAsia="Arial" w:hAnsi="Arial"/>
                <w:sz w:val="14"/>
                <w:szCs w:val="14"/>
                <w:color w:val="auto"/>
              </w:rPr>
              <w:t>-</w:t>
            </w:r>
          </w:p>
        </w:tc>
        <w:tc>
          <w:tcPr>
            <w:tcW w:w="220" w:type="dxa"/>
            <w:vAlign w:val="bottom"/>
            <w:shd w:val="clear" w:color="auto" w:fill="CFF0FC"/>
          </w:tcPr>
          <w:p>
            <w:pPr>
              <w:spacing w:after="0"/>
              <w:rPr>
                <w:sz w:val="14"/>
                <w:szCs w:val="14"/>
                <w:color w:val="auto"/>
              </w:rPr>
            </w:pPr>
          </w:p>
        </w:tc>
        <w:tc>
          <w:tcPr>
            <w:tcW w:w="7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8</w:t>
            </w:r>
          </w:p>
        </w:tc>
        <w:tc>
          <w:tcPr>
            <w:tcW w:w="220" w:type="dxa"/>
            <w:vAlign w:val="bottom"/>
            <w:shd w:val="clear" w:color="auto" w:fill="CFF0FC"/>
          </w:tcPr>
          <w:p>
            <w:pPr>
              <w:spacing w:after="0"/>
              <w:rPr>
                <w:sz w:val="14"/>
                <w:szCs w:val="14"/>
                <w:color w:val="auto"/>
              </w:rPr>
            </w:pPr>
          </w:p>
        </w:tc>
        <w:tc>
          <w:tcPr>
            <w:tcW w:w="7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w:t>
            </w:r>
          </w:p>
        </w:tc>
        <w:tc>
          <w:tcPr>
            <w:tcW w:w="220" w:type="dxa"/>
            <w:vAlign w:val="bottom"/>
            <w:shd w:val="clear" w:color="auto" w:fill="CFF0FC"/>
          </w:tcPr>
          <w:p>
            <w:pPr>
              <w:spacing w:after="0"/>
              <w:rPr>
                <w:sz w:val="14"/>
                <w:szCs w:val="14"/>
                <w:color w:val="auto"/>
              </w:rPr>
            </w:pPr>
          </w:p>
        </w:tc>
        <w:tc>
          <w:tcPr>
            <w:tcW w:w="9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w:t>
            </w:r>
          </w:p>
        </w:tc>
        <w:tc>
          <w:tcPr>
            <w:tcW w:w="1120" w:type="dxa"/>
            <w:vAlign w:val="bottom"/>
            <w:gridSpan w:val="2"/>
            <w:shd w:val="clear" w:color="auto" w:fill="CFF0FC"/>
          </w:tcPr>
          <w:p>
            <w:pPr>
              <w:jc w:val="center"/>
              <w:ind w:left="133"/>
              <w:spacing w:after="0"/>
              <w:rPr>
                <w:sz w:val="20"/>
                <w:szCs w:val="20"/>
                <w:color w:val="auto"/>
              </w:rPr>
            </w:pPr>
            <w:r>
              <w:rPr>
                <w:rFonts w:ascii="Arial" w:cs="Arial" w:eastAsia="Arial" w:hAnsi="Arial"/>
                <w:sz w:val="14"/>
                <w:szCs w:val="14"/>
                <w:color w:val="auto"/>
                <w:w w:val="85"/>
              </w:rPr>
              <w:t>$810 - $900</w:t>
            </w:r>
          </w:p>
        </w:tc>
        <w:tc>
          <w:tcPr>
            <w:tcW w:w="0" w:type="dxa"/>
            <w:vAlign w:val="bottom"/>
          </w:tcPr>
          <w:p>
            <w:pPr>
              <w:spacing w:after="0"/>
              <w:rPr>
                <w:sz w:val="1"/>
                <w:szCs w:val="1"/>
                <w:color w:val="auto"/>
              </w:rPr>
            </w:pPr>
          </w:p>
        </w:tc>
      </w:tr>
      <w:tr>
        <w:trPr>
          <w:trHeight w:val="162"/>
        </w:trPr>
        <w:tc>
          <w:tcPr>
            <w:tcW w:w="4220" w:type="dxa"/>
            <w:vAlign w:val="bottom"/>
            <w:gridSpan w:val="2"/>
          </w:tcPr>
          <w:p>
            <w:pPr>
              <w:ind w:left="380"/>
              <w:spacing w:after="0"/>
              <w:rPr>
                <w:sz w:val="20"/>
                <w:szCs w:val="20"/>
                <w:color w:val="auto"/>
              </w:rPr>
            </w:pPr>
            <w:r>
              <w:rPr>
                <w:rFonts w:ascii="Arial" w:cs="Arial" w:eastAsia="Arial" w:hAnsi="Arial"/>
                <w:sz w:val="14"/>
                <w:szCs w:val="14"/>
                <w:color w:val="auto"/>
              </w:rPr>
              <w:t>Heathers Ridge, Kirkland</w:t>
            </w:r>
          </w:p>
        </w:tc>
        <w:tc>
          <w:tcPr>
            <w:tcW w:w="900" w:type="dxa"/>
            <w:vAlign w:val="bottom"/>
          </w:tcPr>
          <w:p>
            <w:pPr>
              <w:jc w:val="center"/>
              <w:spacing w:after="0"/>
              <w:rPr>
                <w:sz w:val="20"/>
                <w:szCs w:val="20"/>
                <w:color w:val="auto"/>
              </w:rPr>
            </w:pPr>
            <w:r>
              <w:rPr>
                <w:rFonts w:ascii="Arial" w:cs="Arial" w:eastAsia="Arial" w:hAnsi="Arial"/>
                <w:sz w:val="14"/>
                <w:szCs w:val="14"/>
                <w:color w:val="auto"/>
                <w:w w:val="83"/>
              </w:rPr>
              <w:t>2015</w:t>
            </w:r>
          </w:p>
        </w:tc>
        <w:tc>
          <w:tcPr>
            <w:tcW w:w="120" w:type="dxa"/>
            <w:vAlign w:val="bottom"/>
          </w:tcPr>
          <w:p>
            <w:pPr>
              <w:spacing w:after="0"/>
              <w:rPr>
                <w:sz w:val="14"/>
                <w:szCs w:val="14"/>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41</w:t>
            </w:r>
          </w:p>
        </w:tc>
        <w:tc>
          <w:tcPr>
            <w:tcW w:w="220" w:type="dxa"/>
            <w:vAlign w:val="bottom"/>
          </w:tcPr>
          <w:p>
            <w:pPr>
              <w:spacing w:after="0"/>
              <w:rPr>
                <w:sz w:val="14"/>
                <w:szCs w:val="14"/>
                <w:color w:val="auto"/>
              </w:rPr>
            </w:pPr>
          </w:p>
        </w:tc>
        <w:tc>
          <w:tcPr>
            <w:tcW w:w="860" w:type="dxa"/>
            <w:vAlign w:val="bottom"/>
          </w:tcPr>
          <w:p>
            <w:pPr>
              <w:jc w:val="right"/>
              <w:spacing w:after="0"/>
              <w:rPr>
                <w:sz w:val="20"/>
                <w:szCs w:val="20"/>
                <w:color w:val="auto"/>
              </w:rPr>
            </w:pPr>
            <w:r>
              <w:rPr>
                <w:rFonts w:ascii="Arial" w:cs="Arial" w:eastAsia="Arial" w:hAnsi="Arial"/>
                <w:sz w:val="14"/>
                <w:szCs w:val="14"/>
                <w:color w:val="auto"/>
              </w:rPr>
              <w:t>-</w:t>
            </w:r>
          </w:p>
        </w:tc>
        <w:tc>
          <w:tcPr>
            <w:tcW w:w="220" w:type="dxa"/>
            <w:vAlign w:val="bottom"/>
          </w:tcPr>
          <w:p>
            <w:pPr>
              <w:spacing w:after="0"/>
              <w:rPr>
                <w:sz w:val="14"/>
                <w:szCs w:val="14"/>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41</w:t>
            </w:r>
          </w:p>
        </w:tc>
        <w:tc>
          <w:tcPr>
            <w:tcW w:w="220" w:type="dxa"/>
            <w:vAlign w:val="bottom"/>
          </w:tcPr>
          <w:p>
            <w:pPr>
              <w:spacing w:after="0"/>
              <w:rPr>
                <w:sz w:val="14"/>
                <w:szCs w:val="14"/>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w:t>
            </w:r>
          </w:p>
        </w:tc>
        <w:tc>
          <w:tcPr>
            <w:tcW w:w="220" w:type="dxa"/>
            <w:vAlign w:val="bottom"/>
          </w:tcPr>
          <w:p>
            <w:pPr>
              <w:spacing w:after="0"/>
              <w:rPr>
                <w:sz w:val="14"/>
                <w:szCs w:val="14"/>
                <w:color w:val="auto"/>
              </w:rPr>
            </w:pPr>
          </w:p>
        </w:tc>
        <w:tc>
          <w:tcPr>
            <w:tcW w:w="980" w:type="dxa"/>
            <w:vAlign w:val="bottom"/>
          </w:tcPr>
          <w:p>
            <w:pPr>
              <w:jc w:val="right"/>
              <w:spacing w:after="0"/>
              <w:rPr>
                <w:sz w:val="20"/>
                <w:szCs w:val="20"/>
                <w:color w:val="auto"/>
              </w:rPr>
            </w:pPr>
            <w:r>
              <w:rPr>
                <w:rFonts w:ascii="Arial" w:cs="Arial" w:eastAsia="Arial" w:hAnsi="Arial"/>
                <w:sz w:val="14"/>
                <w:szCs w:val="14"/>
                <w:color w:val="auto"/>
              </w:rPr>
              <w:t>-</w:t>
            </w:r>
          </w:p>
        </w:tc>
        <w:tc>
          <w:tcPr>
            <w:tcW w:w="1120" w:type="dxa"/>
            <w:vAlign w:val="bottom"/>
            <w:gridSpan w:val="2"/>
          </w:tcPr>
          <w:p>
            <w:pPr>
              <w:jc w:val="center"/>
              <w:ind w:left="133"/>
              <w:spacing w:after="0"/>
              <w:rPr>
                <w:sz w:val="20"/>
                <w:szCs w:val="20"/>
                <w:color w:val="auto"/>
              </w:rPr>
            </w:pPr>
            <w:r>
              <w:rPr>
                <w:rFonts w:ascii="Arial" w:cs="Arial" w:eastAsia="Arial" w:hAnsi="Arial"/>
                <w:sz w:val="14"/>
                <w:szCs w:val="14"/>
                <w:color w:val="auto"/>
                <w:w w:val="85"/>
              </w:rPr>
              <w:t>$590 - $870</w:t>
            </w:r>
          </w:p>
        </w:tc>
        <w:tc>
          <w:tcPr>
            <w:tcW w:w="0" w:type="dxa"/>
            <w:vAlign w:val="bottom"/>
          </w:tcPr>
          <w:p>
            <w:pPr>
              <w:spacing w:after="0"/>
              <w:rPr>
                <w:sz w:val="1"/>
                <w:szCs w:val="1"/>
                <w:color w:val="auto"/>
              </w:rPr>
            </w:pPr>
          </w:p>
        </w:tc>
      </w:tr>
      <w:tr>
        <w:trPr>
          <w:trHeight w:val="162"/>
        </w:trPr>
        <w:tc>
          <w:tcPr>
            <w:tcW w:w="4220" w:type="dxa"/>
            <w:vAlign w:val="bottom"/>
            <w:gridSpan w:val="2"/>
            <w:shd w:val="clear" w:color="auto" w:fill="CFF0FC"/>
          </w:tcPr>
          <w:p>
            <w:pPr>
              <w:ind w:left="380"/>
              <w:spacing w:after="0"/>
              <w:rPr>
                <w:sz w:val="20"/>
                <w:szCs w:val="20"/>
                <w:color w:val="auto"/>
              </w:rPr>
            </w:pPr>
            <w:r>
              <w:rPr>
                <w:rFonts w:ascii="Arial" w:cs="Arial" w:eastAsia="Arial" w:hAnsi="Arial"/>
                <w:sz w:val="14"/>
                <w:szCs w:val="14"/>
                <w:color w:val="auto"/>
              </w:rPr>
              <w:t>Hedgewood, Redmond</w:t>
            </w:r>
          </w:p>
        </w:tc>
        <w:tc>
          <w:tcPr>
            <w:tcW w:w="900" w:type="dxa"/>
            <w:vAlign w:val="bottom"/>
            <w:shd w:val="clear" w:color="auto" w:fill="CFF0FC"/>
          </w:tcPr>
          <w:p>
            <w:pPr>
              <w:jc w:val="center"/>
              <w:spacing w:after="0"/>
              <w:rPr>
                <w:sz w:val="20"/>
                <w:szCs w:val="20"/>
                <w:color w:val="auto"/>
              </w:rPr>
            </w:pPr>
            <w:r>
              <w:rPr>
                <w:rFonts w:ascii="Arial" w:cs="Arial" w:eastAsia="Arial" w:hAnsi="Arial"/>
                <w:sz w:val="14"/>
                <w:szCs w:val="14"/>
                <w:color w:val="auto"/>
                <w:w w:val="83"/>
              </w:rPr>
              <w:t>2015</w:t>
            </w:r>
          </w:p>
        </w:tc>
        <w:tc>
          <w:tcPr>
            <w:tcW w:w="120" w:type="dxa"/>
            <w:vAlign w:val="bottom"/>
            <w:shd w:val="clear" w:color="auto" w:fill="CFF0FC"/>
          </w:tcPr>
          <w:p>
            <w:pPr>
              <w:spacing w:after="0"/>
              <w:rPr>
                <w:sz w:val="14"/>
                <w:szCs w:val="14"/>
                <w:color w:val="auto"/>
              </w:rPr>
            </w:pPr>
          </w:p>
        </w:tc>
        <w:tc>
          <w:tcPr>
            <w:tcW w:w="7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11</w:t>
            </w:r>
          </w:p>
        </w:tc>
        <w:tc>
          <w:tcPr>
            <w:tcW w:w="220" w:type="dxa"/>
            <w:vAlign w:val="bottom"/>
            <w:shd w:val="clear" w:color="auto" w:fill="CFF0FC"/>
          </w:tcPr>
          <w:p>
            <w:pPr>
              <w:spacing w:after="0"/>
              <w:rPr>
                <w:sz w:val="14"/>
                <w:szCs w:val="14"/>
                <w:color w:val="auto"/>
              </w:rPr>
            </w:pPr>
          </w:p>
        </w:tc>
        <w:tc>
          <w:tcPr>
            <w:tcW w:w="860" w:type="dxa"/>
            <w:vAlign w:val="bottom"/>
            <w:shd w:val="clear" w:color="auto" w:fill="CFF0FC"/>
          </w:tcPr>
          <w:p>
            <w:pPr>
              <w:jc w:val="right"/>
              <w:spacing w:after="0"/>
              <w:rPr>
                <w:sz w:val="20"/>
                <w:szCs w:val="20"/>
                <w:color w:val="auto"/>
              </w:rPr>
            </w:pPr>
            <w:r>
              <w:rPr>
                <w:rFonts w:ascii="Arial" w:cs="Arial" w:eastAsia="Arial" w:hAnsi="Arial"/>
                <w:sz w:val="14"/>
                <w:szCs w:val="14"/>
                <w:color w:val="auto"/>
              </w:rPr>
              <w:t>-</w:t>
            </w:r>
          </w:p>
        </w:tc>
        <w:tc>
          <w:tcPr>
            <w:tcW w:w="220" w:type="dxa"/>
            <w:vAlign w:val="bottom"/>
            <w:shd w:val="clear" w:color="auto" w:fill="CFF0FC"/>
          </w:tcPr>
          <w:p>
            <w:pPr>
              <w:spacing w:after="0"/>
              <w:rPr>
                <w:sz w:val="14"/>
                <w:szCs w:val="14"/>
                <w:color w:val="auto"/>
              </w:rPr>
            </w:pPr>
          </w:p>
        </w:tc>
        <w:tc>
          <w:tcPr>
            <w:tcW w:w="7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11</w:t>
            </w:r>
          </w:p>
        </w:tc>
        <w:tc>
          <w:tcPr>
            <w:tcW w:w="220" w:type="dxa"/>
            <w:vAlign w:val="bottom"/>
            <w:shd w:val="clear" w:color="auto" w:fill="CFF0FC"/>
          </w:tcPr>
          <w:p>
            <w:pPr>
              <w:spacing w:after="0"/>
              <w:rPr>
                <w:sz w:val="14"/>
                <w:szCs w:val="14"/>
                <w:color w:val="auto"/>
              </w:rPr>
            </w:pPr>
          </w:p>
        </w:tc>
        <w:tc>
          <w:tcPr>
            <w:tcW w:w="7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w:t>
            </w:r>
          </w:p>
        </w:tc>
        <w:tc>
          <w:tcPr>
            <w:tcW w:w="220" w:type="dxa"/>
            <w:vAlign w:val="bottom"/>
            <w:shd w:val="clear" w:color="auto" w:fill="CFF0FC"/>
          </w:tcPr>
          <w:p>
            <w:pPr>
              <w:spacing w:after="0"/>
              <w:rPr>
                <w:sz w:val="14"/>
                <w:szCs w:val="14"/>
                <w:color w:val="auto"/>
              </w:rPr>
            </w:pPr>
          </w:p>
        </w:tc>
        <w:tc>
          <w:tcPr>
            <w:tcW w:w="9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w:t>
            </w:r>
          </w:p>
        </w:tc>
        <w:tc>
          <w:tcPr>
            <w:tcW w:w="1120" w:type="dxa"/>
            <w:vAlign w:val="bottom"/>
            <w:gridSpan w:val="2"/>
            <w:shd w:val="clear" w:color="auto" w:fill="CFF0FC"/>
          </w:tcPr>
          <w:p>
            <w:pPr>
              <w:jc w:val="center"/>
              <w:ind w:left="133"/>
              <w:spacing w:after="0"/>
              <w:rPr>
                <w:sz w:val="20"/>
                <w:szCs w:val="20"/>
                <w:color w:val="auto"/>
              </w:rPr>
            </w:pPr>
            <w:r>
              <w:rPr>
                <w:rFonts w:ascii="Arial" w:cs="Arial" w:eastAsia="Arial" w:hAnsi="Arial"/>
                <w:sz w:val="14"/>
                <w:szCs w:val="14"/>
                <w:color w:val="auto"/>
                <w:w w:val="85"/>
              </w:rPr>
              <w:t>$650 - $757</w:t>
            </w:r>
          </w:p>
        </w:tc>
        <w:tc>
          <w:tcPr>
            <w:tcW w:w="0" w:type="dxa"/>
            <w:vAlign w:val="bottom"/>
          </w:tcPr>
          <w:p>
            <w:pPr>
              <w:spacing w:after="0"/>
              <w:rPr>
                <w:sz w:val="1"/>
                <w:szCs w:val="1"/>
                <w:color w:val="auto"/>
              </w:rPr>
            </w:pPr>
          </w:p>
        </w:tc>
      </w:tr>
      <w:tr>
        <w:trPr>
          <w:trHeight w:val="162"/>
        </w:trPr>
        <w:tc>
          <w:tcPr>
            <w:tcW w:w="4220" w:type="dxa"/>
            <w:vAlign w:val="bottom"/>
            <w:gridSpan w:val="2"/>
          </w:tcPr>
          <w:p>
            <w:pPr>
              <w:ind w:left="380"/>
              <w:spacing w:after="0"/>
              <w:rPr>
                <w:sz w:val="20"/>
                <w:szCs w:val="20"/>
                <w:color w:val="auto"/>
              </w:rPr>
            </w:pPr>
            <w:r>
              <w:rPr>
                <w:rFonts w:ascii="Arial" w:cs="Arial" w:eastAsia="Arial" w:hAnsi="Arial"/>
                <w:sz w:val="14"/>
                <w:szCs w:val="14"/>
                <w:color w:val="auto"/>
              </w:rPr>
              <w:t>Grasslawn Estates, Redmond</w:t>
            </w:r>
          </w:p>
        </w:tc>
        <w:tc>
          <w:tcPr>
            <w:tcW w:w="900" w:type="dxa"/>
            <w:vAlign w:val="bottom"/>
          </w:tcPr>
          <w:p>
            <w:pPr>
              <w:jc w:val="center"/>
              <w:spacing w:after="0"/>
              <w:rPr>
                <w:sz w:val="20"/>
                <w:szCs w:val="20"/>
                <w:color w:val="auto"/>
              </w:rPr>
            </w:pPr>
            <w:r>
              <w:rPr>
                <w:rFonts w:ascii="Arial" w:cs="Arial" w:eastAsia="Arial" w:hAnsi="Arial"/>
                <w:sz w:val="14"/>
                <w:szCs w:val="14"/>
                <w:color w:val="auto"/>
                <w:w w:val="83"/>
              </w:rPr>
              <w:t>2015</w:t>
            </w:r>
          </w:p>
        </w:tc>
        <w:tc>
          <w:tcPr>
            <w:tcW w:w="120" w:type="dxa"/>
            <w:vAlign w:val="bottom"/>
          </w:tcPr>
          <w:p>
            <w:pPr>
              <w:spacing w:after="0"/>
              <w:rPr>
                <w:sz w:val="14"/>
                <w:szCs w:val="14"/>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4</w:t>
            </w:r>
          </w:p>
        </w:tc>
        <w:tc>
          <w:tcPr>
            <w:tcW w:w="220" w:type="dxa"/>
            <w:vAlign w:val="bottom"/>
          </w:tcPr>
          <w:p>
            <w:pPr>
              <w:spacing w:after="0"/>
              <w:rPr>
                <w:sz w:val="14"/>
                <w:szCs w:val="14"/>
                <w:color w:val="auto"/>
              </w:rPr>
            </w:pPr>
          </w:p>
        </w:tc>
        <w:tc>
          <w:tcPr>
            <w:tcW w:w="860" w:type="dxa"/>
            <w:vAlign w:val="bottom"/>
          </w:tcPr>
          <w:p>
            <w:pPr>
              <w:jc w:val="right"/>
              <w:spacing w:after="0"/>
              <w:rPr>
                <w:sz w:val="20"/>
                <w:szCs w:val="20"/>
                <w:color w:val="auto"/>
              </w:rPr>
            </w:pPr>
            <w:r>
              <w:rPr>
                <w:rFonts w:ascii="Arial" w:cs="Arial" w:eastAsia="Arial" w:hAnsi="Arial"/>
                <w:sz w:val="14"/>
                <w:szCs w:val="14"/>
                <w:color w:val="auto"/>
              </w:rPr>
              <w:t>-</w:t>
            </w:r>
          </w:p>
        </w:tc>
        <w:tc>
          <w:tcPr>
            <w:tcW w:w="220" w:type="dxa"/>
            <w:vAlign w:val="bottom"/>
          </w:tcPr>
          <w:p>
            <w:pPr>
              <w:spacing w:after="0"/>
              <w:rPr>
                <w:sz w:val="14"/>
                <w:szCs w:val="14"/>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4</w:t>
            </w:r>
          </w:p>
        </w:tc>
        <w:tc>
          <w:tcPr>
            <w:tcW w:w="220" w:type="dxa"/>
            <w:vAlign w:val="bottom"/>
          </w:tcPr>
          <w:p>
            <w:pPr>
              <w:spacing w:after="0"/>
              <w:rPr>
                <w:sz w:val="14"/>
                <w:szCs w:val="14"/>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w:t>
            </w:r>
          </w:p>
        </w:tc>
        <w:tc>
          <w:tcPr>
            <w:tcW w:w="220" w:type="dxa"/>
            <w:vAlign w:val="bottom"/>
          </w:tcPr>
          <w:p>
            <w:pPr>
              <w:spacing w:after="0"/>
              <w:rPr>
                <w:sz w:val="14"/>
                <w:szCs w:val="14"/>
                <w:color w:val="auto"/>
              </w:rPr>
            </w:pPr>
          </w:p>
        </w:tc>
        <w:tc>
          <w:tcPr>
            <w:tcW w:w="980" w:type="dxa"/>
            <w:vAlign w:val="bottom"/>
          </w:tcPr>
          <w:p>
            <w:pPr>
              <w:jc w:val="right"/>
              <w:spacing w:after="0"/>
              <w:rPr>
                <w:sz w:val="20"/>
                <w:szCs w:val="20"/>
                <w:color w:val="auto"/>
              </w:rPr>
            </w:pPr>
            <w:r>
              <w:rPr>
                <w:rFonts w:ascii="Arial" w:cs="Arial" w:eastAsia="Arial" w:hAnsi="Arial"/>
                <w:sz w:val="14"/>
                <w:szCs w:val="14"/>
                <w:color w:val="auto"/>
              </w:rPr>
              <w:t>-</w:t>
            </w:r>
          </w:p>
        </w:tc>
        <w:tc>
          <w:tcPr>
            <w:tcW w:w="1120" w:type="dxa"/>
            <w:vAlign w:val="bottom"/>
            <w:gridSpan w:val="2"/>
          </w:tcPr>
          <w:p>
            <w:pPr>
              <w:jc w:val="center"/>
              <w:ind w:left="133"/>
              <w:spacing w:after="0"/>
              <w:rPr>
                <w:sz w:val="20"/>
                <w:szCs w:val="20"/>
                <w:color w:val="auto"/>
              </w:rPr>
            </w:pPr>
            <w:r>
              <w:rPr>
                <w:rFonts w:ascii="Arial" w:cs="Arial" w:eastAsia="Arial" w:hAnsi="Arial"/>
                <w:sz w:val="14"/>
                <w:szCs w:val="14"/>
                <w:color w:val="auto"/>
                <w:w w:val="85"/>
              </w:rPr>
              <w:t>$930 - $985</w:t>
            </w:r>
          </w:p>
        </w:tc>
        <w:tc>
          <w:tcPr>
            <w:tcW w:w="0" w:type="dxa"/>
            <w:vAlign w:val="bottom"/>
          </w:tcPr>
          <w:p>
            <w:pPr>
              <w:spacing w:after="0"/>
              <w:rPr>
                <w:sz w:val="1"/>
                <w:szCs w:val="1"/>
                <w:color w:val="auto"/>
              </w:rPr>
            </w:pPr>
          </w:p>
        </w:tc>
      </w:tr>
      <w:tr>
        <w:trPr>
          <w:trHeight w:val="162"/>
        </w:trPr>
        <w:tc>
          <w:tcPr>
            <w:tcW w:w="4220" w:type="dxa"/>
            <w:vAlign w:val="bottom"/>
            <w:gridSpan w:val="2"/>
            <w:shd w:val="clear" w:color="auto" w:fill="CFF0FC"/>
          </w:tcPr>
          <w:p>
            <w:pPr>
              <w:ind w:left="380"/>
              <w:spacing w:after="0"/>
              <w:rPr>
                <w:sz w:val="20"/>
                <w:szCs w:val="20"/>
                <w:color w:val="auto"/>
              </w:rPr>
            </w:pPr>
            <w:r>
              <w:rPr>
                <w:rFonts w:ascii="Arial" w:cs="Arial" w:eastAsia="Arial" w:hAnsi="Arial"/>
                <w:sz w:val="14"/>
                <w:szCs w:val="14"/>
                <w:color w:val="auto"/>
              </w:rPr>
              <w:t>Vintner's Place, Kirkland</w:t>
            </w:r>
          </w:p>
        </w:tc>
        <w:tc>
          <w:tcPr>
            <w:tcW w:w="900" w:type="dxa"/>
            <w:vAlign w:val="bottom"/>
            <w:shd w:val="clear" w:color="auto" w:fill="CFF0FC"/>
          </w:tcPr>
          <w:p>
            <w:pPr>
              <w:jc w:val="center"/>
              <w:spacing w:after="0"/>
              <w:rPr>
                <w:sz w:val="20"/>
                <w:szCs w:val="20"/>
                <w:color w:val="auto"/>
              </w:rPr>
            </w:pPr>
            <w:r>
              <w:rPr>
                <w:rFonts w:ascii="Arial" w:cs="Arial" w:eastAsia="Arial" w:hAnsi="Arial"/>
                <w:sz w:val="14"/>
                <w:szCs w:val="14"/>
                <w:color w:val="auto"/>
                <w:w w:val="83"/>
              </w:rPr>
              <w:t>2016</w:t>
            </w:r>
          </w:p>
        </w:tc>
        <w:tc>
          <w:tcPr>
            <w:tcW w:w="120" w:type="dxa"/>
            <w:vAlign w:val="bottom"/>
            <w:shd w:val="clear" w:color="auto" w:fill="CFF0FC"/>
          </w:tcPr>
          <w:p>
            <w:pPr>
              <w:spacing w:after="0"/>
              <w:rPr>
                <w:sz w:val="14"/>
                <w:szCs w:val="14"/>
                <w:color w:val="auto"/>
              </w:rPr>
            </w:pPr>
          </w:p>
        </w:tc>
        <w:tc>
          <w:tcPr>
            <w:tcW w:w="7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35</w:t>
            </w:r>
          </w:p>
        </w:tc>
        <w:tc>
          <w:tcPr>
            <w:tcW w:w="220" w:type="dxa"/>
            <w:vAlign w:val="bottom"/>
            <w:shd w:val="clear" w:color="auto" w:fill="CFF0FC"/>
          </w:tcPr>
          <w:p>
            <w:pPr>
              <w:spacing w:after="0"/>
              <w:rPr>
                <w:sz w:val="14"/>
                <w:szCs w:val="14"/>
                <w:color w:val="auto"/>
              </w:rPr>
            </w:pPr>
          </w:p>
        </w:tc>
        <w:tc>
          <w:tcPr>
            <w:tcW w:w="860" w:type="dxa"/>
            <w:vAlign w:val="bottom"/>
            <w:shd w:val="clear" w:color="auto" w:fill="CFF0FC"/>
          </w:tcPr>
          <w:p>
            <w:pPr>
              <w:jc w:val="right"/>
              <w:spacing w:after="0"/>
              <w:rPr>
                <w:sz w:val="20"/>
                <w:szCs w:val="20"/>
                <w:color w:val="auto"/>
              </w:rPr>
            </w:pPr>
            <w:r>
              <w:rPr>
                <w:rFonts w:ascii="Arial" w:cs="Arial" w:eastAsia="Arial" w:hAnsi="Arial"/>
                <w:sz w:val="14"/>
                <w:szCs w:val="14"/>
                <w:color w:val="auto"/>
              </w:rPr>
              <w:t>-</w:t>
            </w:r>
          </w:p>
        </w:tc>
        <w:tc>
          <w:tcPr>
            <w:tcW w:w="220" w:type="dxa"/>
            <w:vAlign w:val="bottom"/>
            <w:shd w:val="clear" w:color="auto" w:fill="CFF0FC"/>
          </w:tcPr>
          <w:p>
            <w:pPr>
              <w:spacing w:after="0"/>
              <w:rPr>
                <w:sz w:val="14"/>
                <w:szCs w:val="14"/>
                <w:color w:val="auto"/>
              </w:rPr>
            </w:pPr>
          </w:p>
        </w:tc>
        <w:tc>
          <w:tcPr>
            <w:tcW w:w="7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35</w:t>
            </w:r>
          </w:p>
        </w:tc>
        <w:tc>
          <w:tcPr>
            <w:tcW w:w="220" w:type="dxa"/>
            <w:vAlign w:val="bottom"/>
            <w:shd w:val="clear" w:color="auto" w:fill="CFF0FC"/>
          </w:tcPr>
          <w:p>
            <w:pPr>
              <w:spacing w:after="0"/>
              <w:rPr>
                <w:sz w:val="14"/>
                <w:szCs w:val="14"/>
                <w:color w:val="auto"/>
              </w:rPr>
            </w:pPr>
          </w:p>
        </w:tc>
        <w:tc>
          <w:tcPr>
            <w:tcW w:w="7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w:t>
            </w:r>
          </w:p>
        </w:tc>
        <w:tc>
          <w:tcPr>
            <w:tcW w:w="220" w:type="dxa"/>
            <w:vAlign w:val="bottom"/>
            <w:shd w:val="clear" w:color="auto" w:fill="CFF0FC"/>
          </w:tcPr>
          <w:p>
            <w:pPr>
              <w:spacing w:after="0"/>
              <w:rPr>
                <w:sz w:val="14"/>
                <w:szCs w:val="14"/>
                <w:color w:val="auto"/>
              </w:rPr>
            </w:pPr>
          </w:p>
        </w:tc>
        <w:tc>
          <w:tcPr>
            <w:tcW w:w="9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w:t>
            </w:r>
          </w:p>
        </w:tc>
        <w:tc>
          <w:tcPr>
            <w:tcW w:w="1120" w:type="dxa"/>
            <w:vAlign w:val="bottom"/>
            <w:gridSpan w:val="2"/>
            <w:shd w:val="clear" w:color="auto" w:fill="CFF0FC"/>
          </w:tcPr>
          <w:p>
            <w:pPr>
              <w:jc w:val="center"/>
              <w:ind w:left="153"/>
              <w:spacing w:after="0"/>
              <w:rPr>
                <w:sz w:val="20"/>
                <w:szCs w:val="20"/>
                <w:color w:val="auto"/>
              </w:rPr>
            </w:pPr>
            <w:r>
              <w:rPr>
                <w:rFonts w:ascii="Arial" w:cs="Arial" w:eastAsia="Arial" w:hAnsi="Arial"/>
                <w:sz w:val="14"/>
                <w:szCs w:val="14"/>
                <w:color w:val="auto"/>
                <w:w w:val="87"/>
              </w:rPr>
              <w:t>$610- $780</w:t>
            </w:r>
          </w:p>
        </w:tc>
        <w:tc>
          <w:tcPr>
            <w:tcW w:w="0" w:type="dxa"/>
            <w:vAlign w:val="bottom"/>
          </w:tcPr>
          <w:p>
            <w:pPr>
              <w:spacing w:after="0"/>
              <w:rPr>
                <w:sz w:val="1"/>
                <w:szCs w:val="1"/>
                <w:color w:val="auto"/>
              </w:rPr>
            </w:pPr>
          </w:p>
        </w:tc>
      </w:tr>
      <w:tr>
        <w:trPr>
          <w:trHeight w:val="162"/>
        </w:trPr>
        <w:tc>
          <w:tcPr>
            <w:tcW w:w="4220" w:type="dxa"/>
            <w:vAlign w:val="bottom"/>
            <w:gridSpan w:val="2"/>
          </w:tcPr>
          <w:p>
            <w:pPr>
              <w:ind w:left="380"/>
              <w:spacing w:after="0"/>
              <w:rPr>
                <w:sz w:val="20"/>
                <w:szCs w:val="20"/>
                <w:color w:val="auto"/>
              </w:rPr>
            </w:pPr>
            <w:r>
              <w:rPr>
                <w:rFonts w:ascii="Arial" w:cs="Arial" w:eastAsia="Arial" w:hAnsi="Arial"/>
                <w:sz w:val="14"/>
                <w:szCs w:val="14"/>
                <w:color w:val="auto"/>
              </w:rPr>
              <w:t>English Landing, Redmond</w:t>
            </w:r>
          </w:p>
        </w:tc>
        <w:tc>
          <w:tcPr>
            <w:tcW w:w="900" w:type="dxa"/>
            <w:vAlign w:val="bottom"/>
          </w:tcPr>
          <w:p>
            <w:pPr>
              <w:jc w:val="center"/>
              <w:spacing w:after="0"/>
              <w:rPr>
                <w:sz w:val="20"/>
                <w:szCs w:val="20"/>
                <w:color w:val="auto"/>
              </w:rPr>
            </w:pPr>
            <w:r>
              <w:rPr>
                <w:rFonts w:ascii="Arial" w:cs="Arial" w:eastAsia="Arial" w:hAnsi="Arial"/>
                <w:sz w:val="14"/>
                <w:szCs w:val="14"/>
                <w:color w:val="auto"/>
                <w:w w:val="83"/>
              </w:rPr>
              <w:t>2016</w:t>
            </w:r>
          </w:p>
        </w:tc>
        <w:tc>
          <w:tcPr>
            <w:tcW w:w="120" w:type="dxa"/>
            <w:vAlign w:val="bottom"/>
          </w:tcPr>
          <w:p>
            <w:pPr>
              <w:spacing w:after="0"/>
              <w:rPr>
                <w:sz w:val="14"/>
                <w:szCs w:val="14"/>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15</w:t>
            </w:r>
          </w:p>
        </w:tc>
        <w:tc>
          <w:tcPr>
            <w:tcW w:w="220" w:type="dxa"/>
            <w:vAlign w:val="bottom"/>
          </w:tcPr>
          <w:p>
            <w:pPr>
              <w:spacing w:after="0"/>
              <w:rPr>
                <w:sz w:val="14"/>
                <w:szCs w:val="14"/>
                <w:color w:val="auto"/>
              </w:rPr>
            </w:pPr>
          </w:p>
        </w:tc>
        <w:tc>
          <w:tcPr>
            <w:tcW w:w="860" w:type="dxa"/>
            <w:vAlign w:val="bottom"/>
          </w:tcPr>
          <w:p>
            <w:pPr>
              <w:jc w:val="right"/>
              <w:spacing w:after="0"/>
              <w:rPr>
                <w:sz w:val="20"/>
                <w:szCs w:val="20"/>
                <w:color w:val="auto"/>
              </w:rPr>
            </w:pPr>
            <w:r>
              <w:rPr>
                <w:rFonts w:ascii="Arial" w:cs="Arial" w:eastAsia="Arial" w:hAnsi="Arial"/>
                <w:sz w:val="14"/>
                <w:szCs w:val="14"/>
                <w:color w:val="auto"/>
              </w:rPr>
              <w:t>-</w:t>
            </w:r>
          </w:p>
        </w:tc>
        <w:tc>
          <w:tcPr>
            <w:tcW w:w="220" w:type="dxa"/>
            <w:vAlign w:val="bottom"/>
          </w:tcPr>
          <w:p>
            <w:pPr>
              <w:spacing w:after="0"/>
              <w:rPr>
                <w:sz w:val="14"/>
                <w:szCs w:val="14"/>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15</w:t>
            </w:r>
          </w:p>
        </w:tc>
        <w:tc>
          <w:tcPr>
            <w:tcW w:w="220" w:type="dxa"/>
            <w:vAlign w:val="bottom"/>
          </w:tcPr>
          <w:p>
            <w:pPr>
              <w:spacing w:after="0"/>
              <w:rPr>
                <w:sz w:val="14"/>
                <w:szCs w:val="14"/>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w:t>
            </w:r>
          </w:p>
        </w:tc>
        <w:tc>
          <w:tcPr>
            <w:tcW w:w="220" w:type="dxa"/>
            <w:vAlign w:val="bottom"/>
          </w:tcPr>
          <w:p>
            <w:pPr>
              <w:spacing w:after="0"/>
              <w:rPr>
                <w:sz w:val="14"/>
                <w:szCs w:val="14"/>
                <w:color w:val="auto"/>
              </w:rPr>
            </w:pPr>
          </w:p>
        </w:tc>
        <w:tc>
          <w:tcPr>
            <w:tcW w:w="980" w:type="dxa"/>
            <w:vAlign w:val="bottom"/>
          </w:tcPr>
          <w:p>
            <w:pPr>
              <w:jc w:val="right"/>
              <w:spacing w:after="0"/>
              <w:rPr>
                <w:sz w:val="20"/>
                <w:szCs w:val="20"/>
                <w:color w:val="auto"/>
              </w:rPr>
            </w:pPr>
            <w:r>
              <w:rPr>
                <w:rFonts w:ascii="Arial" w:cs="Arial" w:eastAsia="Arial" w:hAnsi="Arial"/>
                <w:sz w:val="14"/>
                <w:szCs w:val="14"/>
                <w:color w:val="auto"/>
              </w:rPr>
              <w:t>-</w:t>
            </w:r>
          </w:p>
        </w:tc>
        <w:tc>
          <w:tcPr>
            <w:tcW w:w="1120" w:type="dxa"/>
            <w:vAlign w:val="bottom"/>
            <w:gridSpan w:val="2"/>
          </w:tcPr>
          <w:p>
            <w:pPr>
              <w:jc w:val="center"/>
              <w:ind w:left="133"/>
              <w:spacing w:after="0"/>
              <w:rPr>
                <w:sz w:val="20"/>
                <w:szCs w:val="20"/>
                <w:color w:val="auto"/>
              </w:rPr>
            </w:pPr>
            <w:r>
              <w:rPr>
                <w:rFonts w:ascii="Arial" w:cs="Arial" w:eastAsia="Arial" w:hAnsi="Arial"/>
                <w:sz w:val="14"/>
                <w:szCs w:val="14"/>
                <w:color w:val="auto"/>
                <w:w w:val="85"/>
              </w:rPr>
              <w:t>$730 - $810</w:t>
            </w:r>
          </w:p>
        </w:tc>
        <w:tc>
          <w:tcPr>
            <w:tcW w:w="0" w:type="dxa"/>
            <w:vAlign w:val="bottom"/>
          </w:tcPr>
          <w:p>
            <w:pPr>
              <w:spacing w:after="0"/>
              <w:rPr>
                <w:sz w:val="1"/>
                <w:szCs w:val="1"/>
                <w:color w:val="auto"/>
              </w:rPr>
            </w:pPr>
          </w:p>
        </w:tc>
      </w:tr>
      <w:tr>
        <w:trPr>
          <w:trHeight w:val="162"/>
        </w:trPr>
        <w:tc>
          <w:tcPr>
            <w:tcW w:w="4220" w:type="dxa"/>
            <w:vAlign w:val="bottom"/>
            <w:gridSpan w:val="2"/>
            <w:shd w:val="clear" w:color="auto" w:fill="CFF0FC"/>
          </w:tcPr>
          <w:p>
            <w:pPr>
              <w:ind w:left="380"/>
              <w:spacing w:after="0"/>
              <w:rPr>
                <w:sz w:val="20"/>
                <w:szCs w:val="20"/>
                <w:color w:val="auto"/>
              </w:rPr>
            </w:pPr>
            <w:r>
              <w:rPr>
                <w:rFonts w:ascii="Arial" w:cs="Arial" w:eastAsia="Arial" w:hAnsi="Arial"/>
                <w:sz w:val="14"/>
                <w:szCs w:val="14"/>
                <w:color w:val="auto"/>
              </w:rPr>
              <w:t>Trailside, Redmond</w:t>
            </w:r>
          </w:p>
        </w:tc>
        <w:tc>
          <w:tcPr>
            <w:tcW w:w="900" w:type="dxa"/>
            <w:vAlign w:val="bottom"/>
            <w:shd w:val="clear" w:color="auto" w:fill="CFF0FC"/>
          </w:tcPr>
          <w:p>
            <w:pPr>
              <w:jc w:val="center"/>
              <w:spacing w:after="0"/>
              <w:rPr>
                <w:sz w:val="20"/>
                <w:szCs w:val="20"/>
                <w:color w:val="auto"/>
              </w:rPr>
            </w:pPr>
            <w:r>
              <w:rPr>
                <w:rFonts w:ascii="Arial" w:cs="Arial" w:eastAsia="Arial" w:hAnsi="Arial"/>
                <w:sz w:val="14"/>
                <w:szCs w:val="14"/>
                <w:color w:val="auto"/>
                <w:w w:val="83"/>
              </w:rPr>
              <w:t>2016</w:t>
            </w:r>
          </w:p>
        </w:tc>
        <w:tc>
          <w:tcPr>
            <w:tcW w:w="120" w:type="dxa"/>
            <w:vAlign w:val="bottom"/>
            <w:shd w:val="clear" w:color="auto" w:fill="CFF0FC"/>
          </w:tcPr>
          <w:p>
            <w:pPr>
              <w:spacing w:after="0"/>
              <w:rPr>
                <w:sz w:val="14"/>
                <w:szCs w:val="14"/>
                <w:color w:val="auto"/>
              </w:rPr>
            </w:pPr>
          </w:p>
        </w:tc>
        <w:tc>
          <w:tcPr>
            <w:tcW w:w="7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9</w:t>
            </w:r>
          </w:p>
        </w:tc>
        <w:tc>
          <w:tcPr>
            <w:tcW w:w="220" w:type="dxa"/>
            <w:vAlign w:val="bottom"/>
            <w:shd w:val="clear" w:color="auto" w:fill="CFF0FC"/>
          </w:tcPr>
          <w:p>
            <w:pPr>
              <w:spacing w:after="0"/>
              <w:rPr>
                <w:sz w:val="14"/>
                <w:szCs w:val="14"/>
                <w:color w:val="auto"/>
              </w:rPr>
            </w:pPr>
          </w:p>
        </w:tc>
        <w:tc>
          <w:tcPr>
            <w:tcW w:w="860" w:type="dxa"/>
            <w:vAlign w:val="bottom"/>
            <w:shd w:val="clear" w:color="auto" w:fill="CFF0FC"/>
          </w:tcPr>
          <w:p>
            <w:pPr>
              <w:jc w:val="right"/>
              <w:spacing w:after="0"/>
              <w:rPr>
                <w:sz w:val="20"/>
                <w:szCs w:val="20"/>
                <w:color w:val="auto"/>
              </w:rPr>
            </w:pPr>
            <w:r>
              <w:rPr>
                <w:rFonts w:ascii="Arial" w:cs="Arial" w:eastAsia="Arial" w:hAnsi="Arial"/>
                <w:sz w:val="14"/>
                <w:szCs w:val="14"/>
                <w:color w:val="auto"/>
              </w:rPr>
              <w:t>-</w:t>
            </w:r>
          </w:p>
        </w:tc>
        <w:tc>
          <w:tcPr>
            <w:tcW w:w="220" w:type="dxa"/>
            <w:vAlign w:val="bottom"/>
            <w:shd w:val="clear" w:color="auto" w:fill="CFF0FC"/>
          </w:tcPr>
          <w:p>
            <w:pPr>
              <w:spacing w:after="0"/>
              <w:rPr>
                <w:sz w:val="14"/>
                <w:szCs w:val="14"/>
                <w:color w:val="auto"/>
              </w:rPr>
            </w:pPr>
          </w:p>
        </w:tc>
        <w:tc>
          <w:tcPr>
            <w:tcW w:w="7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9</w:t>
            </w:r>
          </w:p>
        </w:tc>
        <w:tc>
          <w:tcPr>
            <w:tcW w:w="220" w:type="dxa"/>
            <w:vAlign w:val="bottom"/>
            <w:shd w:val="clear" w:color="auto" w:fill="CFF0FC"/>
          </w:tcPr>
          <w:p>
            <w:pPr>
              <w:spacing w:after="0"/>
              <w:rPr>
                <w:sz w:val="14"/>
                <w:szCs w:val="14"/>
                <w:color w:val="auto"/>
              </w:rPr>
            </w:pPr>
          </w:p>
        </w:tc>
        <w:tc>
          <w:tcPr>
            <w:tcW w:w="7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w:t>
            </w:r>
          </w:p>
        </w:tc>
        <w:tc>
          <w:tcPr>
            <w:tcW w:w="220" w:type="dxa"/>
            <w:vAlign w:val="bottom"/>
            <w:shd w:val="clear" w:color="auto" w:fill="CFF0FC"/>
          </w:tcPr>
          <w:p>
            <w:pPr>
              <w:spacing w:after="0"/>
              <w:rPr>
                <w:sz w:val="14"/>
                <w:szCs w:val="14"/>
                <w:color w:val="auto"/>
              </w:rPr>
            </w:pPr>
          </w:p>
        </w:tc>
        <w:tc>
          <w:tcPr>
            <w:tcW w:w="9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w:t>
            </w:r>
          </w:p>
        </w:tc>
        <w:tc>
          <w:tcPr>
            <w:tcW w:w="1120" w:type="dxa"/>
            <w:vAlign w:val="bottom"/>
            <w:gridSpan w:val="2"/>
            <w:shd w:val="clear" w:color="auto" w:fill="CFF0FC"/>
          </w:tcPr>
          <w:p>
            <w:pPr>
              <w:jc w:val="center"/>
              <w:ind w:left="133"/>
              <w:spacing w:after="0"/>
              <w:rPr>
                <w:sz w:val="20"/>
                <w:szCs w:val="20"/>
                <w:color w:val="auto"/>
              </w:rPr>
            </w:pPr>
            <w:r>
              <w:rPr>
                <w:rFonts w:ascii="Arial" w:cs="Arial" w:eastAsia="Arial" w:hAnsi="Arial"/>
                <w:sz w:val="14"/>
                <w:szCs w:val="14"/>
                <w:color w:val="auto"/>
                <w:w w:val="85"/>
              </w:rPr>
              <w:t>$686 - $735</w:t>
            </w:r>
          </w:p>
        </w:tc>
        <w:tc>
          <w:tcPr>
            <w:tcW w:w="0" w:type="dxa"/>
            <w:vAlign w:val="bottom"/>
          </w:tcPr>
          <w:p>
            <w:pPr>
              <w:spacing w:after="0"/>
              <w:rPr>
                <w:sz w:val="1"/>
                <w:szCs w:val="1"/>
                <w:color w:val="auto"/>
              </w:rPr>
            </w:pPr>
          </w:p>
        </w:tc>
      </w:tr>
      <w:tr>
        <w:trPr>
          <w:trHeight w:val="162"/>
        </w:trPr>
        <w:tc>
          <w:tcPr>
            <w:tcW w:w="4220" w:type="dxa"/>
            <w:vAlign w:val="bottom"/>
            <w:gridSpan w:val="2"/>
          </w:tcPr>
          <w:p>
            <w:pPr>
              <w:ind w:left="380"/>
              <w:spacing w:after="0"/>
              <w:rPr>
                <w:sz w:val="20"/>
                <w:szCs w:val="20"/>
                <w:color w:val="auto"/>
              </w:rPr>
            </w:pPr>
            <w:r>
              <w:rPr>
                <w:rFonts w:ascii="Arial" w:cs="Arial" w:eastAsia="Arial" w:hAnsi="Arial"/>
                <w:sz w:val="14"/>
                <w:szCs w:val="14"/>
                <w:color w:val="auto"/>
              </w:rPr>
              <w:t>Copperwood, Renton</w:t>
            </w:r>
          </w:p>
        </w:tc>
        <w:tc>
          <w:tcPr>
            <w:tcW w:w="900" w:type="dxa"/>
            <w:vAlign w:val="bottom"/>
          </w:tcPr>
          <w:p>
            <w:pPr>
              <w:jc w:val="center"/>
              <w:spacing w:after="0"/>
              <w:rPr>
                <w:sz w:val="20"/>
                <w:szCs w:val="20"/>
                <w:color w:val="auto"/>
              </w:rPr>
            </w:pPr>
            <w:r>
              <w:rPr>
                <w:rFonts w:ascii="Arial" w:cs="Arial" w:eastAsia="Arial" w:hAnsi="Arial"/>
                <w:sz w:val="14"/>
                <w:szCs w:val="14"/>
                <w:color w:val="auto"/>
                <w:w w:val="83"/>
              </w:rPr>
              <w:t>2016</w:t>
            </w:r>
          </w:p>
        </w:tc>
        <w:tc>
          <w:tcPr>
            <w:tcW w:w="120" w:type="dxa"/>
            <w:vAlign w:val="bottom"/>
          </w:tcPr>
          <w:p>
            <w:pPr>
              <w:spacing w:after="0"/>
              <w:rPr>
                <w:sz w:val="14"/>
                <w:szCs w:val="14"/>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46</w:t>
            </w:r>
          </w:p>
        </w:tc>
        <w:tc>
          <w:tcPr>
            <w:tcW w:w="220" w:type="dxa"/>
            <w:vAlign w:val="bottom"/>
          </w:tcPr>
          <w:p>
            <w:pPr>
              <w:spacing w:after="0"/>
              <w:rPr>
                <w:sz w:val="14"/>
                <w:szCs w:val="14"/>
                <w:color w:val="auto"/>
              </w:rPr>
            </w:pPr>
          </w:p>
        </w:tc>
        <w:tc>
          <w:tcPr>
            <w:tcW w:w="860" w:type="dxa"/>
            <w:vAlign w:val="bottom"/>
          </w:tcPr>
          <w:p>
            <w:pPr>
              <w:jc w:val="right"/>
              <w:spacing w:after="0"/>
              <w:rPr>
                <w:sz w:val="20"/>
                <w:szCs w:val="20"/>
                <w:color w:val="auto"/>
              </w:rPr>
            </w:pPr>
            <w:r>
              <w:rPr>
                <w:rFonts w:ascii="Arial" w:cs="Arial" w:eastAsia="Arial" w:hAnsi="Arial"/>
                <w:sz w:val="14"/>
                <w:szCs w:val="14"/>
                <w:color w:val="auto"/>
              </w:rPr>
              <w:t>-</w:t>
            </w:r>
          </w:p>
        </w:tc>
        <w:tc>
          <w:tcPr>
            <w:tcW w:w="220" w:type="dxa"/>
            <w:vAlign w:val="bottom"/>
          </w:tcPr>
          <w:p>
            <w:pPr>
              <w:spacing w:after="0"/>
              <w:rPr>
                <w:sz w:val="14"/>
                <w:szCs w:val="14"/>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46</w:t>
            </w:r>
          </w:p>
        </w:tc>
        <w:tc>
          <w:tcPr>
            <w:tcW w:w="220" w:type="dxa"/>
            <w:vAlign w:val="bottom"/>
          </w:tcPr>
          <w:p>
            <w:pPr>
              <w:spacing w:after="0"/>
              <w:rPr>
                <w:sz w:val="14"/>
                <w:szCs w:val="14"/>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w:t>
            </w:r>
          </w:p>
        </w:tc>
        <w:tc>
          <w:tcPr>
            <w:tcW w:w="220" w:type="dxa"/>
            <w:vAlign w:val="bottom"/>
          </w:tcPr>
          <w:p>
            <w:pPr>
              <w:spacing w:after="0"/>
              <w:rPr>
                <w:sz w:val="14"/>
                <w:szCs w:val="14"/>
                <w:color w:val="auto"/>
              </w:rPr>
            </w:pPr>
          </w:p>
        </w:tc>
        <w:tc>
          <w:tcPr>
            <w:tcW w:w="980" w:type="dxa"/>
            <w:vAlign w:val="bottom"/>
          </w:tcPr>
          <w:p>
            <w:pPr>
              <w:jc w:val="right"/>
              <w:spacing w:after="0"/>
              <w:rPr>
                <w:sz w:val="20"/>
                <w:szCs w:val="20"/>
                <w:color w:val="auto"/>
              </w:rPr>
            </w:pPr>
            <w:r>
              <w:rPr>
                <w:rFonts w:ascii="Arial" w:cs="Arial" w:eastAsia="Arial" w:hAnsi="Arial"/>
                <w:sz w:val="14"/>
                <w:szCs w:val="14"/>
                <w:color w:val="auto"/>
              </w:rPr>
              <w:t>-</w:t>
            </w:r>
          </w:p>
        </w:tc>
        <w:tc>
          <w:tcPr>
            <w:tcW w:w="1120" w:type="dxa"/>
            <w:vAlign w:val="bottom"/>
            <w:gridSpan w:val="2"/>
          </w:tcPr>
          <w:p>
            <w:pPr>
              <w:jc w:val="center"/>
              <w:ind w:left="133"/>
              <w:spacing w:after="0"/>
              <w:rPr>
                <w:sz w:val="20"/>
                <w:szCs w:val="20"/>
                <w:color w:val="auto"/>
              </w:rPr>
            </w:pPr>
            <w:r>
              <w:rPr>
                <w:rFonts w:ascii="Arial" w:cs="Arial" w:eastAsia="Arial" w:hAnsi="Arial"/>
                <w:sz w:val="14"/>
                <w:szCs w:val="14"/>
                <w:color w:val="auto"/>
                <w:w w:val="85"/>
              </w:rPr>
              <w:t>$520 - $626</w:t>
            </w:r>
          </w:p>
        </w:tc>
        <w:tc>
          <w:tcPr>
            <w:tcW w:w="0" w:type="dxa"/>
            <w:vAlign w:val="bottom"/>
          </w:tcPr>
          <w:p>
            <w:pPr>
              <w:spacing w:after="0"/>
              <w:rPr>
                <w:sz w:val="1"/>
                <w:szCs w:val="1"/>
                <w:color w:val="auto"/>
              </w:rPr>
            </w:pPr>
          </w:p>
        </w:tc>
      </w:tr>
      <w:tr>
        <w:trPr>
          <w:trHeight w:val="162"/>
        </w:trPr>
        <w:tc>
          <w:tcPr>
            <w:tcW w:w="4220" w:type="dxa"/>
            <w:vAlign w:val="bottom"/>
            <w:gridSpan w:val="2"/>
            <w:shd w:val="clear" w:color="auto" w:fill="CFF0FC"/>
          </w:tcPr>
          <w:p>
            <w:pPr>
              <w:ind w:left="380"/>
              <w:spacing w:after="0"/>
              <w:rPr>
                <w:sz w:val="20"/>
                <w:szCs w:val="20"/>
                <w:color w:val="auto"/>
              </w:rPr>
            </w:pPr>
            <w:r>
              <w:rPr>
                <w:rFonts w:ascii="Arial" w:cs="Arial" w:eastAsia="Arial" w:hAnsi="Arial"/>
                <w:sz w:val="14"/>
                <w:szCs w:val="14"/>
                <w:color w:val="auto"/>
              </w:rPr>
              <w:t>Parkwood Terrace, Woodinville</w:t>
            </w:r>
          </w:p>
        </w:tc>
        <w:tc>
          <w:tcPr>
            <w:tcW w:w="900" w:type="dxa"/>
            <w:vAlign w:val="bottom"/>
            <w:shd w:val="clear" w:color="auto" w:fill="CFF0FC"/>
          </w:tcPr>
          <w:p>
            <w:pPr>
              <w:jc w:val="center"/>
              <w:spacing w:after="0"/>
              <w:rPr>
                <w:sz w:val="20"/>
                <w:szCs w:val="20"/>
                <w:color w:val="auto"/>
              </w:rPr>
            </w:pPr>
            <w:r>
              <w:rPr>
                <w:rFonts w:ascii="Arial" w:cs="Arial" w:eastAsia="Arial" w:hAnsi="Arial"/>
                <w:sz w:val="14"/>
                <w:szCs w:val="14"/>
                <w:color w:val="auto"/>
                <w:w w:val="83"/>
              </w:rPr>
              <w:t>2016</w:t>
            </w:r>
          </w:p>
        </w:tc>
        <w:tc>
          <w:tcPr>
            <w:tcW w:w="120" w:type="dxa"/>
            <w:vAlign w:val="bottom"/>
            <w:shd w:val="clear" w:color="auto" w:fill="CFF0FC"/>
          </w:tcPr>
          <w:p>
            <w:pPr>
              <w:spacing w:after="0"/>
              <w:rPr>
                <w:sz w:val="14"/>
                <w:szCs w:val="14"/>
                <w:color w:val="auto"/>
              </w:rPr>
            </w:pPr>
          </w:p>
        </w:tc>
        <w:tc>
          <w:tcPr>
            <w:tcW w:w="7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15</w:t>
            </w:r>
          </w:p>
        </w:tc>
        <w:tc>
          <w:tcPr>
            <w:tcW w:w="220" w:type="dxa"/>
            <w:vAlign w:val="bottom"/>
            <w:shd w:val="clear" w:color="auto" w:fill="CFF0FC"/>
          </w:tcPr>
          <w:p>
            <w:pPr>
              <w:spacing w:after="0"/>
              <w:rPr>
                <w:sz w:val="14"/>
                <w:szCs w:val="14"/>
                <w:color w:val="auto"/>
              </w:rPr>
            </w:pPr>
          </w:p>
        </w:tc>
        <w:tc>
          <w:tcPr>
            <w:tcW w:w="860" w:type="dxa"/>
            <w:vAlign w:val="bottom"/>
            <w:shd w:val="clear" w:color="auto" w:fill="CFF0FC"/>
          </w:tcPr>
          <w:p>
            <w:pPr>
              <w:jc w:val="right"/>
              <w:spacing w:after="0"/>
              <w:rPr>
                <w:sz w:val="20"/>
                <w:szCs w:val="20"/>
                <w:color w:val="auto"/>
              </w:rPr>
            </w:pPr>
            <w:r>
              <w:rPr>
                <w:rFonts w:ascii="Arial" w:cs="Arial" w:eastAsia="Arial" w:hAnsi="Arial"/>
                <w:sz w:val="14"/>
                <w:szCs w:val="14"/>
                <w:color w:val="auto"/>
              </w:rPr>
              <w:t>-</w:t>
            </w:r>
          </w:p>
        </w:tc>
        <w:tc>
          <w:tcPr>
            <w:tcW w:w="220" w:type="dxa"/>
            <w:vAlign w:val="bottom"/>
            <w:shd w:val="clear" w:color="auto" w:fill="CFF0FC"/>
          </w:tcPr>
          <w:p>
            <w:pPr>
              <w:spacing w:after="0"/>
              <w:rPr>
                <w:sz w:val="14"/>
                <w:szCs w:val="14"/>
                <w:color w:val="auto"/>
              </w:rPr>
            </w:pPr>
          </w:p>
        </w:tc>
        <w:tc>
          <w:tcPr>
            <w:tcW w:w="7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6</w:t>
            </w:r>
          </w:p>
        </w:tc>
        <w:tc>
          <w:tcPr>
            <w:tcW w:w="220" w:type="dxa"/>
            <w:vAlign w:val="bottom"/>
            <w:shd w:val="clear" w:color="auto" w:fill="CFF0FC"/>
          </w:tcPr>
          <w:p>
            <w:pPr>
              <w:spacing w:after="0"/>
              <w:rPr>
                <w:sz w:val="14"/>
                <w:szCs w:val="14"/>
                <w:color w:val="auto"/>
              </w:rPr>
            </w:pPr>
          </w:p>
        </w:tc>
        <w:tc>
          <w:tcPr>
            <w:tcW w:w="7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w:t>
            </w:r>
          </w:p>
        </w:tc>
        <w:tc>
          <w:tcPr>
            <w:tcW w:w="220" w:type="dxa"/>
            <w:vAlign w:val="bottom"/>
            <w:shd w:val="clear" w:color="auto" w:fill="CFF0FC"/>
          </w:tcPr>
          <w:p>
            <w:pPr>
              <w:spacing w:after="0"/>
              <w:rPr>
                <w:sz w:val="14"/>
                <w:szCs w:val="14"/>
                <w:color w:val="auto"/>
              </w:rPr>
            </w:pPr>
          </w:p>
        </w:tc>
        <w:tc>
          <w:tcPr>
            <w:tcW w:w="9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w:t>
            </w:r>
          </w:p>
        </w:tc>
        <w:tc>
          <w:tcPr>
            <w:tcW w:w="1120" w:type="dxa"/>
            <w:vAlign w:val="bottom"/>
            <w:gridSpan w:val="2"/>
            <w:shd w:val="clear" w:color="auto" w:fill="CFF0FC"/>
          </w:tcPr>
          <w:p>
            <w:pPr>
              <w:jc w:val="center"/>
              <w:ind w:left="133"/>
              <w:spacing w:after="0"/>
              <w:rPr>
                <w:sz w:val="20"/>
                <w:szCs w:val="20"/>
                <w:color w:val="auto"/>
              </w:rPr>
            </w:pPr>
            <w:r>
              <w:rPr>
                <w:rFonts w:ascii="Arial" w:cs="Arial" w:eastAsia="Arial" w:hAnsi="Arial"/>
                <w:sz w:val="14"/>
                <w:szCs w:val="14"/>
                <w:color w:val="auto"/>
                <w:w w:val="85"/>
              </w:rPr>
              <w:t>$629 - $694</w:t>
            </w:r>
          </w:p>
        </w:tc>
        <w:tc>
          <w:tcPr>
            <w:tcW w:w="0" w:type="dxa"/>
            <w:vAlign w:val="bottom"/>
          </w:tcPr>
          <w:p>
            <w:pPr>
              <w:spacing w:after="0"/>
              <w:rPr>
                <w:sz w:val="1"/>
                <w:szCs w:val="1"/>
                <w:color w:val="auto"/>
              </w:rPr>
            </w:pPr>
          </w:p>
        </w:tc>
      </w:tr>
      <w:tr>
        <w:trPr>
          <w:trHeight w:val="162"/>
        </w:trPr>
        <w:tc>
          <w:tcPr>
            <w:tcW w:w="4220" w:type="dxa"/>
            <w:vAlign w:val="bottom"/>
            <w:gridSpan w:val="2"/>
          </w:tcPr>
          <w:p>
            <w:pPr>
              <w:ind w:left="380"/>
              <w:spacing w:after="0"/>
              <w:rPr>
                <w:sz w:val="20"/>
                <w:szCs w:val="20"/>
                <w:color w:val="auto"/>
              </w:rPr>
            </w:pPr>
            <w:r>
              <w:rPr>
                <w:rFonts w:ascii="Arial" w:cs="Arial" w:eastAsia="Arial" w:hAnsi="Arial"/>
                <w:sz w:val="14"/>
                <w:szCs w:val="14"/>
                <w:color w:val="auto"/>
              </w:rPr>
              <w:t>Cedar Landing, North Bend</w:t>
            </w:r>
          </w:p>
        </w:tc>
        <w:tc>
          <w:tcPr>
            <w:tcW w:w="900" w:type="dxa"/>
            <w:vAlign w:val="bottom"/>
          </w:tcPr>
          <w:p>
            <w:pPr>
              <w:jc w:val="center"/>
              <w:spacing w:after="0"/>
              <w:rPr>
                <w:sz w:val="20"/>
                <w:szCs w:val="20"/>
                <w:color w:val="auto"/>
              </w:rPr>
            </w:pPr>
            <w:r>
              <w:rPr>
                <w:rFonts w:ascii="Arial" w:cs="Arial" w:eastAsia="Arial" w:hAnsi="Arial"/>
                <w:sz w:val="14"/>
                <w:szCs w:val="14"/>
                <w:color w:val="auto"/>
                <w:w w:val="83"/>
              </w:rPr>
              <w:t>2017</w:t>
            </w:r>
          </w:p>
        </w:tc>
        <w:tc>
          <w:tcPr>
            <w:tcW w:w="120" w:type="dxa"/>
            <w:vAlign w:val="bottom"/>
          </w:tcPr>
          <w:p>
            <w:pPr>
              <w:spacing w:after="0"/>
              <w:rPr>
                <w:sz w:val="14"/>
                <w:szCs w:val="14"/>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111</w:t>
            </w:r>
          </w:p>
        </w:tc>
        <w:tc>
          <w:tcPr>
            <w:tcW w:w="220" w:type="dxa"/>
            <w:vAlign w:val="bottom"/>
          </w:tcPr>
          <w:p>
            <w:pPr>
              <w:spacing w:after="0"/>
              <w:rPr>
                <w:sz w:val="14"/>
                <w:szCs w:val="14"/>
                <w:color w:val="auto"/>
              </w:rPr>
            </w:pPr>
          </w:p>
        </w:tc>
        <w:tc>
          <w:tcPr>
            <w:tcW w:w="860" w:type="dxa"/>
            <w:vAlign w:val="bottom"/>
          </w:tcPr>
          <w:p>
            <w:pPr>
              <w:jc w:val="right"/>
              <w:spacing w:after="0"/>
              <w:rPr>
                <w:sz w:val="20"/>
                <w:szCs w:val="20"/>
                <w:color w:val="auto"/>
              </w:rPr>
            </w:pPr>
            <w:r>
              <w:rPr>
                <w:rFonts w:ascii="Arial" w:cs="Arial" w:eastAsia="Arial" w:hAnsi="Arial"/>
                <w:sz w:val="14"/>
                <w:szCs w:val="14"/>
                <w:color w:val="auto"/>
              </w:rPr>
              <w:t>-</w:t>
            </w:r>
          </w:p>
        </w:tc>
        <w:tc>
          <w:tcPr>
            <w:tcW w:w="220" w:type="dxa"/>
            <w:vAlign w:val="bottom"/>
          </w:tcPr>
          <w:p>
            <w:pPr>
              <w:spacing w:after="0"/>
              <w:rPr>
                <w:sz w:val="14"/>
                <w:szCs w:val="14"/>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13</w:t>
            </w:r>
          </w:p>
        </w:tc>
        <w:tc>
          <w:tcPr>
            <w:tcW w:w="220" w:type="dxa"/>
            <w:vAlign w:val="bottom"/>
          </w:tcPr>
          <w:p>
            <w:pPr>
              <w:spacing w:after="0"/>
              <w:rPr>
                <w:sz w:val="14"/>
                <w:szCs w:val="14"/>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w:t>
            </w:r>
          </w:p>
        </w:tc>
        <w:tc>
          <w:tcPr>
            <w:tcW w:w="220" w:type="dxa"/>
            <w:vAlign w:val="bottom"/>
          </w:tcPr>
          <w:p>
            <w:pPr>
              <w:spacing w:after="0"/>
              <w:rPr>
                <w:sz w:val="14"/>
                <w:szCs w:val="14"/>
                <w:color w:val="auto"/>
              </w:rPr>
            </w:pPr>
          </w:p>
        </w:tc>
        <w:tc>
          <w:tcPr>
            <w:tcW w:w="980" w:type="dxa"/>
            <w:vAlign w:val="bottom"/>
          </w:tcPr>
          <w:p>
            <w:pPr>
              <w:jc w:val="right"/>
              <w:spacing w:after="0"/>
              <w:rPr>
                <w:sz w:val="20"/>
                <w:szCs w:val="20"/>
                <w:color w:val="auto"/>
              </w:rPr>
            </w:pPr>
            <w:r>
              <w:rPr>
                <w:rFonts w:ascii="Arial" w:cs="Arial" w:eastAsia="Arial" w:hAnsi="Arial"/>
                <w:sz w:val="14"/>
                <w:szCs w:val="14"/>
                <w:color w:val="auto"/>
              </w:rPr>
              <w:t>-</w:t>
            </w:r>
          </w:p>
        </w:tc>
        <w:tc>
          <w:tcPr>
            <w:tcW w:w="1120" w:type="dxa"/>
            <w:vAlign w:val="bottom"/>
            <w:gridSpan w:val="2"/>
          </w:tcPr>
          <w:p>
            <w:pPr>
              <w:jc w:val="center"/>
              <w:ind w:left="133"/>
              <w:spacing w:after="0"/>
              <w:rPr>
                <w:sz w:val="20"/>
                <w:szCs w:val="20"/>
                <w:color w:val="auto"/>
              </w:rPr>
            </w:pPr>
            <w:r>
              <w:rPr>
                <w:rFonts w:ascii="Arial" w:cs="Arial" w:eastAsia="Arial" w:hAnsi="Arial"/>
                <w:sz w:val="14"/>
                <w:szCs w:val="14"/>
                <w:color w:val="auto"/>
                <w:w w:val="85"/>
              </w:rPr>
              <w:t>$500 - $650</w:t>
            </w:r>
          </w:p>
        </w:tc>
        <w:tc>
          <w:tcPr>
            <w:tcW w:w="0" w:type="dxa"/>
            <w:vAlign w:val="bottom"/>
          </w:tcPr>
          <w:p>
            <w:pPr>
              <w:spacing w:after="0"/>
              <w:rPr>
                <w:sz w:val="1"/>
                <w:szCs w:val="1"/>
                <w:color w:val="auto"/>
              </w:rPr>
            </w:pPr>
          </w:p>
        </w:tc>
      </w:tr>
      <w:tr>
        <w:trPr>
          <w:trHeight w:val="162"/>
        </w:trPr>
        <w:tc>
          <w:tcPr>
            <w:tcW w:w="4220" w:type="dxa"/>
            <w:vAlign w:val="bottom"/>
            <w:gridSpan w:val="2"/>
            <w:shd w:val="clear" w:color="auto" w:fill="CFF0FC"/>
          </w:tcPr>
          <w:p>
            <w:pPr>
              <w:ind w:left="380"/>
              <w:spacing w:after="0"/>
              <w:rPr>
                <w:sz w:val="20"/>
                <w:szCs w:val="20"/>
                <w:color w:val="auto"/>
              </w:rPr>
            </w:pPr>
            <w:r>
              <w:rPr>
                <w:rFonts w:ascii="Arial" w:cs="Arial" w:eastAsia="Arial" w:hAnsi="Arial"/>
                <w:sz w:val="14"/>
                <w:szCs w:val="14"/>
                <w:color w:val="auto"/>
              </w:rPr>
              <w:t>35th Avenue Townhomes, Seattle</w:t>
            </w:r>
          </w:p>
        </w:tc>
        <w:tc>
          <w:tcPr>
            <w:tcW w:w="1020" w:type="dxa"/>
            <w:vAlign w:val="bottom"/>
            <w:gridSpan w:val="2"/>
            <w:shd w:val="clear" w:color="auto" w:fill="CFF0FC"/>
          </w:tcPr>
          <w:p>
            <w:pPr>
              <w:jc w:val="center"/>
              <w:ind w:right="120"/>
              <w:spacing w:after="0"/>
              <w:rPr>
                <w:sz w:val="20"/>
                <w:szCs w:val="20"/>
                <w:color w:val="auto"/>
              </w:rPr>
            </w:pPr>
            <w:r>
              <w:rPr>
                <w:rFonts w:ascii="Arial" w:cs="Arial" w:eastAsia="Arial" w:hAnsi="Arial"/>
                <w:sz w:val="14"/>
                <w:szCs w:val="14"/>
                <w:color w:val="auto"/>
                <w:w w:val="92"/>
              </w:rPr>
              <w:t>TBD</w:t>
            </w:r>
          </w:p>
        </w:tc>
        <w:tc>
          <w:tcPr>
            <w:tcW w:w="7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w:t>
            </w:r>
          </w:p>
        </w:tc>
        <w:tc>
          <w:tcPr>
            <w:tcW w:w="220" w:type="dxa"/>
            <w:vAlign w:val="bottom"/>
            <w:shd w:val="clear" w:color="auto" w:fill="CFF0FC"/>
          </w:tcPr>
          <w:p>
            <w:pPr>
              <w:spacing w:after="0"/>
              <w:rPr>
                <w:sz w:val="14"/>
                <w:szCs w:val="14"/>
                <w:color w:val="auto"/>
              </w:rPr>
            </w:pPr>
          </w:p>
        </w:tc>
        <w:tc>
          <w:tcPr>
            <w:tcW w:w="860" w:type="dxa"/>
            <w:vAlign w:val="bottom"/>
            <w:shd w:val="clear" w:color="auto" w:fill="CFF0FC"/>
          </w:tcPr>
          <w:p>
            <w:pPr>
              <w:jc w:val="right"/>
              <w:spacing w:after="0"/>
              <w:rPr>
                <w:sz w:val="20"/>
                <w:szCs w:val="20"/>
                <w:color w:val="auto"/>
              </w:rPr>
            </w:pPr>
            <w:r>
              <w:rPr>
                <w:rFonts w:ascii="Arial" w:cs="Arial" w:eastAsia="Arial" w:hAnsi="Arial"/>
                <w:sz w:val="14"/>
                <w:szCs w:val="14"/>
                <w:color w:val="auto"/>
              </w:rPr>
              <w:t>-</w:t>
            </w:r>
          </w:p>
        </w:tc>
        <w:tc>
          <w:tcPr>
            <w:tcW w:w="220" w:type="dxa"/>
            <w:vAlign w:val="bottom"/>
            <w:shd w:val="clear" w:color="auto" w:fill="CFF0FC"/>
          </w:tcPr>
          <w:p>
            <w:pPr>
              <w:spacing w:after="0"/>
              <w:rPr>
                <w:sz w:val="14"/>
                <w:szCs w:val="14"/>
                <w:color w:val="auto"/>
              </w:rPr>
            </w:pPr>
          </w:p>
        </w:tc>
        <w:tc>
          <w:tcPr>
            <w:tcW w:w="7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17</w:t>
            </w:r>
          </w:p>
        </w:tc>
        <w:tc>
          <w:tcPr>
            <w:tcW w:w="220" w:type="dxa"/>
            <w:vAlign w:val="bottom"/>
            <w:shd w:val="clear" w:color="auto" w:fill="CFF0FC"/>
          </w:tcPr>
          <w:p>
            <w:pPr>
              <w:spacing w:after="0"/>
              <w:rPr>
                <w:sz w:val="14"/>
                <w:szCs w:val="14"/>
                <w:color w:val="auto"/>
              </w:rPr>
            </w:pPr>
          </w:p>
        </w:tc>
        <w:tc>
          <w:tcPr>
            <w:tcW w:w="7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w:t>
            </w:r>
          </w:p>
        </w:tc>
        <w:tc>
          <w:tcPr>
            <w:tcW w:w="220" w:type="dxa"/>
            <w:vAlign w:val="bottom"/>
            <w:shd w:val="clear" w:color="auto" w:fill="CFF0FC"/>
          </w:tcPr>
          <w:p>
            <w:pPr>
              <w:spacing w:after="0"/>
              <w:rPr>
                <w:sz w:val="14"/>
                <w:szCs w:val="14"/>
                <w:color w:val="auto"/>
              </w:rPr>
            </w:pPr>
          </w:p>
        </w:tc>
        <w:tc>
          <w:tcPr>
            <w:tcW w:w="9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w:t>
            </w:r>
          </w:p>
        </w:tc>
        <w:tc>
          <w:tcPr>
            <w:tcW w:w="220" w:type="dxa"/>
            <w:vAlign w:val="bottom"/>
            <w:shd w:val="clear" w:color="auto" w:fill="CFF0FC"/>
          </w:tcPr>
          <w:p>
            <w:pPr>
              <w:spacing w:after="0"/>
              <w:rPr>
                <w:sz w:val="14"/>
                <w:szCs w:val="14"/>
                <w:color w:val="auto"/>
              </w:rPr>
            </w:pPr>
          </w:p>
        </w:tc>
        <w:tc>
          <w:tcPr>
            <w:tcW w:w="900" w:type="dxa"/>
            <w:vAlign w:val="bottom"/>
            <w:shd w:val="clear" w:color="auto" w:fill="CFF0FC"/>
          </w:tcPr>
          <w:p>
            <w:pPr>
              <w:jc w:val="center"/>
              <w:spacing w:after="0"/>
              <w:rPr>
                <w:sz w:val="20"/>
                <w:szCs w:val="20"/>
                <w:color w:val="auto"/>
              </w:rPr>
            </w:pPr>
            <w:r>
              <w:rPr>
                <w:rFonts w:ascii="Arial" w:cs="Arial" w:eastAsia="Arial" w:hAnsi="Arial"/>
                <w:sz w:val="14"/>
                <w:szCs w:val="14"/>
                <w:color w:val="auto"/>
                <w:w w:val="99"/>
              </w:rPr>
              <w:t>TBD</w:t>
            </w:r>
          </w:p>
        </w:tc>
        <w:tc>
          <w:tcPr>
            <w:tcW w:w="0" w:type="dxa"/>
            <w:vAlign w:val="bottom"/>
          </w:tcPr>
          <w:p>
            <w:pPr>
              <w:spacing w:after="0"/>
              <w:rPr>
                <w:sz w:val="1"/>
                <w:szCs w:val="1"/>
                <w:color w:val="auto"/>
              </w:rPr>
            </w:pPr>
          </w:p>
        </w:tc>
      </w:tr>
      <w:tr>
        <w:trPr>
          <w:trHeight w:val="162"/>
        </w:trPr>
        <w:tc>
          <w:tcPr>
            <w:tcW w:w="4220" w:type="dxa"/>
            <w:vAlign w:val="bottom"/>
            <w:gridSpan w:val="2"/>
          </w:tcPr>
          <w:p>
            <w:pPr>
              <w:ind w:left="380"/>
              <w:spacing w:after="0"/>
              <w:rPr>
                <w:sz w:val="20"/>
                <w:szCs w:val="20"/>
                <w:color w:val="auto"/>
              </w:rPr>
            </w:pPr>
            <w:r>
              <w:rPr>
                <w:rFonts w:ascii="Arial" w:cs="Arial" w:eastAsia="Arial" w:hAnsi="Arial"/>
                <w:sz w:val="14"/>
                <w:szCs w:val="14"/>
                <w:color w:val="auto"/>
              </w:rPr>
              <w:t>42nd Avenue Townhomes, Seattle</w:t>
            </w:r>
          </w:p>
        </w:tc>
        <w:tc>
          <w:tcPr>
            <w:tcW w:w="1020" w:type="dxa"/>
            <w:vAlign w:val="bottom"/>
            <w:gridSpan w:val="2"/>
          </w:tcPr>
          <w:p>
            <w:pPr>
              <w:jc w:val="center"/>
              <w:ind w:right="120"/>
              <w:spacing w:after="0"/>
              <w:rPr>
                <w:sz w:val="20"/>
                <w:szCs w:val="20"/>
                <w:color w:val="auto"/>
              </w:rPr>
            </w:pPr>
            <w:r>
              <w:rPr>
                <w:rFonts w:ascii="Arial" w:cs="Arial" w:eastAsia="Arial" w:hAnsi="Arial"/>
                <w:sz w:val="14"/>
                <w:szCs w:val="14"/>
                <w:color w:val="auto"/>
                <w:w w:val="92"/>
              </w:rPr>
              <w:t>TBD</w:t>
            </w:r>
          </w:p>
        </w:tc>
        <w:tc>
          <w:tcPr>
            <w:tcW w:w="780" w:type="dxa"/>
            <w:vAlign w:val="bottom"/>
          </w:tcPr>
          <w:p>
            <w:pPr>
              <w:jc w:val="right"/>
              <w:spacing w:after="0"/>
              <w:rPr>
                <w:sz w:val="20"/>
                <w:szCs w:val="20"/>
                <w:color w:val="auto"/>
              </w:rPr>
            </w:pPr>
            <w:r>
              <w:rPr>
                <w:rFonts w:ascii="Arial" w:cs="Arial" w:eastAsia="Arial" w:hAnsi="Arial"/>
                <w:sz w:val="14"/>
                <w:szCs w:val="14"/>
                <w:color w:val="auto"/>
              </w:rPr>
              <w:t>-</w:t>
            </w:r>
          </w:p>
        </w:tc>
        <w:tc>
          <w:tcPr>
            <w:tcW w:w="220" w:type="dxa"/>
            <w:vAlign w:val="bottom"/>
          </w:tcPr>
          <w:p>
            <w:pPr>
              <w:spacing w:after="0"/>
              <w:rPr>
                <w:sz w:val="14"/>
                <w:szCs w:val="14"/>
                <w:color w:val="auto"/>
              </w:rPr>
            </w:pPr>
          </w:p>
        </w:tc>
        <w:tc>
          <w:tcPr>
            <w:tcW w:w="860" w:type="dxa"/>
            <w:vAlign w:val="bottom"/>
          </w:tcPr>
          <w:p>
            <w:pPr>
              <w:jc w:val="right"/>
              <w:spacing w:after="0"/>
              <w:rPr>
                <w:sz w:val="20"/>
                <w:szCs w:val="20"/>
                <w:color w:val="auto"/>
              </w:rPr>
            </w:pPr>
            <w:r>
              <w:rPr>
                <w:rFonts w:ascii="Arial" w:cs="Arial" w:eastAsia="Arial" w:hAnsi="Arial"/>
                <w:sz w:val="14"/>
                <w:szCs w:val="14"/>
                <w:color w:val="auto"/>
              </w:rPr>
              <w:t>-</w:t>
            </w:r>
          </w:p>
        </w:tc>
        <w:tc>
          <w:tcPr>
            <w:tcW w:w="220" w:type="dxa"/>
            <w:vAlign w:val="bottom"/>
          </w:tcPr>
          <w:p>
            <w:pPr>
              <w:spacing w:after="0"/>
              <w:rPr>
                <w:sz w:val="14"/>
                <w:szCs w:val="14"/>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40</w:t>
            </w:r>
          </w:p>
        </w:tc>
        <w:tc>
          <w:tcPr>
            <w:tcW w:w="220" w:type="dxa"/>
            <w:vAlign w:val="bottom"/>
          </w:tcPr>
          <w:p>
            <w:pPr>
              <w:spacing w:after="0"/>
              <w:rPr>
                <w:sz w:val="14"/>
                <w:szCs w:val="14"/>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w:t>
            </w:r>
          </w:p>
        </w:tc>
        <w:tc>
          <w:tcPr>
            <w:tcW w:w="220" w:type="dxa"/>
            <w:vAlign w:val="bottom"/>
          </w:tcPr>
          <w:p>
            <w:pPr>
              <w:spacing w:after="0"/>
              <w:rPr>
                <w:sz w:val="14"/>
                <w:szCs w:val="14"/>
                <w:color w:val="auto"/>
              </w:rPr>
            </w:pPr>
          </w:p>
        </w:tc>
        <w:tc>
          <w:tcPr>
            <w:tcW w:w="980" w:type="dxa"/>
            <w:vAlign w:val="bottom"/>
          </w:tcPr>
          <w:p>
            <w:pPr>
              <w:jc w:val="right"/>
              <w:spacing w:after="0"/>
              <w:rPr>
                <w:sz w:val="20"/>
                <w:szCs w:val="20"/>
                <w:color w:val="auto"/>
              </w:rPr>
            </w:pPr>
            <w:r>
              <w:rPr>
                <w:rFonts w:ascii="Arial" w:cs="Arial" w:eastAsia="Arial" w:hAnsi="Arial"/>
                <w:sz w:val="14"/>
                <w:szCs w:val="14"/>
                <w:color w:val="auto"/>
              </w:rPr>
              <w:t>-</w:t>
            </w:r>
          </w:p>
        </w:tc>
        <w:tc>
          <w:tcPr>
            <w:tcW w:w="220" w:type="dxa"/>
            <w:vAlign w:val="bottom"/>
          </w:tcPr>
          <w:p>
            <w:pPr>
              <w:spacing w:after="0"/>
              <w:rPr>
                <w:sz w:val="14"/>
                <w:szCs w:val="14"/>
                <w:color w:val="auto"/>
              </w:rPr>
            </w:pPr>
          </w:p>
        </w:tc>
        <w:tc>
          <w:tcPr>
            <w:tcW w:w="900" w:type="dxa"/>
            <w:vAlign w:val="bottom"/>
          </w:tcPr>
          <w:p>
            <w:pPr>
              <w:jc w:val="center"/>
              <w:spacing w:after="0"/>
              <w:rPr>
                <w:sz w:val="20"/>
                <w:szCs w:val="20"/>
                <w:color w:val="auto"/>
              </w:rPr>
            </w:pPr>
            <w:r>
              <w:rPr>
                <w:rFonts w:ascii="Arial" w:cs="Arial" w:eastAsia="Arial" w:hAnsi="Arial"/>
                <w:sz w:val="14"/>
                <w:szCs w:val="14"/>
                <w:color w:val="auto"/>
                <w:w w:val="99"/>
              </w:rPr>
              <w:t>TBD</w:t>
            </w:r>
          </w:p>
        </w:tc>
        <w:tc>
          <w:tcPr>
            <w:tcW w:w="0" w:type="dxa"/>
            <w:vAlign w:val="bottom"/>
          </w:tcPr>
          <w:p>
            <w:pPr>
              <w:spacing w:after="0"/>
              <w:rPr>
                <w:sz w:val="1"/>
                <w:szCs w:val="1"/>
                <w:color w:val="auto"/>
              </w:rPr>
            </w:pPr>
          </w:p>
        </w:tc>
      </w:tr>
      <w:tr>
        <w:trPr>
          <w:trHeight w:val="162"/>
        </w:trPr>
        <w:tc>
          <w:tcPr>
            <w:tcW w:w="4220" w:type="dxa"/>
            <w:vAlign w:val="bottom"/>
            <w:gridSpan w:val="2"/>
            <w:shd w:val="clear" w:color="auto" w:fill="CFF0FC"/>
          </w:tcPr>
          <w:p>
            <w:pPr>
              <w:ind w:left="380"/>
              <w:spacing w:after="0"/>
              <w:rPr>
                <w:sz w:val="20"/>
                <w:szCs w:val="20"/>
                <w:color w:val="auto"/>
              </w:rPr>
            </w:pPr>
            <w:r>
              <w:rPr>
                <w:rFonts w:ascii="Arial" w:cs="Arial" w:eastAsia="Arial" w:hAnsi="Arial"/>
                <w:sz w:val="14"/>
                <w:szCs w:val="14"/>
                <w:color w:val="auto"/>
              </w:rPr>
              <w:t>Pearl &amp; Delores, Seattle</w:t>
            </w:r>
          </w:p>
        </w:tc>
        <w:tc>
          <w:tcPr>
            <w:tcW w:w="1020" w:type="dxa"/>
            <w:vAlign w:val="bottom"/>
            <w:gridSpan w:val="2"/>
            <w:shd w:val="clear" w:color="auto" w:fill="CFF0FC"/>
          </w:tcPr>
          <w:p>
            <w:pPr>
              <w:jc w:val="center"/>
              <w:ind w:right="120"/>
              <w:spacing w:after="0"/>
              <w:rPr>
                <w:sz w:val="20"/>
                <w:szCs w:val="20"/>
                <w:color w:val="auto"/>
              </w:rPr>
            </w:pPr>
            <w:r>
              <w:rPr>
                <w:rFonts w:ascii="Arial" w:cs="Arial" w:eastAsia="Arial" w:hAnsi="Arial"/>
                <w:sz w:val="14"/>
                <w:szCs w:val="14"/>
                <w:color w:val="auto"/>
                <w:w w:val="92"/>
              </w:rPr>
              <w:t>TBD</w:t>
            </w:r>
          </w:p>
        </w:tc>
        <w:tc>
          <w:tcPr>
            <w:tcW w:w="7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w:t>
            </w:r>
          </w:p>
        </w:tc>
        <w:tc>
          <w:tcPr>
            <w:tcW w:w="220" w:type="dxa"/>
            <w:vAlign w:val="bottom"/>
            <w:shd w:val="clear" w:color="auto" w:fill="CFF0FC"/>
          </w:tcPr>
          <w:p>
            <w:pPr>
              <w:spacing w:after="0"/>
              <w:rPr>
                <w:sz w:val="14"/>
                <w:szCs w:val="14"/>
                <w:color w:val="auto"/>
              </w:rPr>
            </w:pPr>
          </w:p>
        </w:tc>
        <w:tc>
          <w:tcPr>
            <w:tcW w:w="860" w:type="dxa"/>
            <w:vAlign w:val="bottom"/>
            <w:shd w:val="clear" w:color="auto" w:fill="CFF0FC"/>
          </w:tcPr>
          <w:p>
            <w:pPr>
              <w:jc w:val="right"/>
              <w:spacing w:after="0"/>
              <w:rPr>
                <w:sz w:val="20"/>
                <w:szCs w:val="20"/>
                <w:color w:val="auto"/>
              </w:rPr>
            </w:pPr>
            <w:r>
              <w:rPr>
                <w:rFonts w:ascii="Arial" w:cs="Arial" w:eastAsia="Arial" w:hAnsi="Arial"/>
                <w:sz w:val="14"/>
                <w:szCs w:val="14"/>
                <w:color w:val="auto"/>
              </w:rPr>
              <w:t>-</w:t>
            </w:r>
          </w:p>
        </w:tc>
        <w:tc>
          <w:tcPr>
            <w:tcW w:w="220" w:type="dxa"/>
            <w:vAlign w:val="bottom"/>
            <w:shd w:val="clear" w:color="auto" w:fill="CFF0FC"/>
          </w:tcPr>
          <w:p>
            <w:pPr>
              <w:spacing w:after="0"/>
              <w:rPr>
                <w:sz w:val="14"/>
                <w:szCs w:val="14"/>
                <w:color w:val="auto"/>
              </w:rPr>
            </w:pPr>
          </w:p>
        </w:tc>
        <w:tc>
          <w:tcPr>
            <w:tcW w:w="7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12</w:t>
            </w:r>
          </w:p>
        </w:tc>
        <w:tc>
          <w:tcPr>
            <w:tcW w:w="220" w:type="dxa"/>
            <w:vAlign w:val="bottom"/>
            <w:shd w:val="clear" w:color="auto" w:fill="CFF0FC"/>
          </w:tcPr>
          <w:p>
            <w:pPr>
              <w:spacing w:after="0"/>
              <w:rPr>
                <w:sz w:val="14"/>
                <w:szCs w:val="14"/>
                <w:color w:val="auto"/>
              </w:rPr>
            </w:pPr>
          </w:p>
        </w:tc>
        <w:tc>
          <w:tcPr>
            <w:tcW w:w="7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w:t>
            </w:r>
          </w:p>
        </w:tc>
        <w:tc>
          <w:tcPr>
            <w:tcW w:w="220" w:type="dxa"/>
            <w:vAlign w:val="bottom"/>
            <w:shd w:val="clear" w:color="auto" w:fill="CFF0FC"/>
          </w:tcPr>
          <w:p>
            <w:pPr>
              <w:spacing w:after="0"/>
              <w:rPr>
                <w:sz w:val="14"/>
                <w:szCs w:val="14"/>
                <w:color w:val="auto"/>
              </w:rPr>
            </w:pPr>
          </w:p>
        </w:tc>
        <w:tc>
          <w:tcPr>
            <w:tcW w:w="9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w:t>
            </w:r>
          </w:p>
        </w:tc>
        <w:tc>
          <w:tcPr>
            <w:tcW w:w="220" w:type="dxa"/>
            <w:vAlign w:val="bottom"/>
            <w:shd w:val="clear" w:color="auto" w:fill="CFF0FC"/>
          </w:tcPr>
          <w:p>
            <w:pPr>
              <w:spacing w:after="0"/>
              <w:rPr>
                <w:sz w:val="14"/>
                <w:szCs w:val="14"/>
                <w:color w:val="auto"/>
              </w:rPr>
            </w:pPr>
          </w:p>
        </w:tc>
        <w:tc>
          <w:tcPr>
            <w:tcW w:w="900" w:type="dxa"/>
            <w:vAlign w:val="bottom"/>
            <w:shd w:val="clear" w:color="auto" w:fill="CFF0FC"/>
          </w:tcPr>
          <w:p>
            <w:pPr>
              <w:jc w:val="center"/>
              <w:spacing w:after="0"/>
              <w:rPr>
                <w:sz w:val="20"/>
                <w:szCs w:val="20"/>
                <w:color w:val="auto"/>
              </w:rPr>
            </w:pPr>
            <w:r>
              <w:rPr>
                <w:rFonts w:ascii="Arial" w:cs="Arial" w:eastAsia="Arial" w:hAnsi="Arial"/>
                <w:sz w:val="14"/>
                <w:szCs w:val="14"/>
                <w:color w:val="auto"/>
                <w:w w:val="99"/>
              </w:rPr>
              <w:t>TBD</w:t>
            </w:r>
          </w:p>
        </w:tc>
        <w:tc>
          <w:tcPr>
            <w:tcW w:w="0" w:type="dxa"/>
            <w:vAlign w:val="bottom"/>
          </w:tcPr>
          <w:p>
            <w:pPr>
              <w:spacing w:after="0"/>
              <w:rPr>
                <w:sz w:val="1"/>
                <w:szCs w:val="1"/>
                <w:color w:val="auto"/>
              </w:rPr>
            </w:pPr>
          </w:p>
        </w:tc>
      </w:tr>
      <w:tr>
        <w:trPr>
          <w:trHeight w:val="162"/>
        </w:trPr>
        <w:tc>
          <w:tcPr>
            <w:tcW w:w="4220" w:type="dxa"/>
            <w:vAlign w:val="bottom"/>
            <w:gridSpan w:val="2"/>
          </w:tcPr>
          <w:p>
            <w:pPr>
              <w:ind w:left="380"/>
              <w:spacing w:after="0"/>
              <w:rPr>
                <w:sz w:val="20"/>
                <w:szCs w:val="20"/>
                <w:color w:val="auto"/>
              </w:rPr>
            </w:pPr>
            <w:r>
              <w:rPr>
                <w:rFonts w:ascii="Arial" w:cs="Arial" w:eastAsia="Arial" w:hAnsi="Arial"/>
                <w:sz w:val="14"/>
                <w:szCs w:val="14"/>
                <w:color w:val="auto"/>
              </w:rPr>
              <w:t>Wynstone, Federal Way</w:t>
            </w:r>
          </w:p>
        </w:tc>
        <w:tc>
          <w:tcPr>
            <w:tcW w:w="1020" w:type="dxa"/>
            <w:vAlign w:val="bottom"/>
            <w:gridSpan w:val="2"/>
          </w:tcPr>
          <w:p>
            <w:pPr>
              <w:jc w:val="center"/>
              <w:ind w:right="120"/>
              <w:spacing w:after="0"/>
              <w:rPr>
                <w:sz w:val="20"/>
                <w:szCs w:val="20"/>
                <w:color w:val="auto"/>
              </w:rPr>
            </w:pPr>
            <w:r>
              <w:rPr>
                <w:rFonts w:ascii="Arial" w:cs="Arial" w:eastAsia="Arial" w:hAnsi="Arial"/>
                <w:sz w:val="14"/>
                <w:szCs w:val="14"/>
                <w:color w:val="auto"/>
                <w:w w:val="92"/>
              </w:rPr>
              <w:t>TBD</w:t>
            </w:r>
          </w:p>
        </w:tc>
        <w:tc>
          <w:tcPr>
            <w:tcW w:w="780" w:type="dxa"/>
            <w:vAlign w:val="bottom"/>
          </w:tcPr>
          <w:p>
            <w:pPr>
              <w:jc w:val="right"/>
              <w:spacing w:after="0"/>
              <w:rPr>
                <w:sz w:val="20"/>
                <w:szCs w:val="20"/>
                <w:color w:val="auto"/>
              </w:rPr>
            </w:pPr>
            <w:r>
              <w:rPr>
                <w:rFonts w:ascii="Arial" w:cs="Arial" w:eastAsia="Arial" w:hAnsi="Arial"/>
                <w:sz w:val="14"/>
                <w:szCs w:val="14"/>
                <w:color w:val="auto"/>
              </w:rPr>
              <w:t>-</w:t>
            </w:r>
          </w:p>
        </w:tc>
        <w:tc>
          <w:tcPr>
            <w:tcW w:w="220" w:type="dxa"/>
            <w:vAlign w:val="bottom"/>
          </w:tcPr>
          <w:p>
            <w:pPr>
              <w:spacing w:after="0"/>
              <w:rPr>
                <w:sz w:val="14"/>
                <w:szCs w:val="14"/>
                <w:color w:val="auto"/>
              </w:rPr>
            </w:pPr>
          </w:p>
        </w:tc>
        <w:tc>
          <w:tcPr>
            <w:tcW w:w="860" w:type="dxa"/>
            <w:vAlign w:val="bottom"/>
          </w:tcPr>
          <w:p>
            <w:pPr>
              <w:jc w:val="right"/>
              <w:spacing w:after="0"/>
              <w:rPr>
                <w:sz w:val="20"/>
                <w:szCs w:val="20"/>
                <w:color w:val="auto"/>
              </w:rPr>
            </w:pPr>
            <w:r>
              <w:rPr>
                <w:rFonts w:ascii="Arial" w:cs="Arial" w:eastAsia="Arial" w:hAnsi="Arial"/>
                <w:sz w:val="14"/>
                <w:szCs w:val="14"/>
                <w:color w:val="auto"/>
              </w:rPr>
              <w:t>-</w:t>
            </w:r>
          </w:p>
        </w:tc>
        <w:tc>
          <w:tcPr>
            <w:tcW w:w="220" w:type="dxa"/>
            <w:vAlign w:val="bottom"/>
          </w:tcPr>
          <w:p>
            <w:pPr>
              <w:spacing w:after="0"/>
              <w:rPr>
                <w:sz w:val="14"/>
                <w:szCs w:val="14"/>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4</w:t>
            </w:r>
          </w:p>
        </w:tc>
        <w:tc>
          <w:tcPr>
            <w:tcW w:w="220" w:type="dxa"/>
            <w:vAlign w:val="bottom"/>
          </w:tcPr>
          <w:p>
            <w:pPr>
              <w:spacing w:after="0"/>
              <w:rPr>
                <w:sz w:val="14"/>
                <w:szCs w:val="14"/>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w:t>
            </w:r>
          </w:p>
        </w:tc>
        <w:tc>
          <w:tcPr>
            <w:tcW w:w="220" w:type="dxa"/>
            <w:vAlign w:val="bottom"/>
          </w:tcPr>
          <w:p>
            <w:pPr>
              <w:spacing w:after="0"/>
              <w:rPr>
                <w:sz w:val="14"/>
                <w:szCs w:val="14"/>
                <w:color w:val="auto"/>
              </w:rPr>
            </w:pPr>
          </w:p>
        </w:tc>
        <w:tc>
          <w:tcPr>
            <w:tcW w:w="980" w:type="dxa"/>
            <w:vAlign w:val="bottom"/>
          </w:tcPr>
          <w:p>
            <w:pPr>
              <w:jc w:val="right"/>
              <w:spacing w:after="0"/>
              <w:rPr>
                <w:sz w:val="20"/>
                <w:szCs w:val="20"/>
                <w:color w:val="auto"/>
              </w:rPr>
            </w:pPr>
            <w:r>
              <w:rPr>
                <w:rFonts w:ascii="Arial" w:cs="Arial" w:eastAsia="Arial" w:hAnsi="Arial"/>
                <w:sz w:val="14"/>
                <w:szCs w:val="14"/>
                <w:color w:val="auto"/>
              </w:rPr>
              <w:t>-</w:t>
            </w:r>
          </w:p>
        </w:tc>
        <w:tc>
          <w:tcPr>
            <w:tcW w:w="220" w:type="dxa"/>
            <w:vAlign w:val="bottom"/>
          </w:tcPr>
          <w:p>
            <w:pPr>
              <w:spacing w:after="0"/>
              <w:rPr>
                <w:sz w:val="14"/>
                <w:szCs w:val="14"/>
                <w:color w:val="auto"/>
              </w:rPr>
            </w:pPr>
          </w:p>
        </w:tc>
        <w:tc>
          <w:tcPr>
            <w:tcW w:w="900" w:type="dxa"/>
            <w:vAlign w:val="bottom"/>
          </w:tcPr>
          <w:p>
            <w:pPr>
              <w:jc w:val="center"/>
              <w:spacing w:after="0"/>
              <w:rPr>
                <w:sz w:val="20"/>
                <w:szCs w:val="20"/>
                <w:color w:val="auto"/>
              </w:rPr>
            </w:pPr>
            <w:r>
              <w:rPr>
                <w:rFonts w:ascii="Arial" w:cs="Arial" w:eastAsia="Arial" w:hAnsi="Arial"/>
                <w:sz w:val="14"/>
                <w:szCs w:val="14"/>
                <w:color w:val="auto"/>
                <w:w w:val="99"/>
              </w:rPr>
              <w:t>TBD</w:t>
            </w:r>
          </w:p>
        </w:tc>
        <w:tc>
          <w:tcPr>
            <w:tcW w:w="0" w:type="dxa"/>
            <w:vAlign w:val="bottom"/>
          </w:tcPr>
          <w:p>
            <w:pPr>
              <w:spacing w:after="0"/>
              <w:rPr>
                <w:sz w:val="1"/>
                <w:szCs w:val="1"/>
                <w:color w:val="auto"/>
              </w:rPr>
            </w:pPr>
          </w:p>
        </w:tc>
      </w:tr>
      <w:tr>
        <w:trPr>
          <w:trHeight w:val="162"/>
        </w:trPr>
        <w:tc>
          <w:tcPr>
            <w:tcW w:w="4220" w:type="dxa"/>
            <w:vAlign w:val="bottom"/>
            <w:gridSpan w:val="2"/>
            <w:shd w:val="clear" w:color="auto" w:fill="CFF0FC"/>
          </w:tcPr>
          <w:p>
            <w:pPr>
              <w:spacing w:after="0"/>
              <w:rPr>
                <w:sz w:val="20"/>
                <w:szCs w:val="20"/>
                <w:color w:val="auto"/>
              </w:rPr>
            </w:pPr>
            <w:r>
              <w:rPr>
                <w:rFonts w:ascii="Arial" w:cs="Arial" w:eastAsia="Arial" w:hAnsi="Arial"/>
                <w:sz w:val="14"/>
                <w:szCs w:val="14"/>
                <w:color w:val="auto"/>
              </w:rPr>
              <w:t>Pierce County:</w:t>
            </w:r>
          </w:p>
        </w:tc>
        <w:tc>
          <w:tcPr>
            <w:tcW w:w="900" w:type="dxa"/>
            <w:vAlign w:val="bottom"/>
            <w:shd w:val="clear" w:color="auto" w:fill="CFF0FC"/>
          </w:tcPr>
          <w:p>
            <w:pPr>
              <w:spacing w:after="0"/>
              <w:rPr>
                <w:sz w:val="14"/>
                <w:szCs w:val="14"/>
                <w:color w:val="auto"/>
              </w:rPr>
            </w:pPr>
          </w:p>
        </w:tc>
        <w:tc>
          <w:tcPr>
            <w:tcW w:w="120" w:type="dxa"/>
            <w:vAlign w:val="bottom"/>
            <w:shd w:val="clear" w:color="auto" w:fill="CFF0FC"/>
          </w:tcPr>
          <w:p>
            <w:pPr>
              <w:spacing w:after="0"/>
              <w:rPr>
                <w:sz w:val="14"/>
                <w:szCs w:val="14"/>
                <w:color w:val="auto"/>
              </w:rPr>
            </w:pPr>
          </w:p>
        </w:tc>
        <w:tc>
          <w:tcPr>
            <w:tcW w:w="780" w:type="dxa"/>
            <w:vAlign w:val="bottom"/>
            <w:shd w:val="clear" w:color="auto" w:fill="CFF0FC"/>
          </w:tcPr>
          <w:p>
            <w:pPr>
              <w:spacing w:after="0"/>
              <w:rPr>
                <w:sz w:val="14"/>
                <w:szCs w:val="14"/>
                <w:color w:val="auto"/>
              </w:rPr>
            </w:pPr>
          </w:p>
        </w:tc>
        <w:tc>
          <w:tcPr>
            <w:tcW w:w="220" w:type="dxa"/>
            <w:vAlign w:val="bottom"/>
            <w:shd w:val="clear" w:color="auto" w:fill="CFF0FC"/>
          </w:tcPr>
          <w:p>
            <w:pPr>
              <w:spacing w:after="0"/>
              <w:rPr>
                <w:sz w:val="14"/>
                <w:szCs w:val="14"/>
                <w:color w:val="auto"/>
              </w:rPr>
            </w:pPr>
          </w:p>
        </w:tc>
        <w:tc>
          <w:tcPr>
            <w:tcW w:w="860" w:type="dxa"/>
            <w:vAlign w:val="bottom"/>
            <w:shd w:val="clear" w:color="auto" w:fill="CFF0FC"/>
          </w:tcPr>
          <w:p>
            <w:pPr>
              <w:spacing w:after="0"/>
              <w:rPr>
                <w:sz w:val="14"/>
                <w:szCs w:val="14"/>
                <w:color w:val="auto"/>
              </w:rPr>
            </w:pPr>
          </w:p>
        </w:tc>
        <w:tc>
          <w:tcPr>
            <w:tcW w:w="220" w:type="dxa"/>
            <w:vAlign w:val="bottom"/>
            <w:shd w:val="clear" w:color="auto" w:fill="CFF0FC"/>
          </w:tcPr>
          <w:p>
            <w:pPr>
              <w:spacing w:after="0"/>
              <w:rPr>
                <w:sz w:val="14"/>
                <w:szCs w:val="14"/>
                <w:color w:val="auto"/>
              </w:rPr>
            </w:pPr>
          </w:p>
        </w:tc>
        <w:tc>
          <w:tcPr>
            <w:tcW w:w="780" w:type="dxa"/>
            <w:vAlign w:val="bottom"/>
            <w:shd w:val="clear" w:color="auto" w:fill="CFF0FC"/>
          </w:tcPr>
          <w:p>
            <w:pPr>
              <w:spacing w:after="0"/>
              <w:rPr>
                <w:sz w:val="14"/>
                <w:szCs w:val="14"/>
                <w:color w:val="auto"/>
              </w:rPr>
            </w:pPr>
          </w:p>
        </w:tc>
        <w:tc>
          <w:tcPr>
            <w:tcW w:w="220" w:type="dxa"/>
            <w:vAlign w:val="bottom"/>
            <w:shd w:val="clear" w:color="auto" w:fill="CFF0FC"/>
          </w:tcPr>
          <w:p>
            <w:pPr>
              <w:spacing w:after="0"/>
              <w:rPr>
                <w:sz w:val="14"/>
                <w:szCs w:val="14"/>
                <w:color w:val="auto"/>
              </w:rPr>
            </w:pPr>
          </w:p>
        </w:tc>
        <w:tc>
          <w:tcPr>
            <w:tcW w:w="780" w:type="dxa"/>
            <w:vAlign w:val="bottom"/>
            <w:shd w:val="clear" w:color="auto" w:fill="CFF0FC"/>
          </w:tcPr>
          <w:p>
            <w:pPr>
              <w:spacing w:after="0"/>
              <w:rPr>
                <w:sz w:val="14"/>
                <w:szCs w:val="14"/>
                <w:color w:val="auto"/>
              </w:rPr>
            </w:pPr>
          </w:p>
        </w:tc>
        <w:tc>
          <w:tcPr>
            <w:tcW w:w="220" w:type="dxa"/>
            <w:vAlign w:val="bottom"/>
            <w:shd w:val="clear" w:color="auto" w:fill="CFF0FC"/>
          </w:tcPr>
          <w:p>
            <w:pPr>
              <w:spacing w:after="0"/>
              <w:rPr>
                <w:sz w:val="14"/>
                <w:szCs w:val="14"/>
                <w:color w:val="auto"/>
              </w:rPr>
            </w:pPr>
          </w:p>
        </w:tc>
        <w:tc>
          <w:tcPr>
            <w:tcW w:w="980" w:type="dxa"/>
            <w:vAlign w:val="bottom"/>
            <w:shd w:val="clear" w:color="auto" w:fill="CFF0FC"/>
          </w:tcPr>
          <w:p>
            <w:pPr>
              <w:spacing w:after="0"/>
              <w:rPr>
                <w:sz w:val="14"/>
                <w:szCs w:val="14"/>
                <w:color w:val="auto"/>
              </w:rPr>
            </w:pPr>
          </w:p>
        </w:tc>
        <w:tc>
          <w:tcPr>
            <w:tcW w:w="220" w:type="dxa"/>
            <w:vAlign w:val="bottom"/>
            <w:shd w:val="clear" w:color="auto" w:fill="CFF0FC"/>
          </w:tcPr>
          <w:p>
            <w:pPr>
              <w:spacing w:after="0"/>
              <w:rPr>
                <w:sz w:val="14"/>
                <w:szCs w:val="14"/>
                <w:color w:val="auto"/>
              </w:rPr>
            </w:pPr>
          </w:p>
        </w:tc>
        <w:tc>
          <w:tcPr>
            <w:tcW w:w="900" w:type="dxa"/>
            <w:vAlign w:val="bottom"/>
            <w:shd w:val="clear" w:color="auto" w:fill="CFF0FC"/>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4220" w:type="dxa"/>
            <w:vAlign w:val="bottom"/>
            <w:gridSpan w:val="2"/>
          </w:tcPr>
          <w:p>
            <w:pPr>
              <w:ind w:left="380"/>
              <w:spacing w:after="0"/>
              <w:rPr>
                <w:sz w:val="20"/>
                <w:szCs w:val="20"/>
                <w:color w:val="auto"/>
              </w:rPr>
            </w:pPr>
            <w:r>
              <w:rPr>
                <w:rFonts w:ascii="Arial" w:cs="Arial" w:eastAsia="Arial" w:hAnsi="Arial"/>
                <w:sz w:val="14"/>
                <w:szCs w:val="14"/>
                <w:color w:val="auto"/>
              </w:rPr>
              <w:t>Highlands Ridge, Puyallup</w:t>
            </w:r>
          </w:p>
        </w:tc>
        <w:tc>
          <w:tcPr>
            <w:tcW w:w="900" w:type="dxa"/>
            <w:vAlign w:val="bottom"/>
          </w:tcPr>
          <w:p>
            <w:pPr>
              <w:jc w:val="center"/>
              <w:spacing w:after="0"/>
              <w:rPr>
                <w:sz w:val="20"/>
                <w:szCs w:val="20"/>
                <w:color w:val="auto"/>
              </w:rPr>
            </w:pPr>
            <w:r>
              <w:rPr>
                <w:rFonts w:ascii="Arial" w:cs="Arial" w:eastAsia="Arial" w:hAnsi="Arial"/>
                <w:sz w:val="14"/>
                <w:szCs w:val="14"/>
                <w:color w:val="auto"/>
                <w:w w:val="83"/>
              </w:rPr>
              <w:t>2012</w:t>
            </w:r>
          </w:p>
        </w:tc>
        <w:tc>
          <w:tcPr>
            <w:tcW w:w="120" w:type="dxa"/>
            <w:vAlign w:val="bottom"/>
          </w:tcPr>
          <w:p>
            <w:pPr>
              <w:spacing w:after="0"/>
              <w:rPr>
                <w:sz w:val="14"/>
                <w:szCs w:val="14"/>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46</w:t>
            </w:r>
          </w:p>
        </w:tc>
        <w:tc>
          <w:tcPr>
            <w:tcW w:w="220" w:type="dxa"/>
            <w:vAlign w:val="bottom"/>
          </w:tcPr>
          <w:p>
            <w:pPr>
              <w:spacing w:after="0"/>
              <w:rPr>
                <w:sz w:val="14"/>
                <w:szCs w:val="14"/>
                <w:color w:val="auto"/>
              </w:rPr>
            </w:pPr>
          </w:p>
        </w:tc>
        <w:tc>
          <w:tcPr>
            <w:tcW w:w="860" w:type="dxa"/>
            <w:vAlign w:val="bottom"/>
          </w:tcPr>
          <w:p>
            <w:pPr>
              <w:jc w:val="right"/>
              <w:spacing w:after="0"/>
              <w:rPr>
                <w:sz w:val="20"/>
                <w:szCs w:val="20"/>
                <w:color w:val="auto"/>
              </w:rPr>
            </w:pPr>
            <w:r>
              <w:rPr>
                <w:rFonts w:ascii="Arial" w:cs="Arial" w:eastAsia="Arial" w:hAnsi="Arial"/>
                <w:sz w:val="14"/>
                <w:szCs w:val="14"/>
                <w:color w:val="auto"/>
              </w:rPr>
              <w:t>46</w:t>
            </w:r>
          </w:p>
        </w:tc>
        <w:tc>
          <w:tcPr>
            <w:tcW w:w="220" w:type="dxa"/>
            <w:vAlign w:val="bottom"/>
          </w:tcPr>
          <w:p>
            <w:pPr>
              <w:spacing w:after="0"/>
              <w:rPr>
                <w:sz w:val="14"/>
                <w:szCs w:val="14"/>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w:t>
            </w:r>
          </w:p>
        </w:tc>
        <w:tc>
          <w:tcPr>
            <w:tcW w:w="220" w:type="dxa"/>
            <w:vAlign w:val="bottom"/>
          </w:tcPr>
          <w:p>
            <w:pPr>
              <w:spacing w:after="0"/>
              <w:rPr>
                <w:sz w:val="14"/>
                <w:szCs w:val="14"/>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w:t>
            </w:r>
          </w:p>
        </w:tc>
        <w:tc>
          <w:tcPr>
            <w:tcW w:w="220" w:type="dxa"/>
            <w:vAlign w:val="bottom"/>
          </w:tcPr>
          <w:p>
            <w:pPr>
              <w:spacing w:after="0"/>
              <w:rPr>
                <w:sz w:val="14"/>
                <w:szCs w:val="14"/>
                <w:color w:val="auto"/>
              </w:rPr>
            </w:pPr>
          </w:p>
        </w:tc>
        <w:tc>
          <w:tcPr>
            <w:tcW w:w="980" w:type="dxa"/>
            <w:vAlign w:val="bottom"/>
          </w:tcPr>
          <w:p>
            <w:pPr>
              <w:jc w:val="right"/>
              <w:spacing w:after="0"/>
              <w:rPr>
                <w:sz w:val="20"/>
                <w:szCs w:val="20"/>
                <w:color w:val="auto"/>
              </w:rPr>
            </w:pPr>
            <w:r>
              <w:rPr>
                <w:rFonts w:ascii="Arial" w:cs="Arial" w:eastAsia="Arial" w:hAnsi="Arial"/>
                <w:sz w:val="14"/>
                <w:szCs w:val="14"/>
                <w:color w:val="auto"/>
              </w:rPr>
              <w:t>1</w:t>
            </w:r>
          </w:p>
        </w:tc>
        <w:tc>
          <w:tcPr>
            <w:tcW w:w="220" w:type="dxa"/>
            <w:vAlign w:val="bottom"/>
          </w:tcPr>
          <w:p>
            <w:pPr>
              <w:spacing w:after="0"/>
              <w:rPr>
                <w:sz w:val="14"/>
                <w:szCs w:val="14"/>
                <w:color w:val="auto"/>
              </w:rPr>
            </w:pPr>
          </w:p>
        </w:tc>
        <w:tc>
          <w:tcPr>
            <w:tcW w:w="900" w:type="dxa"/>
            <w:vAlign w:val="bottom"/>
          </w:tcPr>
          <w:p>
            <w:pPr>
              <w:jc w:val="center"/>
              <w:spacing w:after="0"/>
              <w:rPr>
                <w:sz w:val="20"/>
                <w:szCs w:val="20"/>
                <w:color w:val="auto"/>
              </w:rPr>
            </w:pPr>
            <w:r>
              <w:rPr>
                <w:rFonts w:ascii="Arial" w:cs="Arial" w:eastAsia="Arial" w:hAnsi="Arial"/>
                <w:sz w:val="14"/>
                <w:szCs w:val="14"/>
                <w:color w:val="auto"/>
              </w:rPr>
              <w:t>N/A</w:t>
            </w:r>
          </w:p>
        </w:tc>
        <w:tc>
          <w:tcPr>
            <w:tcW w:w="0" w:type="dxa"/>
            <w:vAlign w:val="bottom"/>
          </w:tcPr>
          <w:p>
            <w:pPr>
              <w:spacing w:after="0"/>
              <w:rPr>
                <w:sz w:val="1"/>
                <w:szCs w:val="1"/>
                <w:color w:val="auto"/>
              </w:rPr>
            </w:pPr>
          </w:p>
        </w:tc>
      </w:tr>
      <w:tr>
        <w:trPr>
          <w:trHeight w:val="162"/>
        </w:trPr>
        <w:tc>
          <w:tcPr>
            <w:tcW w:w="4220" w:type="dxa"/>
            <w:vAlign w:val="bottom"/>
            <w:gridSpan w:val="2"/>
            <w:shd w:val="clear" w:color="auto" w:fill="CFF0FC"/>
          </w:tcPr>
          <w:p>
            <w:pPr>
              <w:ind w:left="380"/>
              <w:spacing w:after="0"/>
              <w:rPr>
                <w:sz w:val="20"/>
                <w:szCs w:val="20"/>
                <w:color w:val="auto"/>
              </w:rPr>
            </w:pPr>
            <w:r>
              <w:rPr>
                <w:rFonts w:ascii="Arial" w:cs="Arial" w:eastAsia="Arial" w:hAnsi="Arial"/>
                <w:sz w:val="14"/>
                <w:szCs w:val="14"/>
                <w:color w:val="auto"/>
              </w:rPr>
              <w:t>Harbor Hill, Gig Harbor</w:t>
            </w:r>
          </w:p>
        </w:tc>
        <w:tc>
          <w:tcPr>
            <w:tcW w:w="900" w:type="dxa"/>
            <w:vAlign w:val="bottom"/>
            <w:shd w:val="clear" w:color="auto" w:fill="CFF0FC"/>
          </w:tcPr>
          <w:p>
            <w:pPr>
              <w:jc w:val="center"/>
              <w:spacing w:after="0"/>
              <w:rPr>
                <w:sz w:val="20"/>
                <w:szCs w:val="20"/>
                <w:color w:val="auto"/>
              </w:rPr>
            </w:pPr>
            <w:r>
              <w:rPr>
                <w:rFonts w:ascii="Arial" w:cs="Arial" w:eastAsia="Arial" w:hAnsi="Arial"/>
                <w:sz w:val="14"/>
                <w:szCs w:val="14"/>
                <w:color w:val="auto"/>
                <w:w w:val="83"/>
              </w:rPr>
              <w:t>2014</w:t>
            </w:r>
          </w:p>
        </w:tc>
        <w:tc>
          <w:tcPr>
            <w:tcW w:w="120" w:type="dxa"/>
            <w:vAlign w:val="bottom"/>
            <w:shd w:val="clear" w:color="auto" w:fill="CFF0FC"/>
          </w:tcPr>
          <w:p>
            <w:pPr>
              <w:spacing w:after="0"/>
              <w:rPr>
                <w:sz w:val="14"/>
                <w:szCs w:val="14"/>
                <w:color w:val="auto"/>
              </w:rPr>
            </w:pPr>
          </w:p>
        </w:tc>
        <w:tc>
          <w:tcPr>
            <w:tcW w:w="7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40</w:t>
            </w:r>
          </w:p>
        </w:tc>
        <w:tc>
          <w:tcPr>
            <w:tcW w:w="220" w:type="dxa"/>
            <w:vAlign w:val="bottom"/>
            <w:shd w:val="clear" w:color="auto" w:fill="CFF0FC"/>
          </w:tcPr>
          <w:p>
            <w:pPr>
              <w:spacing w:after="0"/>
              <w:rPr>
                <w:sz w:val="14"/>
                <w:szCs w:val="14"/>
                <w:color w:val="auto"/>
              </w:rPr>
            </w:pPr>
          </w:p>
        </w:tc>
        <w:tc>
          <w:tcPr>
            <w:tcW w:w="860" w:type="dxa"/>
            <w:vAlign w:val="bottom"/>
            <w:shd w:val="clear" w:color="auto" w:fill="CFF0FC"/>
          </w:tcPr>
          <w:p>
            <w:pPr>
              <w:jc w:val="right"/>
              <w:spacing w:after="0"/>
              <w:rPr>
                <w:sz w:val="20"/>
                <w:szCs w:val="20"/>
                <w:color w:val="auto"/>
              </w:rPr>
            </w:pPr>
            <w:r>
              <w:rPr>
                <w:rFonts w:ascii="Arial" w:cs="Arial" w:eastAsia="Arial" w:hAnsi="Arial"/>
                <w:sz w:val="14"/>
                <w:szCs w:val="14"/>
                <w:color w:val="auto"/>
              </w:rPr>
              <w:t>17</w:t>
            </w:r>
          </w:p>
        </w:tc>
        <w:tc>
          <w:tcPr>
            <w:tcW w:w="220" w:type="dxa"/>
            <w:vAlign w:val="bottom"/>
            <w:shd w:val="clear" w:color="auto" w:fill="CFF0FC"/>
          </w:tcPr>
          <w:p>
            <w:pPr>
              <w:spacing w:after="0"/>
              <w:rPr>
                <w:sz w:val="14"/>
                <w:szCs w:val="14"/>
                <w:color w:val="auto"/>
              </w:rPr>
            </w:pPr>
          </w:p>
        </w:tc>
        <w:tc>
          <w:tcPr>
            <w:tcW w:w="7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23</w:t>
            </w:r>
          </w:p>
        </w:tc>
        <w:tc>
          <w:tcPr>
            <w:tcW w:w="220" w:type="dxa"/>
            <w:vAlign w:val="bottom"/>
            <w:shd w:val="clear" w:color="auto" w:fill="CFF0FC"/>
          </w:tcPr>
          <w:p>
            <w:pPr>
              <w:spacing w:after="0"/>
              <w:rPr>
                <w:sz w:val="14"/>
                <w:szCs w:val="14"/>
                <w:color w:val="auto"/>
              </w:rPr>
            </w:pPr>
          </w:p>
        </w:tc>
        <w:tc>
          <w:tcPr>
            <w:tcW w:w="7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15</w:t>
            </w:r>
          </w:p>
        </w:tc>
        <w:tc>
          <w:tcPr>
            <w:tcW w:w="220" w:type="dxa"/>
            <w:vAlign w:val="bottom"/>
            <w:shd w:val="clear" w:color="auto" w:fill="CFF0FC"/>
          </w:tcPr>
          <w:p>
            <w:pPr>
              <w:spacing w:after="0"/>
              <w:rPr>
                <w:sz w:val="14"/>
                <w:szCs w:val="14"/>
                <w:color w:val="auto"/>
              </w:rPr>
            </w:pPr>
          </w:p>
        </w:tc>
        <w:tc>
          <w:tcPr>
            <w:tcW w:w="9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6</w:t>
            </w:r>
          </w:p>
        </w:tc>
        <w:tc>
          <w:tcPr>
            <w:tcW w:w="1120" w:type="dxa"/>
            <w:vAlign w:val="bottom"/>
            <w:gridSpan w:val="2"/>
            <w:shd w:val="clear" w:color="auto" w:fill="CFF0FC"/>
          </w:tcPr>
          <w:p>
            <w:pPr>
              <w:jc w:val="center"/>
              <w:ind w:left="153"/>
              <w:spacing w:after="0"/>
              <w:rPr>
                <w:sz w:val="20"/>
                <w:szCs w:val="20"/>
                <w:color w:val="auto"/>
              </w:rPr>
            </w:pPr>
            <w:r>
              <w:rPr>
                <w:rFonts w:ascii="Arial" w:cs="Arial" w:eastAsia="Arial" w:hAnsi="Arial"/>
                <w:sz w:val="14"/>
                <w:szCs w:val="14"/>
                <w:color w:val="auto"/>
                <w:w w:val="87"/>
              </w:rPr>
              <w:t>$365- $439</w:t>
            </w:r>
          </w:p>
        </w:tc>
        <w:tc>
          <w:tcPr>
            <w:tcW w:w="0" w:type="dxa"/>
            <w:vAlign w:val="bottom"/>
          </w:tcPr>
          <w:p>
            <w:pPr>
              <w:spacing w:after="0"/>
              <w:rPr>
                <w:sz w:val="1"/>
                <w:szCs w:val="1"/>
                <w:color w:val="auto"/>
              </w:rPr>
            </w:pPr>
          </w:p>
        </w:tc>
      </w:tr>
      <w:tr>
        <w:trPr>
          <w:trHeight w:val="162"/>
        </w:trPr>
        <w:tc>
          <w:tcPr>
            <w:tcW w:w="4220" w:type="dxa"/>
            <w:vAlign w:val="bottom"/>
            <w:gridSpan w:val="2"/>
          </w:tcPr>
          <w:p>
            <w:pPr>
              <w:ind w:left="380"/>
              <w:spacing w:after="0"/>
              <w:rPr>
                <w:sz w:val="20"/>
                <w:szCs w:val="20"/>
                <w:color w:val="auto"/>
              </w:rPr>
            </w:pPr>
            <w:r>
              <w:rPr>
                <w:rFonts w:ascii="Arial" w:cs="Arial" w:eastAsia="Arial" w:hAnsi="Arial"/>
                <w:sz w:val="14"/>
                <w:szCs w:val="14"/>
                <w:color w:val="auto"/>
              </w:rPr>
              <w:t>Chambers Ridge, Tacoma</w:t>
            </w:r>
          </w:p>
        </w:tc>
        <w:tc>
          <w:tcPr>
            <w:tcW w:w="900" w:type="dxa"/>
            <w:vAlign w:val="bottom"/>
          </w:tcPr>
          <w:p>
            <w:pPr>
              <w:jc w:val="center"/>
              <w:spacing w:after="0"/>
              <w:rPr>
                <w:sz w:val="20"/>
                <w:szCs w:val="20"/>
                <w:color w:val="auto"/>
              </w:rPr>
            </w:pPr>
            <w:r>
              <w:rPr>
                <w:rFonts w:ascii="Arial" w:cs="Arial" w:eastAsia="Arial" w:hAnsi="Arial"/>
                <w:sz w:val="14"/>
                <w:szCs w:val="14"/>
                <w:color w:val="auto"/>
                <w:w w:val="83"/>
              </w:rPr>
              <w:t>2014</w:t>
            </w:r>
          </w:p>
        </w:tc>
        <w:tc>
          <w:tcPr>
            <w:tcW w:w="120" w:type="dxa"/>
            <w:vAlign w:val="bottom"/>
          </w:tcPr>
          <w:p>
            <w:pPr>
              <w:spacing w:after="0"/>
              <w:rPr>
                <w:sz w:val="14"/>
                <w:szCs w:val="14"/>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24</w:t>
            </w:r>
          </w:p>
        </w:tc>
        <w:tc>
          <w:tcPr>
            <w:tcW w:w="220" w:type="dxa"/>
            <w:vAlign w:val="bottom"/>
          </w:tcPr>
          <w:p>
            <w:pPr>
              <w:spacing w:after="0"/>
              <w:rPr>
                <w:sz w:val="14"/>
                <w:szCs w:val="14"/>
                <w:color w:val="auto"/>
              </w:rPr>
            </w:pPr>
          </w:p>
        </w:tc>
        <w:tc>
          <w:tcPr>
            <w:tcW w:w="860" w:type="dxa"/>
            <w:vAlign w:val="bottom"/>
          </w:tcPr>
          <w:p>
            <w:pPr>
              <w:jc w:val="right"/>
              <w:spacing w:after="0"/>
              <w:rPr>
                <w:sz w:val="20"/>
                <w:szCs w:val="20"/>
                <w:color w:val="auto"/>
              </w:rPr>
            </w:pPr>
            <w:r>
              <w:rPr>
                <w:rFonts w:ascii="Arial" w:cs="Arial" w:eastAsia="Arial" w:hAnsi="Arial"/>
                <w:sz w:val="14"/>
                <w:szCs w:val="14"/>
                <w:color w:val="auto"/>
              </w:rPr>
              <w:t>3</w:t>
            </w:r>
          </w:p>
        </w:tc>
        <w:tc>
          <w:tcPr>
            <w:tcW w:w="220" w:type="dxa"/>
            <w:vAlign w:val="bottom"/>
          </w:tcPr>
          <w:p>
            <w:pPr>
              <w:spacing w:after="0"/>
              <w:rPr>
                <w:sz w:val="14"/>
                <w:szCs w:val="14"/>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21</w:t>
            </w:r>
          </w:p>
        </w:tc>
        <w:tc>
          <w:tcPr>
            <w:tcW w:w="220" w:type="dxa"/>
            <w:vAlign w:val="bottom"/>
          </w:tcPr>
          <w:p>
            <w:pPr>
              <w:spacing w:after="0"/>
              <w:rPr>
                <w:sz w:val="14"/>
                <w:szCs w:val="14"/>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11</w:t>
            </w:r>
          </w:p>
        </w:tc>
        <w:tc>
          <w:tcPr>
            <w:tcW w:w="220" w:type="dxa"/>
            <w:vAlign w:val="bottom"/>
          </w:tcPr>
          <w:p>
            <w:pPr>
              <w:spacing w:after="0"/>
              <w:rPr>
                <w:sz w:val="14"/>
                <w:szCs w:val="14"/>
                <w:color w:val="auto"/>
              </w:rPr>
            </w:pPr>
          </w:p>
        </w:tc>
        <w:tc>
          <w:tcPr>
            <w:tcW w:w="980" w:type="dxa"/>
            <w:vAlign w:val="bottom"/>
          </w:tcPr>
          <w:p>
            <w:pPr>
              <w:jc w:val="right"/>
              <w:spacing w:after="0"/>
              <w:rPr>
                <w:sz w:val="20"/>
                <w:szCs w:val="20"/>
                <w:color w:val="auto"/>
              </w:rPr>
            </w:pPr>
            <w:r>
              <w:rPr>
                <w:rFonts w:ascii="Arial" w:cs="Arial" w:eastAsia="Arial" w:hAnsi="Arial"/>
                <w:sz w:val="14"/>
                <w:szCs w:val="14"/>
                <w:color w:val="auto"/>
              </w:rPr>
              <w:t>2</w:t>
            </w:r>
          </w:p>
        </w:tc>
        <w:tc>
          <w:tcPr>
            <w:tcW w:w="1120" w:type="dxa"/>
            <w:vAlign w:val="bottom"/>
            <w:gridSpan w:val="2"/>
          </w:tcPr>
          <w:p>
            <w:pPr>
              <w:jc w:val="center"/>
              <w:ind w:left="133"/>
              <w:spacing w:after="0"/>
              <w:rPr>
                <w:sz w:val="20"/>
                <w:szCs w:val="20"/>
                <w:color w:val="auto"/>
              </w:rPr>
            </w:pPr>
            <w:r>
              <w:rPr>
                <w:rFonts w:ascii="Arial" w:cs="Arial" w:eastAsia="Arial" w:hAnsi="Arial"/>
                <w:sz w:val="14"/>
                <w:szCs w:val="14"/>
                <w:color w:val="auto"/>
                <w:w w:val="85"/>
              </w:rPr>
              <w:t>$480 - $525</w:t>
            </w:r>
          </w:p>
        </w:tc>
        <w:tc>
          <w:tcPr>
            <w:tcW w:w="0" w:type="dxa"/>
            <w:vAlign w:val="bottom"/>
          </w:tcPr>
          <w:p>
            <w:pPr>
              <w:spacing w:after="0"/>
              <w:rPr>
                <w:sz w:val="1"/>
                <w:szCs w:val="1"/>
                <w:color w:val="auto"/>
              </w:rPr>
            </w:pPr>
          </w:p>
        </w:tc>
      </w:tr>
      <w:tr>
        <w:trPr>
          <w:trHeight w:val="162"/>
        </w:trPr>
        <w:tc>
          <w:tcPr>
            <w:tcW w:w="4220" w:type="dxa"/>
            <w:vAlign w:val="bottom"/>
            <w:gridSpan w:val="2"/>
            <w:shd w:val="clear" w:color="auto" w:fill="CFF0FC"/>
          </w:tcPr>
          <w:p>
            <w:pPr>
              <w:ind w:left="380"/>
              <w:spacing w:after="0"/>
              <w:rPr>
                <w:sz w:val="20"/>
                <w:szCs w:val="20"/>
                <w:color w:val="auto"/>
              </w:rPr>
            </w:pPr>
            <w:r>
              <w:rPr>
                <w:rFonts w:ascii="Arial" w:cs="Arial" w:eastAsia="Arial" w:hAnsi="Arial"/>
                <w:sz w:val="14"/>
                <w:szCs w:val="14"/>
                <w:color w:val="auto"/>
              </w:rPr>
              <w:t>Tehaleh, Bonney Lake</w:t>
            </w:r>
          </w:p>
        </w:tc>
        <w:tc>
          <w:tcPr>
            <w:tcW w:w="900" w:type="dxa"/>
            <w:vAlign w:val="bottom"/>
            <w:shd w:val="clear" w:color="auto" w:fill="CFF0FC"/>
          </w:tcPr>
          <w:p>
            <w:pPr>
              <w:jc w:val="center"/>
              <w:spacing w:after="0"/>
              <w:rPr>
                <w:sz w:val="20"/>
                <w:szCs w:val="20"/>
                <w:color w:val="auto"/>
              </w:rPr>
            </w:pPr>
            <w:r>
              <w:rPr>
                <w:rFonts w:ascii="Arial" w:cs="Arial" w:eastAsia="Arial" w:hAnsi="Arial"/>
                <w:sz w:val="14"/>
                <w:szCs w:val="14"/>
                <w:color w:val="auto"/>
                <w:w w:val="83"/>
              </w:rPr>
              <w:t>2013</w:t>
            </w:r>
          </w:p>
        </w:tc>
        <w:tc>
          <w:tcPr>
            <w:tcW w:w="120" w:type="dxa"/>
            <w:vAlign w:val="bottom"/>
            <w:shd w:val="clear" w:color="auto" w:fill="CFF0FC"/>
          </w:tcPr>
          <w:p>
            <w:pPr>
              <w:spacing w:after="0"/>
              <w:rPr>
                <w:sz w:val="14"/>
                <w:szCs w:val="14"/>
                <w:color w:val="auto"/>
              </w:rPr>
            </w:pPr>
          </w:p>
        </w:tc>
        <w:tc>
          <w:tcPr>
            <w:tcW w:w="7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85</w:t>
            </w:r>
          </w:p>
        </w:tc>
        <w:tc>
          <w:tcPr>
            <w:tcW w:w="220" w:type="dxa"/>
            <w:vAlign w:val="bottom"/>
            <w:shd w:val="clear" w:color="auto" w:fill="CFF0FC"/>
          </w:tcPr>
          <w:p>
            <w:pPr>
              <w:spacing w:after="0"/>
              <w:rPr>
                <w:sz w:val="14"/>
                <w:szCs w:val="14"/>
                <w:color w:val="auto"/>
              </w:rPr>
            </w:pPr>
          </w:p>
        </w:tc>
        <w:tc>
          <w:tcPr>
            <w:tcW w:w="860" w:type="dxa"/>
            <w:vAlign w:val="bottom"/>
            <w:shd w:val="clear" w:color="auto" w:fill="CFF0FC"/>
          </w:tcPr>
          <w:p>
            <w:pPr>
              <w:jc w:val="right"/>
              <w:spacing w:after="0"/>
              <w:rPr>
                <w:sz w:val="20"/>
                <w:szCs w:val="20"/>
                <w:color w:val="auto"/>
              </w:rPr>
            </w:pPr>
            <w:r>
              <w:rPr>
                <w:rFonts w:ascii="Arial" w:cs="Arial" w:eastAsia="Arial" w:hAnsi="Arial"/>
                <w:sz w:val="14"/>
                <w:szCs w:val="14"/>
                <w:color w:val="auto"/>
              </w:rPr>
              <w:t>61</w:t>
            </w:r>
          </w:p>
        </w:tc>
        <w:tc>
          <w:tcPr>
            <w:tcW w:w="220" w:type="dxa"/>
            <w:vAlign w:val="bottom"/>
            <w:shd w:val="clear" w:color="auto" w:fill="CFF0FC"/>
          </w:tcPr>
          <w:p>
            <w:pPr>
              <w:spacing w:after="0"/>
              <w:rPr>
                <w:sz w:val="14"/>
                <w:szCs w:val="14"/>
                <w:color w:val="auto"/>
              </w:rPr>
            </w:pPr>
          </w:p>
        </w:tc>
        <w:tc>
          <w:tcPr>
            <w:tcW w:w="7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24</w:t>
            </w:r>
          </w:p>
        </w:tc>
        <w:tc>
          <w:tcPr>
            <w:tcW w:w="220" w:type="dxa"/>
            <w:vAlign w:val="bottom"/>
            <w:shd w:val="clear" w:color="auto" w:fill="CFF0FC"/>
          </w:tcPr>
          <w:p>
            <w:pPr>
              <w:spacing w:after="0"/>
              <w:rPr>
                <w:sz w:val="14"/>
                <w:szCs w:val="14"/>
                <w:color w:val="auto"/>
              </w:rPr>
            </w:pPr>
          </w:p>
        </w:tc>
        <w:tc>
          <w:tcPr>
            <w:tcW w:w="7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16</w:t>
            </w:r>
          </w:p>
        </w:tc>
        <w:tc>
          <w:tcPr>
            <w:tcW w:w="220" w:type="dxa"/>
            <w:vAlign w:val="bottom"/>
            <w:shd w:val="clear" w:color="auto" w:fill="CFF0FC"/>
          </w:tcPr>
          <w:p>
            <w:pPr>
              <w:spacing w:after="0"/>
              <w:rPr>
                <w:sz w:val="14"/>
                <w:szCs w:val="14"/>
                <w:color w:val="auto"/>
              </w:rPr>
            </w:pPr>
          </w:p>
        </w:tc>
        <w:tc>
          <w:tcPr>
            <w:tcW w:w="9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6</w:t>
            </w:r>
          </w:p>
        </w:tc>
        <w:tc>
          <w:tcPr>
            <w:tcW w:w="1120" w:type="dxa"/>
            <w:vAlign w:val="bottom"/>
            <w:gridSpan w:val="2"/>
            <w:shd w:val="clear" w:color="auto" w:fill="CFF0FC"/>
          </w:tcPr>
          <w:p>
            <w:pPr>
              <w:jc w:val="center"/>
              <w:ind w:left="133"/>
              <w:spacing w:after="0"/>
              <w:rPr>
                <w:sz w:val="20"/>
                <w:szCs w:val="20"/>
                <w:color w:val="auto"/>
              </w:rPr>
            </w:pPr>
            <w:r>
              <w:rPr>
                <w:rFonts w:ascii="Arial" w:cs="Arial" w:eastAsia="Arial" w:hAnsi="Arial"/>
                <w:sz w:val="14"/>
                <w:szCs w:val="14"/>
                <w:color w:val="auto"/>
                <w:w w:val="85"/>
              </w:rPr>
              <w:t>$290 - $350</w:t>
            </w:r>
          </w:p>
        </w:tc>
        <w:tc>
          <w:tcPr>
            <w:tcW w:w="0" w:type="dxa"/>
            <w:vAlign w:val="bottom"/>
          </w:tcPr>
          <w:p>
            <w:pPr>
              <w:spacing w:after="0"/>
              <w:rPr>
                <w:sz w:val="1"/>
                <w:szCs w:val="1"/>
                <w:color w:val="auto"/>
              </w:rPr>
            </w:pPr>
          </w:p>
        </w:tc>
      </w:tr>
      <w:tr>
        <w:trPr>
          <w:trHeight w:val="162"/>
        </w:trPr>
        <w:tc>
          <w:tcPr>
            <w:tcW w:w="4220" w:type="dxa"/>
            <w:vAlign w:val="bottom"/>
            <w:gridSpan w:val="2"/>
          </w:tcPr>
          <w:p>
            <w:pPr>
              <w:ind w:left="380"/>
              <w:spacing w:after="0"/>
              <w:rPr>
                <w:sz w:val="20"/>
                <w:szCs w:val="20"/>
                <w:color w:val="auto"/>
              </w:rPr>
            </w:pPr>
            <w:r>
              <w:rPr>
                <w:rFonts w:ascii="Arial" w:cs="Arial" w:eastAsia="Arial" w:hAnsi="Arial"/>
                <w:sz w:val="14"/>
                <w:szCs w:val="14"/>
                <w:color w:val="auto"/>
              </w:rPr>
              <w:t>Harbor Hill N2, Gig Harbor</w:t>
            </w:r>
          </w:p>
        </w:tc>
        <w:tc>
          <w:tcPr>
            <w:tcW w:w="900" w:type="dxa"/>
            <w:vAlign w:val="bottom"/>
          </w:tcPr>
          <w:p>
            <w:pPr>
              <w:jc w:val="center"/>
              <w:spacing w:after="0"/>
              <w:rPr>
                <w:sz w:val="20"/>
                <w:szCs w:val="20"/>
                <w:color w:val="auto"/>
              </w:rPr>
            </w:pPr>
            <w:r>
              <w:rPr>
                <w:rFonts w:ascii="Arial" w:cs="Arial" w:eastAsia="Arial" w:hAnsi="Arial"/>
                <w:sz w:val="14"/>
                <w:szCs w:val="14"/>
                <w:color w:val="auto"/>
                <w:w w:val="83"/>
              </w:rPr>
              <w:t>2015</w:t>
            </w:r>
          </w:p>
        </w:tc>
        <w:tc>
          <w:tcPr>
            <w:tcW w:w="120" w:type="dxa"/>
            <w:vAlign w:val="bottom"/>
          </w:tcPr>
          <w:p>
            <w:pPr>
              <w:spacing w:after="0"/>
              <w:rPr>
                <w:sz w:val="14"/>
                <w:szCs w:val="14"/>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33</w:t>
            </w:r>
          </w:p>
        </w:tc>
        <w:tc>
          <w:tcPr>
            <w:tcW w:w="220" w:type="dxa"/>
            <w:vAlign w:val="bottom"/>
          </w:tcPr>
          <w:p>
            <w:pPr>
              <w:spacing w:after="0"/>
              <w:rPr>
                <w:sz w:val="14"/>
                <w:szCs w:val="14"/>
                <w:color w:val="auto"/>
              </w:rPr>
            </w:pPr>
          </w:p>
        </w:tc>
        <w:tc>
          <w:tcPr>
            <w:tcW w:w="860" w:type="dxa"/>
            <w:vAlign w:val="bottom"/>
          </w:tcPr>
          <w:p>
            <w:pPr>
              <w:jc w:val="right"/>
              <w:spacing w:after="0"/>
              <w:rPr>
                <w:sz w:val="20"/>
                <w:szCs w:val="20"/>
                <w:color w:val="auto"/>
              </w:rPr>
            </w:pPr>
            <w:r>
              <w:rPr>
                <w:rFonts w:ascii="Arial" w:cs="Arial" w:eastAsia="Arial" w:hAnsi="Arial"/>
                <w:sz w:val="14"/>
                <w:szCs w:val="14"/>
                <w:color w:val="auto"/>
              </w:rPr>
              <w:t>-</w:t>
            </w:r>
          </w:p>
        </w:tc>
        <w:tc>
          <w:tcPr>
            <w:tcW w:w="220" w:type="dxa"/>
            <w:vAlign w:val="bottom"/>
          </w:tcPr>
          <w:p>
            <w:pPr>
              <w:spacing w:after="0"/>
              <w:rPr>
                <w:sz w:val="14"/>
                <w:szCs w:val="14"/>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33</w:t>
            </w:r>
          </w:p>
        </w:tc>
        <w:tc>
          <w:tcPr>
            <w:tcW w:w="220" w:type="dxa"/>
            <w:vAlign w:val="bottom"/>
          </w:tcPr>
          <w:p>
            <w:pPr>
              <w:spacing w:after="0"/>
              <w:rPr>
                <w:sz w:val="14"/>
                <w:szCs w:val="14"/>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w:t>
            </w:r>
          </w:p>
        </w:tc>
        <w:tc>
          <w:tcPr>
            <w:tcW w:w="220" w:type="dxa"/>
            <w:vAlign w:val="bottom"/>
          </w:tcPr>
          <w:p>
            <w:pPr>
              <w:spacing w:after="0"/>
              <w:rPr>
                <w:sz w:val="14"/>
                <w:szCs w:val="14"/>
                <w:color w:val="auto"/>
              </w:rPr>
            </w:pPr>
          </w:p>
        </w:tc>
        <w:tc>
          <w:tcPr>
            <w:tcW w:w="980" w:type="dxa"/>
            <w:vAlign w:val="bottom"/>
          </w:tcPr>
          <w:p>
            <w:pPr>
              <w:jc w:val="right"/>
              <w:spacing w:after="0"/>
              <w:rPr>
                <w:sz w:val="20"/>
                <w:szCs w:val="20"/>
                <w:color w:val="auto"/>
              </w:rPr>
            </w:pPr>
            <w:r>
              <w:rPr>
                <w:rFonts w:ascii="Arial" w:cs="Arial" w:eastAsia="Arial" w:hAnsi="Arial"/>
                <w:sz w:val="14"/>
                <w:szCs w:val="14"/>
                <w:color w:val="auto"/>
              </w:rPr>
              <w:t>-</w:t>
            </w:r>
          </w:p>
        </w:tc>
        <w:tc>
          <w:tcPr>
            <w:tcW w:w="1120" w:type="dxa"/>
            <w:vAlign w:val="bottom"/>
            <w:gridSpan w:val="2"/>
          </w:tcPr>
          <w:p>
            <w:pPr>
              <w:jc w:val="center"/>
              <w:ind w:left="133"/>
              <w:spacing w:after="0"/>
              <w:rPr>
                <w:sz w:val="20"/>
                <w:szCs w:val="20"/>
                <w:color w:val="auto"/>
              </w:rPr>
            </w:pPr>
            <w:r>
              <w:rPr>
                <w:rFonts w:ascii="Arial" w:cs="Arial" w:eastAsia="Arial" w:hAnsi="Arial"/>
                <w:sz w:val="14"/>
                <w:szCs w:val="14"/>
                <w:color w:val="auto"/>
                <w:w w:val="85"/>
              </w:rPr>
              <w:t>$530 - $590</w:t>
            </w:r>
          </w:p>
        </w:tc>
        <w:tc>
          <w:tcPr>
            <w:tcW w:w="0" w:type="dxa"/>
            <w:vAlign w:val="bottom"/>
          </w:tcPr>
          <w:p>
            <w:pPr>
              <w:spacing w:after="0"/>
              <w:rPr>
                <w:sz w:val="1"/>
                <w:szCs w:val="1"/>
                <w:color w:val="auto"/>
              </w:rPr>
            </w:pPr>
          </w:p>
        </w:tc>
      </w:tr>
      <w:tr>
        <w:trPr>
          <w:trHeight w:val="162"/>
        </w:trPr>
        <w:tc>
          <w:tcPr>
            <w:tcW w:w="4220" w:type="dxa"/>
            <w:vAlign w:val="bottom"/>
            <w:gridSpan w:val="2"/>
            <w:shd w:val="clear" w:color="auto" w:fill="CFF0FC"/>
          </w:tcPr>
          <w:p>
            <w:pPr>
              <w:spacing w:after="0"/>
              <w:rPr>
                <w:sz w:val="20"/>
                <w:szCs w:val="20"/>
                <w:color w:val="auto"/>
              </w:rPr>
            </w:pPr>
            <w:r>
              <w:rPr>
                <w:rFonts w:ascii="Arial" w:cs="Arial" w:eastAsia="Arial" w:hAnsi="Arial"/>
                <w:sz w:val="14"/>
                <w:szCs w:val="14"/>
                <w:color w:val="auto"/>
              </w:rPr>
              <w:t>Thurston County:</w:t>
            </w:r>
          </w:p>
        </w:tc>
        <w:tc>
          <w:tcPr>
            <w:tcW w:w="900" w:type="dxa"/>
            <w:vAlign w:val="bottom"/>
            <w:shd w:val="clear" w:color="auto" w:fill="CFF0FC"/>
          </w:tcPr>
          <w:p>
            <w:pPr>
              <w:spacing w:after="0"/>
              <w:rPr>
                <w:sz w:val="14"/>
                <w:szCs w:val="14"/>
                <w:color w:val="auto"/>
              </w:rPr>
            </w:pPr>
          </w:p>
        </w:tc>
        <w:tc>
          <w:tcPr>
            <w:tcW w:w="120" w:type="dxa"/>
            <w:vAlign w:val="bottom"/>
            <w:shd w:val="clear" w:color="auto" w:fill="CFF0FC"/>
          </w:tcPr>
          <w:p>
            <w:pPr>
              <w:spacing w:after="0"/>
              <w:rPr>
                <w:sz w:val="14"/>
                <w:szCs w:val="14"/>
                <w:color w:val="auto"/>
              </w:rPr>
            </w:pPr>
          </w:p>
        </w:tc>
        <w:tc>
          <w:tcPr>
            <w:tcW w:w="780" w:type="dxa"/>
            <w:vAlign w:val="bottom"/>
            <w:shd w:val="clear" w:color="auto" w:fill="CFF0FC"/>
          </w:tcPr>
          <w:p>
            <w:pPr>
              <w:spacing w:after="0"/>
              <w:rPr>
                <w:sz w:val="14"/>
                <w:szCs w:val="14"/>
                <w:color w:val="auto"/>
              </w:rPr>
            </w:pPr>
          </w:p>
        </w:tc>
        <w:tc>
          <w:tcPr>
            <w:tcW w:w="220" w:type="dxa"/>
            <w:vAlign w:val="bottom"/>
            <w:shd w:val="clear" w:color="auto" w:fill="CFF0FC"/>
          </w:tcPr>
          <w:p>
            <w:pPr>
              <w:spacing w:after="0"/>
              <w:rPr>
                <w:sz w:val="14"/>
                <w:szCs w:val="14"/>
                <w:color w:val="auto"/>
              </w:rPr>
            </w:pPr>
          </w:p>
        </w:tc>
        <w:tc>
          <w:tcPr>
            <w:tcW w:w="860" w:type="dxa"/>
            <w:vAlign w:val="bottom"/>
            <w:shd w:val="clear" w:color="auto" w:fill="CFF0FC"/>
          </w:tcPr>
          <w:p>
            <w:pPr>
              <w:spacing w:after="0"/>
              <w:rPr>
                <w:sz w:val="14"/>
                <w:szCs w:val="14"/>
                <w:color w:val="auto"/>
              </w:rPr>
            </w:pPr>
          </w:p>
        </w:tc>
        <w:tc>
          <w:tcPr>
            <w:tcW w:w="220" w:type="dxa"/>
            <w:vAlign w:val="bottom"/>
            <w:shd w:val="clear" w:color="auto" w:fill="CFF0FC"/>
          </w:tcPr>
          <w:p>
            <w:pPr>
              <w:spacing w:after="0"/>
              <w:rPr>
                <w:sz w:val="14"/>
                <w:szCs w:val="14"/>
                <w:color w:val="auto"/>
              </w:rPr>
            </w:pPr>
          </w:p>
        </w:tc>
        <w:tc>
          <w:tcPr>
            <w:tcW w:w="780" w:type="dxa"/>
            <w:vAlign w:val="bottom"/>
            <w:shd w:val="clear" w:color="auto" w:fill="CFF0FC"/>
          </w:tcPr>
          <w:p>
            <w:pPr>
              <w:spacing w:after="0"/>
              <w:rPr>
                <w:sz w:val="14"/>
                <w:szCs w:val="14"/>
                <w:color w:val="auto"/>
              </w:rPr>
            </w:pPr>
          </w:p>
        </w:tc>
        <w:tc>
          <w:tcPr>
            <w:tcW w:w="220" w:type="dxa"/>
            <w:vAlign w:val="bottom"/>
            <w:shd w:val="clear" w:color="auto" w:fill="CFF0FC"/>
          </w:tcPr>
          <w:p>
            <w:pPr>
              <w:spacing w:after="0"/>
              <w:rPr>
                <w:sz w:val="14"/>
                <w:szCs w:val="14"/>
                <w:color w:val="auto"/>
              </w:rPr>
            </w:pPr>
          </w:p>
        </w:tc>
        <w:tc>
          <w:tcPr>
            <w:tcW w:w="780" w:type="dxa"/>
            <w:vAlign w:val="bottom"/>
            <w:shd w:val="clear" w:color="auto" w:fill="CFF0FC"/>
          </w:tcPr>
          <w:p>
            <w:pPr>
              <w:spacing w:after="0"/>
              <w:rPr>
                <w:sz w:val="14"/>
                <w:szCs w:val="14"/>
                <w:color w:val="auto"/>
              </w:rPr>
            </w:pPr>
          </w:p>
        </w:tc>
        <w:tc>
          <w:tcPr>
            <w:tcW w:w="220" w:type="dxa"/>
            <w:vAlign w:val="bottom"/>
            <w:shd w:val="clear" w:color="auto" w:fill="CFF0FC"/>
          </w:tcPr>
          <w:p>
            <w:pPr>
              <w:spacing w:after="0"/>
              <w:rPr>
                <w:sz w:val="14"/>
                <w:szCs w:val="14"/>
                <w:color w:val="auto"/>
              </w:rPr>
            </w:pPr>
          </w:p>
        </w:tc>
        <w:tc>
          <w:tcPr>
            <w:tcW w:w="980" w:type="dxa"/>
            <w:vAlign w:val="bottom"/>
            <w:shd w:val="clear" w:color="auto" w:fill="CFF0FC"/>
          </w:tcPr>
          <w:p>
            <w:pPr>
              <w:spacing w:after="0"/>
              <w:rPr>
                <w:sz w:val="14"/>
                <w:szCs w:val="14"/>
                <w:color w:val="auto"/>
              </w:rPr>
            </w:pPr>
          </w:p>
        </w:tc>
        <w:tc>
          <w:tcPr>
            <w:tcW w:w="220" w:type="dxa"/>
            <w:vAlign w:val="bottom"/>
            <w:shd w:val="clear" w:color="auto" w:fill="CFF0FC"/>
          </w:tcPr>
          <w:p>
            <w:pPr>
              <w:spacing w:after="0"/>
              <w:rPr>
                <w:sz w:val="14"/>
                <w:szCs w:val="14"/>
                <w:color w:val="auto"/>
              </w:rPr>
            </w:pPr>
          </w:p>
        </w:tc>
        <w:tc>
          <w:tcPr>
            <w:tcW w:w="900" w:type="dxa"/>
            <w:vAlign w:val="bottom"/>
            <w:shd w:val="clear" w:color="auto" w:fill="CFF0FC"/>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4220" w:type="dxa"/>
            <w:vAlign w:val="bottom"/>
            <w:gridSpan w:val="2"/>
          </w:tcPr>
          <w:p>
            <w:pPr>
              <w:ind w:left="380"/>
              <w:spacing w:after="0"/>
              <w:rPr>
                <w:sz w:val="20"/>
                <w:szCs w:val="20"/>
                <w:color w:val="auto"/>
              </w:rPr>
            </w:pPr>
            <w:r>
              <w:rPr>
                <w:rFonts w:ascii="Arial" w:cs="Arial" w:eastAsia="Arial" w:hAnsi="Arial"/>
                <w:sz w:val="14"/>
                <w:szCs w:val="14"/>
                <w:color w:val="auto"/>
              </w:rPr>
              <w:t>Campus Fairways, Lacey</w:t>
            </w:r>
          </w:p>
        </w:tc>
        <w:tc>
          <w:tcPr>
            <w:tcW w:w="900" w:type="dxa"/>
            <w:vAlign w:val="bottom"/>
          </w:tcPr>
          <w:p>
            <w:pPr>
              <w:jc w:val="center"/>
              <w:spacing w:after="0"/>
              <w:rPr>
                <w:sz w:val="20"/>
                <w:szCs w:val="20"/>
                <w:color w:val="auto"/>
              </w:rPr>
            </w:pPr>
            <w:r>
              <w:rPr>
                <w:rFonts w:ascii="Arial" w:cs="Arial" w:eastAsia="Arial" w:hAnsi="Arial"/>
                <w:sz w:val="14"/>
                <w:szCs w:val="14"/>
                <w:color w:val="auto"/>
                <w:w w:val="83"/>
              </w:rPr>
              <w:t>2015</w:t>
            </w:r>
          </w:p>
        </w:tc>
        <w:tc>
          <w:tcPr>
            <w:tcW w:w="120" w:type="dxa"/>
            <w:vAlign w:val="bottom"/>
          </w:tcPr>
          <w:p>
            <w:pPr>
              <w:spacing w:after="0"/>
              <w:rPr>
                <w:sz w:val="14"/>
                <w:szCs w:val="14"/>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79</w:t>
            </w:r>
          </w:p>
        </w:tc>
        <w:tc>
          <w:tcPr>
            <w:tcW w:w="220" w:type="dxa"/>
            <w:vAlign w:val="bottom"/>
          </w:tcPr>
          <w:p>
            <w:pPr>
              <w:spacing w:after="0"/>
              <w:rPr>
                <w:sz w:val="14"/>
                <w:szCs w:val="14"/>
                <w:color w:val="auto"/>
              </w:rPr>
            </w:pPr>
          </w:p>
        </w:tc>
        <w:tc>
          <w:tcPr>
            <w:tcW w:w="860" w:type="dxa"/>
            <w:vAlign w:val="bottom"/>
          </w:tcPr>
          <w:p>
            <w:pPr>
              <w:jc w:val="right"/>
              <w:spacing w:after="0"/>
              <w:rPr>
                <w:sz w:val="20"/>
                <w:szCs w:val="20"/>
                <w:color w:val="auto"/>
              </w:rPr>
            </w:pPr>
            <w:r>
              <w:rPr>
                <w:rFonts w:ascii="Arial" w:cs="Arial" w:eastAsia="Arial" w:hAnsi="Arial"/>
                <w:sz w:val="14"/>
                <w:szCs w:val="14"/>
                <w:color w:val="auto"/>
              </w:rPr>
              <w:t>-</w:t>
            </w:r>
          </w:p>
        </w:tc>
        <w:tc>
          <w:tcPr>
            <w:tcW w:w="220" w:type="dxa"/>
            <w:vAlign w:val="bottom"/>
          </w:tcPr>
          <w:p>
            <w:pPr>
              <w:spacing w:after="0"/>
              <w:rPr>
                <w:sz w:val="14"/>
                <w:szCs w:val="14"/>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39</w:t>
            </w:r>
          </w:p>
        </w:tc>
        <w:tc>
          <w:tcPr>
            <w:tcW w:w="220" w:type="dxa"/>
            <w:vAlign w:val="bottom"/>
          </w:tcPr>
          <w:p>
            <w:pPr>
              <w:spacing w:after="0"/>
              <w:rPr>
                <w:sz w:val="14"/>
                <w:szCs w:val="14"/>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8</w:t>
            </w:r>
          </w:p>
        </w:tc>
        <w:tc>
          <w:tcPr>
            <w:tcW w:w="220" w:type="dxa"/>
            <w:vAlign w:val="bottom"/>
          </w:tcPr>
          <w:p>
            <w:pPr>
              <w:spacing w:after="0"/>
              <w:rPr>
                <w:sz w:val="14"/>
                <w:szCs w:val="14"/>
                <w:color w:val="auto"/>
              </w:rPr>
            </w:pPr>
          </w:p>
        </w:tc>
        <w:tc>
          <w:tcPr>
            <w:tcW w:w="980" w:type="dxa"/>
            <w:vAlign w:val="bottom"/>
          </w:tcPr>
          <w:p>
            <w:pPr>
              <w:jc w:val="right"/>
              <w:spacing w:after="0"/>
              <w:rPr>
                <w:sz w:val="20"/>
                <w:szCs w:val="20"/>
                <w:color w:val="auto"/>
              </w:rPr>
            </w:pPr>
            <w:r>
              <w:rPr>
                <w:rFonts w:ascii="Arial" w:cs="Arial" w:eastAsia="Arial" w:hAnsi="Arial"/>
                <w:sz w:val="14"/>
                <w:szCs w:val="14"/>
                <w:color w:val="auto"/>
              </w:rPr>
              <w:t>-</w:t>
            </w:r>
          </w:p>
        </w:tc>
        <w:tc>
          <w:tcPr>
            <w:tcW w:w="1120" w:type="dxa"/>
            <w:vAlign w:val="bottom"/>
            <w:gridSpan w:val="2"/>
          </w:tcPr>
          <w:p>
            <w:pPr>
              <w:jc w:val="center"/>
              <w:ind w:left="133"/>
              <w:spacing w:after="0"/>
              <w:rPr>
                <w:sz w:val="20"/>
                <w:szCs w:val="20"/>
                <w:color w:val="auto"/>
              </w:rPr>
            </w:pPr>
            <w:r>
              <w:rPr>
                <w:rFonts w:ascii="Arial" w:cs="Arial" w:eastAsia="Arial" w:hAnsi="Arial"/>
                <w:sz w:val="14"/>
                <w:szCs w:val="14"/>
                <w:color w:val="auto"/>
                <w:w w:val="85"/>
              </w:rPr>
              <w:t>$365 - $425</w:t>
            </w:r>
          </w:p>
        </w:tc>
        <w:tc>
          <w:tcPr>
            <w:tcW w:w="0" w:type="dxa"/>
            <w:vAlign w:val="bottom"/>
          </w:tcPr>
          <w:p>
            <w:pPr>
              <w:spacing w:after="0"/>
              <w:rPr>
                <w:sz w:val="1"/>
                <w:szCs w:val="1"/>
                <w:color w:val="auto"/>
              </w:rPr>
            </w:pPr>
          </w:p>
        </w:tc>
      </w:tr>
      <w:tr>
        <w:trPr>
          <w:trHeight w:val="162"/>
        </w:trPr>
        <w:tc>
          <w:tcPr>
            <w:tcW w:w="4220" w:type="dxa"/>
            <w:vAlign w:val="bottom"/>
            <w:gridSpan w:val="2"/>
            <w:shd w:val="clear" w:color="auto" w:fill="CFF0FC"/>
          </w:tcPr>
          <w:p>
            <w:pPr>
              <w:spacing w:after="0"/>
              <w:rPr>
                <w:sz w:val="20"/>
                <w:szCs w:val="20"/>
                <w:color w:val="auto"/>
              </w:rPr>
            </w:pPr>
            <w:r>
              <w:rPr>
                <w:rFonts w:ascii="Arial" w:cs="Arial" w:eastAsia="Arial" w:hAnsi="Arial"/>
                <w:sz w:val="14"/>
                <w:szCs w:val="14"/>
                <w:color w:val="auto"/>
              </w:rPr>
              <w:t>Kitsap County:</w:t>
            </w:r>
          </w:p>
        </w:tc>
        <w:tc>
          <w:tcPr>
            <w:tcW w:w="900" w:type="dxa"/>
            <w:vAlign w:val="bottom"/>
            <w:shd w:val="clear" w:color="auto" w:fill="CFF0FC"/>
          </w:tcPr>
          <w:p>
            <w:pPr>
              <w:spacing w:after="0"/>
              <w:rPr>
                <w:sz w:val="14"/>
                <w:szCs w:val="14"/>
                <w:color w:val="auto"/>
              </w:rPr>
            </w:pPr>
          </w:p>
        </w:tc>
        <w:tc>
          <w:tcPr>
            <w:tcW w:w="120" w:type="dxa"/>
            <w:vAlign w:val="bottom"/>
            <w:shd w:val="clear" w:color="auto" w:fill="CFF0FC"/>
          </w:tcPr>
          <w:p>
            <w:pPr>
              <w:spacing w:after="0"/>
              <w:rPr>
                <w:sz w:val="14"/>
                <w:szCs w:val="14"/>
                <w:color w:val="auto"/>
              </w:rPr>
            </w:pPr>
          </w:p>
        </w:tc>
        <w:tc>
          <w:tcPr>
            <w:tcW w:w="780" w:type="dxa"/>
            <w:vAlign w:val="bottom"/>
            <w:shd w:val="clear" w:color="auto" w:fill="CFF0FC"/>
          </w:tcPr>
          <w:p>
            <w:pPr>
              <w:spacing w:after="0"/>
              <w:rPr>
                <w:sz w:val="14"/>
                <w:szCs w:val="14"/>
                <w:color w:val="auto"/>
              </w:rPr>
            </w:pPr>
          </w:p>
        </w:tc>
        <w:tc>
          <w:tcPr>
            <w:tcW w:w="220" w:type="dxa"/>
            <w:vAlign w:val="bottom"/>
            <w:shd w:val="clear" w:color="auto" w:fill="CFF0FC"/>
          </w:tcPr>
          <w:p>
            <w:pPr>
              <w:spacing w:after="0"/>
              <w:rPr>
                <w:sz w:val="14"/>
                <w:szCs w:val="14"/>
                <w:color w:val="auto"/>
              </w:rPr>
            </w:pPr>
          </w:p>
        </w:tc>
        <w:tc>
          <w:tcPr>
            <w:tcW w:w="860" w:type="dxa"/>
            <w:vAlign w:val="bottom"/>
            <w:shd w:val="clear" w:color="auto" w:fill="CFF0FC"/>
          </w:tcPr>
          <w:p>
            <w:pPr>
              <w:spacing w:after="0"/>
              <w:rPr>
                <w:sz w:val="14"/>
                <w:szCs w:val="14"/>
                <w:color w:val="auto"/>
              </w:rPr>
            </w:pPr>
          </w:p>
        </w:tc>
        <w:tc>
          <w:tcPr>
            <w:tcW w:w="220" w:type="dxa"/>
            <w:vAlign w:val="bottom"/>
            <w:shd w:val="clear" w:color="auto" w:fill="CFF0FC"/>
          </w:tcPr>
          <w:p>
            <w:pPr>
              <w:spacing w:after="0"/>
              <w:rPr>
                <w:sz w:val="14"/>
                <w:szCs w:val="14"/>
                <w:color w:val="auto"/>
              </w:rPr>
            </w:pPr>
          </w:p>
        </w:tc>
        <w:tc>
          <w:tcPr>
            <w:tcW w:w="780" w:type="dxa"/>
            <w:vAlign w:val="bottom"/>
            <w:shd w:val="clear" w:color="auto" w:fill="CFF0FC"/>
          </w:tcPr>
          <w:p>
            <w:pPr>
              <w:spacing w:after="0"/>
              <w:rPr>
                <w:sz w:val="14"/>
                <w:szCs w:val="14"/>
                <w:color w:val="auto"/>
              </w:rPr>
            </w:pPr>
          </w:p>
        </w:tc>
        <w:tc>
          <w:tcPr>
            <w:tcW w:w="220" w:type="dxa"/>
            <w:vAlign w:val="bottom"/>
            <w:shd w:val="clear" w:color="auto" w:fill="CFF0FC"/>
          </w:tcPr>
          <w:p>
            <w:pPr>
              <w:spacing w:after="0"/>
              <w:rPr>
                <w:sz w:val="14"/>
                <w:szCs w:val="14"/>
                <w:color w:val="auto"/>
              </w:rPr>
            </w:pPr>
          </w:p>
        </w:tc>
        <w:tc>
          <w:tcPr>
            <w:tcW w:w="780" w:type="dxa"/>
            <w:vAlign w:val="bottom"/>
            <w:shd w:val="clear" w:color="auto" w:fill="CFF0FC"/>
          </w:tcPr>
          <w:p>
            <w:pPr>
              <w:spacing w:after="0"/>
              <w:rPr>
                <w:sz w:val="14"/>
                <w:szCs w:val="14"/>
                <w:color w:val="auto"/>
              </w:rPr>
            </w:pPr>
          </w:p>
        </w:tc>
        <w:tc>
          <w:tcPr>
            <w:tcW w:w="220" w:type="dxa"/>
            <w:vAlign w:val="bottom"/>
            <w:shd w:val="clear" w:color="auto" w:fill="CFF0FC"/>
          </w:tcPr>
          <w:p>
            <w:pPr>
              <w:spacing w:after="0"/>
              <w:rPr>
                <w:sz w:val="14"/>
                <w:szCs w:val="14"/>
                <w:color w:val="auto"/>
              </w:rPr>
            </w:pPr>
          </w:p>
        </w:tc>
        <w:tc>
          <w:tcPr>
            <w:tcW w:w="980" w:type="dxa"/>
            <w:vAlign w:val="bottom"/>
            <w:shd w:val="clear" w:color="auto" w:fill="CFF0FC"/>
          </w:tcPr>
          <w:p>
            <w:pPr>
              <w:spacing w:after="0"/>
              <w:rPr>
                <w:sz w:val="14"/>
                <w:szCs w:val="14"/>
                <w:color w:val="auto"/>
              </w:rPr>
            </w:pPr>
          </w:p>
        </w:tc>
        <w:tc>
          <w:tcPr>
            <w:tcW w:w="220" w:type="dxa"/>
            <w:vAlign w:val="bottom"/>
            <w:shd w:val="clear" w:color="auto" w:fill="CFF0FC"/>
          </w:tcPr>
          <w:p>
            <w:pPr>
              <w:spacing w:after="0"/>
              <w:rPr>
                <w:sz w:val="14"/>
                <w:szCs w:val="14"/>
                <w:color w:val="auto"/>
              </w:rPr>
            </w:pPr>
          </w:p>
        </w:tc>
        <w:tc>
          <w:tcPr>
            <w:tcW w:w="900" w:type="dxa"/>
            <w:vAlign w:val="bottom"/>
            <w:shd w:val="clear" w:color="auto" w:fill="CFF0FC"/>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4220" w:type="dxa"/>
            <w:vAlign w:val="bottom"/>
            <w:gridSpan w:val="2"/>
          </w:tcPr>
          <w:p>
            <w:pPr>
              <w:ind w:left="380"/>
              <w:spacing w:after="0"/>
              <w:rPr>
                <w:sz w:val="20"/>
                <w:szCs w:val="20"/>
                <w:color w:val="auto"/>
              </w:rPr>
            </w:pPr>
            <w:r>
              <w:rPr>
                <w:rFonts w:ascii="Arial" w:cs="Arial" w:eastAsia="Arial" w:hAnsi="Arial"/>
                <w:sz w:val="14"/>
                <w:szCs w:val="14"/>
                <w:color w:val="auto"/>
              </w:rPr>
              <w:t>McCormick Meadows, Poulsbo</w:t>
            </w:r>
          </w:p>
        </w:tc>
        <w:tc>
          <w:tcPr>
            <w:tcW w:w="900" w:type="dxa"/>
            <w:vAlign w:val="bottom"/>
          </w:tcPr>
          <w:p>
            <w:pPr>
              <w:jc w:val="center"/>
              <w:spacing w:after="0"/>
              <w:rPr>
                <w:sz w:val="20"/>
                <w:szCs w:val="20"/>
                <w:color w:val="auto"/>
              </w:rPr>
            </w:pPr>
            <w:r>
              <w:rPr>
                <w:rFonts w:ascii="Arial" w:cs="Arial" w:eastAsia="Arial" w:hAnsi="Arial"/>
                <w:sz w:val="14"/>
                <w:szCs w:val="14"/>
                <w:color w:val="auto"/>
                <w:w w:val="83"/>
              </w:rPr>
              <w:t>2012</w:t>
            </w:r>
          </w:p>
        </w:tc>
        <w:tc>
          <w:tcPr>
            <w:tcW w:w="120" w:type="dxa"/>
            <w:vAlign w:val="bottom"/>
          </w:tcPr>
          <w:p>
            <w:pPr>
              <w:spacing w:after="0"/>
              <w:rPr>
                <w:sz w:val="14"/>
                <w:szCs w:val="14"/>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167</w:t>
            </w:r>
          </w:p>
        </w:tc>
        <w:tc>
          <w:tcPr>
            <w:tcW w:w="220" w:type="dxa"/>
            <w:vAlign w:val="bottom"/>
          </w:tcPr>
          <w:p>
            <w:pPr>
              <w:spacing w:after="0"/>
              <w:rPr>
                <w:sz w:val="14"/>
                <w:szCs w:val="14"/>
                <w:color w:val="auto"/>
              </w:rPr>
            </w:pPr>
          </w:p>
        </w:tc>
        <w:tc>
          <w:tcPr>
            <w:tcW w:w="860" w:type="dxa"/>
            <w:vAlign w:val="bottom"/>
          </w:tcPr>
          <w:p>
            <w:pPr>
              <w:jc w:val="right"/>
              <w:spacing w:after="0"/>
              <w:rPr>
                <w:sz w:val="20"/>
                <w:szCs w:val="20"/>
                <w:color w:val="auto"/>
              </w:rPr>
            </w:pPr>
            <w:r>
              <w:rPr>
                <w:rFonts w:ascii="Arial" w:cs="Arial" w:eastAsia="Arial" w:hAnsi="Arial"/>
                <w:sz w:val="14"/>
                <w:szCs w:val="14"/>
                <w:color w:val="auto"/>
              </w:rPr>
              <w:t>82</w:t>
            </w:r>
          </w:p>
        </w:tc>
        <w:tc>
          <w:tcPr>
            <w:tcW w:w="220" w:type="dxa"/>
            <w:vAlign w:val="bottom"/>
          </w:tcPr>
          <w:p>
            <w:pPr>
              <w:spacing w:after="0"/>
              <w:rPr>
                <w:sz w:val="14"/>
                <w:szCs w:val="14"/>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85</w:t>
            </w:r>
          </w:p>
        </w:tc>
        <w:tc>
          <w:tcPr>
            <w:tcW w:w="220" w:type="dxa"/>
            <w:vAlign w:val="bottom"/>
          </w:tcPr>
          <w:p>
            <w:pPr>
              <w:spacing w:after="0"/>
              <w:rPr>
                <w:sz w:val="14"/>
                <w:szCs w:val="14"/>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16</w:t>
            </w:r>
          </w:p>
        </w:tc>
        <w:tc>
          <w:tcPr>
            <w:tcW w:w="220" w:type="dxa"/>
            <w:vAlign w:val="bottom"/>
          </w:tcPr>
          <w:p>
            <w:pPr>
              <w:spacing w:after="0"/>
              <w:rPr>
                <w:sz w:val="14"/>
                <w:szCs w:val="14"/>
                <w:color w:val="auto"/>
              </w:rPr>
            </w:pPr>
          </w:p>
        </w:tc>
        <w:tc>
          <w:tcPr>
            <w:tcW w:w="980" w:type="dxa"/>
            <w:vAlign w:val="bottom"/>
          </w:tcPr>
          <w:p>
            <w:pPr>
              <w:jc w:val="right"/>
              <w:spacing w:after="0"/>
              <w:rPr>
                <w:sz w:val="20"/>
                <w:szCs w:val="20"/>
                <w:color w:val="auto"/>
              </w:rPr>
            </w:pPr>
            <w:r>
              <w:rPr>
                <w:rFonts w:ascii="Arial" w:cs="Arial" w:eastAsia="Arial" w:hAnsi="Arial"/>
                <w:sz w:val="14"/>
                <w:szCs w:val="14"/>
                <w:color w:val="auto"/>
              </w:rPr>
              <w:t>7</w:t>
            </w:r>
          </w:p>
        </w:tc>
        <w:tc>
          <w:tcPr>
            <w:tcW w:w="1120" w:type="dxa"/>
            <w:vAlign w:val="bottom"/>
            <w:gridSpan w:val="2"/>
          </w:tcPr>
          <w:p>
            <w:pPr>
              <w:jc w:val="center"/>
              <w:ind w:left="133"/>
              <w:spacing w:after="0"/>
              <w:rPr>
                <w:sz w:val="20"/>
                <w:szCs w:val="20"/>
                <w:color w:val="auto"/>
              </w:rPr>
            </w:pPr>
            <w:r>
              <w:rPr>
                <w:rFonts w:ascii="Arial" w:cs="Arial" w:eastAsia="Arial" w:hAnsi="Arial"/>
                <w:sz w:val="14"/>
                <w:szCs w:val="14"/>
                <w:color w:val="auto"/>
                <w:w w:val="85"/>
              </w:rPr>
              <w:t>$271 - $348</w:t>
            </w:r>
          </w:p>
        </w:tc>
        <w:tc>
          <w:tcPr>
            <w:tcW w:w="0" w:type="dxa"/>
            <w:vAlign w:val="bottom"/>
          </w:tcPr>
          <w:p>
            <w:pPr>
              <w:spacing w:after="0"/>
              <w:rPr>
                <w:sz w:val="1"/>
                <w:szCs w:val="1"/>
                <w:color w:val="auto"/>
              </w:rPr>
            </w:pPr>
          </w:p>
        </w:tc>
      </w:tr>
      <w:tr>
        <w:trPr>
          <w:trHeight w:val="162"/>
        </w:trPr>
        <w:tc>
          <w:tcPr>
            <w:tcW w:w="4220" w:type="dxa"/>
            <w:vAlign w:val="bottom"/>
            <w:gridSpan w:val="2"/>
            <w:shd w:val="clear" w:color="auto" w:fill="CFF0FC"/>
          </w:tcPr>
          <w:p>
            <w:pPr>
              <w:ind w:left="380"/>
              <w:spacing w:after="0"/>
              <w:rPr>
                <w:sz w:val="20"/>
                <w:szCs w:val="20"/>
                <w:color w:val="auto"/>
              </w:rPr>
            </w:pPr>
            <w:r>
              <w:rPr>
                <w:rFonts w:ascii="Arial" w:cs="Arial" w:eastAsia="Arial" w:hAnsi="Arial"/>
                <w:sz w:val="14"/>
                <w:szCs w:val="14"/>
                <w:color w:val="auto"/>
              </w:rPr>
              <w:t>Vinlande Pointe, Poulsbo</w:t>
            </w:r>
          </w:p>
        </w:tc>
        <w:tc>
          <w:tcPr>
            <w:tcW w:w="900" w:type="dxa"/>
            <w:vAlign w:val="bottom"/>
            <w:shd w:val="clear" w:color="auto" w:fill="CFF0FC"/>
          </w:tcPr>
          <w:p>
            <w:pPr>
              <w:jc w:val="center"/>
              <w:spacing w:after="0"/>
              <w:rPr>
                <w:sz w:val="20"/>
                <w:szCs w:val="20"/>
                <w:color w:val="auto"/>
              </w:rPr>
            </w:pPr>
            <w:r>
              <w:rPr>
                <w:rFonts w:ascii="Arial" w:cs="Arial" w:eastAsia="Arial" w:hAnsi="Arial"/>
                <w:sz w:val="14"/>
                <w:szCs w:val="14"/>
                <w:color w:val="auto"/>
                <w:w w:val="83"/>
              </w:rPr>
              <w:t>2013</w:t>
            </w:r>
          </w:p>
        </w:tc>
        <w:tc>
          <w:tcPr>
            <w:tcW w:w="120" w:type="dxa"/>
            <w:vAlign w:val="bottom"/>
            <w:shd w:val="clear" w:color="auto" w:fill="CFF0FC"/>
          </w:tcPr>
          <w:p>
            <w:pPr>
              <w:spacing w:after="0"/>
              <w:rPr>
                <w:sz w:val="14"/>
                <w:szCs w:val="14"/>
                <w:color w:val="auto"/>
              </w:rPr>
            </w:pPr>
          </w:p>
        </w:tc>
        <w:tc>
          <w:tcPr>
            <w:tcW w:w="7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90</w:t>
            </w:r>
          </w:p>
        </w:tc>
        <w:tc>
          <w:tcPr>
            <w:tcW w:w="220" w:type="dxa"/>
            <w:vAlign w:val="bottom"/>
            <w:shd w:val="clear" w:color="auto" w:fill="CFF0FC"/>
          </w:tcPr>
          <w:p>
            <w:pPr>
              <w:spacing w:after="0"/>
              <w:rPr>
                <w:sz w:val="14"/>
                <w:szCs w:val="14"/>
                <w:color w:val="auto"/>
              </w:rPr>
            </w:pPr>
          </w:p>
        </w:tc>
        <w:tc>
          <w:tcPr>
            <w:tcW w:w="860" w:type="dxa"/>
            <w:vAlign w:val="bottom"/>
            <w:shd w:val="clear" w:color="auto" w:fill="CFF0FC"/>
          </w:tcPr>
          <w:p>
            <w:pPr>
              <w:jc w:val="right"/>
              <w:spacing w:after="0"/>
              <w:rPr>
                <w:sz w:val="20"/>
                <w:szCs w:val="20"/>
                <w:color w:val="auto"/>
              </w:rPr>
            </w:pPr>
            <w:r>
              <w:rPr>
                <w:rFonts w:ascii="Arial" w:cs="Arial" w:eastAsia="Arial" w:hAnsi="Arial"/>
                <w:sz w:val="14"/>
                <w:szCs w:val="14"/>
                <w:color w:val="auto"/>
              </w:rPr>
              <w:t>46</w:t>
            </w:r>
          </w:p>
        </w:tc>
        <w:tc>
          <w:tcPr>
            <w:tcW w:w="220" w:type="dxa"/>
            <w:vAlign w:val="bottom"/>
            <w:shd w:val="clear" w:color="auto" w:fill="CFF0FC"/>
          </w:tcPr>
          <w:p>
            <w:pPr>
              <w:spacing w:after="0"/>
              <w:rPr>
                <w:sz w:val="14"/>
                <w:szCs w:val="14"/>
                <w:color w:val="auto"/>
              </w:rPr>
            </w:pPr>
          </w:p>
        </w:tc>
        <w:tc>
          <w:tcPr>
            <w:tcW w:w="7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44</w:t>
            </w:r>
          </w:p>
        </w:tc>
        <w:tc>
          <w:tcPr>
            <w:tcW w:w="220" w:type="dxa"/>
            <w:vAlign w:val="bottom"/>
            <w:shd w:val="clear" w:color="auto" w:fill="CFF0FC"/>
          </w:tcPr>
          <w:p>
            <w:pPr>
              <w:spacing w:after="0"/>
              <w:rPr>
                <w:sz w:val="14"/>
                <w:szCs w:val="14"/>
                <w:color w:val="auto"/>
              </w:rPr>
            </w:pPr>
          </w:p>
        </w:tc>
        <w:tc>
          <w:tcPr>
            <w:tcW w:w="7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17</w:t>
            </w:r>
          </w:p>
        </w:tc>
        <w:tc>
          <w:tcPr>
            <w:tcW w:w="220" w:type="dxa"/>
            <w:vAlign w:val="bottom"/>
            <w:shd w:val="clear" w:color="auto" w:fill="CFF0FC"/>
          </w:tcPr>
          <w:p>
            <w:pPr>
              <w:spacing w:after="0"/>
              <w:rPr>
                <w:sz w:val="14"/>
                <w:szCs w:val="14"/>
                <w:color w:val="auto"/>
              </w:rPr>
            </w:pPr>
          </w:p>
        </w:tc>
        <w:tc>
          <w:tcPr>
            <w:tcW w:w="9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11</w:t>
            </w:r>
          </w:p>
        </w:tc>
        <w:tc>
          <w:tcPr>
            <w:tcW w:w="1120" w:type="dxa"/>
            <w:vAlign w:val="bottom"/>
            <w:gridSpan w:val="2"/>
            <w:shd w:val="clear" w:color="auto" w:fill="CFF0FC"/>
          </w:tcPr>
          <w:p>
            <w:pPr>
              <w:jc w:val="center"/>
              <w:ind w:left="133"/>
              <w:spacing w:after="0"/>
              <w:rPr>
                <w:sz w:val="20"/>
                <w:szCs w:val="20"/>
                <w:color w:val="auto"/>
              </w:rPr>
            </w:pPr>
            <w:r>
              <w:rPr>
                <w:rFonts w:ascii="Arial" w:cs="Arial" w:eastAsia="Arial" w:hAnsi="Arial"/>
                <w:sz w:val="14"/>
                <w:szCs w:val="14"/>
                <w:color w:val="auto"/>
                <w:w w:val="85"/>
              </w:rPr>
              <w:t>$328 - $367</w:t>
            </w:r>
          </w:p>
        </w:tc>
        <w:tc>
          <w:tcPr>
            <w:tcW w:w="0" w:type="dxa"/>
            <w:vAlign w:val="bottom"/>
          </w:tcPr>
          <w:p>
            <w:pPr>
              <w:spacing w:after="0"/>
              <w:rPr>
                <w:sz w:val="1"/>
                <w:szCs w:val="1"/>
                <w:color w:val="auto"/>
              </w:rPr>
            </w:pPr>
          </w:p>
        </w:tc>
      </w:tr>
      <w:tr>
        <w:trPr>
          <w:trHeight w:val="162"/>
        </w:trPr>
        <w:tc>
          <w:tcPr>
            <w:tcW w:w="4220" w:type="dxa"/>
            <w:vAlign w:val="bottom"/>
            <w:gridSpan w:val="2"/>
          </w:tcPr>
          <w:p>
            <w:pPr>
              <w:ind w:left="380"/>
              <w:spacing w:after="0"/>
              <w:rPr>
                <w:sz w:val="20"/>
                <w:szCs w:val="20"/>
                <w:color w:val="auto"/>
              </w:rPr>
            </w:pPr>
            <w:r>
              <w:rPr>
                <w:rFonts w:ascii="Arial" w:cs="Arial" w:eastAsia="Arial" w:hAnsi="Arial"/>
                <w:sz w:val="14"/>
                <w:szCs w:val="14"/>
                <w:color w:val="auto"/>
              </w:rPr>
              <w:t>Mountain Aire, Poulsbo</w:t>
            </w:r>
          </w:p>
        </w:tc>
        <w:tc>
          <w:tcPr>
            <w:tcW w:w="900" w:type="dxa"/>
            <w:vAlign w:val="bottom"/>
          </w:tcPr>
          <w:p>
            <w:pPr>
              <w:jc w:val="center"/>
              <w:spacing w:after="0"/>
              <w:rPr>
                <w:sz w:val="20"/>
                <w:szCs w:val="20"/>
                <w:color w:val="auto"/>
              </w:rPr>
            </w:pPr>
            <w:r>
              <w:rPr>
                <w:rFonts w:ascii="Arial" w:cs="Arial" w:eastAsia="Arial" w:hAnsi="Arial"/>
                <w:sz w:val="14"/>
                <w:szCs w:val="14"/>
                <w:color w:val="auto"/>
                <w:w w:val="83"/>
              </w:rPr>
              <w:t>2016</w:t>
            </w:r>
          </w:p>
        </w:tc>
        <w:tc>
          <w:tcPr>
            <w:tcW w:w="120" w:type="dxa"/>
            <w:vAlign w:val="bottom"/>
          </w:tcPr>
          <w:p>
            <w:pPr>
              <w:spacing w:after="0"/>
              <w:rPr>
                <w:sz w:val="14"/>
                <w:szCs w:val="14"/>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145</w:t>
            </w:r>
          </w:p>
        </w:tc>
        <w:tc>
          <w:tcPr>
            <w:tcW w:w="220" w:type="dxa"/>
            <w:vAlign w:val="bottom"/>
          </w:tcPr>
          <w:p>
            <w:pPr>
              <w:spacing w:after="0"/>
              <w:rPr>
                <w:sz w:val="14"/>
                <w:szCs w:val="14"/>
                <w:color w:val="auto"/>
              </w:rPr>
            </w:pPr>
          </w:p>
        </w:tc>
        <w:tc>
          <w:tcPr>
            <w:tcW w:w="860" w:type="dxa"/>
            <w:vAlign w:val="bottom"/>
          </w:tcPr>
          <w:p>
            <w:pPr>
              <w:jc w:val="right"/>
              <w:spacing w:after="0"/>
              <w:rPr>
                <w:sz w:val="20"/>
                <w:szCs w:val="20"/>
                <w:color w:val="auto"/>
              </w:rPr>
            </w:pPr>
            <w:r>
              <w:rPr>
                <w:rFonts w:ascii="Arial" w:cs="Arial" w:eastAsia="Arial" w:hAnsi="Arial"/>
                <w:sz w:val="14"/>
                <w:szCs w:val="14"/>
                <w:color w:val="auto"/>
              </w:rPr>
              <w:t>-</w:t>
            </w:r>
          </w:p>
        </w:tc>
        <w:tc>
          <w:tcPr>
            <w:tcW w:w="220" w:type="dxa"/>
            <w:vAlign w:val="bottom"/>
          </w:tcPr>
          <w:p>
            <w:pPr>
              <w:spacing w:after="0"/>
              <w:rPr>
                <w:sz w:val="14"/>
                <w:szCs w:val="14"/>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145</w:t>
            </w:r>
          </w:p>
        </w:tc>
        <w:tc>
          <w:tcPr>
            <w:tcW w:w="220" w:type="dxa"/>
            <w:vAlign w:val="bottom"/>
          </w:tcPr>
          <w:p>
            <w:pPr>
              <w:spacing w:after="0"/>
              <w:rPr>
                <w:sz w:val="14"/>
                <w:szCs w:val="14"/>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w:t>
            </w:r>
          </w:p>
        </w:tc>
        <w:tc>
          <w:tcPr>
            <w:tcW w:w="220" w:type="dxa"/>
            <w:vAlign w:val="bottom"/>
          </w:tcPr>
          <w:p>
            <w:pPr>
              <w:spacing w:after="0"/>
              <w:rPr>
                <w:sz w:val="14"/>
                <w:szCs w:val="14"/>
                <w:color w:val="auto"/>
              </w:rPr>
            </w:pPr>
          </w:p>
        </w:tc>
        <w:tc>
          <w:tcPr>
            <w:tcW w:w="980" w:type="dxa"/>
            <w:vAlign w:val="bottom"/>
          </w:tcPr>
          <w:p>
            <w:pPr>
              <w:jc w:val="right"/>
              <w:spacing w:after="0"/>
              <w:rPr>
                <w:sz w:val="20"/>
                <w:szCs w:val="20"/>
                <w:color w:val="auto"/>
              </w:rPr>
            </w:pPr>
            <w:r>
              <w:rPr>
                <w:rFonts w:ascii="Arial" w:cs="Arial" w:eastAsia="Arial" w:hAnsi="Arial"/>
                <w:sz w:val="14"/>
                <w:szCs w:val="14"/>
                <w:color w:val="auto"/>
              </w:rPr>
              <w:t>-</w:t>
            </w:r>
          </w:p>
        </w:tc>
        <w:tc>
          <w:tcPr>
            <w:tcW w:w="1120" w:type="dxa"/>
            <w:vAlign w:val="bottom"/>
            <w:gridSpan w:val="2"/>
          </w:tcPr>
          <w:p>
            <w:pPr>
              <w:jc w:val="center"/>
              <w:ind w:left="133"/>
              <w:spacing w:after="0"/>
              <w:rPr>
                <w:sz w:val="20"/>
                <w:szCs w:val="20"/>
                <w:color w:val="auto"/>
              </w:rPr>
            </w:pPr>
            <w:r>
              <w:rPr>
                <w:rFonts w:ascii="Arial" w:cs="Arial" w:eastAsia="Arial" w:hAnsi="Arial"/>
                <w:sz w:val="14"/>
                <w:szCs w:val="14"/>
                <w:color w:val="auto"/>
                <w:w w:val="85"/>
              </w:rPr>
              <w:t>$310 - $373</w:t>
            </w:r>
          </w:p>
        </w:tc>
        <w:tc>
          <w:tcPr>
            <w:tcW w:w="0" w:type="dxa"/>
            <w:vAlign w:val="bottom"/>
          </w:tcPr>
          <w:p>
            <w:pPr>
              <w:spacing w:after="0"/>
              <w:rPr>
                <w:sz w:val="1"/>
                <w:szCs w:val="1"/>
                <w:color w:val="auto"/>
              </w:rPr>
            </w:pPr>
          </w:p>
        </w:tc>
      </w:tr>
      <w:tr>
        <w:trPr>
          <w:trHeight w:val="162"/>
        </w:trPr>
        <w:tc>
          <w:tcPr>
            <w:tcW w:w="4220" w:type="dxa"/>
            <w:vAlign w:val="bottom"/>
            <w:gridSpan w:val="2"/>
            <w:shd w:val="clear" w:color="auto" w:fill="CFF0FC"/>
          </w:tcPr>
          <w:p>
            <w:pPr>
              <w:spacing w:after="0"/>
              <w:rPr>
                <w:sz w:val="20"/>
                <w:szCs w:val="20"/>
                <w:color w:val="auto"/>
              </w:rPr>
            </w:pPr>
            <w:r>
              <w:rPr>
                <w:rFonts w:ascii="Arial" w:cs="Arial" w:eastAsia="Arial" w:hAnsi="Arial"/>
                <w:sz w:val="14"/>
                <w:szCs w:val="14"/>
                <w:color w:val="auto"/>
              </w:rPr>
              <w:t>Closed Communities</w:t>
            </w:r>
          </w:p>
        </w:tc>
        <w:tc>
          <w:tcPr>
            <w:tcW w:w="1020" w:type="dxa"/>
            <w:vAlign w:val="bottom"/>
            <w:gridSpan w:val="2"/>
            <w:shd w:val="clear" w:color="auto" w:fill="CFF0FC"/>
          </w:tcPr>
          <w:p>
            <w:pPr>
              <w:jc w:val="center"/>
              <w:ind w:right="120"/>
              <w:spacing w:after="0"/>
              <w:rPr>
                <w:sz w:val="20"/>
                <w:szCs w:val="20"/>
                <w:color w:val="auto"/>
              </w:rPr>
            </w:pPr>
            <w:r>
              <w:rPr>
                <w:rFonts w:ascii="Arial" w:cs="Arial" w:eastAsia="Arial" w:hAnsi="Arial"/>
                <w:sz w:val="14"/>
                <w:szCs w:val="14"/>
                <w:color w:val="auto"/>
                <w:w w:val="94"/>
              </w:rPr>
              <w:t>N/A</w:t>
            </w:r>
          </w:p>
        </w:tc>
        <w:tc>
          <w:tcPr>
            <w:tcW w:w="78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4"/>
                <w:szCs w:val="14"/>
                <w:color w:val="auto"/>
              </w:rPr>
              <w:t>-</w:t>
            </w:r>
          </w:p>
        </w:tc>
        <w:tc>
          <w:tcPr>
            <w:tcW w:w="220" w:type="dxa"/>
            <w:vAlign w:val="bottom"/>
            <w:shd w:val="clear" w:color="auto" w:fill="CFF0FC"/>
          </w:tcPr>
          <w:p>
            <w:pPr>
              <w:spacing w:after="0"/>
              <w:rPr>
                <w:sz w:val="14"/>
                <w:szCs w:val="14"/>
                <w:color w:val="auto"/>
              </w:rPr>
            </w:pPr>
          </w:p>
        </w:tc>
        <w:tc>
          <w:tcPr>
            <w:tcW w:w="86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4"/>
                <w:szCs w:val="14"/>
                <w:color w:val="auto"/>
              </w:rPr>
              <w:t>-</w:t>
            </w:r>
          </w:p>
        </w:tc>
        <w:tc>
          <w:tcPr>
            <w:tcW w:w="220" w:type="dxa"/>
            <w:vAlign w:val="bottom"/>
            <w:shd w:val="clear" w:color="auto" w:fill="CFF0FC"/>
          </w:tcPr>
          <w:p>
            <w:pPr>
              <w:spacing w:after="0"/>
              <w:rPr>
                <w:sz w:val="14"/>
                <w:szCs w:val="14"/>
                <w:color w:val="auto"/>
              </w:rPr>
            </w:pPr>
          </w:p>
        </w:tc>
        <w:tc>
          <w:tcPr>
            <w:tcW w:w="78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4"/>
                <w:szCs w:val="14"/>
                <w:color w:val="auto"/>
              </w:rPr>
              <w:t>-</w:t>
            </w:r>
          </w:p>
        </w:tc>
        <w:tc>
          <w:tcPr>
            <w:tcW w:w="220" w:type="dxa"/>
            <w:vAlign w:val="bottom"/>
            <w:shd w:val="clear" w:color="auto" w:fill="CFF0FC"/>
          </w:tcPr>
          <w:p>
            <w:pPr>
              <w:spacing w:after="0"/>
              <w:rPr>
                <w:sz w:val="14"/>
                <w:szCs w:val="14"/>
                <w:color w:val="auto"/>
              </w:rPr>
            </w:pPr>
          </w:p>
        </w:tc>
        <w:tc>
          <w:tcPr>
            <w:tcW w:w="78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4"/>
                <w:szCs w:val="14"/>
                <w:color w:val="auto"/>
              </w:rPr>
              <w:t>-</w:t>
            </w:r>
          </w:p>
        </w:tc>
        <w:tc>
          <w:tcPr>
            <w:tcW w:w="220" w:type="dxa"/>
            <w:vAlign w:val="bottom"/>
            <w:shd w:val="clear" w:color="auto" w:fill="CFF0FC"/>
          </w:tcPr>
          <w:p>
            <w:pPr>
              <w:spacing w:after="0"/>
              <w:rPr>
                <w:sz w:val="14"/>
                <w:szCs w:val="14"/>
                <w:color w:val="auto"/>
              </w:rPr>
            </w:pPr>
          </w:p>
        </w:tc>
        <w:tc>
          <w:tcPr>
            <w:tcW w:w="98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4"/>
                <w:szCs w:val="14"/>
                <w:color w:val="auto"/>
              </w:rPr>
              <w:t>1</w:t>
            </w:r>
          </w:p>
        </w:tc>
        <w:tc>
          <w:tcPr>
            <w:tcW w:w="220" w:type="dxa"/>
            <w:vAlign w:val="bottom"/>
            <w:shd w:val="clear" w:color="auto" w:fill="CFF0FC"/>
          </w:tcPr>
          <w:p>
            <w:pPr>
              <w:spacing w:after="0"/>
              <w:rPr>
                <w:sz w:val="14"/>
                <w:szCs w:val="14"/>
                <w:color w:val="auto"/>
              </w:rPr>
            </w:pPr>
          </w:p>
        </w:tc>
        <w:tc>
          <w:tcPr>
            <w:tcW w:w="900" w:type="dxa"/>
            <w:vAlign w:val="bottom"/>
            <w:shd w:val="clear" w:color="auto" w:fill="CFF0FC"/>
          </w:tcPr>
          <w:p>
            <w:pPr>
              <w:jc w:val="center"/>
              <w:spacing w:after="0"/>
              <w:rPr>
                <w:sz w:val="20"/>
                <w:szCs w:val="20"/>
                <w:color w:val="auto"/>
              </w:rPr>
            </w:pPr>
            <w:r>
              <w:rPr>
                <w:rFonts w:ascii="Arial" w:cs="Arial" w:eastAsia="Arial" w:hAnsi="Arial"/>
                <w:sz w:val="14"/>
                <w:szCs w:val="14"/>
                <w:color w:val="auto"/>
              </w:rPr>
              <w:t>N/A</w:t>
            </w:r>
          </w:p>
        </w:tc>
        <w:tc>
          <w:tcPr>
            <w:tcW w:w="0" w:type="dxa"/>
            <w:vAlign w:val="bottom"/>
          </w:tcPr>
          <w:p>
            <w:pPr>
              <w:spacing w:after="0"/>
              <w:rPr>
                <w:sz w:val="1"/>
                <w:szCs w:val="1"/>
                <w:color w:val="auto"/>
              </w:rPr>
            </w:pPr>
          </w:p>
        </w:tc>
      </w:tr>
      <w:tr>
        <w:trPr>
          <w:trHeight w:val="156"/>
        </w:trPr>
        <w:tc>
          <w:tcPr>
            <w:tcW w:w="4220" w:type="dxa"/>
            <w:vAlign w:val="bottom"/>
            <w:tcBorders>
              <w:bottom w:val="single" w:sz="8" w:color="CFF0FC"/>
            </w:tcBorders>
            <w:gridSpan w:val="2"/>
          </w:tcPr>
          <w:p>
            <w:pPr>
              <w:spacing w:after="0" w:line="155" w:lineRule="exact"/>
              <w:rPr>
                <w:sz w:val="20"/>
                <w:szCs w:val="20"/>
                <w:color w:val="auto"/>
              </w:rPr>
            </w:pPr>
            <w:r>
              <w:rPr>
                <w:rFonts w:ascii="Arial" w:cs="Arial" w:eastAsia="Arial" w:hAnsi="Arial"/>
                <w:sz w:val="14"/>
                <w:szCs w:val="14"/>
                <w:b w:val="1"/>
                <w:bCs w:val="1"/>
                <w:color w:val="auto"/>
              </w:rPr>
              <w:t>Washington Total</w:t>
            </w:r>
          </w:p>
        </w:tc>
        <w:tc>
          <w:tcPr>
            <w:tcW w:w="900" w:type="dxa"/>
            <w:vAlign w:val="bottom"/>
            <w:tcBorders>
              <w:bottom w:val="single" w:sz="8" w:color="CFF0FC"/>
            </w:tcBorders>
          </w:tcPr>
          <w:p>
            <w:pPr>
              <w:spacing w:after="0"/>
              <w:rPr>
                <w:sz w:val="13"/>
                <w:szCs w:val="13"/>
                <w:color w:val="auto"/>
              </w:rPr>
            </w:pPr>
          </w:p>
        </w:tc>
        <w:tc>
          <w:tcPr>
            <w:tcW w:w="120" w:type="dxa"/>
            <w:vAlign w:val="bottom"/>
            <w:tcBorders>
              <w:bottom w:val="single" w:sz="8" w:color="CFF0FC"/>
            </w:tcBorders>
          </w:tcPr>
          <w:p>
            <w:pPr>
              <w:spacing w:after="0"/>
              <w:rPr>
                <w:sz w:val="13"/>
                <w:szCs w:val="13"/>
                <w:color w:val="auto"/>
              </w:rPr>
            </w:pPr>
          </w:p>
        </w:tc>
        <w:tc>
          <w:tcPr>
            <w:tcW w:w="780" w:type="dxa"/>
            <w:vAlign w:val="bottom"/>
            <w:tcBorders>
              <w:bottom w:val="single" w:sz="8" w:color="auto"/>
            </w:tcBorders>
          </w:tcPr>
          <w:p>
            <w:pPr>
              <w:jc w:val="right"/>
              <w:spacing w:after="0" w:line="155" w:lineRule="exact"/>
              <w:rPr>
                <w:sz w:val="20"/>
                <w:szCs w:val="20"/>
                <w:color w:val="auto"/>
              </w:rPr>
            </w:pPr>
            <w:r>
              <w:rPr>
                <w:rFonts w:ascii="Arial" w:cs="Arial" w:eastAsia="Arial" w:hAnsi="Arial"/>
                <w:sz w:val="14"/>
                <w:szCs w:val="14"/>
                <w:b w:val="1"/>
                <w:bCs w:val="1"/>
                <w:color w:val="auto"/>
              </w:rPr>
              <w:t>1,876</w:t>
            </w:r>
          </w:p>
        </w:tc>
        <w:tc>
          <w:tcPr>
            <w:tcW w:w="220" w:type="dxa"/>
            <w:vAlign w:val="bottom"/>
            <w:tcBorders>
              <w:bottom w:val="single" w:sz="8" w:color="CFF0FC"/>
            </w:tcBorders>
          </w:tcPr>
          <w:p>
            <w:pPr>
              <w:spacing w:after="0"/>
              <w:rPr>
                <w:sz w:val="13"/>
                <w:szCs w:val="13"/>
                <w:color w:val="auto"/>
              </w:rPr>
            </w:pPr>
          </w:p>
        </w:tc>
        <w:tc>
          <w:tcPr>
            <w:tcW w:w="860" w:type="dxa"/>
            <w:vAlign w:val="bottom"/>
            <w:tcBorders>
              <w:bottom w:val="single" w:sz="8" w:color="auto"/>
            </w:tcBorders>
          </w:tcPr>
          <w:p>
            <w:pPr>
              <w:jc w:val="right"/>
              <w:spacing w:after="0" w:line="155" w:lineRule="exact"/>
              <w:rPr>
                <w:sz w:val="20"/>
                <w:szCs w:val="20"/>
                <w:color w:val="auto"/>
              </w:rPr>
            </w:pPr>
            <w:r>
              <w:rPr>
                <w:rFonts w:ascii="Arial" w:cs="Arial" w:eastAsia="Arial" w:hAnsi="Arial"/>
                <w:sz w:val="14"/>
                <w:szCs w:val="14"/>
                <w:b w:val="1"/>
                <w:bCs w:val="1"/>
                <w:color w:val="auto"/>
              </w:rPr>
              <w:t>868</w:t>
            </w:r>
          </w:p>
        </w:tc>
        <w:tc>
          <w:tcPr>
            <w:tcW w:w="220" w:type="dxa"/>
            <w:vAlign w:val="bottom"/>
            <w:tcBorders>
              <w:bottom w:val="single" w:sz="8" w:color="CFF0FC"/>
            </w:tcBorders>
          </w:tcPr>
          <w:p>
            <w:pPr>
              <w:spacing w:after="0"/>
              <w:rPr>
                <w:sz w:val="13"/>
                <w:szCs w:val="13"/>
                <w:color w:val="auto"/>
              </w:rPr>
            </w:pPr>
          </w:p>
        </w:tc>
        <w:tc>
          <w:tcPr>
            <w:tcW w:w="780" w:type="dxa"/>
            <w:vAlign w:val="bottom"/>
            <w:tcBorders>
              <w:bottom w:val="single" w:sz="8" w:color="auto"/>
            </w:tcBorders>
          </w:tcPr>
          <w:p>
            <w:pPr>
              <w:jc w:val="right"/>
              <w:spacing w:after="0" w:line="155" w:lineRule="exact"/>
              <w:rPr>
                <w:sz w:val="20"/>
                <w:szCs w:val="20"/>
                <w:color w:val="auto"/>
              </w:rPr>
            </w:pPr>
            <w:r>
              <w:rPr>
                <w:rFonts w:ascii="Arial" w:cs="Arial" w:eastAsia="Arial" w:hAnsi="Arial"/>
                <w:sz w:val="14"/>
                <w:szCs w:val="14"/>
                <w:b w:val="1"/>
                <w:bCs w:val="1"/>
                <w:color w:val="auto"/>
              </w:rPr>
              <w:t>938</w:t>
            </w:r>
          </w:p>
        </w:tc>
        <w:tc>
          <w:tcPr>
            <w:tcW w:w="220" w:type="dxa"/>
            <w:vAlign w:val="bottom"/>
            <w:tcBorders>
              <w:bottom w:val="single" w:sz="8" w:color="CFF0FC"/>
            </w:tcBorders>
          </w:tcPr>
          <w:p>
            <w:pPr>
              <w:spacing w:after="0"/>
              <w:rPr>
                <w:sz w:val="13"/>
                <w:szCs w:val="13"/>
                <w:color w:val="auto"/>
              </w:rPr>
            </w:pPr>
          </w:p>
        </w:tc>
        <w:tc>
          <w:tcPr>
            <w:tcW w:w="780" w:type="dxa"/>
            <w:vAlign w:val="bottom"/>
            <w:tcBorders>
              <w:bottom w:val="single" w:sz="8" w:color="auto"/>
            </w:tcBorders>
          </w:tcPr>
          <w:p>
            <w:pPr>
              <w:jc w:val="right"/>
              <w:spacing w:after="0" w:line="155" w:lineRule="exact"/>
              <w:rPr>
                <w:sz w:val="20"/>
                <w:szCs w:val="20"/>
                <w:color w:val="auto"/>
              </w:rPr>
            </w:pPr>
            <w:r>
              <w:rPr>
                <w:rFonts w:ascii="Arial" w:cs="Arial" w:eastAsia="Arial" w:hAnsi="Arial"/>
                <w:sz w:val="14"/>
                <w:szCs w:val="14"/>
                <w:b w:val="1"/>
                <w:bCs w:val="1"/>
                <w:color w:val="auto"/>
              </w:rPr>
              <w:t>170</w:t>
            </w:r>
          </w:p>
        </w:tc>
        <w:tc>
          <w:tcPr>
            <w:tcW w:w="220" w:type="dxa"/>
            <w:vAlign w:val="bottom"/>
            <w:tcBorders>
              <w:bottom w:val="single" w:sz="8" w:color="CFF0FC"/>
            </w:tcBorders>
          </w:tcPr>
          <w:p>
            <w:pPr>
              <w:spacing w:after="0"/>
              <w:rPr>
                <w:sz w:val="13"/>
                <w:szCs w:val="13"/>
                <w:color w:val="auto"/>
              </w:rPr>
            </w:pPr>
          </w:p>
        </w:tc>
        <w:tc>
          <w:tcPr>
            <w:tcW w:w="980" w:type="dxa"/>
            <w:vAlign w:val="bottom"/>
            <w:tcBorders>
              <w:bottom w:val="single" w:sz="8" w:color="auto"/>
            </w:tcBorders>
          </w:tcPr>
          <w:p>
            <w:pPr>
              <w:jc w:val="right"/>
              <w:spacing w:after="0" w:line="155" w:lineRule="exact"/>
              <w:rPr>
                <w:sz w:val="20"/>
                <w:szCs w:val="20"/>
                <w:color w:val="auto"/>
              </w:rPr>
            </w:pPr>
            <w:r>
              <w:rPr>
                <w:rFonts w:ascii="Arial" w:cs="Arial" w:eastAsia="Arial" w:hAnsi="Arial"/>
                <w:sz w:val="14"/>
                <w:szCs w:val="14"/>
                <w:b w:val="1"/>
                <w:bCs w:val="1"/>
                <w:color w:val="auto"/>
              </w:rPr>
              <w:t>93</w:t>
            </w:r>
          </w:p>
        </w:tc>
        <w:tc>
          <w:tcPr>
            <w:tcW w:w="220" w:type="dxa"/>
            <w:vAlign w:val="bottom"/>
            <w:tcBorders>
              <w:bottom w:val="single" w:sz="8" w:color="CFF0FC"/>
            </w:tcBorders>
          </w:tcPr>
          <w:p>
            <w:pPr>
              <w:spacing w:after="0"/>
              <w:rPr>
                <w:sz w:val="13"/>
                <w:szCs w:val="13"/>
                <w:color w:val="auto"/>
              </w:rPr>
            </w:pPr>
          </w:p>
        </w:tc>
        <w:tc>
          <w:tcPr>
            <w:tcW w:w="900" w:type="dxa"/>
            <w:vAlign w:val="bottom"/>
            <w:tcBorders>
              <w:bottom w:val="single" w:sz="8" w:color="CFF0FC"/>
            </w:tcBorders>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4220" w:type="dxa"/>
            <w:vAlign w:val="bottom"/>
            <w:tcBorders>
              <w:bottom w:val="single" w:sz="8" w:color="CFF0FC"/>
            </w:tcBorders>
            <w:gridSpan w:val="2"/>
            <w:shd w:val="clear" w:color="auto" w:fill="CFF0FC"/>
          </w:tcPr>
          <w:p>
            <w:pPr>
              <w:spacing w:after="0" w:line="155" w:lineRule="exact"/>
              <w:rPr>
                <w:sz w:val="20"/>
                <w:szCs w:val="20"/>
                <w:color w:val="auto"/>
              </w:rPr>
            </w:pPr>
            <w:r>
              <w:rPr>
                <w:rFonts w:ascii="Arial" w:cs="Arial" w:eastAsia="Arial" w:hAnsi="Arial"/>
                <w:sz w:val="14"/>
                <w:szCs w:val="14"/>
                <w:b w:val="1"/>
                <w:bCs w:val="1"/>
                <w:color w:val="auto"/>
              </w:rPr>
              <w:t>Quadrant Total</w:t>
            </w:r>
          </w:p>
        </w:tc>
        <w:tc>
          <w:tcPr>
            <w:tcW w:w="900" w:type="dxa"/>
            <w:vAlign w:val="bottom"/>
            <w:tcBorders>
              <w:bottom w:val="single" w:sz="8" w:color="CFF0FC"/>
            </w:tcBorders>
            <w:shd w:val="clear" w:color="auto" w:fill="CFF0FC"/>
          </w:tcPr>
          <w:p>
            <w:pPr>
              <w:spacing w:after="0"/>
              <w:rPr>
                <w:sz w:val="13"/>
                <w:szCs w:val="13"/>
                <w:color w:val="auto"/>
              </w:rPr>
            </w:pPr>
          </w:p>
        </w:tc>
        <w:tc>
          <w:tcPr>
            <w:tcW w:w="120" w:type="dxa"/>
            <w:vAlign w:val="bottom"/>
            <w:tcBorders>
              <w:bottom w:val="single" w:sz="8" w:color="CFF0FC"/>
            </w:tcBorders>
            <w:shd w:val="clear" w:color="auto" w:fill="CFF0FC"/>
          </w:tcPr>
          <w:p>
            <w:pPr>
              <w:spacing w:after="0"/>
              <w:rPr>
                <w:sz w:val="13"/>
                <w:szCs w:val="13"/>
                <w:color w:val="auto"/>
              </w:rPr>
            </w:pPr>
          </w:p>
        </w:tc>
        <w:tc>
          <w:tcPr>
            <w:tcW w:w="780" w:type="dxa"/>
            <w:vAlign w:val="bottom"/>
            <w:tcBorders>
              <w:bottom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b w:val="1"/>
                <w:bCs w:val="1"/>
                <w:color w:val="auto"/>
              </w:rPr>
              <w:t>1,876</w:t>
            </w:r>
          </w:p>
        </w:tc>
        <w:tc>
          <w:tcPr>
            <w:tcW w:w="220" w:type="dxa"/>
            <w:vAlign w:val="bottom"/>
            <w:tcBorders>
              <w:bottom w:val="single" w:sz="8" w:color="CFF0FC"/>
            </w:tcBorders>
            <w:shd w:val="clear" w:color="auto" w:fill="CFF0FC"/>
          </w:tcPr>
          <w:p>
            <w:pPr>
              <w:spacing w:after="0"/>
              <w:rPr>
                <w:sz w:val="13"/>
                <w:szCs w:val="13"/>
                <w:color w:val="auto"/>
              </w:rPr>
            </w:pPr>
          </w:p>
        </w:tc>
        <w:tc>
          <w:tcPr>
            <w:tcW w:w="860" w:type="dxa"/>
            <w:vAlign w:val="bottom"/>
            <w:tcBorders>
              <w:bottom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b w:val="1"/>
                <w:bCs w:val="1"/>
                <w:color w:val="auto"/>
              </w:rPr>
              <w:t>868</w:t>
            </w:r>
          </w:p>
        </w:tc>
        <w:tc>
          <w:tcPr>
            <w:tcW w:w="220" w:type="dxa"/>
            <w:vAlign w:val="bottom"/>
            <w:tcBorders>
              <w:bottom w:val="single" w:sz="8" w:color="CFF0FC"/>
            </w:tcBorders>
            <w:shd w:val="clear" w:color="auto" w:fill="CFF0FC"/>
          </w:tcPr>
          <w:p>
            <w:pPr>
              <w:spacing w:after="0"/>
              <w:rPr>
                <w:sz w:val="13"/>
                <w:szCs w:val="13"/>
                <w:color w:val="auto"/>
              </w:rPr>
            </w:pPr>
          </w:p>
        </w:tc>
        <w:tc>
          <w:tcPr>
            <w:tcW w:w="780" w:type="dxa"/>
            <w:vAlign w:val="bottom"/>
            <w:tcBorders>
              <w:bottom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b w:val="1"/>
                <w:bCs w:val="1"/>
                <w:color w:val="auto"/>
              </w:rPr>
              <w:t>938</w:t>
            </w:r>
          </w:p>
        </w:tc>
        <w:tc>
          <w:tcPr>
            <w:tcW w:w="220" w:type="dxa"/>
            <w:vAlign w:val="bottom"/>
            <w:tcBorders>
              <w:bottom w:val="single" w:sz="8" w:color="CFF0FC"/>
            </w:tcBorders>
            <w:shd w:val="clear" w:color="auto" w:fill="CFF0FC"/>
          </w:tcPr>
          <w:p>
            <w:pPr>
              <w:spacing w:after="0"/>
              <w:rPr>
                <w:sz w:val="13"/>
                <w:szCs w:val="13"/>
                <w:color w:val="auto"/>
              </w:rPr>
            </w:pPr>
          </w:p>
        </w:tc>
        <w:tc>
          <w:tcPr>
            <w:tcW w:w="780" w:type="dxa"/>
            <w:vAlign w:val="bottom"/>
            <w:tcBorders>
              <w:bottom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b w:val="1"/>
                <w:bCs w:val="1"/>
                <w:color w:val="auto"/>
              </w:rPr>
              <w:t>170</w:t>
            </w:r>
          </w:p>
        </w:tc>
        <w:tc>
          <w:tcPr>
            <w:tcW w:w="220" w:type="dxa"/>
            <w:vAlign w:val="bottom"/>
            <w:tcBorders>
              <w:bottom w:val="single" w:sz="8" w:color="CFF0FC"/>
            </w:tcBorders>
            <w:shd w:val="clear" w:color="auto" w:fill="CFF0FC"/>
          </w:tcPr>
          <w:p>
            <w:pPr>
              <w:spacing w:after="0"/>
              <w:rPr>
                <w:sz w:val="13"/>
                <w:szCs w:val="13"/>
                <w:color w:val="auto"/>
              </w:rPr>
            </w:pPr>
          </w:p>
        </w:tc>
        <w:tc>
          <w:tcPr>
            <w:tcW w:w="980" w:type="dxa"/>
            <w:vAlign w:val="bottom"/>
            <w:tcBorders>
              <w:bottom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b w:val="1"/>
                <w:bCs w:val="1"/>
                <w:color w:val="auto"/>
              </w:rPr>
              <w:t>93</w:t>
            </w:r>
          </w:p>
        </w:tc>
        <w:tc>
          <w:tcPr>
            <w:tcW w:w="220" w:type="dxa"/>
            <w:vAlign w:val="bottom"/>
            <w:tcBorders>
              <w:bottom w:val="single" w:sz="8" w:color="CFF0FC"/>
            </w:tcBorders>
            <w:shd w:val="clear" w:color="auto" w:fill="CFF0FC"/>
          </w:tcPr>
          <w:p>
            <w:pPr>
              <w:spacing w:after="0"/>
              <w:rPr>
                <w:sz w:val="13"/>
                <w:szCs w:val="13"/>
                <w:color w:val="auto"/>
              </w:rPr>
            </w:pPr>
          </w:p>
        </w:tc>
        <w:tc>
          <w:tcPr>
            <w:tcW w:w="900" w:type="dxa"/>
            <w:vAlign w:val="bottom"/>
            <w:tcBorders>
              <w:bottom w:val="single" w:sz="8" w:color="CFF0FC"/>
            </w:tcBorders>
            <w:shd w:val="clear" w:color="auto" w:fill="CFF0FC"/>
          </w:tcPr>
          <w:p>
            <w:pPr>
              <w:spacing w:after="0"/>
              <w:rPr>
                <w:sz w:val="13"/>
                <w:szCs w:val="13"/>
                <w:color w:val="auto"/>
              </w:rPr>
            </w:pPr>
          </w:p>
        </w:tc>
        <w:tc>
          <w:tcPr>
            <w:tcW w:w="0" w:type="dxa"/>
            <w:vAlign w:val="bottom"/>
          </w:tcPr>
          <w:p>
            <w:pPr>
              <w:spacing w:after="0"/>
              <w:rPr>
                <w:sz w:val="1"/>
                <w:szCs w:val="1"/>
                <w:color w:val="auto"/>
              </w:rPr>
            </w:pPr>
          </w:p>
        </w:tc>
      </w:tr>
      <w:tr>
        <w:trPr>
          <w:trHeight w:val="20"/>
        </w:trPr>
        <w:tc>
          <w:tcPr>
            <w:tcW w:w="1220" w:type="dxa"/>
            <w:vAlign w:val="bottom"/>
          </w:tcPr>
          <w:p>
            <w:pPr>
              <w:spacing w:after="0" w:line="20" w:lineRule="exact"/>
              <w:rPr>
                <w:sz w:val="1"/>
                <w:szCs w:val="1"/>
                <w:color w:val="auto"/>
              </w:rPr>
            </w:pPr>
          </w:p>
        </w:tc>
        <w:tc>
          <w:tcPr>
            <w:tcW w:w="3000" w:type="dxa"/>
            <w:vAlign w:val="bottom"/>
          </w:tcPr>
          <w:p>
            <w:pPr>
              <w:spacing w:after="0" w:line="20" w:lineRule="exact"/>
              <w:rPr>
                <w:sz w:val="1"/>
                <w:szCs w:val="1"/>
                <w:color w:val="auto"/>
              </w:rPr>
            </w:pPr>
          </w:p>
        </w:tc>
        <w:tc>
          <w:tcPr>
            <w:tcW w:w="9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9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- 40 -</w:t>
      </w:r>
    </w:p>
    <w:p>
      <w:pPr>
        <w:sectPr>
          <w:pgSz w:w="11900" w:h="16838" w:orient="portrait"/>
          <w:cols w:equalWidth="0" w:num="1">
            <w:col w:w="11420"/>
          </w:cols>
          <w:pgMar w:left="240" w:top="287" w:right="239" w:bottom="1440" w:gutter="0" w:footer="0" w:header="0"/>
        </w:sectPr>
      </w:pPr>
    </w:p>
    <w:bookmarkStart w:id="40" w:name="page41"/>
    <w:bookmarkEnd w:id="40"/>
    <w:p>
      <w:pPr>
        <w:spacing w:after="0"/>
        <w:rPr>
          <w:sz w:val="20"/>
          <w:szCs w:val="20"/>
          <w:color w:val="auto"/>
        </w:rPr>
      </w:pPr>
      <w:r>
        <w:rPr>
          <w:rFonts w:ascii="Arial" w:cs="Arial" w:eastAsia="Arial" w:hAnsi="Arial"/>
          <w:sz w:val="18"/>
          <w:szCs w:val="18"/>
          <w:b w:val="1"/>
          <w:bCs w:val="1"/>
          <w:i w:val="1"/>
          <w:iCs w:val="1"/>
          <w:color w:val="auto"/>
        </w:rPr>
        <w:t>Trendmaker</w:t>
      </w:r>
    </w:p>
    <w:p>
      <w:pPr>
        <w:spacing w:after="0" w:line="240" w:lineRule="exact"/>
        <w:rPr>
          <w:sz w:val="20"/>
          <w:szCs w:val="20"/>
          <w:color w:val="auto"/>
        </w:rPr>
      </w:pPr>
    </w:p>
    <w:tbl>
      <w:tblPr>
        <w:tblLayout w:type="fixed"/>
        <w:tblInd w:w="0" w:type="dxa"/>
        <w:tblCellMar>
          <w:top w:w="0" w:type="dxa"/>
          <w:left w:w="0" w:type="dxa"/>
          <w:bottom w:w="0" w:type="dxa"/>
          <w:right w:w="0" w:type="dxa"/>
        </w:tblCellMar>
      </w:tblPr>
      <w:tr>
        <w:trPr>
          <w:trHeight w:val="162"/>
        </w:trPr>
        <w:tc>
          <w:tcPr>
            <w:tcW w:w="1220" w:type="dxa"/>
            <w:vAlign w:val="bottom"/>
          </w:tcPr>
          <w:p>
            <w:pPr>
              <w:spacing w:after="0"/>
              <w:rPr>
                <w:sz w:val="14"/>
                <w:szCs w:val="14"/>
                <w:color w:val="auto"/>
              </w:rPr>
            </w:pPr>
          </w:p>
        </w:tc>
        <w:tc>
          <w:tcPr>
            <w:tcW w:w="2440" w:type="dxa"/>
            <w:vAlign w:val="bottom"/>
          </w:tcPr>
          <w:p>
            <w:pPr>
              <w:spacing w:after="0"/>
              <w:rPr>
                <w:sz w:val="14"/>
                <w:szCs w:val="14"/>
                <w:color w:val="auto"/>
              </w:rPr>
            </w:pPr>
          </w:p>
        </w:tc>
        <w:tc>
          <w:tcPr>
            <w:tcW w:w="9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12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w w:val="90"/>
              </w:rPr>
              <w:t>Cumulative</w:t>
            </w:r>
          </w:p>
        </w:tc>
        <w:tc>
          <w:tcPr>
            <w:tcW w:w="80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040" w:type="dxa"/>
            <w:vAlign w:val="bottom"/>
          </w:tcPr>
          <w:p>
            <w:pPr>
              <w:jc w:val="center"/>
              <w:spacing w:after="0"/>
              <w:rPr>
                <w:sz w:val="20"/>
                <w:szCs w:val="20"/>
                <w:color w:val="auto"/>
              </w:rPr>
            </w:pPr>
            <w:r>
              <w:rPr>
                <w:rFonts w:ascii="Arial" w:cs="Arial" w:eastAsia="Arial" w:hAnsi="Arial"/>
                <w:sz w:val="14"/>
                <w:szCs w:val="14"/>
                <w:b w:val="1"/>
                <w:bCs w:val="1"/>
                <w:color w:val="auto"/>
                <w:w w:val="86"/>
              </w:rPr>
              <w:t>Homes Delivered</w:t>
            </w:r>
          </w:p>
        </w:tc>
        <w:tc>
          <w:tcPr>
            <w:tcW w:w="220" w:type="dxa"/>
            <w:vAlign w:val="bottom"/>
          </w:tcPr>
          <w:p>
            <w:pPr>
              <w:spacing w:after="0"/>
              <w:rPr>
                <w:sz w:val="14"/>
                <w:szCs w:val="14"/>
                <w:color w:val="auto"/>
              </w:rPr>
            </w:pPr>
          </w:p>
        </w:tc>
        <w:tc>
          <w:tcPr>
            <w:tcW w:w="1240" w:type="dxa"/>
            <w:vAlign w:val="bottom"/>
          </w:tcPr>
          <w:p>
            <w:pPr>
              <w:spacing w:after="0"/>
              <w:rPr>
                <w:sz w:val="14"/>
                <w:szCs w:val="14"/>
                <w:color w:val="auto"/>
              </w:rPr>
            </w:pPr>
          </w:p>
        </w:tc>
      </w:tr>
      <w:tr>
        <w:trPr>
          <w:trHeight w:val="162"/>
        </w:trPr>
        <w:tc>
          <w:tcPr>
            <w:tcW w:w="1220" w:type="dxa"/>
            <w:vAlign w:val="bottom"/>
          </w:tcPr>
          <w:p>
            <w:pPr>
              <w:spacing w:after="0"/>
              <w:rPr>
                <w:sz w:val="14"/>
                <w:szCs w:val="14"/>
                <w:color w:val="auto"/>
              </w:rPr>
            </w:pPr>
          </w:p>
        </w:tc>
        <w:tc>
          <w:tcPr>
            <w:tcW w:w="2440" w:type="dxa"/>
            <w:vAlign w:val="bottom"/>
          </w:tcPr>
          <w:p>
            <w:pPr>
              <w:spacing w:after="0"/>
              <w:rPr>
                <w:sz w:val="14"/>
                <w:szCs w:val="14"/>
                <w:color w:val="auto"/>
              </w:rPr>
            </w:pPr>
          </w:p>
        </w:tc>
        <w:tc>
          <w:tcPr>
            <w:tcW w:w="9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12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w w:val="85"/>
              </w:rPr>
              <w:t>Homes</w:t>
            </w:r>
          </w:p>
        </w:tc>
        <w:tc>
          <w:tcPr>
            <w:tcW w:w="102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w w:val="87"/>
              </w:rPr>
              <w:t>Lots</w:t>
            </w:r>
          </w:p>
        </w:tc>
        <w:tc>
          <w:tcPr>
            <w:tcW w:w="82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040" w:type="dxa"/>
            <w:vAlign w:val="bottom"/>
          </w:tcPr>
          <w:p>
            <w:pPr>
              <w:jc w:val="center"/>
              <w:spacing w:after="0"/>
              <w:rPr>
                <w:sz w:val="20"/>
                <w:szCs w:val="20"/>
                <w:color w:val="auto"/>
              </w:rPr>
            </w:pPr>
            <w:r>
              <w:rPr>
                <w:rFonts w:ascii="Arial" w:cs="Arial" w:eastAsia="Arial" w:hAnsi="Arial"/>
                <w:sz w:val="14"/>
                <w:szCs w:val="14"/>
                <w:b w:val="1"/>
                <w:bCs w:val="1"/>
                <w:color w:val="auto"/>
                <w:w w:val="88"/>
              </w:rPr>
              <w:t>for the Three</w:t>
            </w:r>
          </w:p>
        </w:tc>
        <w:tc>
          <w:tcPr>
            <w:tcW w:w="220" w:type="dxa"/>
            <w:vAlign w:val="bottom"/>
          </w:tcPr>
          <w:p>
            <w:pPr>
              <w:spacing w:after="0"/>
              <w:rPr>
                <w:sz w:val="14"/>
                <w:szCs w:val="14"/>
                <w:color w:val="auto"/>
              </w:rPr>
            </w:pPr>
          </w:p>
        </w:tc>
        <w:tc>
          <w:tcPr>
            <w:tcW w:w="1240" w:type="dxa"/>
            <w:vAlign w:val="bottom"/>
          </w:tcPr>
          <w:p>
            <w:pPr>
              <w:spacing w:after="0"/>
              <w:rPr>
                <w:sz w:val="14"/>
                <w:szCs w:val="14"/>
                <w:color w:val="auto"/>
              </w:rPr>
            </w:pPr>
          </w:p>
        </w:tc>
      </w:tr>
      <w:tr>
        <w:trPr>
          <w:trHeight w:val="162"/>
        </w:trPr>
        <w:tc>
          <w:tcPr>
            <w:tcW w:w="1220" w:type="dxa"/>
            <w:vAlign w:val="bottom"/>
          </w:tcPr>
          <w:p>
            <w:pPr>
              <w:spacing w:after="0"/>
              <w:rPr>
                <w:sz w:val="14"/>
                <w:szCs w:val="14"/>
                <w:color w:val="auto"/>
              </w:rPr>
            </w:pPr>
          </w:p>
        </w:tc>
        <w:tc>
          <w:tcPr>
            <w:tcW w:w="2440" w:type="dxa"/>
            <w:vAlign w:val="bottom"/>
          </w:tcPr>
          <w:p>
            <w:pPr>
              <w:spacing w:after="0"/>
              <w:rPr>
                <w:sz w:val="14"/>
                <w:szCs w:val="14"/>
                <w:color w:val="auto"/>
              </w:rPr>
            </w:pPr>
          </w:p>
        </w:tc>
        <w:tc>
          <w:tcPr>
            <w:tcW w:w="1060" w:type="dxa"/>
            <w:vAlign w:val="bottom"/>
            <w:gridSpan w:val="2"/>
          </w:tcPr>
          <w:p>
            <w:pPr>
              <w:jc w:val="center"/>
              <w:ind w:right="120"/>
              <w:spacing w:after="0"/>
              <w:rPr>
                <w:sz w:val="20"/>
                <w:szCs w:val="20"/>
                <w:color w:val="auto"/>
              </w:rPr>
            </w:pPr>
            <w:r>
              <w:rPr>
                <w:rFonts w:ascii="Arial" w:cs="Arial" w:eastAsia="Arial" w:hAnsi="Arial"/>
                <w:sz w:val="14"/>
                <w:szCs w:val="14"/>
                <w:b w:val="1"/>
                <w:bCs w:val="1"/>
                <w:color w:val="auto"/>
                <w:w w:val="88"/>
              </w:rPr>
              <w:t>Year of</w:t>
            </w:r>
          </w:p>
        </w:tc>
        <w:tc>
          <w:tcPr>
            <w:tcW w:w="1020" w:type="dxa"/>
            <w:vAlign w:val="bottom"/>
            <w:gridSpan w:val="2"/>
          </w:tcPr>
          <w:p>
            <w:pPr>
              <w:jc w:val="center"/>
              <w:ind w:right="220"/>
              <w:spacing w:after="0"/>
              <w:rPr>
                <w:sz w:val="20"/>
                <w:szCs w:val="20"/>
                <w:color w:val="auto"/>
              </w:rPr>
            </w:pPr>
            <w:r>
              <w:rPr>
                <w:rFonts w:ascii="Arial" w:cs="Arial" w:eastAsia="Arial" w:hAnsi="Arial"/>
                <w:sz w:val="14"/>
                <w:szCs w:val="14"/>
                <w:b w:val="1"/>
                <w:bCs w:val="1"/>
                <w:color w:val="auto"/>
                <w:w w:val="83"/>
              </w:rPr>
              <w:t>Total</w:t>
            </w:r>
          </w:p>
        </w:tc>
        <w:tc>
          <w:tcPr>
            <w:tcW w:w="1120" w:type="dxa"/>
            <w:vAlign w:val="bottom"/>
            <w:gridSpan w:val="2"/>
          </w:tcPr>
          <w:p>
            <w:pPr>
              <w:jc w:val="center"/>
              <w:ind w:right="220"/>
              <w:spacing w:after="0"/>
              <w:rPr>
                <w:sz w:val="20"/>
                <w:szCs w:val="20"/>
                <w:color w:val="auto"/>
              </w:rPr>
            </w:pPr>
            <w:r>
              <w:rPr>
                <w:rFonts w:ascii="Arial" w:cs="Arial" w:eastAsia="Arial" w:hAnsi="Arial"/>
                <w:sz w:val="14"/>
                <w:szCs w:val="14"/>
                <w:b w:val="1"/>
                <w:bCs w:val="1"/>
                <w:color w:val="auto"/>
                <w:w w:val="86"/>
              </w:rPr>
              <w:t>Delivered as of</w:t>
            </w:r>
          </w:p>
        </w:tc>
        <w:tc>
          <w:tcPr>
            <w:tcW w:w="1020" w:type="dxa"/>
            <w:vAlign w:val="bottom"/>
            <w:gridSpan w:val="2"/>
          </w:tcPr>
          <w:p>
            <w:pPr>
              <w:jc w:val="center"/>
              <w:ind w:right="220"/>
              <w:spacing w:after="0"/>
              <w:rPr>
                <w:sz w:val="20"/>
                <w:szCs w:val="20"/>
                <w:color w:val="auto"/>
              </w:rPr>
            </w:pPr>
            <w:r>
              <w:rPr>
                <w:rFonts w:ascii="Arial" w:cs="Arial" w:eastAsia="Arial" w:hAnsi="Arial"/>
                <w:sz w:val="14"/>
                <w:szCs w:val="14"/>
                <w:b w:val="1"/>
                <w:bCs w:val="1"/>
                <w:color w:val="auto"/>
                <w:w w:val="86"/>
              </w:rPr>
              <w:t>Owned as of</w:t>
            </w:r>
          </w:p>
        </w:tc>
        <w:tc>
          <w:tcPr>
            <w:tcW w:w="104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w w:val="83"/>
              </w:rPr>
              <w:t>Backlog as of</w:t>
            </w:r>
          </w:p>
        </w:tc>
        <w:tc>
          <w:tcPr>
            <w:tcW w:w="1040" w:type="dxa"/>
            <w:vAlign w:val="bottom"/>
          </w:tcPr>
          <w:p>
            <w:pPr>
              <w:jc w:val="center"/>
              <w:spacing w:after="0"/>
              <w:rPr>
                <w:sz w:val="20"/>
                <w:szCs w:val="20"/>
                <w:color w:val="auto"/>
              </w:rPr>
            </w:pPr>
            <w:r>
              <w:rPr>
                <w:rFonts w:ascii="Arial" w:cs="Arial" w:eastAsia="Arial" w:hAnsi="Arial"/>
                <w:sz w:val="14"/>
                <w:szCs w:val="14"/>
                <w:b w:val="1"/>
                <w:bCs w:val="1"/>
                <w:color w:val="auto"/>
                <w:w w:val="89"/>
              </w:rPr>
              <w:t>Months Ended</w:t>
            </w:r>
          </w:p>
        </w:tc>
        <w:tc>
          <w:tcPr>
            <w:tcW w:w="220" w:type="dxa"/>
            <w:vAlign w:val="bottom"/>
          </w:tcPr>
          <w:p>
            <w:pPr>
              <w:spacing w:after="0"/>
              <w:rPr>
                <w:sz w:val="14"/>
                <w:szCs w:val="14"/>
                <w:color w:val="auto"/>
              </w:rPr>
            </w:pPr>
          </w:p>
        </w:tc>
        <w:tc>
          <w:tcPr>
            <w:tcW w:w="1240" w:type="dxa"/>
            <w:vAlign w:val="bottom"/>
          </w:tcPr>
          <w:p>
            <w:pPr>
              <w:jc w:val="center"/>
              <w:spacing w:after="0"/>
              <w:rPr>
                <w:sz w:val="20"/>
                <w:szCs w:val="20"/>
                <w:color w:val="auto"/>
              </w:rPr>
            </w:pPr>
            <w:r>
              <w:rPr>
                <w:rFonts w:ascii="Arial" w:cs="Arial" w:eastAsia="Arial" w:hAnsi="Arial"/>
                <w:sz w:val="14"/>
                <w:szCs w:val="14"/>
                <w:b w:val="1"/>
                <w:bCs w:val="1"/>
                <w:color w:val="auto"/>
                <w:w w:val="82"/>
              </w:rPr>
              <w:t>Sales Price</w:t>
            </w:r>
          </w:p>
        </w:tc>
      </w:tr>
      <w:tr>
        <w:trPr>
          <w:trHeight w:val="174"/>
        </w:trPr>
        <w:tc>
          <w:tcPr>
            <w:tcW w:w="1220" w:type="dxa"/>
            <w:vAlign w:val="bottom"/>
          </w:tcPr>
          <w:p>
            <w:pPr>
              <w:spacing w:after="0"/>
              <w:rPr>
                <w:sz w:val="15"/>
                <w:szCs w:val="15"/>
                <w:color w:val="auto"/>
              </w:rPr>
            </w:pPr>
          </w:p>
        </w:tc>
        <w:tc>
          <w:tcPr>
            <w:tcW w:w="2440" w:type="dxa"/>
            <w:vAlign w:val="bottom"/>
          </w:tcPr>
          <w:p>
            <w:pPr>
              <w:spacing w:after="0"/>
              <w:rPr>
                <w:sz w:val="15"/>
                <w:szCs w:val="15"/>
                <w:color w:val="auto"/>
              </w:rPr>
            </w:pPr>
          </w:p>
        </w:tc>
        <w:tc>
          <w:tcPr>
            <w:tcW w:w="1060" w:type="dxa"/>
            <w:vAlign w:val="bottom"/>
            <w:gridSpan w:val="2"/>
          </w:tcPr>
          <w:p>
            <w:pPr>
              <w:jc w:val="center"/>
              <w:ind w:right="100"/>
              <w:spacing w:after="0"/>
              <w:rPr>
                <w:sz w:val="20"/>
                <w:szCs w:val="20"/>
                <w:color w:val="auto"/>
              </w:rPr>
            </w:pPr>
            <w:r>
              <w:rPr>
                <w:rFonts w:ascii="Arial" w:cs="Arial" w:eastAsia="Arial" w:hAnsi="Arial"/>
                <w:sz w:val="14"/>
                <w:szCs w:val="14"/>
                <w:b w:val="1"/>
                <w:bCs w:val="1"/>
                <w:color w:val="auto"/>
                <w:w w:val="92"/>
              </w:rPr>
              <w:t>First</w:t>
            </w:r>
          </w:p>
        </w:tc>
        <w:tc>
          <w:tcPr>
            <w:tcW w:w="1020" w:type="dxa"/>
            <w:vAlign w:val="bottom"/>
            <w:gridSpan w:val="2"/>
          </w:tcPr>
          <w:p>
            <w:pPr>
              <w:jc w:val="center"/>
              <w:ind w:right="220"/>
              <w:spacing w:after="0"/>
              <w:rPr>
                <w:sz w:val="20"/>
                <w:szCs w:val="20"/>
                <w:color w:val="auto"/>
              </w:rPr>
            </w:pPr>
            <w:r>
              <w:rPr>
                <w:rFonts w:ascii="Arial" w:cs="Arial" w:eastAsia="Arial" w:hAnsi="Arial"/>
                <w:sz w:val="14"/>
                <w:szCs w:val="14"/>
                <w:b w:val="1"/>
                <w:bCs w:val="1"/>
                <w:color w:val="auto"/>
                <w:w w:val="91"/>
              </w:rPr>
              <w:t>Number of</w:t>
            </w:r>
          </w:p>
        </w:tc>
        <w:tc>
          <w:tcPr>
            <w:tcW w:w="1120" w:type="dxa"/>
            <w:vAlign w:val="bottom"/>
            <w:gridSpan w:val="2"/>
          </w:tcPr>
          <w:p>
            <w:pPr>
              <w:jc w:val="center"/>
              <w:ind w:right="220"/>
              <w:spacing w:after="0"/>
              <w:rPr>
                <w:sz w:val="20"/>
                <w:szCs w:val="20"/>
                <w:color w:val="auto"/>
              </w:rPr>
            </w:pPr>
            <w:r>
              <w:rPr>
                <w:rFonts w:ascii="Arial" w:cs="Arial" w:eastAsia="Arial" w:hAnsi="Arial"/>
                <w:sz w:val="14"/>
                <w:szCs w:val="14"/>
                <w:b w:val="1"/>
                <w:bCs w:val="1"/>
                <w:color w:val="auto"/>
                <w:w w:val="89"/>
              </w:rPr>
              <w:t>March 31,</w:t>
            </w:r>
          </w:p>
        </w:tc>
        <w:tc>
          <w:tcPr>
            <w:tcW w:w="102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w w:val="89"/>
              </w:rPr>
              <w:t>March 31,</w:t>
            </w:r>
          </w:p>
        </w:tc>
        <w:tc>
          <w:tcPr>
            <w:tcW w:w="1040" w:type="dxa"/>
            <w:vAlign w:val="bottom"/>
            <w:gridSpan w:val="2"/>
          </w:tcPr>
          <w:p>
            <w:pPr>
              <w:jc w:val="center"/>
              <w:ind w:right="220"/>
              <w:spacing w:after="0"/>
              <w:rPr>
                <w:sz w:val="20"/>
                <w:szCs w:val="20"/>
                <w:color w:val="auto"/>
              </w:rPr>
            </w:pPr>
            <w:r>
              <w:rPr>
                <w:rFonts w:ascii="Arial" w:cs="Arial" w:eastAsia="Arial" w:hAnsi="Arial"/>
                <w:sz w:val="14"/>
                <w:szCs w:val="14"/>
                <w:b w:val="1"/>
                <w:bCs w:val="1"/>
                <w:color w:val="auto"/>
                <w:w w:val="89"/>
              </w:rPr>
              <w:t>March 31,</w:t>
            </w:r>
          </w:p>
        </w:tc>
        <w:tc>
          <w:tcPr>
            <w:tcW w:w="1040" w:type="dxa"/>
            <w:vAlign w:val="bottom"/>
          </w:tcPr>
          <w:p>
            <w:pPr>
              <w:jc w:val="center"/>
              <w:spacing w:after="0"/>
              <w:rPr>
                <w:sz w:val="20"/>
                <w:szCs w:val="20"/>
                <w:color w:val="auto"/>
              </w:rPr>
            </w:pPr>
            <w:r>
              <w:rPr>
                <w:rFonts w:ascii="Arial" w:cs="Arial" w:eastAsia="Arial" w:hAnsi="Arial"/>
                <w:sz w:val="14"/>
                <w:szCs w:val="14"/>
                <w:b w:val="1"/>
                <w:bCs w:val="1"/>
                <w:color w:val="auto"/>
                <w:w w:val="89"/>
              </w:rPr>
              <w:t>March 31,</w:t>
            </w:r>
          </w:p>
        </w:tc>
        <w:tc>
          <w:tcPr>
            <w:tcW w:w="220" w:type="dxa"/>
            <w:vAlign w:val="bottom"/>
          </w:tcPr>
          <w:p>
            <w:pPr>
              <w:spacing w:after="0"/>
              <w:rPr>
                <w:sz w:val="15"/>
                <w:szCs w:val="15"/>
                <w:color w:val="auto"/>
              </w:rPr>
            </w:pPr>
          </w:p>
        </w:tc>
        <w:tc>
          <w:tcPr>
            <w:tcW w:w="1240" w:type="dxa"/>
            <w:vAlign w:val="bottom"/>
          </w:tcPr>
          <w:p>
            <w:pPr>
              <w:jc w:val="center"/>
              <w:spacing w:after="0"/>
              <w:rPr>
                <w:sz w:val="20"/>
                <w:szCs w:val="20"/>
                <w:color w:val="auto"/>
              </w:rPr>
            </w:pPr>
            <w:r>
              <w:rPr>
                <w:rFonts w:ascii="Arial" w:cs="Arial" w:eastAsia="Arial" w:hAnsi="Arial"/>
                <w:sz w:val="14"/>
                <w:szCs w:val="14"/>
                <w:b w:val="1"/>
                <w:bCs w:val="1"/>
                <w:color w:val="auto"/>
                <w:w w:val="88"/>
              </w:rPr>
              <w:t>Range</w:t>
            </w:r>
          </w:p>
        </w:tc>
      </w:tr>
      <w:tr>
        <w:trPr>
          <w:trHeight w:val="237"/>
        </w:trPr>
        <w:tc>
          <w:tcPr>
            <w:tcW w:w="3660" w:type="dxa"/>
            <w:vAlign w:val="bottom"/>
            <w:gridSpan w:val="2"/>
          </w:tcPr>
          <w:p>
            <w:pPr>
              <w:spacing w:after="0"/>
              <w:rPr>
                <w:sz w:val="20"/>
                <w:szCs w:val="20"/>
                <w:color w:val="auto"/>
              </w:rPr>
            </w:pPr>
            <w:r>
              <w:rPr>
                <w:rFonts w:ascii="Arial" w:cs="Arial" w:eastAsia="Arial" w:hAnsi="Arial"/>
                <w:sz w:val="14"/>
                <w:szCs w:val="14"/>
                <w:b w:val="1"/>
                <w:bCs w:val="1"/>
                <w:color w:val="auto"/>
              </w:rPr>
              <w:t>County, Project, City</w:t>
            </w:r>
          </w:p>
        </w:tc>
        <w:tc>
          <w:tcPr>
            <w:tcW w:w="1060" w:type="dxa"/>
            <w:vAlign w:val="bottom"/>
            <w:gridSpan w:val="2"/>
          </w:tcPr>
          <w:p>
            <w:pPr>
              <w:jc w:val="center"/>
              <w:ind w:right="120"/>
              <w:spacing w:after="0"/>
              <w:rPr>
                <w:sz w:val="20"/>
                <w:szCs w:val="20"/>
                <w:color w:val="auto"/>
              </w:rPr>
            </w:pPr>
            <w:r>
              <w:rPr>
                <w:rFonts w:ascii="Arial" w:cs="Arial" w:eastAsia="Arial" w:hAnsi="Arial"/>
                <w:sz w:val="14"/>
                <w:szCs w:val="14"/>
                <w:b w:val="1"/>
                <w:bCs w:val="1"/>
                <w:color w:val="auto"/>
                <w:w w:val="91"/>
              </w:rPr>
              <w:t>Delivery</w:t>
            </w:r>
            <w:r>
              <w:rPr>
                <w:rFonts w:ascii="Arial" w:cs="Arial" w:eastAsia="Arial" w:hAnsi="Arial"/>
                <w:sz w:val="11"/>
                <w:szCs w:val="11"/>
                <w:b w:val="1"/>
                <w:bCs w:val="1"/>
                <w:color w:val="auto"/>
                <w:w w:val="91"/>
              </w:rPr>
              <w:t>(1)</w:t>
            </w:r>
          </w:p>
        </w:tc>
        <w:tc>
          <w:tcPr>
            <w:tcW w:w="1020" w:type="dxa"/>
            <w:vAlign w:val="bottom"/>
            <w:gridSpan w:val="2"/>
          </w:tcPr>
          <w:p>
            <w:pPr>
              <w:jc w:val="center"/>
              <w:ind w:right="220"/>
              <w:spacing w:after="0"/>
              <w:rPr>
                <w:sz w:val="20"/>
                <w:szCs w:val="20"/>
                <w:color w:val="auto"/>
              </w:rPr>
            </w:pPr>
            <w:r>
              <w:rPr>
                <w:rFonts w:ascii="Arial" w:cs="Arial" w:eastAsia="Arial" w:hAnsi="Arial"/>
                <w:sz w:val="14"/>
                <w:szCs w:val="14"/>
                <w:b w:val="1"/>
                <w:bCs w:val="1"/>
                <w:color w:val="auto"/>
                <w:w w:val="92"/>
              </w:rPr>
              <w:t>Lots</w:t>
            </w:r>
            <w:r>
              <w:rPr>
                <w:rFonts w:ascii="Arial" w:cs="Arial" w:eastAsia="Arial" w:hAnsi="Arial"/>
                <w:sz w:val="11"/>
                <w:szCs w:val="11"/>
                <w:b w:val="1"/>
                <w:bCs w:val="1"/>
                <w:color w:val="auto"/>
                <w:w w:val="92"/>
              </w:rPr>
              <w:t>(2)</w:t>
            </w:r>
          </w:p>
        </w:tc>
        <w:tc>
          <w:tcPr>
            <w:tcW w:w="900" w:type="dxa"/>
            <w:vAlign w:val="bottom"/>
          </w:tcPr>
          <w:p>
            <w:pPr>
              <w:jc w:val="center"/>
              <w:spacing w:after="0"/>
              <w:rPr>
                <w:sz w:val="20"/>
                <w:szCs w:val="20"/>
                <w:color w:val="auto"/>
              </w:rPr>
            </w:pPr>
            <w:r>
              <w:rPr>
                <w:rFonts w:ascii="Arial" w:cs="Arial" w:eastAsia="Arial" w:hAnsi="Arial"/>
                <w:sz w:val="14"/>
                <w:szCs w:val="14"/>
                <w:b w:val="1"/>
                <w:bCs w:val="1"/>
                <w:color w:val="auto"/>
                <w:w w:val="83"/>
              </w:rPr>
              <w:t>2015</w:t>
            </w:r>
          </w:p>
        </w:tc>
        <w:tc>
          <w:tcPr>
            <w:tcW w:w="220" w:type="dxa"/>
            <w:vAlign w:val="bottom"/>
          </w:tcPr>
          <w:p>
            <w:pPr>
              <w:spacing w:after="0"/>
              <w:rPr>
                <w:sz w:val="20"/>
                <w:szCs w:val="20"/>
                <w:color w:val="auto"/>
              </w:rPr>
            </w:pPr>
          </w:p>
        </w:tc>
        <w:tc>
          <w:tcPr>
            <w:tcW w:w="800" w:type="dxa"/>
            <w:vAlign w:val="bottom"/>
          </w:tcPr>
          <w:p>
            <w:pPr>
              <w:jc w:val="center"/>
              <w:spacing w:after="0"/>
              <w:rPr>
                <w:sz w:val="20"/>
                <w:szCs w:val="20"/>
                <w:color w:val="auto"/>
              </w:rPr>
            </w:pPr>
            <w:r>
              <w:rPr>
                <w:rFonts w:ascii="Arial" w:cs="Arial" w:eastAsia="Arial" w:hAnsi="Arial"/>
                <w:sz w:val="14"/>
                <w:szCs w:val="14"/>
                <w:b w:val="1"/>
                <w:bCs w:val="1"/>
                <w:color w:val="auto"/>
                <w:w w:val="89"/>
              </w:rPr>
              <w:t>2015</w:t>
            </w:r>
            <w:r>
              <w:rPr>
                <w:rFonts w:ascii="Arial" w:cs="Arial" w:eastAsia="Arial" w:hAnsi="Arial"/>
                <w:sz w:val="11"/>
                <w:szCs w:val="11"/>
                <w:b w:val="1"/>
                <w:bCs w:val="1"/>
                <w:color w:val="auto"/>
                <w:w w:val="89"/>
              </w:rPr>
              <w:t>(3)</w:t>
            </w:r>
          </w:p>
        </w:tc>
        <w:tc>
          <w:tcPr>
            <w:tcW w:w="220" w:type="dxa"/>
            <w:vAlign w:val="bottom"/>
          </w:tcPr>
          <w:p>
            <w:pPr>
              <w:spacing w:after="0"/>
              <w:rPr>
                <w:sz w:val="20"/>
                <w:szCs w:val="20"/>
                <w:color w:val="auto"/>
              </w:rPr>
            </w:pPr>
          </w:p>
        </w:tc>
        <w:tc>
          <w:tcPr>
            <w:tcW w:w="820" w:type="dxa"/>
            <w:vAlign w:val="bottom"/>
          </w:tcPr>
          <w:p>
            <w:pPr>
              <w:jc w:val="center"/>
              <w:spacing w:after="0"/>
              <w:rPr>
                <w:sz w:val="20"/>
                <w:szCs w:val="20"/>
                <w:color w:val="auto"/>
              </w:rPr>
            </w:pPr>
            <w:r>
              <w:rPr>
                <w:rFonts w:ascii="Arial" w:cs="Arial" w:eastAsia="Arial" w:hAnsi="Arial"/>
                <w:sz w:val="14"/>
                <w:szCs w:val="14"/>
                <w:b w:val="1"/>
                <w:bCs w:val="1"/>
                <w:color w:val="auto"/>
                <w:w w:val="92"/>
              </w:rPr>
              <w:t>2015</w:t>
            </w:r>
            <w:r>
              <w:rPr>
                <w:rFonts w:ascii="Arial" w:cs="Arial" w:eastAsia="Arial" w:hAnsi="Arial"/>
                <w:sz w:val="11"/>
                <w:szCs w:val="11"/>
                <w:b w:val="1"/>
                <w:bCs w:val="1"/>
                <w:color w:val="auto"/>
                <w:w w:val="92"/>
              </w:rPr>
              <w:t>(4)(5)</w:t>
            </w:r>
          </w:p>
        </w:tc>
        <w:tc>
          <w:tcPr>
            <w:tcW w:w="220" w:type="dxa"/>
            <w:vAlign w:val="bottom"/>
          </w:tcPr>
          <w:p>
            <w:pPr>
              <w:spacing w:after="0"/>
              <w:rPr>
                <w:sz w:val="20"/>
                <w:szCs w:val="20"/>
                <w:color w:val="auto"/>
              </w:rPr>
            </w:pPr>
          </w:p>
        </w:tc>
        <w:tc>
          <w:tcPr>
            <w:tcW w:w="1040" w:type="dxa"/>
            <w:vAlign w:val="bottom"/>
          </w:tcPr>
          <w:p>
            <w:pPr>
              <w:jc w:val="center"/>
              <w:spacing w:after="0"/>
              <w:rPr>
                <w:sz w:val="20"/>
                <w:szCs w:val="20"/>
                <w:color w:val="auto"/>
              </w:rPr>
            </w:pPr>
            <w:r>
              <w:rPr>
                <w:rFonts w:ascii="Arial" w:cs="Arial" w:eastAsia="Arial" w:hAnsi="Arial"/>
                <w:sz w:val="14"/>
                <w:szCs w:val="14"/>
                <w:b w:val="1"/>
                <w:bCs w:val="1"/>
                <w:color w:val="auto"/>
                <w:w w:val="83"/>
              </w:rPr>
              <w:t>2015</w:t>
            </w:r>
          </w:p>
        </w:tc>
        <w:tc>
          <w:tcPr>
            <w:tcW w:w="220" w:type="dxa"/>
            <w:vAlign w:val="bottom"/>
          </w:tcPr>
          <w:p>
            <w:pPr>
              <w:spacing w:after="0"/>
              <w:rPr>
                <w:sz w:val="20"/>
                <w:szCs w:val="20"/>
                <w:color w:val="auto"/>
              </w:rPr>
            </w:pPr>
          </w:p>
        </w:tc>
        <w:tc>
          <w:tcPr>
            <w:tcW w:w="1240" w:type="dxa"/>
            <w:vAlign w:val="bottom"/>
          </w:tcPr>
          <w:p>
            <w:pPr>
              <w:jc w:val="center"/>
              <w:spacing w:after="0"/>
              <w:rPr>
                <w:sz w:val="20"/>
                <w:szCs w:val="20"/>
                <w:color w:val="auto"/>
              </w:rPr>
            </w:pPr>
            <w:r>
              <w:rPr>
                <w:rFonts w:ascii="Arial" w:cs="Arial" w:eastAsia="Arial" w:hAnsi="Arial"/>
                <w:sz w:val="14"/>
                <w:szCs w:val="14"/>
                <w:b w:val="1"/>
                <w:bCs w:val="1"/>
                <w:color w:val="auto"/>
                <w:w w:val="85"/>
              </w:rPr>
              <w:t>(in thousands)</w:t>
            </w:r>
            <w:r>
              <w:rPr>
                <w:rFonts w:ascii="Arial" w:cs="Arial" w:eastAsia="Arial" w:hAnsi="Arial"/>
                <w:sz w:val="11"/>
                <w:szCs w:val="11"/>
                <w:b w:val="1"/>
                <w:bCs w:val="1"/>
                <w:color w:val="auto"/>
                <w:w w:val="85"/>
              </w:rPr>
              <w:t>(6)</w:t>
            </w:r>
          </w:p>
        </w:tc>
      </w:tr>
      <w:tr>
        <w:trPr>
          <w:trHeight w:val="149"/>
        </w:trPr>
        <w:tc>
          <w:tcPr>
            <w:tcW w:w="1220" w:type="dxa"/>
            <w:vAlign w:val="bottom"/>
            <w:tcBorders>
              <w:top w:val="single" w:sz="8" w:color="auto"/>
            </w:tcBorders>
            <w:shd w:val="clear" w:color="auto" w:fill="CFF0FC"/>
          </w:tcPr>
          <w:p>
            <w:pPr>
              <w:spacing w:after="0" w:line="149" w:lineRule="exact"/>
              <w:rPr>
                <w:sz w:val="20"/>
                <w:szCs w:val="20"/>
                <w:color w:val="auto"/>
              </w:rPr>
            </w:pPr>
            <w:r>
              <w:rPr>
                <w:rFonts w:ascii="Arial" w:cs="Arial" w:eastAsia="Arial" w:hAnsi="Arial"/>
                <w:sz w:val="14"/>
                <w:szCs w:val="14"/>
                <w:b w:val="1"/>
                <w:bCs w:val="1"/>
                <w:color w:val="auto"/>
              </w:rPr>
              <w:t>Texas</w:t>
            </w:r>
          </w:p>
        </w:tc>
        <w:tc>
          <w:tcPr>
            <w:tcW w:w="2440" w:type="dxa"/>
            <w:vAlign w:val="bottom"/>
            <w:tcBorders>
              <w:top w:val="single" w:sz="8" w:color="CFF0FC"/>
            </w:tcBorders>
            <w:shd w:val="clear" w:color="auto" w:fill="CFF0FC"/>
          </w:tcPr>
          <w:p>
            <w:pPr>
              <w:spacing w:after="0"/>
              <w:rPr>
                <w:sz w:val="12"/>
                <w:szCs w:val="12"/>
                <w:color w:val="auto"/>
              </w:rPr>
            </w:pPr>
          </w:p>
        </w:tc>
        <w:tc>
          <w:tcPr>
            <w:tcW w:w="960" w:type="dxa"/>
            <w:vAlign w:val="bottom"/>
            <w:tcBorders>
              <w:top w:val="single" w:sz="8" w:color="auto"/>
            </w:tcBorders>
            <w:shd w:val="clear" w:color="auto" w:fill="CFF0FC"/>
          </w:tcPr>
          <w:p>
            <w:pPr>
              <w:spacing w:after="0"/>
              <w:rPr>
                <w:sz w:val="12"/>
                <w:szCs w:val="12"/>
                <w:color w:val="auto"/>
              </w:rPr>
            </w:pPr>
          </w:p>
        </w:tc>
        <w:tc>
          <w:tcPr>
            <w:tcW w:w="100" w:type="dxa"/>
            <w:vAlign w:val="bottom"/>
            <w:tcBorders>
              <w:top w:val="single" w:sz="8" w:color="CFF0FC"/>
            </w:tcBorders>
            <w:shd w:val="clear" w:color="auto" w:fill="CFF0FC"/>
          </w:tcPr>
          <w:p>
            <w:pPr>
              <w:spacing w:after="0"/>
              <w:rPr>
                <w:sz w:val="12"/>
                <w:szCs w:val="12"/>
                <w:color w:val="auto"/>
              </w:rPr>
            </w:pPr>
          </w:p>
        </w:tc>
        <w:tc>
          <w:tcPr>
            <w:tcW w:w="820" w:type="dxa"/>
            <w:vAlign w:val="bottom"/>
            <w:tcBorders>
              <w:top w:val="single" w:sz="8" w:color="auto"/>
            </w:tcBorders>
            <w:shd w:val="clear" w:color="auto" w:fill="CFF0FC"/>
          </w:tcPr>
          <w:p>
            <w:pPr>
              <w:spacing w:after="0"/>
              <w:rPr>
                <w:sz w:val="12"/>
                <w:szCs w:val="12"/>
                <w:color w:val="auto"/>
              </w:rPr>
            </w:pPr>
          </w:p>
        </w:tc>
        <w:tc>
          <w:tcPr>
            <w:tcW w:w="200" w:type="dxa"/>
            <w:vAlign w:val="bottom"/>
            <w:tcBorders>
              <w:top w:val="single" w:sz="8" w:color="CFF0FC"/>
            </w:tcBorders>
            <w:shd w:val="clear" w:color="auto" w:fill="CFF0FC"/>
          </w:tcPr>
          <w:p>
            <w:pPr>
              <w:spacing w:after="0"/>
              <w:rPr>
                <w:sz w:val="12"/>
                <w:szCs w:val="12"/>
                <w:color w:val="auto"/>
              </w:rPr>
            </w:pPr>
          </w:p>
        </w:tc>
        <w:tc>
          <w:tcPr>
            <w:tcW w:w="900" w:type="dxa"/>
            <w:vAlign w:val="bottom"/>
            <w:tcBorders>
              <w:top w:val="single" w:sz="8" w:color="auto"/>
            </w:tcBorders>
            <w:shd w:val="clear" w:color="auto" w:fill="CFF0FC"/>
          </w:tcPr>
          <w:p>
            <w:pPr>
              <w:spacing w:after="0"/>
              <w:rPr>
                <w:sz w:val="12"/>
                <w:szCs w:val="12"/>
                <w:color w:val="auto"/>
              </w:rPr>
            </w:pPr>
          </w:p>
        </w:tc>
        <w:tc>
          <w:tcPr>
            <w:tcW w:w="220" w:type="dxa"/>
            <w:vAlign w:val="bottom"/>
            <w:tcBorders>
              <w:top w:val="single" w:sz="8" w:color="CFF0FC"/>
            </w:tcBorders>
            <w:shd w:val="clear" w:color="auto" w:fill="CFF0FC"/>
          </w:tcPr>
          <w:p>
            <w:pPr>
              <w:spacing w:after="0"/>
              <w:rPr>
                <w:sz w:val="12"/>
                <w:szCs w:val="12"/>
                <w:color w:val="auto"/>
              </w:rPr>
            </w:pPr>
          </w:p>
        </w:tc>
        <w:tc>
          <w:tcPr>
            <w:tcW w:w="800" w:type="dxa"/>
            <w:vAlign w:val="bottom"/>
            <w:tcBorders>
              <w:top w:val="single" w:sz="8" w:color="auto"/>
            </w:tcBorders>
            <w:shd w:val="clear" w:color="auto" w:fill="CFF0FC"/>
          </w:tcPr>
          <w:p>
            <w:pPr>
              <w:spacing w:after="0"/>
              <w:rPr>
                <w:sz w:val="12"/>
                <w:szCs w:val="12"/>
                <w:color w:val="auto"/>
              </w:rPr>
            </w:pPr>
          </w:p>
        </w:tc>
        <w:tc>
          <w:tcPr>
            <w:tcW w:w="220" w:type="dxa"/>
            <w:vAlign w:val="bottom"/>
            <w:tcBorders>
              <w:top w:val="single" w:sz="8" w:color="CFF0FC"/>
            </w:tcBorders>
            <w:shd w:val="clear" w:color="auto" w:fill="CFF0FC"/>
          </w:tcPr>
          <w:p>
            <w:pPr>
              <w:spacing w:after="0"/>
              <w:rPr>
                <w:sz w:val="12"/>
                <w:szCs w:val="12"/>
                <w:color w:val="auto"/>
              </w:rPr>
            </w:pPr>
          </w:p>
        </w:tc>
        <w:tc>
          <w:tcPr>
            <w:tcW w:w="820" w:type="dxa"/>
            <w:vAlign w:val="bottom"/>
            <w:tcBorders>
              <w:top w:val="single" w:sz="8" w:color="auto"/>
            </w:tcBorders>
            <w:shd w:val="clear" w:color="auto" w:fill="CFF0FC"/>
          </w:tcPr>
          <w:p>
            <w:pPr>
              <w:spacing w:after="0"/>
              <w:rPr>
                <w:sz w:val="12"/>
                <w:szCs w:val="12"/>
                <w:color w:val="auto"/>
              </w:rPr>
            </w:pPr>
          </w:p>
        </w:tc>
        <w:tc>
          <w:tcPr>
            <w:tcW w:w="220" w:type="dxa"/>
            <w:vAlign w:val="bottom"/>
            <w:tcBorders>
              <w:top w:val="single" w:sz="8" w:color="CFF0FC"/>
            </w:tcBorders>
            <w:shd w:val="clear" w:color="auto" w:fill="CFF0FC"/>
          </w:tcPr>
          <w:p>
            <w:pPr>
              <w:spacing w:after="0"/>
              <w:rPr>
                <w:sz w:val="12"/>
                <w:szCs w:val="12"/>
                <w:color w:val="auto"/>
              </w:rPr>
            </w:pPr>
          </w:p>
        </w:tc>
        <w:tc>
          <w:tcPr>
            <w:tcW w:w="1040" w:type="dxa"/>
            <w:vAlign w:val="bottom"/>
            <w:tcBorders>
              <w:top w:val="single" w:sz="8" w:color="auto"/>
            </w:tcBorders>
            <w:shd w:val="clear" w:color="auto" w:fill="CFF0FC"/>
          </w:tcPr>
          <w:p>
            <w:pPr>
              <w:spacing w:after="0"/>
              <w:rPr>
                <w:sz w:val="12"/>
                <w:szCs w:val="12"/>
                <w:color w:val="auto"/>
              </w:rPr>
            </w:pPr>
          </w:p>
        </w:tc>
        <w:tc>
          <w:tcPr>
            <w:tcW w:w="220" w:type="dxa"/>
            <w:vAlign w:val="bottom"/>
            <w:tcBorders>
              <w:top w:val="single" w:sz="8" w:color="CFF0FC"/>
            </w:tcBorders>
            <w:shd w:val="clear" w:color="auto" w:fill="CFF0FC"/>
          </w:tcPr>
          <w:p>
            <w:pPr>
              <w:spacing w:after="0"/>
              <w:rPr>
                <w:sz w:val="12"/>
                <w:szCs w:val="12"/>
                <w:color w:val="auto"/>
              </w:rPr>
            </w:pPr>
          </w:p>
        </w:tc>
        <w:tc>
          <w:tcPr>
            <w:tcW w:w="1240" w:type="dxa"/>
            <w:vAlign w:val="bottom"/>
            <w:tcBorders>
              <w:top w:val="single" w:sz="8" w:color="auto"/>
            </w:tcBorders>
            <w:shd w:val="clear" w:color="auto" w:fill="CFF0FC"/>
          </w:tcPr>
          <w:p>
            <w:pPr>
              <w:spacing w:after="0"/>
              <w:rPr>
                <w:sz w:val="12"/>
                <w:szCs w:val="12"/>
                <w:color w:val="auto"/>
              </w:rPr>
            </w:pPr>
          </w:p>
        </w:tc>
      </w:tr>
      <w:tr>
        <w:trPr>
          <w:trHeight w:val="162"/>
        </w:trPr>
        <w:tc>
          <w:tcPr>
            <w:tcW w:w="3660" w:type="dxa"/>
            <w:vAlign w:val="bottom"/>
            <w:gridSpan w:val="2"/>
          </w:tcPr>
          <w:p>
            <w:pPr>
              <w:spacing w:after="0"/>
              <w:rPr>
                <w:sz w:val="20"/>
                <w:szCs w:val="20"/>
                <w:color w:val="auto"/>
              </w:rPr>
            </w:pPr>
            <w:r>
              <w:rPr>
                <w:rFonts w:ascii="Arial" w:cs="Arial" w:eastAsia="Arial" w:hAnsi="Arial"/>
                <w:sz w:val="14"/>
                <w:szCs w:val="14"/>
                <w:color w:val="auto"/>
              </w:rPr>
              <w:t>Brazoria County:</w:t>
            </w:r>
          </w:p>
        </w:tc>
        <w:tc>
          <w:tcPr>
            <w:tcW w:w="9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04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240" w:type="dxa"/>
            <w:vAlign w:val="bottom"/>
          </w:tcPr>
          <w:p>
            <w:pPr>
              <w:spacing w:after="0"/>
              <w:rPr>
                <w:sz w:val="14"/>
                <w:szCs w:val="14"/>
                <w:color w:val="auto"/>
              </w:rPr>
            </w:pPr>
          </w:p>
        </w:tc>
      </w:tr>
      <w:tr>
        <w:trPr>
          <w:trHeight w:val="162"/>
        </w:trPr>
        <w:tc>
          <w:tcPr>
            <w:tcW w:w="3660" w:type="dxa"/>
            <w:vAlign w:val="bottom"/>
            <w:gridSpan w:val="2"/>
            <w:shd w:val="clear" w:color="auto" w:fill="CFF0FC"/>
          </w:tcPr>
          <w:p>
            <w:pPr>
              <w:ind w:left="380"/>
              <w:spacing w:after="0"/>
              <w:rPr>
                <w:sz w:val="20"/>
                <w:szCs w:val="20"/>
                <w:color w:val="auto"/>
              </w:rPr>
            </w:pPr>
            <w:r>
              <w:rPr>
                <w:rFonts w:ascii="Arial" w:cs="Arial" w:eastAsia="Arial" w:hAnsi="Arial"/>
                <w:sz w:val="14"/>
                <w:szCs w:val="14"/>
                <w:color w:val="auto"/>
              </w:rPr>
              <w:t>Sedona Lakes, Pearland</w:t>
            </w:r>
          </w:p>
        </w:tc>
        <w:tc>
          <w:tcPr>
            <w:tcW w:w="960" w:type="dxa"/>
            <w:vAlign w:val="bottom"/>
            <w:shd w:val="clear" w:color="auto" w:fill="CFF0FC"/>
          </w:tcPr>
          <w:p>
            <w:pPr>
              <w:jc w:val="center"/>
              <w:spacing w:after="0"/>
              <w:rPr>
                <w:sz w:val="20"/>
                <w:szCs w:val="20"/>
                <w:color w:val="auto"/>
              </w:rPr>
            </w:pPr>
            <w:r>
              <w:rPr>
                <w:rFonts w:ascii="Arial" w:cs="Arial" w:eastAsia="Arial" w:hAnsi="Arial"/>
                <w:sz w:val="14"/>
                <w:szCs w:val="14"/>
                <w:color w:val="auto"/>
                <w:w w:val="83"/>
              </w:rPr>
              <w:t>2014</w:t>
            </w:r>
          </w:p>
        </w:tc>
        <w:tc>
          <w:tcPr>
            <w:tcW w:w="100" w:type="dxa"/>
            <w:vAlign w:val="bottom"/>
            <w:shd w:val="clear" w:color="auto" w:fill="CFF0FC"/>
          </w:tcPr>
          <w:p>
            <w:pPr>
              <w:spacing w:after="0"/>
              <w:rPr>
                <w:sz w:val="14"/>
                <w:szCs w:val="14"/>
                <w:color w:val="auto"/>
              </w:rPr>
            </w:pPr>
          </w:p>
        </w:tc>
        <w:tc>
          <w:tcPr>
            <w:tcW w:w="820" w:type="dxa"/>
            <w:vAlign w:val="bottom"/>
            <w:shd w:val="clear" w:color="auto" w:fill="CFF0FC"/>
          </w:tcPr>
          <w:p>
            <w:pPr>
              <w:jc w:val="right"/>
              <w:spacing w:after="0"/>
              <w:rPr>
                <w:sz w:val="20"/>
                <w:szCs w:val="20"/>
                <w:color w:val="auto"/>
              </w:rPr>
            </w:pPr>
            <w:r>
              <w:rPr>
                <w:rFonts w:ascii="Arial" w:cs="Arial" w:eastAsia="Arial" w:hAnsi="Arial"/>
                <w:sz w:val="14"/>
                <w:szCs w:val="14"/>
                <w:color w:val="auto"/>
              </w:rPr>
              <w:t>22</w:t>
            </w:r>
          </w:p>
        </w:tc>
        <w:tc>
          <w:tcPr>
            <w:tcW w:w="200" w:type="dxa"/>
            <w:vAlign w:val="bottom"/>
            <w:shd w:val="clear" w:color="auto" w:fill="CFF0FC"/>
          </w:tcPr>
          <w:p>
            <w:pPr>
              <w:spacing w:after="0"/>
              <w:rPr>
                <w:sz w:val="14"/>
                <w:szCs w:val="14"/>
                <w:color w:val="auto"/>
              </w:rPr>
            </w:pPr>
          </w:p>
        </w:tc>
        <w:tc>
          <w:tcPr>
            <w:tcW w:w="900" w:type="dxa"/>
            <w:vAlign w:val="bottom"/>
            <w:shd w:val="clear" w:color="auto" w:fill="CFF0FC"/>
          </w:tcPr>
          <w:p>
            <w:pPr>
              <w:jc w:val="right"/>
              <w:spacing w:after="0"/>
              <w:rPr>
                <w:sz w:val="20"/>
                <w:szCs w:val="20"/>
                <w:color w:val="auto"/>
              </w:rPr>
            </w:pPr>
            <w:r>
              <w:rPr>
                <w:rFonts w:ascii="Arial" w:cs="Arial" w:eastAsia="Arial" w:hAnsi="Arial"/>
                <w:sz w:val="14"/>
                <w:szCs w:val="14"/>
                <w:color w:val="auto"/>
              </w:rPr>
              <w:t>6</w:t>
            </w:r>
          </w:p>
        </w:tc>
        <w:tc>
          <w:tcPr>
            <w:tcW w:w="220" w:type="dxa"/>
            <w:vAlign w:val="bottom"/>
            <w:shd w:val="clear" w:color="auto" w:fill="CFF0FC"/>
          </w:tcPr>
          <w:p>
            <w:pPr>
              <w:spacing w:after="0"/>
              <w:rPr>
                <w:sz w:val="14"/>
                <w:szCs w:val="14"/>
                <w:color w:val="auto"/>
              </w:rPr>
            </w:pPr>
          </w:p>
        </w:tc>
        <w:tc>
          <w:tcPr>
            <w:tcW w:w="800" w:type="dxa"/>
            <w:vAlign w:val="bottom"/>
            <w:shd w:val="clear" w:color="auto" w:fill="CFF0FC"/>
          </w:tcPr>
          <w:p>
            <w:pPr>
              <w:jc w:val="right"/>
              <w:spacing w:after="0"/>
              <w:rPr>
                <w:sz w:val="20"/>
                <w:szCs w:val="20"/>
                <w:color w:val="auto"/>
              </w:rPr>
            </w:pPr>
            <w:r>
              <w:rPr>
                <w:rFonts w:ascii="Arial" w:cs="Arial" w:eastAsia="Arial" w:hAnsi="Arial"/>
                <w:sz w:val="14"/>
                <w:szCs w:val="14"/>
                <w:color w:val="auto"/>
              </w:rPr>
              <w:t>16</w:t>
            </w:r>
          </w:p>
        </w:tc>
        <w:tc>
          <w:tcPr>
            <w:tcW w:w="220" w:type="dxa"/>
            <w:vAlign w:val="bottom"/>
            <w:shd w:val="clear" w:color="auto" w:fill="CFF0FC"/>
          </w:tcPr>
          <w:p>
            <w:pPr>
              <w:spacing w:after="0"/>
              <w:rPr>
                <w:sz w:val="14"/>
                <w:szCs w:val="14"/>
                <w:color w:val="auto"/>
              </w:rPr>
            </w:pPr>
          </w:p>
        </w:tc>
        <w:tc>
          <w:tcPr>
            <w:tcW w:w="820" w:type="dxa"/>
            <w:vAlign w:val="bottom"/>
            <w:shd w:val="clear" w:color="auto" w:fill="CFF0FC"/>
          </w:tcPr>
          <w:p>
            <w:pPr>
              <w:jc w:val="right"/>
              <w:spacing w:after="0"/>
              <w:rPr>
                <w:sz w:val="20"/>
                <w:szCs w:val="20"/>
                <w:color w:val="auto"/>
              </w:rPr>
            </w:pPr>
            <w:r>
              <w:rPr>
                <w:rFonts w:ascii="Arial" w:cs="Arial" w:eastAsia="Arial" w:hAnsi="Arial"/>
                <w:sz w:val="14"/>
                <w:szCs w:val="14"/>
                <w:color w:val="auto"/>
              </w:rPr>
              <w:t>5</w:t>
            </w:r>
          </w:p>
        </w:tc>
        <w:tc>
          <w:tcPr>
            <w:tcW w:w="220" w:type="dxa"/>
            <w:vAlign w:val="bottom"/>
            <w:shd w:val="clear" w:color="auto" w:fill="CFF0FC"/>
          </w:tcPr>
          <w:p>
            <w:pPr>
              <w:spacing w:after="0"/>
              <w:rPr>
                <w:sz w:val="14"/>
                <w:szCs w:val="14"/>
                <w:color w:val="auto"/>
              </w:rPr>
            </w:pPr>
          </w:p>
        </w:tc>
        <w:tc>
          <w:tcPr>
            <w:tcW w:w="1040" w:type="dxa"/>
            <w:vAlign w:val="bottom"/>
            <w:shd w:val="clear" w:color="auto" w:fill="CFF0FC"/>
          </w:tcPr>
          <w:p>
            <w:pPr>
              <w:jc w:val="right"/>
              <w:spacing w:after="0"/>
              <w:rPr>
                <w:sz w:val="20"/>
                <w:szCs w:val="20"/>
                <w:color w:val="auto"/>
              </w:rPr>
            </w:pPr>
            <w:r>
              <w:rPr>
                <w:rFonts w:ascii="Arial" w:cs="Arial" w:eastAsia="Arial" w:hAnsi="Arial"/>
                <w:sz w:val="14"/>
                <w:szCs w:val="14"/>
                <w:color w:val="auto"/>
              </w:rPr>
              <w:t>3</w:t>
            </w:r>
          </w:p>
        </w:tc>
        <w:tc>
          <w:tcPr>
            <w:tcW w:w="1460" w:type="dxa"/>
            <w:vAlign w:val="bottom"/>
            <w:gridSpan w:val="2"/>
            <w:shd w:val="clear" w:color="auto" w:fill="CFF0FC"/>
          </w:tcPr>
          <w:p>
            <w:pPr>
              <w:jc w:val="center"/>
              <w:ind w:left="132"/>
              <w:spacing w:after="0"/>
              <w:rPr>
                <w:sz w:val="20"/>
                <w:szCs w:val="20"/>
                <w:color w:val="auto"/>
              </w:rPr>
            </w:pPr>
            <w:r>
              <w:rPr>
                <w:rFonts w:ascii="Arial" w:cs="Arial" w:eastAsia="Arial" w:hAnsi="Arial"/>
                <w:sz w:val="14"/>
                <w:szCs w:val="14"/>
                <w:color w:val="auto"/>
                <w:w w:val="88"/>
              </w:rPr>
              <w:t>$452 - $506</w:t>
            </w:r>
          </w:p>
        </w:tc>
      </w:tr>
      <w:tr>
        <w:trPr>
          <w:trHeight w:val="162"/>
        </w:trPr>
        <w:tc>
          <w:tcPr>
            <w:tcW w:w="3660" w:type="dxa"/>
            <w:vAlign w:val="bottom"/>
            <w:gridSpan w:val="2"/>
          </w:tcPr>
          <w:p>
            <w:pPr>
              <w:ind w:left="380"/>
              <w:spacing w:after="0"/>
              <w:rPr>
                <w:sz w:val="20"/>
                <w:szCs w:val="20"/>
                <w:color w:val="auto"/>
              </w:rPr>
            </w:pPr>
            <w:r>
              <w:rPr>
                <w:rFonts w:ascii="Arial" w:cs="Arial" w:eastAsia="Arial" w:hAnsi="Arial"/>
                <w:sz w:val="14"/>
                <w:szCs w:val="14"/>
                <w:color w:val="auto"/>
              </w:rPr>
              <w:t>Southern Trails, Pearland</w:t>
            </w:r>
          </w:p>
        </w:tc>
        <w:tc>
          <w:tcPr>
            <w:tcW w:w="960" w:type="dxa"/>
            <w:vAlign w:val="bottom"/>
          </w:tcPr>
          <w:p>
            <w:pPr>
              <w:jc w:val="center"/>
              <w:spacing w:after="0"/>
              <w:rPr>
                <w:sz w:val="20"/>
                <w:szCs w:val="20"/>
                <w:color w:val="auto"/>
              </w:rPr>
            </w:pPr>
            <w:r>
              <w:rPr>
                <w:rFonts w:ascii="Arial" w:cs="Arial" w:eastAsia="Arial" w:hAnsi="Arial"/>
                <w:sz w:val="14"/>
                <w:szCs w:val="14"/>
                <w:color w:val="auto"/>
                <w:w w:val="83"/>
              </w:rPr>
              <w:t>2014</w:t>
            </w:r>
          </w:p>
        </w:tc>
        <w:tc>
          <w:tcPr>
            <w:tcW w:w="100" w:type="dxa"/>
            <w:vAlign w:val="bottom"/>
          </w:tcPr>
          <w:p>
            <w:pPr>
              <w:spacing w:after="0"/>
              <w:rPr>
                <w:sz w:val="14"/>
                <w:szCs w:val="14"/>
                <w:color w:val="auto"/>
              </w:rPr>
            </w:pPr>
          </w:p>
        </w:tc>
        <w:tc>
          <w:tcPr>
            <w:tcW w:w="820" w:type="dxa"/>
            <w:vAlign w:val="bottom"/>
          </w:tcPr>
          <w:p>
            <w:pPr>
              <w:jc w:val="right"/>
              <w:spacing w:after="0"/>
              <w:rPr>
                <w:sz w:val="20"/>
                <w:szCs w:val="20"/>
                <w:color w:val="auto"/>
              </w:rPr>
            </w:pPr>
            <w:r>
              <w:rPr>
                <w:rFonts w:ascii="Arial" w:cs="Arial" w:eastAsia="Arial" w:hAnsi="Arial"/>
                <w:sz w:val="14"/>
                <w:szCs w:val="14"/>
                <w:color w:val="auto"/>
              </w:rPr>
              <w:t>34</w:t>
            </w:r>
          </w:p>
        </w:tc>
        <w:tc>
          <w:tcPr>
            <w:tcW w:w="200" w:type="dxa"/>
            <w:vAlign w:val="bottom"/>
          </w:tcPr>
          <w:p>
            <w:pPr>
              <w:spacing w:after="0"/>
              <w:rPr>
                <w:sz w:val="14"/>
                <w:szCs w:val="14"/>
                <w:color w:val="auto"/>
              </w:rPr>
            </w:pPr>
          </w:p>
        </w:tc>
        <w:tc>
          <w:tcPr>
            <w:tcW w:w="900" w:type="dxa"/>
            <w:vAlign w:val="bottom"/>
          </w:tcPr>
          <w:p>
            <w:pPr>
              <w:jc w:val="right"/>
              <w:spacing w:after="0"/>
              <w:rPr>
                <w:sz w:val="20"/>
                <w:szCs w:val="20"/>
                <w:color w:val="auto"/>
              </w:rPr>
            </w:pPr>
            <w:r>
              <w:rPr>
                <w:rFonts w:ascii="Arial" w:cs="Arial" w:eastAsia="Arial" w:hAnsi="Arial"/>
                <w:sz w:val="14"/>
                <w:szCs w:val="14"/>
                <w:color w:val="auto"/>
              </w:rPr>
              <w:t>21</w:t>
            </w:r>
          </w:p>
        </w:tc>
        <w:tc>
          <w:tcPr>
            <w:tcW w:w="220" w:type="dxa"/>
            <w:vAlign w:val="bottom"/>
          </w:tcPr>
          <w:p>
            <w:pPr>
              <w:spacing w:after="0"/>
              <w:rPr>
                <w:sz w:val="14"/>
                <w:szCs w:val="14"/>
                <w:color w:val="auto"/>
              </w:rPr>
            </w:pPr>
          </w:p>
        </w:tc>
        <w:tc>
          <w:tcPr>
            <w:tcW w:w="800" w:type="dxa"/>
            <w:vAlign w:val="bottom"/>
          </w:tcPr>
          <w:p>
            <w:pPr>
              <w:jc w:val="right"/>
              <w:spacing w:after="0"/>
              <w:rPr>
                <w:sz w:val="20"/>
                <w:szCs w:val="20"/>
                <w:color w:val="auto"/>
              </w:rPr>
            </w:pPr>
            <w:r>
              <w:rPr>
                <w:rFonts w:ascii="Arial" w:cs="Arial" w:eastAsia="Arial" w:hAnsi="Arial"/>
                <w:sz w:val="14"/>
                <w:szCs w:val="14"/>
                <w:color w:val="auto"/>
              </w:rPr>
              <w:t>13</w:t>
            </w:r>
          </w:p>
        </w:tc>
        <w:tc>
          <w:tcPr>
            <w:tcW w:w="220" w:type="dxa"/>
            <w:vAlign w:val="bottom"/>
          </w:tcPr>
          <w:p>
            <w:pPr>
              <w:spacing w:after="0"/>
              <w:rPr>
                <w:sz w:val="14"/>
                <w:szCs w:val="14"/>
                <w:color w:val="auto"/>
              </w:rPr>
            </w:pPr>
          </w:p>
        </w:tc>
        <w:tc>
          <w:tcPr>
            <w:tcW w:w="820" w:type="dxa"/>
            <w:vAlign w:val="bottom"/>
          </w:tcPr>
          <w:p>
            <w:pPr>
              <w:jc w:val="right"/>
              <w:spacing w:after="0"/>
              <w:rPr>
                <w:sz w:val="20"/>
                <w:szCs w:val="20"/>
                <w:color w:val="auto"/>
              </w:rPr>
            </w:pPr>
            <w:r>
              <w:rPr>
                <w:rFonts w:ascii="Arial" w:cs="Arial" w:eastAsia="Arial" w:hAnsi="Arial"/>
                <w:sz w:val="14"/>
                <w:szCs w:val="14"/>
                <w:color w:val="auto"/>
              </w:rPr>
              <w:t>8</w:t>
            </w:r>
          </w:p>
        </w:tc>
        <w:tc>
          <w:tcPr>
            <w:tcW w:w="220" w:type="dxa"/>
            <w:vAlign w:val="bottom"/>
          </w:tcPr>
          <w:p>
            <w:pPr>
              <w:spacing w:after="0"/>
              <w:rPr>
                <w:sz w:val="14"/>
                <w:szCs w:val="14"/>
                <w:color w:val="auto"/>
              </w:rPr>
            </w:pPr>
          </w:p>
        </w:tc>
        <w:tc>
          <w:tcPr>
            <w:tcW w:w="1040" w:type="dxa"/>
            <w:vAlign w:val="bottom"/>
          </w:tcPr>
          <w:p>
            <w:pPr>
              <w:jc w:val="right"/>
              <w:spacing w:after="0"/>
              <w:rPr>
                <w:sz w:val="20"/>
                <w:szCs w:val="20"/>
                <w:color w:val="auto"/>
              </w:rPr>
            </w:pPr>
            <w:r>
              <w:rPr>
                <w:rFonts w:ascii="Arial" w:cs="Arial" w:eastAsia="Arial" w:hAnsi="Arial"/>
                <w:sz w:val="14"/>
                <w:szCs w:val="14"/>
                <w:color w:val="auto"/>
              </w:rPr>
              <w:t>7</w:t>
            </w:r>
          </w:p>
        </w:tc>
        <w:tc>
          <w:tcPr>
            <w:tcW w:w="1460" w:type="dxa"/>
            <w:vAlign w:val="bottom"/>
            <w:gridSpan w:val="2"/>
          </w:tcPr>
          <w:p>
            <w:pPr>
              <w:jc w:val="center"/>
              <w:ind w:left="132"/>
              <w:spacing w:after="0"/>
              <w:rPr>
                <w:sz w:val="20"/>
                <w:szCs w:val="20"/>
                <w:color w:val="auto"/>
              </w:rPr>
            </w:pPr>
            <w:r>
              <w:rPr>
                <w:rFonts w:ascii="Arial" w:cs="Arial" w:eastAsia="Arial" w:hAnsi="Arial"/>
                <w:sz w:val="14"/>
                <w:szCs w:val="14"/>
                <w:color w:val="auto"/>
                <w:w w:val="88"/>
              </w:rPr>
              <w:t>$490 - $609</w:t>
            </w:r>
          </w:p>
        </w:tc>
      </w:tr>
      <w:tr>
        <w:trPr>
          <w:trHeight w:val="162"/>
        </w:trPr>
        <w:tc>
          <w:tcPr>
            <w:tcW w:w="3660" w:type="dxa"/>
            <w:vAlign w:val="bottom"/>
            <w:gridSpan w:val="2"/>
            <w:shd w:val="clear" w:color="auto" w:fill="CFF0FC"/>
          </w:tcPr>
          <w:p>
            <w:pPr>
              <w:spacing w:after="0"/>
              <w:rPr>
                <w:sz w:val="20"/>
                <w:szCs w:val="20"/>
                <w:color w:val="auto"/>
              </w:rPr>
            </w:pPr>
            <w:r>
              <w:rPr>
                <w:rFonts w:ascii="Arial" w:cs="Arial" w:eastAsia="Arial" w:hAnsi="Arial"/>
                <w:sz w:val="14"/>
                <w:szCs w:val="14"/>
                <w:color w:val="auto"/>
              </w:rPr>
              <w:t>Fort Bend County:</w:t>
            </w:r>
          </w:p>
        </w:tc>
        <w:tc>
          <w:tcPr>
            <w:tcW w:w="960" w:type="dxa"/>
            <w:vAlign w:val="bottom"/>
            <w:shd w:val="clear" w:color="auto" w:fill="CFF0FC"/>
          </w:tcPr>
          <w:p>
            <w:pPr>
              <w:spacing w:after="0"/>
              <w:rPr>
                <w:sz w:val="14"/>
                <w:szCs w:val="14"/>
                <w:color w:val="auto"/>
              </w:rPr>
            </w:pPr>
          </w:p>
        </w:tc>
        <w:tc>
          <w:tcPr>
            <w:tcW w:w="100" w:type="dxa"/>
            <w:vAlign w:val="bottom"/>
            <w:shd w:val="clear" w:color="auto" w:fill="CFF0FC"/>
          </w:tcPr>
          <w:p>
            <w:pPr>
              <w:spacing w:after="0"/>
              <w:rPr>
                <w:sz w:val="14"/>
                <w:szCs w:val="14"/>
                <w:color w:val="auto"/>
              </w:rPr>
            </w:pPr>
          </w:p>
        </w:tc>
        <w:tc>
          <w:tcPr>
            <w:tcW w:w="820" w:type="dxa"/>
            <w:vAlign w:val="bottom"/>
            <w:shd w:val="clear" w:color="auto" w:fill="CFF0FC"/>
          </w:tcPr>
          <w:p>
            <w:pPr>
              <w:spacing w:after="0"/>
              <w:rPr>
                <w:sz w:val="14"/>
                <w:szCs w:val="14"/>
                <w:color w:val="auto"/>
              </w:rPr>
            </w:pPr>
          </w:p>
        </w:tc>
        <w:tc>
          <w:tcPr>
            <w:tcW w:w="200" w:type="dxa"/>
            <w:vAlign w:val="bottom"/>
            <w:shd w:val="clear" w:color="auto" w:fill="CFF0FC"/>
          </w:tcPr>
          <w:p>
            <w:pPr>
              <w:spacing w:after="0"/>
              <w:rPr>
                <w:sz w:val="14"/>
                <w:szCs w:val="14"/>
                <w:color w:val="auto"/>
              </w:rPr>
            </w:pPr>
          </w:p>
        </w:tc>
        <w:tc>
          <w:tcPr>
            <w:tcW w:w="900" w:type="dxa"/>
            <w:vAlign w:val="bottom"/>
            <w:shd w:val="clear" w:color="auto" w:fill="CFF0FC"/>
          </w:tcPr>
          <w:p>
            <w:pPr>
              <w:spacing w:after="0"/>
              <w:rPr>
                <w:sz w:val="14"/>
                <w:szCs w:val="14"/>
                <w:color w:val="auto"/>
              </w:rPr>
            </w:pPr>
          </w:p>
        </w:tc>
        <w:tc>
          <w:tcPr>
            <w:tcW w:w="220" w:type="dxa"/>
            <w:vAlign w:val="bottom"/>
            <w:shd w:val="clear" w:color="auto" w:fill="CFF0FC"/>
          </w:tcPr>
          <w:p>
            <w:pPr>
              <w:spacing w:after="0"/>
              <w:rPr>
                <w:sz w:val="14"/>
                <w:szCs w:val="14"/>
                <w:color w:val="auto"/>
              </w:rPr>
            </w:pPr>
          </w:p>
        </w:tc>
        <w:tc>
          <w:tcPr>
            <w:tcW w:w="800" w:type="dxa"/>
            <w:vAlign w:val="bottom"/>
            <w:shd w:val="clear" w:color="auto" w:fill="CFF0FC"/>
          </w:tcPr>
          <w:p>
            <w:pPr>
              <w:spacing w:after="0"/>
              <w:rPr>
                <w:sz w:val="14"/>
                <w:szCs w:val="14"/>
                <w:color w:val="auto"/>
              </w:rPr>
            </w:pPr>
          </w:p>
        </w:tc>
        <w:tc>
          <w:tcPr>
            <w:tcW w:w="220" w:type="dxa"/>
            <w:vAlign w:val="bottom"/>
            <w:shd w:val="clear" w:color="auto" w:fill="CFF0FC"/>
          </w:tcPr>
          <w:p>
            <w:pPr>
              <w:spacing w:after="0"/>
              <w:rPr>
                <w:sz w:val="14"/>
                <w:szCs w:val="14"/>
                <w:color w:val="auto"/>
              </w:rPr>
            </w:pPr>
          </w:p>
        </w:tc>
        <w:tc>
          <w:tcPr>
            <w:tcW w:w="820" w:type="dxa"/>
            <w:vAlign w:val="bottom"/>
            <w:shd w:val="clear" w:color="auto" w:fill="CFF0FC"/>
          </w:tcPr>
          <w:p>
            <w:pPr>
              <w:spacing w:after="0"/>
              <w:rPr>
                <w:sz w:val="14"/>
                <w:szCs w:val="14"/>
                <w:color w:val="auto"/>
              </w:rPr>
            </w:pPr>
          </w:p>
        </w:tc>
        <w:tc>
          <w:tcPr>
            <w:tcW w:w="220" w:type="dxa"/>
            <w:vAlign w:val="bottom"/>
            <w:shd w:val="clear" w:color="auto" w:fill="CFF0FC"/>
          </w:tcPr>
          <w:p>
            <w:pPr>
              <w:spacing w:after="0"/>
              <w:rPr>
                <w:sz w:val="14"/>
                <w:szCs w:val="14"/>
                <w:color w:val="auto"/>
              </w:rPr>
            </w:pPr>
          </w:p>
        </w:tc>
        <w:tc>
          <w:tcPr>
            <w:tcW w:w="1040" w:type="dxa"/>
            <w:vAlign w:val="bottom"/>
            <w:shd w:val="clear" w:color="auto" w:fill="CFF0FC"/>
          </w:tcPr>
          <w:p>
            <w:pPr>
              <w:spacing w:after="0"/>
              <w:rPr>
                <w:sz w:val="14"/>
                <w:szCs w:val="14"/>
                <w:color w:val="auto"/>
              </w:rPr>
            </w:pPr>
          </w:p>
        </w:tc>
        <w:tc>
          <w:tcPr>
            <w:tcW w:w="220" w:type="dxa"/>
            <w:vAlign w:val="bottom"/>
            <w:shd w:val="clear" w:color="auto" w:fill="CFF0FC"/>
          </w:tcPr>
          <w:p>
            <w:pPr>
              <w:spacing w:after="0"/>
              <w:rPr>
                <w:sz w:val="14"/>
                <w:szCs w:val="14"/>
                <w:color w:val="auto"/>
              </w:rPr>
            </w:pPr>
          </w:p>
        </w:tc>
        <w:tc>
          <w:tcPr>
            <w:tcW w:w="1240" w:type="dxa"/>
            <w:vAlign w:val="bottom"/>
            <w:shd w:val="clear" w:color="auto" w:fill="CFF0FC"/>
          </w:tcPr>
          <w:p>
            <w:pPr>
              <w:spacing w:after="0"/>
              <w:rPr>
                <w:sz w:val="14"/>
                <w:szCs w:val="14"/>
                <w:color w:val="auto"/>
              </w:rPr>
            </w:pPr>
          </w:p>
        </w:tc>
      </w:tr>
      <w:tr>
        <w:trPr>
          <w:trHeight w:val="162"/>
        </w:trPr>
        <w:tc>
          <w:tcPr>
            <w:tcW w:w="3660" w:type="dxa"/>
            <w:vAlign w:val="bottom"/>
            <w:gridSpan w:val="2"/>
          </w:tcPr>
          <w:p>
            <w:pPr>
              <w:ind w:left="380"/>
              <w:spacing w:after="0"/>
              <w:rPr>
                <w:sz w:val="20"/>
                <w:szCs w:val="20"/>
                <w:color w:val="auto"/>
              </w:rPr>
            </w:pPr>
            <w:r>
              <w:rPr>
                <w:rFonts w:ascii="Arial" w:cs="Arial" w:eastAsia="Arial" w:hAnsi="Arial"/>
                <w:sz w:val="14"/>
                <w:szCs w:val="14"/>
                <w:color w:val="auto"/>
              </w:rPr>
              <w:t>Cross Creek Ranch 60', Fulshear</w:t>
            </w:r>
          </w:p>
        </w:tc>
        <w:tc>
          <w:tcPr>
            <w:tcW w:w="960" w:type="dxa"/>
            <w:vAlign w:val="bottom"/>
          </w:tcPr>
          <w:p>
            <w:pPr>
              <w:jc w:val="center"/>
              <w:spacing w:after="0"/>
              <w:rPr>
                <w:sz w:val="20"/>
                <w:szCs w:val="20"/>
                <w:color w:val="auto"/>
              </w:rPr>
            </w:pPr>
            <w:r>
              <w:rPr>
                <w:rFonts w:ascii="Arial" w:cs="Arial" w:eastAsia="Arial" w:hAnsi="Arial"/>
                <w:sz w:val="14"/>
                <w:szCs w:val="14"/>
                <w:color w:val="auto"/>
                <w:w w:val="83"/>
              </w:rPr>
              <w:t>2013</w:t>
            </w:r>
          </w:p>
        </w:tc>
        <w:tc>
          <w:tcPr>
            <w:tcW w:w="100" w:type="dxa"/>
            <w:vAlign w:val="bottom"/>
          </w:tcPr>
          <w:p>
            <w:pPr>
              <w:spacing w:after="0"/>
              <w:rPr>
                <w:sz w:val="14"/>
                <w:szCs w:val="14"/>
                <w:color w:val="auto"/>
              </w:rPr>
            </w:pPr>
          </w:p>
        </w:tc>
        <w:tc>
          <w:tcPr>
            <w:tcW w:w="820" w:type="dxa"/>
            <w:vAlign w:val="bottom"/>
          </w:tcPr>
          <w:p>
            <w:pPr>
              <w:jc w:val="right"/>
              <w:spacing w:after="0"/>
              <w:rPr>
                <w:sz w:val="20"/>
                <w:szCs w:val="20"/>
                <w:color w:val="auto"/>
              </w:rPr>
            </w:pPr>
            <w:r>
              <w:rPr>
                <w:rFonts w:ascii="Arial" w:cs="Arial" w:eastAsia="Arial" w:hAnsi="Arial"/>
                <w:sz w:val="14"/>
                <w:szCs w:val="14"/>
                <w:color w:val="auto"/>
              </w:rPr>
              <w:t>56</w:t>
            </w:r>
          </w:p>
        </w:tc>
        <w:tc>
          <w:tcPr>
            <w:tcW w:w="200" w:type="dxa"/>
            <w:vAlign w:val="bottom"/>
          </w:tcPr>
          <w:p>
            <w:pPr>
              <w:spacing w:after="0"/>
              <w:rPr>
                <w:sz w:val="14"/>
                <w:szCs w:val="14"/>
                <w:color w:val="auto"/>
              </w:rPr>
            </w:pPr>
          </w:p>
        </w:tc>
        <w:tc>
          <w:tcPr>
            <w:tcW w:w="900" w:type="dxa"/>
            <w:vAlign w:val="bottom"/>
          </w:tcPr>
          <w:p>
            <w:pPr>
              <w:jc w:val="right"/>
              <w:spacing w:after="0"/>
              <w:rPr>
                <w:sz w:val="20"/>
                <w:szCs w:val="20"/>
                <w:color w:val="auto"/>
              </w:rPr>
            </w:pPr>
            <w:r>
              <w:rPr>
                <w:rFonts w:ascii="Arial" w:cs="Arial" w:eastAsia="Arial" w:hAnsi="Arial"/>
                <w:sz w:val="14"/>
                <w:szCs w:val="14"/>
                <w:color w:val="auto"/>
              </w:rPr>
              <w:t>40</w:t>
            </w:r>
          </w:p>
        </w:tc>
        <w:tc>
          <w:tcPr>
            <w:tcW w:w="220" w:type="dxa"/>
            <w:vAlign w:val="bottom"/>
          </w:tcPr>
          <w:p>
            <w:pPr>
              <w:spacing w:after="0"/>
              <w:rPr>
                <w:sz w:val="14"/>
                <w:szCs w:val="14"/>
                <w:color w:val="auto"/>
              </w:rPr>
            </w:pPr>
          </w:p>
        </w:tc>
        <w:tc>
          <w:tcPr>
            <w:tcW w:w="800" w:type="dxa"/>
            <w:vAlign w:val="bottom"/>
          </w:tcPr>
          <w:p>
            <w:pPr>
              <w:jc w:val="right"/>
              <w:spacing w:after="0"/>
              <w:rPr>
                <w:sz w:val="20"/>
                <w:szCs w:val="20"/>
                <w:color w:val="auto"/>
              </w:rPr>
            </w:pPr>
            <w:r>
              <w:rPr>
                <w:rFonts w:ascii="Arial" w:cs="Arial" w:eastAsia="Arial" w:hAnsi="Arial"/>
                <w:sz w:val="14"/>
                <w:szCs w:val="14"/>
                <w:color w:val="auto"/>
              </w:rPr>
              <w:t>16</w:t>
            </w:r>
          </w:p>
        </w:tc>
        <w:tc>
          <w:tcPr>
            <w:tcW w:w="220" w:type="dxa"/>
            <w:vAlign w:val="bottom"/>
          </w:tcPr>
          <w:p>
            <w:pPr>
              <w:spacing w:after="0"/>
              <w:rPr>
                <w:sz w:val="14"/>
                <w:szCs w:val="14"/>
                <w:color w:val="auto"/>
              </w:rPr>
            </w:pPr>
          </w:p>
        </w:tc>
        <w:tc>
          <w:tcPr>
            <w:tcW w:w="820" w:type="dxa"/>
            <w:vAlign w:val="bottom"/>
          </w:tcPr>
          <w:p>
            <w:pPr>
              <w:jc w:val="right"/>
              <w:spacing w:after="0"/>
              <w:rPr>
                <w:sz w:val="20"/>
                <w:szCs w:val="20"/>
                <w:color w:val="auto"/>
              </w:rPr>
            </w:pPr>
            <w:r>
              <w:rPr>
                <w:rFonts w:ascii="Arial" w:cs="Arial" w:eastAsia="Arial" w:hAnsi="Arial"/>
                <w:sz w:val="14"/>
                <w:szCs w:val="14"/>
                <w:color w:val="auto"/>
              </w:rPr>
              <w:t>5</w:t>
            </w:r>
          </w:p>
        </w:tc>
        <w:tc>
          <w:tcPr>
            <w:tcW w:w="220" w:type="dxa"/>
            <w:vAlign w:val="bottom"/>
          </w:tcPr>
          <w:p>
            <w:pPr>
              <w:spacing w:after="0"/>
              <w:rPr>
                <w:sz w:val="14"/>
                <w:szCs w:val="14"/>
                <w:color w:val="auto"/>
              </w:rPr>
            </w:pPr>
          </w:p>
        </w:tc>
        <w:tc>
          <w:tcPr>
            <w:tcW w:w="1040" w:type="dxa"/>
            <w:vAlign w:val="bottom"/>
          </w:tcPr>
          <w:p>
            <w:pPr>
              <w:jc w:val="right"/>
              <w:spacing w:after="0"/>
              <w:rPr>
                <w:sz w:val="20"/>
                <w:szCs w:val="20"/>
                <w:color w:val="auto"/>
              </w:rPr>
            </w:pPr>
            <w:r>
              <w:rPr>
                <w:rFonts w:ascii="Arial" w:cs="Arial" w:eastAsia="Arial" w:hAnsi="Arial"/>
                <w:sz w:val="14"/>
                <w:szCs w:val="14"/>
                <w:color w:val="auto"/>
              </w:rPr>
              <w:t>6</w:t>
            </w:r>
          </w:p>
        </w:tc>
        <w:tc>
          <w:tcPr>
            <w:tcW w:w="1460" w:type="dxa"/>
            <w:vAlign w:val="bottom"/>
            <w:gridSpan w:val="2"/>
          </w:tcPr>
          <w:p>
            <w:pPr>
              <w:jc w:val="center"/>
              <w:ind w:left="132"/>
              <w:spacing w:after="0"/>
              <w:rPr>
                <w:sz w:val="20"/>
                <w:szCs w:val="20"/>
                <w:color w:val="auto"/>
              </w:rPr>
            </w:pPr>
            <w:r>
              <w:rPr>
                <w:rFonts w:ascii="Arial" w:cs="Arial" w:eastAsia="Arial" w:hAnsi="Arial"/>
                <w:sz w:val="14"/>
                <w:szCs w:val="14"/>
                <w:color w:val="auto"/>
                <w:w w:val="88"/>
              </w:rPr>
              <w:t>$379 - $447</w:t>
            </w:r>
          </w:p>
        </w:tc>
      </w:tr>
      <w:tr>
        <w:trPr>
          <w:trHeight w:val="162"/>
        </w:trPr>
        <w:tc>
          <w:tcPr>
            <w:tcW w:w="3660" w:type="dxa"/>
            <w:vAlign w:val="bottom"/>
            <w:gridSpan w:val="2"/>
            <w:shd w:val="clear" w:color="auto" w:fill="CFF0FC"/>
          </w:tcPr>
          <w:p>
            <w:pPr>
              <w:ind w:left="380"/>
              <w:spacing w:after="0"/>
              <w:rPr>
                <w:sz w:val="20"/>
                <w:szCs w:val="20"/>
                <w:color w:val="auto"/>
              </w:rPr>
            </w:pPr>
            <w:r>
              <w:rPr>
                <w:rFonts w:ascii="Arial" w:cs="Arial" w:eastAsia="Arial" w:hAnsi="Arial"/>
                <w:sz w:val="14"/>
                <w:szCs w:val="14"/>
                <w:color w:val="auto"/>
              </w:rPr>
              <w:t>Cross Creek Ranch 65', Fulshear</w:t>
            </w:r>
          </w:p>
        </w:tc>
        <w:tc>
          <w:tcPr>
            <w:tcW w:w="960" w:type="dxa"/>
            <w:vAlign w:val="bottom"/>
            <w:shd w:val="clear" w:color="auto" w:fill="CFF0FC"/>
          </w:tcPr>
          <w:p>
            <w:pPr>
              <w:jc w:val="center"/>
              <w:spacing w:after="0"/>
              <w:rPr>
                <w:sz w:val="20"/>
                <w:szCs w:val="20"/>
                <w:color w:val="auto"/>
              </w:rPr>
            </w:pPr>
            <w:r>
              <w:rPr>
                <w:rFonts w:ascii="Arial" w:cs="Arial" w:eastAsia="Arial" w:hAnsi="Arial"/>
                <w:sz w:val="14"/>
                <w:szCs w:val="14"/>
                <w:color w:val="auto"/>
                <w:w w:val="83"/>
              </w:rPr>
              <w:t>2013</w:t>
            </w:r>
          </w:p>
        </w:tc>
        <w:tc>
          <w:tcPr>
            <w:tcW w:w="100" w:type="dxa"/>
            <w:vAlign w:val="bottom"/>
            <w:shd w:val="clear" w:color="auto" w:fill="CFF0FC"/>
          </w:tcPr>
          <w:p>
            <w:pPr>
              <w:spacing w:after="0"/>
              <w:rPr>
                <w:sz w:val="14"/>
                <w:szCs w:val="14"/>
                <w:color w:val="auto"/>
              </w:rPr>
            </w:pPr>
          </w:p>
        </w:tc>
        <w:tc>
          <w:tcPr>
            <w:tcW w:w="820" w:type="dxa"/>
            <w:vAlign w:val="bottom"/>
            <w:shd w:val="clear" w:color="auto" w:fill="CFF0FC"/>
          </w:tcPr>
          <w:p>
            <w:pPr>
              <w:jc w:val="right"/>
              <w:spacing w:after="0"/>
              <w:rPr>
                <w:sz w:val="20"/>
                <w:szCs w:val="20"/>
                <w:color w:val="auto"/>
              </w:rPr>
            </w:pPr>
            <w:r>
              <w:rPr>
                <w:rFonts w:ascii="Arial" w:cs="Arial" w:eastAsia="Arial" w:hAnsi="Arial"/>
                <w:sz w:val="14"/>
                <w:szCs w:val="14"/>
                <w:color w:val="auto"/>
              </w:rPr>
              <w:t>46</w:t>
            </w:r>
          </w:p>
        </w:tc>
        <w:tc>
          <w:tcPr>
            <w:tcW w:w="200" w:type="dxa"/>
            <w:vAlign w:val="bottom"/>
            <w:shd w:val="clear" w:color="auto" w:fill="CFF0FC"/>
          </w:tcPr>
          <w:p>
            <w:pPr>
              <w:spacing w:after="0"/>
              <w:rPr>
                <w:sz w:val="14"/>
                <w:szCs w:val="14"/>
                <w:color w:val="auto"/>
              </w:rPr>
            </w:pPr>
          </w:p>
        </w:tc>
        <w:tc>
          <w:tcPr>
            <w:tcW w:w="900" w:type="dxa"/>
            <w:vAlign w:val="bottom"/>
            <w:shd w:val="clear" w:color="auto" w:fill="CFF0FC"/>
          </w:tcPr>
          <w:p>
            <w:pPr>
              <w:jc w:val="right"/>
              <w:spacing w:after="0"/>
              <w:rPr>
                <w:sz w:val="20"/>
                <w:szCs w:val="20"/>
                <w:color w:val="auto"/>
              </w:rPr>
            </w:pPr>
            <w:r>
              <w:rPr>
                <w:rFonts w:ascii="Arial" w:cs="Arial" w:eastAsia="Arial" w:hAnsi="Arial"/>
                <w:sz w:val="14"/>
                <w:szCs w:val="14"/>
                <w:color w:val="auto"/>
              </w:rPr>
              <w:t>23</w:t>
            </w:r>
          </w:p>
        </w:tc>
        <w:tc>
          <w:tcPr>
            <w:tcW w:w="220" w:type="dxa"/>
            <w:vAlign w:val="bottom"/>
            <w:shd w:val="clear" w:color="auto" w:fill="CFF0FC"/>
          </w:tcPr>
          <w:p>
            <w:pPr>
              <w:spacing w:after="0"/>
              <w:rPr>
                <w:sz w:val="14"/>
                <w:szCs w:val="14"/>
                <w:color w:val="auto"/>
              </w:rPr>
            </w:pPr>
          </w:p>
        </w:tc>
        <w:tc>
          <w:tcPr>
            <w:tcW w:w="800" w:type="dxa"/>
            <w:vAlign w:val="bottom"/>
            <w:shd w:val="clear" w:color="auto" w:fill="CFF0FC"/>
          </w:tcPr>
          <w:p>
            <w:pPr>
              <w:jc w:val="right"/>
              <w:spacing w:after="0"/>
              <w:rPr>
                <w:sz w:val="20"/>
                <w:szCs w:val="20"/>
                <w:color w:val="auto"/>
              </w:rPr>
            </w:pPr>
            <w:r>
              <w:rPr>
                <w:rFonts w:ascii="Arial" w:cs="Arial" w:eastAsia="Arial" w:hAnsi="Arial"/>
                <w:sz w:val="14"/>
                <w:szCs w:val="14"/>
                <w:color w:val="auto"/>
              </w:rPr>
              <w:t>23</w:t>
            </w:r>
          </w:p>
        </w:tc>
        <w:tc>
          <w:tcPr>
            <w:tcW w:w="220" w:type="dxa"/>
            <w:vAlign w:val="bottom"/>
            <w:shd w:val="clear" w:color="auto" w:fill="CFF0FC"/>
          </w:tcPr>
          <w:p>
            <w:pPr>
              <w:spacing w:after="0"/>
              <w:rPr>
                <w:sz w:val="14"/>
                <w:szCs w:val="14"/>
                <w:color w:val="auto"/>
              </w:rPr>
            </w:pPr>
          </w:p>
        </w:tc>
        <w:tc>
          <w:tcPr>
            <w:tcW w:w="820" w:type="dxa"/>
            <w:vAlign w:val="bottom"/>
            <w:shd w:val="clear" w:color="auto" w:fill="CFF0FC"/>
          </w:tcPr>
          <w:p>
            <w:pPr>
              <w:jc w:val="right"/>
              <w:spacing w:after="0"/>
              <w:rPr>
                <w:sz w:val="20"/>
                <w:szCs w:val="20"/>
                <w:color w:val="auto"/>
              </w:rPr>
            </w:pPr>
            <w:r>
              <w:rPr>
                <w:rFonts w:ascii="Arial" w:cs="Arial" w:eastAsia="Arial" w:hAnsi="Arial"/>
                <w:sz w:val="14"/>
                <w:szCs w:val="14"/>
                <w:color w:val="auto"/>
              </w:rPr>
              <w:t>3</w:t>
            </w:r>
          </w:p>
        </w:tc>
        <w:tc>
          <w:tcPr>
            <w:tcW w:w="220" w:type="dxa"/>
            <w:vAlign w:val="bottom"/>
            <w:shd w:val="clear" w:color="auto" w:fill="CFF0FC"/>
          </w:tcPr>
          <w:p>
            <w:pPr>
              <w:spacing w:after="0"/>
              <w:rPr>
                <w:sz w:val="14"/>
                <w:szCs w:val="14"/>
                <w:color w:val="auto"/>
              </w:rPr>
            </w:pPr>
          </w:p>
        </w:tc>
        <w:tc>
          <w:tcPr>
            <w:tcW w:w="1040" w:type="dxa"/>
            <w:vAlign w:val="bottom"/>
            <w:shd w:val="clear" w:color="auto" w:fill="CFF0FC"/>
          </w:tcPr>
          <w:p>
            <w:pPr>
              <w:jc w:val="right"/>
              <w:spacing w:after="0"/>
              <w:rPr>
                <w:sz w:val="20"/>
                <w:szCs w:val="20"/>
                <w:color w:val="auto"/>
              </w:rPr>
            </w:pPr>
            <w:r>
              <w:rPr>
                <w:rFonts w:ascii="Arial" w:cs="Arial" w:eastAsia="Arial" w:hAnsi="Arial"/>
                <w:sz w:val="14"/>
                <w:szCs w:val="14"/>
                <w:color w:val="auto"/>
              </w:rPr>
              <w:t>3</w:t>
            </w:r>
          </w:p>
        </w:tc>
        <w:tc>
          <w:tcPr>
            <w:tcW w:w="1460" w:type="dxa"/>
            <w:vAlign w:val="bottom"/>
            <w:gridSpan w:val="2"/>
            <w:shd w:val="clear" w:color="auto" w:fill="CFF0FC"/>
          </w:tcPr>
          <w:p>
            <w:pPr>
              <w:jc w:val="center"/>
              <w:ind w:left="132"/>
              <w:spacing w:after="0"/>
              <w:rPr>
                <w:sz w:val="20"/>
                <w:szCs w:val="20"/>
                <w:color w:val="auto"/>
              </w:rPr>
            </w:pPr>
            <w:r>
              <w:rPr>
                <w:rFonts w:ascii="Arial" w:cs="Arial" w:eastAsia="Arial" w:hAnsi="Arial"/>
                <w:sz w:val="14"/>
                <w:szCs w:val="14"/>
                <w:color w:val="auto"/>
                <w:w w:val="88"/>
              </w:rPr>
              <w:t>$427 - $483</w:t>
            </w:r>
          </w:p>
        </w:tc>
      </w:tr>
      <w:tr>
        <w:trPr>
          <w:trHeight w:val="162"/>
        </w:trPr>
        <w:tc>
          <w:tcPr>
            <w:tcW w:w="3660" w:type="dxa"/>
            <w:vAlign w:val="bottom"/>
            <w:gridSpan w:val="2"/>
          </w:tcPr>
          <w:p>
            <w:pPr>
              <w:ind w:left="380"/>
              <w:spacing w:after="0"/>
              <w:rPr>
                <w:sz w:val="20"/>
                <w:szCs w:val="20"/>
                <w:color w:val="auto"/>
              </w:rPr>
            </w:pPr>
            <w:r>
              <w:rPr>
                <w:rFonts w:ascii="Arial" w:cs="Arial" w:eastAsia="Arial" w:hAnsi="Arial"/>
                <w:sz w:val="14"/>
                <w:szCs w:val="14"/>
                <w:color w:val="auto"/>
              </w:rPr>
              <w:t>Cross Creek Ranch 70', Fulshear</w:t>
            </w:r>
          </w:p>
        </w:tc>
        <w:tc>
          <w:tcPr>
            <w:tcW w:w="960" w:type="dxa"/>
            <w:vAlign w:val="bottom"/>
          </w:tcPr>
          <w:p>
            <w:pPr>
              <w:jc w:val="center"/>
              <w:spacing w:after="0"/>
              <w:rPr>
                <w:sz w:val="20"/>
                <w:szCs w:val="20"/>
                <w:color w:val="auto"/>
              </w:rPr>
            </w:pPr>
            <w:r>
              <w:rPr>
                <w:rFonts w:ascii="Arial" w:cs="Arial" w:eastAsia="Arial" w:hAnsi="Arial"/>
                <w:sz w:val="14"/>
                <w:szCs w:val="14"/>
                <w:color w:val="auto"/>
                <w:w w:val="83"/>
              </w:rPr>
              <w:t>2013</w:t>
            </w:r>
          </w:p>
        </w:tc>
        <w:tc>
          <w:tcPr>
            <w:tcW w:w="100" w:type="dxa"/>
            <w:vAlign w:val="bottom"/>
          </w:tcPr>
          <w:p>
            <w:pPr>
              <w:spacing w:after="0"/>
              <w:rPr>
                <w:sz w:val="14"/>
                <w:szCs w:val="14"/>
                <w:color w:val="auto"/>
              </w:rPr>
            </w:pPr>
          </w:p>
        </w:tc>
        <w:tc>
          <w:tcPr>
            <w:tcW w:w="820" w:type="dxa"/>
            <w:vAlign w:val="bottom"/>
          </w:tcPr>
          <w:p>
            <w:pPr>
              <w:jc w:val="right"/>
              <w:spacing w:after="0"/>
              <w:rPr>
                <w:sz w:val="20"/>
                <w:szCs w:val="20"/>
                <w:color w:val="auto"/>
              </w:rPr>
            </w:pPr>
            <w:r>
              <w:rPr>
                <w:rFonts w:ascii="Arial" w:cs="Arial" w:eastAsia="Arial" w:hAnsi="Arial"/>
                <w:sz w:val="14"/>
                <w:szCs w:val="14"/>
                <w:color w:val="auto"/>
              </w:rPr>
              <w:t>74</w:t>
            </w:r>
          </w:p>
        </w:tc>
        <w:tc>
          <w:tcPr>
            <w:tcW w:w="200" w:type="dxa"/>
            <w:vAlign w:val="bottom"/>
          </w:tcPr>
          <w:p>
            <w:pPr>
              <w:spacing w:after="0"/>
              <w:rPr>
                <w:sz w:val="14"/>
                <w:szCs w:val="14"/>
                <w:color w:val="auto"/>
              </w:rPr>
            </w:pPr>
          </w:p>
        </w:tc>
        <w:tc>
          <w:tcPr>
            <w:tcW w:w="900" w:type="dxa"/>
            <w:vAlign w:val="bottom"/>
          </w:tcPr>
          <w:p>
            <w:pPr>
              <w:jc w:val="right"/>
              <w:spacing w:after="0"/>
              <w:rPr>
                <w:sz w:val="20"/>
                <w:szCs w:val="20"/>
                <w:color w:val="auto"/>
              </w:rPr>
            </w:pPr>
            <w:r>
              <w:rPr>
                <w:rFonts w:ascii="Arial" w:cs="Arial" w:eastAsia="Arial" w:hAnsi="Arial"/>
                <w:sz w:val="14"/>
                <w:szCs w:val="14"/>
                <w:color w:val="auto"/>
              </w:rPr>
              <w:t>36</w:t>
            </w:r>
          </w:p>
        </w:tc>
        <w:tc>
          <w:tcPr>
            <w:tcW w:w="220" w:type="dxa"/>
            <w:vAlign w:val="bottom"/>
          </w:tcPr>
          <w:p>
            <w:pPr>
              <w:spacing w:after="0"/>
              <w:rPr>
                <w:sz w:val="14"/>
                <w:szCs w:val="14"/>
                <w:color w:val="auto"/>
              </w:rPr>
            </w:pPr>
          </w:p>
        </w:tc>
        <w:tc>
          <w:tcPr>
            <w:tcW w:w="800" w:type="dxa"/>
            <w:vAlign w:val="bottom"/>
          </w:tcPr>
          <w:p>
            <w:pPr>
              <w:jc w:val="right"/>
              <w:spacing w:after="0"/>
              <w:rPr>
                <w:sz w:val="20"/>
                <w:szCs w:val="20"/>
                <w:color w:val="auto"/>
              </w:rPr>
            </w:pPr>
            <w:r>
              <w:rPr>
                <w:rFonts w:ascii="Arial" w:cs="Arial" w:eastAsia="Arial" w:hAnsi="Arial"/>
                <w:sz w:val="14"/>
                <w:szCs w:val="14"/>
                <w:color w:val="auto"/>
              </w:rPr>
              <w:t>38</w:t>
            </w:r>
          </w:p>
        </w:tc>
        <w:tc>
          <w:tcPr>
            <w:tcW w:w="220" w:type="dxa"/>
            <w:vAlign w:val="bottom"/>
          </w:tcPr>
          <w:p>
            <w:pPr>
              <w:spacing w:after="0"/>
              <w:rPr>
                <w:sz w:val="14"/>
                <w:szCs w:val="14"/>
                <w:color w:val="auto"/>
              </w:rPr>
            </w:pPr>
          </w:p>
        </w:tc>
        <w:tc>
          <w:tcPr>
            <w:tcW w:w="820" w:type="dxa"/>
            <w:vAlign w:val="bottom"/>
          </w:tcPr>
          <w:p>
            <w:pPr>
              <w:jc w:val="right"/>
              <w:spacing w:after="0"/>
              <w:rPr>
                <w:sz w:val="20"/>
                <w:szCs w:val="20"/>
                <w:color w:val="auto"/>
              </w:rPr>
            </w:pPr>
            <w:r>
              <w:rPr>
                <w:rFonts w:ascii="Arial" w:cs="Arial" w:eastAsia="Arial" w:hAnsi="Arial"/>
                <w:sz w:val="14"/>
                <w:szCs w:val="14"/>
                <w:color w:val="auto"/>
              </w:rPr>
              <w:t>3</w:t>
            </w:r>
          </w:p>
        </w:tc>
        <w:tc>
          <w:tcPr>
            <w:tcW w:w="220" w:type="dxa"/>
            <w:vAlign w:val="bottom"/>
          </w:tcPr>
          <w:p>
            <w:pPr>
              <w:spacing w:after="0"/>
              <w:rPr>
                <w:sz w:val="14"/>
                <w:szCs w:val="14"/>
                <w:color w:val="auto"/>
              </w:rPr>
            </w:pPr>
          </w:p>
        </w:tc>
        <w:tc>
          <w:tcPr>
            <w:tcW w:w="1040" w:type="dxa"/>
            <w:vAlign w:val="bottom"/>
          </w:tcPr>
          <w:p>
            <w:pPr>
              <w:jc w:val="right"/>
              <w:spacing w:after="0"/>
              <w:rPr>
                <w:sz w:val="20"/>
                <w:szCs w:val="20"/>
                <w:color w:val="auto"/>
              </w:rPr>
            </w:pPr>
            <w:r>
              <w:rPr>
                <w:rFonts w:ascii="Arial" w:cs="Arial" w:eastAsia="Arial" w:hAnsi="Arial"/>
                <w:sz w:val="14"/>
                <w:szCs w:val="14"/>
                <w:color w:val="auto"/>
              </w:rPr>
              <w:t>1</w:t>
            </w:r>
          </w:p>
        </w:tc>
        <w:tc>
          <w:tcPr>
            <w:tcW w:w="1460" w:type="dxa"/>
            <w:vAlign w:val="bottom"/>
            <w:gridSpan w:val="2"/>
          </w:tcPr>
          <w:p>
            <w:pPr>
              <w:jc w:val="center"/>
              <w:ind w:left="132"/>
              <w:spacing w:after="0"/>
              <w:rPr>
                <w:sz w:val="20"/>
                <w:szCs w:val="20"/>
                <w:color w:val="auto"/>
              </w:rPr>
            </w:pPr>
            <w:r>
              <w:rPr>
                <w:rFonts w:ascii="Arial" w:cs="Arial" w:eastAsia="Arial" w:hAnsi="Arial"/>
                <w:sz w:val="14"/>
                <w:szCs w:val="14"/>
                <w:color w:val="auto"/>
                <w:w w:val="88"/>
              </w:rPr>
              <w:t>$497 - $567</w:t>
            </w:r>
          </w:p>
        </w:tc>
      </w:tr>
      <w:tr>
        <w:trPr>
          <w:trHeight w:val="162"/>
        </w:trPr>
        <w:tc>
          <w:tcPr>
            <w:tcW w:w="3660" w:type="dxa"/>
            <w:vAlign w:val="bottom"/>
            <w:gridSpan w:val="2"/>
            <w:shd w:val="clear" w:color="auto" w:fill="CFF0FC"/>
          </w:tcPr>
          <w:p>
            <w:pPr>
              <w:ind w:left="380"/>
              <w:spacing w:after="0"/>
              <w:rPr>
                <w:sz w:val="20"/>
                <w:szCs w:val="20"/>
                <w:color w:val="auto"/>
              </w:rPr>
            </w:pPr>
            <w:r>
              <w:rPr>
                <w:rFonts w:ascii="Arial" w:cs="Arial" w:eastAsia="Arial" w:hAnsi="Arial"/>
                <w:sz w:val="14"/>
                <w:szCs w:val="14"/>
                <w:color w:val="auto"/>
              </w:rPr>
              <w:t>Cross Creek Ranch 80', Fulshear</w:t>
            </w:r>
          </w:p>
        </w:tc>
        <w:tc>
          <w:tcPr>
            <w:tcW w:w="960" w:type="dxa"/>
            <w:vAlign w:val="bottom"/>
            <w:shd w:val="clear" w:color="auto" w:fill="CFF0FC"/>
          </w:tcPr>
          <w:p>
            <w:pPr>
              <w:jc w:val="center"/>
              <w:spacing w:after="0"/>
              <w:rPr>
                <w:sz w:val="20"/>
                <w:szCs w:val="20"/>
                <w:color w:val="auto"/>
              </w:rPr>
            </w:pPr>
            <w:r>
              <w:rPr>
                <w:rFonts w:ascii="Arial" w:cs="Arial" w:eastAsia="Arial" w:hAnsi="Arial"/>
                <w:sz w:val="14"/>
                <w:szCs w:val="14"/>
                <w:color w:val="auto"/>
                <w:w w:val="83"/>
              </w:rPr>
              <w:t>2013</w:t>
            </w:r>
          </w:p>
        </w:tc>
        <w:tc>
          <w:tcPr>
            <w:tcW w:w="100" w:type="dxa"/>
            <w:vAlign w:val="bottom"/>
            <w:shd w:val="clear" w:color="auto" w:fill="CFF0FC"/>
          </w:tcPr>
          <w:p>
            <w:pPr>
              <w:spacing w:after="0"/>
              <w:rPr>
                <w:sz w:val="14"/>
                <w:szCs w:val="14"/>
                <w:color w:val="auto"/>
              </w:rPr>
            </w:pPr>
          </w:p>
        </w:tc>
        <w:tc>
          <w:tcPr>
            <w:tcW w:w="820" w:type="dxa"/>
            <w:vAlign w:val="bottom"/>
            <w:shd w:val="clear" w:color="auto" w:fill="CFF0FC"/>
          </w:tcPr>
          <w:p>
            <w:pPr>
              <w:jc w:val="right"/>
              <w:spacing w:after="0"/>
              <w:rPr>
                <w:sz w:val="20"/>
                <w:szCs w:val="20"/>
                <w:color w:val="auto"/>
              </w:rPr>
            </w:pPr>
            <w:r>
              <w:rPr>
                <w:rFonts w:ascii="Arial" w:cs="Arial" w:eastAsia="Arial" w:hAnsi="Arial"/>
                <w:sz w:val="14"/>
                <w:szCs w:val="14"/>
                <w:color w:val="auto"/>
              </w:rPr>
              <w:t>91</w:t>
            </w:r>
          </w:p>
        </w:tc>
        <w:tc>
          <w:tcPr>
            <w:tcW w:w="200" w:type="dxa"/>
            <w:vAlign w:val="bottom"/>
            <w:shd w:val="clear" w:color="auto" w:fill="CFF0FC"/>
          </w:tcPr>
          <w:p>
            <w:pPr>
              <w:spacing w:after="0"/>
              <w:rPr>
                <w:sz w:val="14"/>
                <w:szCs w:val="14"/>
                <w:color w:val="auto"/>
              </w:rPr>
            </w:pPr>
          </w:p>
        </w:tc>
        <w:tc>
          <w:tcPr>
            <w:tcW w:w="900" w:type="dxa"/>
            <w:vAlign w:val="bottom"/>
            <w:shd w:val="clear" w:color="auto" w:fill="CFF0FC"/>
          </w:tcPr>
          <w:p>
            <w:pPr>
              <w:jc w:val="right"/>
              <w:spacing w:after="0"/>
              <w:rPr>
                <w:sz w:val="20"/>
                <w:szCs w:val="20"/>
                <w:color w:val="auto"/>
              </w:rPr>
            </w:pPr>
            <w:r>
              <w:rPr>
                <w:rFonts w:ascii="Arial" w:cs="Arial" w:eastAsia="Arial" w:hAnsi="Arial"/>
                <w:sz w:val="14"/>
                <w:szCs w:val="14"/>
                <w:color w:val="auto"/>
              </w:rPr>
              <w:t>54</w:t>
            </w:r>
          </w:p>
        </w:tc>
        <w:tc>
          <w:tcPr>
            <w:tcW w:w="220" w:type="dxa"/>
            <w:vAlign w:val="bottom"/>
            <w:shd w:val="clear" w:color="auto" w:fill="CFF0FC"/>
          </w:tcPr>
          <w:p>
            <w:pPr>
              <w:spacing w:after="0"/>
              <w:rPr>
                <w:sz w:val="14"/>
                <w:szCs w:val="14"/>
                <w:color w:val="auto"/>
              </w:rPr>
            </w:pPr>
          </w:p>
        </w:tc>
        <w:tc>
          <w:tcPr>
            <w:tcW w:w="800" w:type="dxa"/>
            <w:vAlign w:val="bottom"/>
            <w:shd w:val="clear" w:color="auto" w:fill="CFF0FC"/>
          </w:tcPr>
          <w:p>
            <w:pPr>
              <w:jc w:val="right"/>
              <w:spacing w:after="0"/>
              <w:rPr>
                <w:sz w:val="20"/>
                <w:szCs w:val="20"/>
                <w:color w:val="auto"/>
              </w:rPr>
            </w:pPr>
            <w:r>
              <w:rPr>
                <w:rFonts w:ascii="Arial" w:cs="Arial" w:eastAsia="Arial" w:hAnsi="Arial"/>
                <w:sz w:val="14"/>
                <w:szCs w:val="14"/>
                <w:color w:val="auto"/>
              </w:rPr>
              <w:t>37</w:t>
            </w:r>
          </w:p>
        </w:tc>
        <w:tc>
          <w:tcPr>
            <w:tcW w:w="220" w:type="dxa"/>
            <w:vAlign w:val="bottom"/>
            <w:shd w:val="clear" w:color="auto" w:fill="CFF0FC"/>
          </w:tcPr>
          <w:p>
            <w:pPr>
              <w:spacing w:after="0"/>
              <w:rPr>
                <w:sz w:val="14"/>
                <w:szCs w:val="14"/>
                <w:color w:val="auto"/>
              </w:rPr>
            </w:pPr>
          </w:p>
        </w:tc>
        <w:tc>
          <w:tcPr>
            <w:tcW w:w="820" w:type="dxa"/>
            <w:vAlign w:val="bottom"/>
            <w:shd w:val="clear" w:color="auto" w:fill="CFF0FC"/>
          </w:tcPr>
          <w:p>
            <w:pPr>
              <w:jc w:val="right"/>
              <w:spacing w:after="0"/>
              <w:rPr>
                <w:sz w:val="20"/>
                <w:szCs w:val="20"/>
                <w:color w:val="auto"/>
              </w:rPr>
            </w:pPr>
            <w:r>
              <w:rPr>
                <w:rFonts w:ascii="Arial" w:cs="Arial" w:eastAsia="Arial" w:hAnsi="Arial"/>
                <w:sz w:val="14"/>
                <w:szCs w:val="14"/>
                <w:color w:val="auto"/>
              </w:rPr>
              <w:t>5</w:t>
            </w:r>
          </w:p>
        </w:tc>
        <w:tc>
          <w:tcPr>
            <w:tcW w:w="220" w:type="dxa"/>
            <w:vAlign w:val="bottom"/>
            <w:shd w:val="clear" w:color="auto" w:fill="CFF0FC"/>
          </w:tcPr>
          <w:p>
            <w:pPr>
              <w:spacing w:after="0"/>
              <w:rPr>
                <w:sz w:val="14"/>
                <w:szCs w:val="14"/>
                <w:color w:val="auto"/>
              </w:rPr>
            </w:pPr>
          </w:p>
        </w:tc>
        <w:tc>
          <w:tcPr>
            <w:tcW w:w="1040" w:type="dxa"/>
            <w:vAlign w:val="bottom"/>
            <w:shd w:val="clear" w:color="auto" w:fill="CFF0FC"/>
          </w:tcPr>
          <w:p>
            <w:pPr>
              <w:jc w:val="right"/>
              <w:spacing w:after="0"/>
              <w:rPr>
                <w:sz w:val="20"/>
                <w:szCs w:val="20"/>
                <w:color w:val="auto"/>
              </w:rPr>
            </w:pPr>
            <w:r>
              <w:rPr>
                <w:rFonts w:ascii="Arial" w:cs="Arial" w:eastAsia="Arial" w:hAnsi="Arial"/>
                <w:sz w:val="14"/>
                <w:szCs w:val="14"/>
                <w:color w:val="auto"/>
              </w:rPr>
              <w:t>3</w:t>
            </w:r>
          </w:p>
        </w:tc>
        <w:tc>
          <w:tcPr>
            <w:tcW w:w="1460" w:type="dxa"/>
            <w:vAlign w:val="bottom"/>
            <w:gridSpan w:val="2"/>
            <w:shd w:val="clear" w:color="auto" w:fill="CFF0FC"/>
          </w:tcPr>
          <w:p>
            <w:pPr>
              <w:jc w:val="center"/>
              <w:ind w:left="132"/>
              <w:spacing w:after="0"/>
              <w:rPr>
                <w:sz w:val="20"/>
                <w:szCs w:val="20"/>
                <w:color w:val="auto"/>
              </w:rPr>
            </w:pPr>
            <w:r>
              <w:rPr>
                <w:rFonts w:ascii="Arial" w:cs="Arial" w:eastAsia="Arial" w:hAnsi="Arial"/>
                <w:sz w:val="14"/>
                <w:szCs w:val="14"/>
                <w:color w:val="auto"/>
                <w:w w:val="88"/>
              </w:rPr>
              <w:t>$536 - $662</w:t>
            </w:r>
          </w:p>
        </w:tc>
      </w:tr>
      <w:tr>
        <w:trPr>
          <w:trHeight w:val="162"/>
        </w:trPr>
        <w:tc>
          <w:tcPr>
            <w:tcW w:w="3660" w:type="dxa"/>
            <w:vAlign w:val="bottom"/>
            <w:gridSpan w:val="2"/>
          </w:tcPr>
          <w:p>
            <w:pPr>
              <w:ind w:left="380"/>
              <w:spacing w:after="0"/>
              <w:rPr>
                <w:sz w:val="20"/>
                <w:szCs w:val="20"/>
                <w:color w:val="auto"/>
              </w:rPr>
            </w:pPr>
            <w:r>
              <w:rPr>
                <w:rFonts w:ascii="Arial" w:cs="Arial" w:eastAsia="Arial" w:hAnsi="Arial"/>
                <w:sz w:val="14"/>
                <w:szCs w:val="14"/>
                <w:color w:val="auto"/>
              </w:rPr>
              <w:t>Cross Creek Ranch 90', Fulshear</w:t>
            </w:r>
          </w:p>
        </w:tc>
        <w:tc>
          <w:tcPr>
            <w:tcW w:w="960" w:type="dxa"/>
            <w:vAlign w:val="bottom"/>
          </w:tcPr>
          <w:p>
            <w:pPr>
              <w:jc w:val="center"/>
              <w:spacing w:after="0"/>
              <w:rPr>
                <w:sz w:val="20"/>
                <w:szCs w:val="20"/>
                <w:color w:val="auto"/>
              </w:rPr>
            </w:pPr>
            <w:r>
              <w:rPr>
                <w:rFonts w:ascii="Arial" w:cs="Arial" w:eastAsia="Arial" w:hAnsi="Arial"/>
                <w:sz w:val="14"/>
                <w:szCs w:val="14"/>
                <w:color w:val="auto"/>
                <w:w w:val="83"/>
              </w:rPr>
              <w:t>2013</w:t>
            </w:r>
          </w:p>
        </w:tc>
        <w:tc>
          <w:tcPr>
            <w:tcW w:w="100" w:type="dxa"/>
            <w:vAlign w:val="bottom"/>
          </w:tcPr>
          <w:p>
            <w:pPr>
              <w:spacing w:after="0"/>
              <w:rPr>
                <w:sz w:val="14"/>
                <w:szCs w:val="14"/>
                <w:color w:val="auto"/>
              </w:rPr>
            </w:pPr>
          </w:p>
        </w:tc>
        <w:tc>
          <w:tcPr>
            <w:tcW w:w="820" w:type="dxa"/>
            <w:vAlign w:val="bottom"/>
          </w:tcPr>
          <w:p>
            <w:pPr>
              <w:jc w:val="right"/>
              <w:spacing w:after="0"/>
              <w:rPr>
                <w:sz w:val="20"/>
                <w:szCs w:val="20"/>
                <w:color w:val="auto"/>
              </w:rPr>
            </w:pPr>
            <w:r>
              <w:rPr>
                <w:rFonts w:ascii="Arial" w:cs="Arial" w:eastAsia="Arial" w:hAnsi="Arial"/>
                <w:sz w:val="14"/>
                <w:szCs w:val="14"/>
                <w:color w:val="auto"/>
              </w:rPr>
              <w:t>34</w:t>
            </w:r>
          </w:p>
        </w:tc>
        <w:tc>
          <w:tcPr>
            <w:tcW w:w="200" w:type="dxa"/>
            <w:vAlign w:val="bottom"/>
          </w:tcPr>
          <w:p>
            <w:pPr>
              <w:spacing w:after="0"/>
              <w:rPr>
                <w:sz w:val="14"/>
                <w:szCs w:val="14"/>
                <w:color w:val="auto"/>
              </w:rPr>
            </w:pPr>
          </w:p>
        </w:tc>
        <w:tc>
          <w:tcPr>
            <w:tcW w:w="900" w:type="dxa"/>
            <w:vAlign w:val="bottom"/>
          </w:tcPr>
          <w:p>
            <w:pPr>
              <w:jc w:val="right"/>
              <w:spacing w:after="0"/>
              <w:rPr>
                <w:sz w:val="20"/>
                <w:szCs w:val="20"/>
                <w:color w:val="auto"/>
              </w:rPr>
            </w:pPr>
            <w:r>
              <w:rPr>
                <w:rFonts w:ascii="Arial" w:cs="Arial" w:eastAsia="Arial" w:hAnsi="Arial"/>
                <w:sz w:val="14"/>
                <w:szCs w:val="14"/>
                <w:color w:val="auto"/>
              </w:rPr>
              <w:t>20</w:t>
            </w:r>
          </w:p>
        </w:tc>
        <w:tc>
          <w:tcPr>
            <w:tcW w:w="220" w:type="dxa"/>
            <w:vAlign w:val="bottom"/>
          </w:tcPr>
          <w:p>
            <w:pPr>
              <w:spacing w:after="0"/>
              <w:rPr>
                <w:sz w:val="14"/>
                <w:szCs w:val="14"/>
                <w:color w:val="auto"/>
              </w:rPr>
            </w:pPr>
          </w:p>
        </w:tc>
        <w:tc>
          <w:tcPr>
            <w:tcW w:w="800" w:type="dxa"/>
            <w:vAlign w:val="bottom"/>
          </w:tcPr>
          <w:p>
            <w:pPr>
              <w:jc w:val="right"/>
              <w:spacing w:after="0"/>
              <w:rPr>
                <w:sz w:val="20"/>
                <w:szCs w:val="20"/>
                <w:color w:val="auto"/>
              </w:rPr>
            </w:pPr>
            <w:r>
              <w:rPr>
                <w:rFonts w:ascii="Arial" w:cs="Arial" w:eastAsia="Arial" w:hAnsi="Arial"/>
                <w:sz w:val="14"/>
                <w:szCs w:val="14"/>
                <w:color w:val="auto"/>
              </w:rPr>
              <w:t>14</w:t>
            </w:r>
          </w:p>
        </w:tc>
        <w:tc>
          <w:tcPr>
            <w:tcW w:w="220" w:type="dxa"/>
            <w:vAlign w:val="bottom"/>
          </w:tcPr>
          <w:p>
            <w:pPr>
              <w:spacing w:after="0"/>
              <w:rPr>
                <w:sz w:val="14"/>
                <w:szCs w:val="14"/>
                <w:color w:val="auto"/>
              </w:rPr>
            </w:pPr>
          </w:p>
        </w:tc>
        <w:tc>
          <w:tcPr>
            <w:tcW w:w="820" w:type="dxa"/>
            <w:vAlign w:val="bottom"/>
          </w:tcPr>
          <w:p>
            <w:pPr>
              <w:jc w:val="right"/>
              <w:spacing w:after="0"/>
              <w:rPr>
                <w:sz w:val="20"/>
                <w:szCs w:val="20"/>
                <w:color w:val="auto"/>
              </w:rPr>
            </w:pPr>
            <w:r>
              <w:rPr>
                <w:rFonts w:ascii="Arial" w:cs="Arial" w:eastAsia="Arial" w:hAnsi="Arial"/>
                <w:sz w:val="14"/>
                <w:szCs w:val="14"/>
                <w:color w:val="auto"/>
              </w:rPr>
              <w:t>2</w:t>
            </w:r>
          </w:p>
        </w:tc>
        <w:tc>
          <w:tcPr>
            <w:tcW w:w="220" w:type="dxa"/>
            <w:vAlign w:val="bottom"/>
          </w:tcPr>
          <w:p>
            <w:pPr>
              <w:spacing w:after="0"/>
              <w:rPr>
                <w:sz w:val="14"/>
                <w:szCs w:val="14"/>
                <w:color w:val="auto"/>
              </w:rPr>
            </w:pPr>
          </w:p>
        </w:tc>
        <w:tc>
          <w:tcPr>
            <w:tcW w:w="1040" w:type="dxa"/>
            <w:vAlign w:val="bottom"/>
          </w:tcPr>
          <w:p>
            <w:pPr>
              <w:jc w:val="right"/>
              <w:spacing w:after="0"/>
              <w:rPr>
                <w:sz w:val="20"/>
                <w:szCs w:val="20"/>
                <w:color w:val="auto"/>
              </w:rPr>
            </w:pPr>
            <w:r>
              <w:rPr>
                <w:rFonts w:ascii="Arial" w:cs="Arial" w:eastAsia="Arial" w:hAnsi="Arial"/>
                <w:sz w:val="14"/>
                <w:szCs w:val="14"/>
                <w:color w:val="auto"/>
              </w:rPr>
              <w:t>5</w:t>
            </w:r>
          </w:p>
        </w:tc>
        <w:tc>
          <w:tcPr>
            <w:tcW w:w="1460" w:type="dxa"/>
            <w:vAlign w:val="bottom"/>
            <w:gridSpan w:val="2"/>
          </w:tcPr>
          <w:p>
            <w:pPr>
              <w:jc w:val="center"/>
              <w:ind w:left="132"/>
              <w:spacing w:after="0"/>
              <w:rPr>
                <w:sz w:val="20"/>
                <w:szCs w:val="20"/>
                <w:color w:val="auto"/>
              </w:rPr>
            </w:pPr>
            <w:r>
              <w:rPr>
                <w:rFonts w:ascii="Arial" w:cs="Arial" w:eastAsia="Arial" w:hAnsi="Arial"/>
                <w:sz w:val="14"/>
                <w:szCs w:val="14"/>
                <w:color w:val="auto"/>
                <w:w w:val="88"/>
              </w:rPr>
              <w:t>$627 - $755</w:t>
            </w:r>
          </w:p>
        </w:tc>
      </w:tr>
      <w:tr>
        <w:trPr>
          <w:trHeight w:val="162"/>
        </w:trPr>
        <w:tc>
          <w:tcPr>
            <w:tcW w:w="3660" w:type="dxa"/>
            <w:vAlign w:val="bottom"/>
            <w:gridSpan w:val="2"/>
            <w:shd w:val="clear" w:color="auto" w:fill="CFF0FC"/>
          </w:tcPr>
          <w:p>
            <w:pPr>
              <w:ind w:left="380"/>
              <w:spacing w:after="0"/>
              <w:rPr>
                <w:sz w:val="20"/>
                <w:szCs w:val="20"/>
                <w:color w:val="auto"/>
              </w:rPr>
            </w:pPr>
            <w:r>
              <w:rPr>
                <w:rFonts w:ascii="Arial" w:cs="Arial" w:eastAsia="Arial" w:hAnsi="Arial"/>
                <w:sz w:val="14"/>
                <w:szCs w:val="14"/>
                <w:color w:val="auto"/>
              </w:rPr>
              <w:t>Villas at Cross Creek Ranch, Fulshear</w:t>
            </w:r>
          </w:p>
        </w:tc>
        <w:tc>
          <w:tcPr>
            <w:tcW w:w="960" w:type="dxa"/>
            <w:vAlign w:val="bottom"/>
            <w:shd w:val="clear" w:color="auto" w:fill="CFF0FC"/>
          </w:tcPr>
          <w:p>
            <w:pPr>
              <w:jc w:val="center"/>
              <w:spacing w:after="0"/>
              <w:rPr>
                <w:sz w:val="20"/>
                <w:szCs w:val="20"/>
                <w:color w:val="auto"/>
              </w:rPr>
            </w:pPr>
            <w:r>
              <w:rPr>
                <w:rFonts w:ascii="Arial" w:cs="Arial" w:eastAsia="Arial" w:hAnsi="Arial"/>
                <w:sz w:val="14"/>
                <w:szCs w:val="14"/>
                <w:color w:val="auto"/>
                <w:w w:val="83"/>
              </w:rPr>
              <w:t>2013</w:t>
            </w:r>
          </w:p>
        </w:tc>
        <w:tc>
          <w:tcPr>
            <w:tcW w:w="100" w:type="dxa"/>
            <w:vAlign w:val="bottom"/>
            <w:shd w:val="clear" w:color="auto" w:fill="CFF0FC"/>
          </w:tcPr>
          <w:p>
            <w:pPr>
              <w:spacing w:after="0"/>
              <w:rPr>
                <w:sz w:val="14"/>
                <w:szCs w:val="14"/>
                <w:color w:val="auto"/>
              </w:rPr>
            </w:pPr>
          </w:p>
        </w:tc>
        <w:tc>
          <w:tcPr>
            <w:tcW w:w="820" w:type="dxa"/>
            <w:vAlign w:val="bottom"/>
            <w:shd w:val="clear" w:color="auto" w:fill="CFF0FC"/>
          </w:tcPr>
          <w:p>
            <w:pPr>
              <w:jc w:val="right"/>
              <w:spacing w:after="0"/>
              <w:rPr>
                <w:sz w:val="20"/>
                <w:szCs w:val="20"/>
                <w:color w:val="auto"/>
              </w:rPr>
            </w:pPr>
            <w:r>
              <w:rPr>
                <w:rFonts w:ascii="Arial" w:cs="Arial" w:eastAsia="Arial" w:hAnsi="Arial"/>
                <w:sz w:val="14"/>
                <w:szCs w:val="14"/>
                <w:color w:val="auto"/>
              </w:rPr>
              <w:t>108</w:t>
            </w:r>
          </w:p>
        </w:tc>
        <w:tc>
          <w:tcPr>
            <w:tcW w:w="200" w:type="dxa"/>
            <w:vAlign w:val="bottom"/>
            <w:shd w:val="clear" w:color="auto" w:fill="CFF0FC"/>
          </w:tcPr>
          <w:p>
            <w:pPr>
              <w:spacing w:after="0"/>
              <w:rPr>
                <w:sz w:val="14"/>
                <w:szCs w:val="14"/>
                <w:color w:val="auto"/>
              </w:rPr>
            </w:pPr>
          </w:p>
        </w:tc>
        <w:tc>
          <w:tcPr>
            <w:tcW w:w="900" w:type="dxa"/>
            <w:vAlign w:val="bottom"/>
            <w:shd w:val="clear" w:color="auto" w:fill="CFF0FC"/>
          </w:tcPr>
          <w:p>
            <w:pPr>
              <w:jc w:val="right"/>
              <w:spacing w:after="0"/>
              <w:rPr>
                <w:sz w:val="20"/>
                <w:szCs w:val="20"/>
                <w:color w:val="auto"/>
              </w:rPr>
            </w:pPr>
            <w:r>
              <w:rPr>
                <w:rFonts w:ascii="Arial" w:cs="Arial" w:eastAsia="Arial" w:hAnsi="Arial"/>
                <w:sz w:val="14"/>
                <w:szCs w:val="14"/>
                <w:color w:val="auto"/>
              </w:rPr>
              <w:t>78</w:t>
            </w:r>
          </w:p>
        </w:tc>
        <w:tc>
          <w:tcPr>
            <w:tcW w:w="220" w:type="dxa"/>
            <w:vAlign w:val="bottom"/>
            <w:shd w:val="clear" w:color="auto" w:fill="CFF0FC"/>
          </w:tcPr>
          <w:p>
            <w:pPr>
              <w:spacing w:after="0"/>
              <w:rPr>
                <w:sz w:val="14"/>
                <w:szCs w:val="14"/>
                <w:color w:val="auto"/>
              </w:rPr>
            </w:pPr>
          </w:p>
        </w:tc>
        <w:tc>
          <w:tcPr>
            <w:tcW w:w="800" w:type="dxa"/>
            <w:vAlign w:val="bottom"/>
            <w:shd w:val="clear" w:color="auto" w:fill="CFF0FC"/>
          </w:tcPr>
          <w:p>
            <w:pPr>
              <w:jc w:val="right"/>
              <w:spacing w:after="0"/>
              <w:rPr>
                <w:sz w:val="20"/>
                <w:szCs w:val="20"/>
                <w:color w:val="auto"/>
              </w:rPr>
            </w:pPr>
            <w:r>
              <w:rPr>
                <w:rFonts w:ascii="Arial" w:cs="Arial" w:eastAsia="Arial" w:hAnsi="Arial"/>
                <w:sz w:val="14"/>
                <w:szCs w:val="14"/>
                <w:color w:val="auto"/>
              </w:rPr>
              <w:t>30</w:t>
            </w:r>
          </w:p>
        </w:tc>
        <w:tc>
          <w:tcPr>
            <w:tcW w:w="220" w:type="dxa"/>
            <w:vAlign w:val="bottom"/>
            <w:shd w:val="clear" w:color="auto" w:fill="CFF0FC"/>
          </w:tcPr>
          <w:p>
            <w:pPr>
              <w:spacing w:after="0"/>
              <w:rPr>
                <w:sz w:val="14"/>
                <w:szCs w:val="14"/>
                <w:color w:val="auto"/>
              </w:rPr>
            </w:pPr>
          </w:p>
        </w:tc>
        <w:tc>
          <w:tcPr>
            <w:tcW w:w="820" w:type="dxa"/>
            <w:vAlign w:val="bottom"/>
            <w:shd w:val="clear" w:color="auto" w:fill="CFF0FC"/>
          </w:tcPr>
          <w:p>
            <w:pPr>
              <w:jc w:val="right"/>
              <w:spacing w:after="0"/>
              <w:rPr>
                <w:sz w:val="20"/>
                <w:szCs w:val="20"/>
                <w:color w:val="auto"/>
              </w:rPr>
            </w:pPr>
            <w:r>
              <w:rPr>
                <w:rFonts w:ascii="Arial" w:cs="Arial" w:eastAsia="Arial" w:hAnsi="Arial"/>
                <w:sz w:val="14"/>
                <w:szCs w:val="14"/>
                <w:color w:val="auto"/>
              </w:rPr>
              <w:t>9</w:t>
            </w:r>
          </w:p>
        </w:tc>
        <w:tc>
          <w:tcPr>
            <w:tcW w:w="220" w:type="dxa"/>
            <w:vAlign w:val="bottom"/>
            <w:shd w:val="clear" w:color="auto" w:fill="CFF0FC"/>
          </w:tcPr>
          <w:p>
            <w:pPr>
              <w:spacing w:after="0"/>
              <w:rPr>
                <w:sz w:val="14"/>
                <w:szCs w:val="14"/>
                <w:color w:val="auto"/>
              </w:rPr>
            </w:pPr>
          </w:p>
        </w:tc>
        <w:tc>
          <w:tcPr>
            <w:tcW w:w="1040" w:type="dxa"/>
            <w:vAlign w:val="bottom"/>
            <w:shd w:val="clear" w:color="auto" w:fill="CFF0FC"/>
          </w:tcPr>
          <w:p>
            <w:pPr>
              <w:jc w:val="right"/>
              <w:spacing w:after="0"/>
              <w:rPr>
                <w:sz w:val="20"/>
                <w:szCs w:val="20"/>
                <w:color w:val="auto"/>
              </w:rPr>
            </w:pPr>
            <w:r>
              <w:rPr>
                <w:rFonts w:ascii="Arial" w:cs="Arial" w:eastAsia="Arial" w:hAnsi="Arial"/>
                <w:sz w:val="14"/>
                <w:szCs w:val="14"/>
                <w:color w:val="auto"/>
              </w:rPr>
              <w:t>9</w:t>
            </w:r>
          </w:p>
        </w:tc>
        <w:tc>
          <w:tcPr>
            <w:tcW w:w="1460" w:type="dxa"/>
            <w:vAlign w:val="bottom"/>
            <w:gridSpan w:val="2"/>
            <w:shd w:val="clear" w:color="auto" w:fill="CFF0FC"/>
          </w:tcPr>
          <w:p>
            <w:pPr>
              <w:jc w:val="center"/>
              <w:ind w:left="132"/>
              <w:spacing w:after="0"/>
              <w:rPr>
                <w:sz w:val="20"/>
                <w:szCs w:val="20"/>
                <w:color w:val="auto"/>
              </w:rPr>
            </w:pPr>
            <w:r>
              <w:rPr>
                <w:rFonts w:ascii="Arial" w:cs="Arial" w:eastAsia="Arial" w:hAnsi="Arial"/>
                <w:sz w:val="14"/>
                <w:szCs w:val="14"/>
                <w:color w:val="auto"/>
                <w:w w:val="88"/>
              </w:rPr>
              <w:t>$454 - $496</w:t>
            </w:r>
          </w:p>
        </w:tc>
      </w:tr>
      <w:tr>
        <w:trPr>
          <w:trHeight w:val="162"/>
        </w:trPr>
        <w:tc>
          <w:tcPr>
            <w:tcW w:w="3660" w:type="dxa"/>
            <w:vAlign w:val="bottom"/>
            <w:gridSpan w:val="2"/>
          </w:tcPr>
          <w:p>
            <w:pPr>
              <w:ind w:left="380"/>
              <w:spacing w:after="0"/>
              <w:rPr>
                <w:sz w:val="20"/>
                <w:szCs w:val="20"/>
                <w:color w:val="auto"/>
              </w:rPr>
            </w:pPr>
            <w:r>
              <w:rPr>
                <w:rFonts w:ascii="Arial" w:cs="Arial" w:eastAsia="Arial" w:hAnsi="Arial"/>
                <w:sz w:val="14"/>
                <w:szCs w:val="14"/>
                <w:color w:val="auto"/>
              </w:rPr>
              <w:t>Cinco Ranch, Katy</w:t>
            </w:r>
          </w:p>
        </w:tc>
        <w:tc>
          <w:tcPr>
            <w:tcW w:w="960" w:type="dxa"/>
            <w:vAlign w:val="bottom"/>
          </w:tcPr>
          <w:p>
            <w:pPr>
              <w:jc w:val="center"/>
              <w:spacing w:after="0"/>
              <w:rPr>
                <w:sz w:val="20"/>
                <w:szCs w:val="20"/>
                <w:color w:val="auto"/>
              </w:rPr>
            </w:pPr>
            <w:r>
              <w:rPr>
                <w:rFonts w:ascii="Arial" w:cs="Arial" w:eastAsia="Arial" w:hAnsi="Arial"/>
                <w:sz w:val="14"/>
                <w:szCs w:val="14"/>
                <w:color w:val="auto"/>
                <w:w w:val="83"/>
              </w:rPr>
              <w:t>2012</w:t>
            </w:r>
          </w:p>
        </w:tc>
        <w:tc>
          <w:tcPr>
            <w:tcW w:w="100" w:type="dxa"/>
            <w:vAlign w:val="bottom"/>
          </w:tcPr>
          <w:p>
            <w:pPr>
              <w:spacing w:after="0"/>
              <w:rPr>
                <w:sz w:val="14"/>
                <w:szCs w:val="14"/>
                <w:color w:val="auto"/>
              </w:rPr>
            </w:pPr>
          </w:p>
        </w:tc>
        <w:tc>
          <w:tcPr>
            <w:tcW w:w="820" w:type="dxa"/>
            <w:vAlign w:val="bottom"/>
          </w:tcPr>
          <w:p>
            <w:pPr>
              <w:jc w:val="right"/>
              <w:spacing w:after="0"/>
              <w:rPr>
                <w:sz w:val="20"/>
                <w:szCs w:val="20"/>
                <w:color w:val="auto"/>
              </w:rPr>
            </w:pPr>
            <w:r>
              <w:rPr>
                <w:rFonts w:ascii="Arial" w:cs="Arial" w:eastAsia="Arial" w:hAnsi="Arial"/>
                <w:sz w:val="14"/>
                <w:szCs w:val="14"/>
                <w:color w:val="auto"/>
              </w:rPr>
              <w:t>93</w:t>
            </w:r>
          </w:p>
        </w:tc>
        <w:tc>
          <w:tcPr>
            <w:tcW w:w="200" w:type="dxa"/>
            <w:vAlign w:val="bottom"/>
          </w:tcPr>
          <w:p>
            <w:pPr>
              <w:spacing w:after="0"/>
              <w:rPr>
                <w:sz w:val="14"/>
                <w:szCs w:val="14"/>
                <w:color w:val="auto"/>
              </w:rPr>
            </w:pPr>
          </w:p>
        </w:tc>
        <w:tc>
          <w:tcPr>
            <w:tcW w:w="900" w:type="dxa"/>
            <w:vAlign w:val="bottom"/>
          </w:tcPr>
          <w:p>
            <w:pPr>
              <w:jc w:val="right"/>
              <w:spacing w:after="0"/>
              <w:rPr>
                <w:sz w:val="20"/>
                <w:szCs w:val="20"/>
                <w:color w:val="auto"/>
              </w:rPr>
            </w:pPr>
            <w:r>
              <w:rPr>
                <w:rFonts w:ascii="Arial" w:cs="Arial" w:eastAsia="Arial" w:hAnsi="Arial"/>
                <w:sz w:val="14"/>
                <w:szCs w:val="14"/>
                <w:color w:val="auto"/>
              </w:rPr>
              <w:t>67</w:t>
            </w:r>
          </w:p>
        </w:tc>
        <w:tc>
          <w:tcPr>
            <w:tcW w:w="220" w:type="dxa"/>
            <w:vAlign w:val="bottom"/>
          </w:tcPr>
          <w:p>
            <w:pPr>
              <w:spacing w:after="0"/>
              <w:rPr>
                <w:sz w:val="14"/>
                <w:szCs w:val="14"/>
                <w:color w:val="auto"/>
              </w:rPr>
            </w:pPr>
          </w:p>
        </w:tc>
        <w:tc>
          <w:tcPr>
            <w:tcW w:w="800" w:type="dxa"/>
            <w:vAlign w:val="bottom"/>
          </w:tcPr>
          <w:p>
            <w:pPr>
              <w:jc w:val="right"/>
              <w:spacing w:after="0"/>
              <w:rPr>
                <w:sz w:val="20"/>
                <w:szCs w:val="20"/>
                <w:color w:val="auto"/>
              </w:rPr>
            </w:pPr>
            <w:r>
              <w:rPr>
                <w:rFonts w:ascii="Arial" w:cs="Arial" w:eastAsia="Arial" w:hAnsi="Arial"/>
                <w:sz w:val="14"/>
                <w:szCs w:val="14"/>
                <w:color w:val="auto"/>
              </w:rPr>
              <w:t>26</w:t>
            </w:r>
          </w:p>
        </w:tc>
        <w:tc>
          <w:tcPr>
            <w:tcW w:w="220" w:type="dxa"/>
            <w:vAlign w:val="bottom"/>
          </w:tcPr>
          <w:p>
            <w:pPr>
              <w:spacing w:after="0"/>
              <w:rPr>
                <w:sz w:val="14"/>
                <w:szCs w:val="14"/>
                <w:color w:val="auto"/>
              </w:rPr>
            </w:pPr>
          </w:p>
        </w:tc>
        <w:tc>
          <w:tcPr>
            <w:tcW w:w="820" w:type="dxa"/>
            <w:vAlign w:val="bottom"/>
          </w:tcPr>
          <w:p>
            <w:pPr>
              <w:jc w:val="right"/>
              <w:spacing w:after="0"/>
              <w:rPr>
                <w:sz w:val="20"/>
                <w:szCs w:val="20"/>
                <w:color w:val="auto"/>
              </w:rPr>
            </w:pPr>
            <w:r>
              <w:rPr>
                <w:rFonts w:ascii="Arial" w:cs="Arial" w:eastAsia="Arial" w:hAnsi="Arial"/>
                <w:sz w:val="14"/>
                <w:szCs w:val="14"/>
                <w:color w:val="auto"/>
              </w:rPr>
              <w:t>11</w:t>
            </w:r>
          </w:p>
        </w:tc>
        <w:tc>
          <w:tcPr>
            <w:tcW w:w="220" w:type="dxa"/>
            <w:vAlign w:val="bottom"/>
          </w:tcPr>
          <w:p>
            <w:pPr>
              <w:spacing w:after="0"/>
              <w:rPr>
                <w:sz w:val="14"/>
                <w:szCs w:val="14"/>
                <w:color w:val="auto"/>
              </w:rPr>
            </w:pPr>
          </w:p>
        </w:tc>
        <w:tc>
          <w:tcPr>
            <w:tcW w:w="1040" w:type="dxa"/>
            <w:vAlign w:val="bottom"/>
          </w:tcPr>
          <w:p>
            <w:pPr>
              <w:jc w:val="right"/>
              <w:spacing w:after="0"/>
              <w:rPr>
                <w:sz w:val="20"/>
                <w:szCs w:val="20"/>
                <w:color w:val="auto"/>
              </w:rPr>
            </w:pPr>
            <w:r>
              <w:rPr>
                <w:rFonts w:ascii="Arial" w:cs="Arial" w:eastAsia="Arial" w:hAnsi="Arial"/>
                <w:sz w:val="14"/>
                <w:szCs w:val="14"/>
                <w:color w:val="auto"/>
              </w:rPr>
              <w:t>5</w:t>
            </w:r>
          </w:p>
        </w:tc>
        <w:tc>
          <w:tcPr>
            <w:tcW w:w="1460" w:type="dxa"/>
            <w:vAlign w:val="bottom"/>
            <w:gridSpan w:val="2"/>
          </w:tcPr>
          <w:p>
            <w:pPr>
              <w:jc w:val="center"/>
              <w:ind w:left="132"/>
              <w:spacing w:after="0"/>
              <w:rPr>
                <w:sz w:val="20"/>
                <w:szCs w:val="20"/>
                <w:color w:val="auto"/>
              </w:rPr>
            </w:pPr>
            <w:r>
              <w:rPr>
                <w:rFonts w:ascii="Arial" w:cs="Arial" w:eastAsia="Arial" w:hAnsi="Arial"/>
                <w:sz w:val="14"/>
                <w:szCs w:val="14"/>
                <w:color w:val="auto"/>
                <w:w w:val="88"/>
              </w:rPr>
              <w:t>$357 - $414</w:t>
            </w:r>
          </w:p>
        </w:tc>
      </w:tr>
      <w:tr>
        <w:trPr>
          <w:trHeight w:val="162"/>
        </w:trPr>
        <w:tc>
          <w:tcPr>
            <w:tcW w:w="3660" w:type="dxa"/>
            <w:vAlign w:val="bottom"/>
            <w:gridSpan w:val="2"/>
            <w:shd w:val="clear" w:color="auto" w:fill="CFF0FC"/>
          </w:tcPr>
          <w:p>
            <w:pPr>
              <w:ind w:left="380"/>
              <w:spacing w:after="0"/>
              <w:rPr>
                <w:sz w:val="20"/>
                <w:szCs w:val="20"/>
                <w:color w:val="auto"/>
              </w:rPr>
            </w:pPr>
            <w:r>
              <w:rPr>
                <w:rFonts w:ascii="Arial" w:cs="Arial" w:eastAsia="Arial" w:hAnsi="Arial"/>
                <w:sz w:val="14"/>
                <w:szCs w:val="14"/>
                <w:color w:val="auto"/>
              </w:rPr>
              <w:t>Sienna Plantation, Missouri City</w:t>
            </w:r>
          </w:p>
        </w:tc>
        <w:tc>
          <w:tcPr>
            <w:tcW w:w="960" w:type="dxa"/>
            <w:vAlign w:val="bottom"/>
            <w:shd w:val="clear" w:color="auto" w:fill="CFF0FC"/>
          </w:tcPr>
          <w:p>
            <w:pPr>
              <w:jc w:val="center"/>
              <w:spacing w:after="0"/>
              <w:rPr>
                <w:sz w:val="20"/>
                <w:szCs w:val="20"/>
                <w:color w:val="auto"/>
              </w:rPr>
            </w:pPr>
            <w:r>
              <w:rPr>
                <w:rFonts w:ascii="Arial" w:cs="Arial" w:eastAsia="Arial" w:hAnsi="Arial"/>
                <w:sz w:val="14"/>
                <w:szCs w:val="14"/>
                <w:color w:val="auto"/>
                <w:w w:val="83"/>
              </w:rPr>
              <w:t>2013</w:t>
            </w:r>
          </w:p>
        </w:tc>
        <w:tc>
          <w:tcPr>
            <w:tcW w:w="100" w:type="dxa"/>
            <w:vAlign w:val="bottom"/>
            <w:shd w:val="clear" w:color="auto" w:fill="CFF0FC"/>
          </w:tcPr>
          <w:p>
            <w:pPr>
              <w:spacing w:after="0"/>
              <w:rPr>
                <w:sz w:val="14"/>
                <w:szCs w:val="14"/>
                <w:color w:val="auto"/>
              </w:rPr>
            </w:pPr>
          </w:p>
        </w:tc>
        <w:tc>
          <w:tcPr>
            <w:tcW w:w="820" w:type="dxa"/>
            <w:vAlign w:val="bottom"/>
            <w:shd w:val="clear" w:color="auto" w:fill="CFF0FC"/>
          </w:tcPr>
          <w:p>
            <w:pPr>
              <w:jc w:val="right"/>
              <w:spacing w:after="0"/>
              <w:rPr>
                <w:sz w:val="20"/>
                <w:szCs w:val="20"/>
                <w:color w:val="auto"/>
              </w:rPr>
            </w:pPr>
            <w:r>
              <w:rPr>
                <w:rFonts w:ascii="Arial" w:cs="Arial" w:eastAsia="Arial" w:hAnsi="Arial"/>
                <w:sz w:val="14"/>
                <w:szCs w:val="14"/>
                <w:color w:val="auto"/>
              </w:rPr>
              <w:t>62</w:t>
            </w:r>
          </w:p>
        </w:tc>
        <w:tc>
          <w:tcPr>
            <w:tcW w:w="200" w:type="dxa"/>
            <w:vAlign w:val="bottom"/>
            <w:shd w:val="clear" w:color="auto" w:fill="CFF0FC"/>
          </w:tcPr>
          <w:p>
            <w:pPr>
              <w:spacing w:after="0"/>
              <w:rPr>
                <w:sz w:val="14"/>
                <w:szCs w:val="14"/>
                <w:color w:val="auto"/>
              </w:rPr>
            </w:pPr>
          </w:p>
        </w:tc>
        <w:tc>
          <w:tcPr>
            <w:tcW w:w="900" w:type="dxa"/>
            <w:vAlign w:val="bottom"/>
            <w:shd w:val="clear" w:color="auto" w:fill="CFF0FC"/>
          </w:tcPr>
          <w:p>
            <w:pPr>
              <w:jc w:val="right"/>
              <w:spacing w:after="0"/>
              <w:rPr>
                <w:sz w:val="20"/>
                <w:szCs w:val="20"/>
                <w:color w:val="auto"/>
              </w:rPr>
            </w:pPr>
            <w:r>
              <w:rPr>
                <w:rFonts w:ascii="Arial" w:cs="Arial" w:eastAsia="Arial" w:hAnsi="Arial"/>
                <w:sz w:val="14"/>
                <w:szCs w:val="14"/>
                <w:color w:val="auto"/>
              </w:rPr>
              <w:t>36</w:t>
            </w:r>
          </w:p>
        </w:tc>
        <w:tc>
          <w:tcPr>
            <w:tcW w:w="220" w:type="dxa"/>
            <w:vAlign w:val="bottom"/>
            <w:shd w:val="clear" w:color="auto" w:fill="CFF0FC"/>
          </w:tcPr>
          <w:p>
            <w:pPr>
              <w:spacing w:after="0"/>
              <w:rPr>
                <w:sz w:val="14"/>
                <w:szCs w:val="14"/>
                <w:color w:val="auto"/>
              </w:rPr>
            </w:pPr>
          </w:p>
        </w:tc>
        <w:tc>
          <w:tcPr>
            <w:tcW w:w="800" w:type="dxa"/>
            <w:vAlign w:val="bottom"/>
            <w:shd w:val="clear" w:color="auto" w:fill="CFF0FC"/>
          </w:tcPr>
          <w:p>
            <w:pPr>
              <w:jc w:val="right"/>
              <w:spacing w:after="0"/>
              <w:rPr>
                <w:sz w:val="20"/>
                <w:szCs w:val="20"/>
                <w:color w:val="auto"/>
              </w:rPr>
            </w:pPr>
            <w:r>
              <w:rPr>
                <w:rFonts w:ascii="Arial" w:cs="Arial" w:eastAsia="Arial" w:hAnsi="Arial"/>
                <w:sz w:val="14"/>
                <w:szCs w:val="14"/>
                <w:color w:val="auto"/>
              </w:rPr>
              <w:t>26</w:t>
            </w:r>
          </w:p>
        </w:tc>
        <w:tc>
          <w:tcPr>
            <w:tcW w:w="220" w:type="dxa"/>
            <w:vAlign w:val="bottom"/>
            <w:shd w:val="clear" w:color="auto" w:fill="CFF0FC"/>
          </w:tcPr>
          <w:p>
            <w:pPr>
              <w:spacing w:after="0"/>
              <w:rPr>
                <w:sz w:val="14"/>
                <w:szCs w:val="14"/>
                <w:color w:val="auto"/>
              </w:rPr>
            </w:pPr>
          </w:p>
        </w:tc>
        <w:tc>
          <w:tcPr>
            <w:tcW w:w="820" w:type="dxa"/>
            <w:vAlign w:val="bottom"/>
            <w:shd w:val="clear" w:color="auto" w:fill="CFF0FC"/>
          </w:tcPr>
          <w:p>
            <w:pPr>
              <w:jc w:val="right"/>
              <w:spacing w:after="0"/>
              <w:rPr>
                <w:sz w:val="20"/>
                <w:szCs w:val="20"/>
                <w:color w:val="auto"/>
              </w:rPr>
            </w:pPr>
            <w:r>
              <w:rPr>
                <w:rFonts w:ascii="Arial" w:cs="Arial" w:eastAsia="Arial" w:hAnsi="Arial"/>
                <w:sz w:val="14"/>
                <w:szCs w:val="14"/>
                <w:color w:val="auto"/>
              </w:rPr>
              <w:t>8</w:t>
            </w:r>
          </w:p>
        </w:tc>
        <w:tc>
          <w:tcPr>
            <w:tcW w:w="220" w:type="dxa"/>
            <w:vAlign w:val="bottom"/>
            <w:shd w:val="clear" w:color="auto" w:fill="CFF0FC"/>
          </w:tcPr>
          <w:p>
            <w:pPr>
              <w:spacing w:after="0"/>
              <w:rPr>
                <w:sz w:val="14"/>
                <w:szCs w:val="14"/>
                <w:color w:val="auto"/>
              </w:rPr>
            </w:pPr>
          </w:p>
        </w:tc>
        <w:tc>
          <w:tcPr>
            <w:tcW w:w="1040" w:type="dxa"/>
            <w:vAlign w:val="bottom"/>
            <w:shd w:val="clear" w:color="auto" w:fill="CFF0FC"/>
          </w:tcPr>
          <w:p>
            <w:pPr>
              <w:jc w:val="right"/>
              <w:spacing w:after="0"/>
              <w:rPr>
                <w:sz w:val="20"/>
                <w:szCs w:val="20"/>
                <w:color w:val="auto"/>
              </w:rPr>
            </w:pPr>
            <w:r>
              <w:rPr>
                <w:rFonts w:ascii="Arial" w:cs="Arial" w:eastAsia="Arial" w:hAnsi="Arial"/>
                <w:sz w:val="14"/>
                <w:szCs w:val="14"/>
                <w:color w:val="auto"/>
              </w:rPr>
              <w:t>4</w:t>
            </w:r>
          </w:p>
        </w:tc>
        <w:tc>
          <w:tcPr>
            <w:tcW w:w="1460" w:type="dxa"/>
            <w:vAlign w:val="bottom"/>
            <w:gridSpan w:val="2"/>
            <w:shd w:val="clear" w:color="auto" w:fill="CFF0FC"/>
          </w:tcPr>
          <w:p>
            <w:pPr>
              <w:jc w:val="center"/>
              <w:ind w:left="132"/>
              <w:spacing w:after="0"/>
              <w:rPr>
                <w:sz w:val="20"/>
                <w:szCs w:val="20"/>
                <w:color w:val="auto"/>
              </w:rPr>
            </w:pPr>
            <w:r>
              <w:rPr>
                <w:rFonts w:ascii="Arial" w:cs="Arial" w:eastAsia="Arial" w:hAnsi="Arial"/>
                <w:sz w:val="14"/>
                <w:szCs w:val="14"/>
                <w:color w:val="auto"/>
                <w:w w:val="88"/>
              </w:rPr>
              <w:t>$542 - $719</w:t>
            </w:r>
          </w:p>
        </w:tc>
      </w:tr>
      <w:tr>
        <w:trPr>
          <w:trHeight w:val="162"/>
        </w:trPr>
        <w:tc>
          <w:tcPr>
            <w:tcW w:w="3660" w:type="dxa"/>
            <w:vAlign w:val="bottom"/>
            <w:gridSpan w:val="2"/>
          </w:tcPr>
          <w:p>
            <w:pPr>
              <w:ind w:left="380"/>
              <w:spacing w:after="0"/>
              <w:rPr>
                <w:sz w:val="20"/>
                <w:szCs w:val="20"/>
                <w:color w:val="auto"/>
              </w:rPr>
            </w:pPr>
            <w:r>
              <w:rPr>
                <w:rFonts w:ascii="Arial" w:cs="Arial" w:eastAsia="Arial" w:hAnsi="Arial"/>
                <w:sz w:val="14"/>
                <w:szCs w:val="14"/>
                <w:color w:val="auto"/>
              </w:rPr>
              <w:t>Lakes of Bella Terra, Richmond</w:t>
            </w:r>
          </w:p>
        </w:tc>
        <w:tc>
          <w:tcPr>
            <w:tcW w:w="960" w:type="dxa"/>
            <w:vAlign w:val="bottom"/>
          </w:tcPr>
          <w:p>
            <w:pPr>
              <w:jc w:val="center"/>
              <w:spacing w:after="0"/>
              <w:rPr>
                <w:sz w:val="20"/>
                <w:szCs w:val="20"/>
                <w:color w:val="auto"/>
              </w:rPr>
            </w:pPr>
            <w:r>
              <w:rPr>
                <w:rFonts w:ascii="Arial" w:cs="Arial" w:eastAsia="Arial" w:hAnsi="Arial"/>
                <w:sz w:val="14"/>
                <w:szCs w:val="14"/>
                <w:color w:val="auto"/>
                <w:w w:val="83"/>
              </w:rPr>
              <w:t>2013</w:t>
            </w:r>
          </w:p>
        </w:tc>
        <w:tc>
          <w:tcPr>
            <w:tcW w:w="100" w:type="dxa"/>
            <w:vAlign w:val="bottom"/>
          </w:tcPr>
          <w:p>
            <w:pPr>
              <w:spacing w:after="0"/>
              <w:rPr>
                <w:sz w:val="14"/>
                <w:szCs w:val="14"/>
                <w:color w:val="auto"/>
              </w:rPr>
            </w:pPr>
          </w:p>
        </w:tc>
        <w:tc>
          <w:tcPr>
            <w:tcW w:w="820" w:type="dxa"/>
            <w:vAlign w:val="bottom"/>
          </w:tcPr>
          <w:p>
            <w:pPr>
              <w:jc w:val="right"/>
              <w:spacing w:after="0"/>
              <w:rPr>
                <w:sz w:val="20"/>
                <w:szCs w:val="20"/>
                <w:color w:val="auto"/>
              </w:rPr>
            </w:pPr>
            <w:r>
              <w:rPr>
                <w:rFonts w:ascii="Arial" w:cs="Arial" w:eastAsia="Arial" w:hAnsi="Arial"/>
                <w:sz w:val="14"/>
                <w:szCs w:val="14"/>
                <w:color w:val="auto"/>
              </w:rPr>
              <w:t>109</w:t>
            </w:r>
          </w:p>
        </w:tc>
        <w:tc>
          <w:tcPr>
            <w:tcW w:w="200" w:type="dxa"/>
            <w:vAlign w:val="bottom"/>
          </w:tcPr>
          <w:p>
            <w:pPr>
              <w:spacing w:after="0"/>
              <w:rPr>
                <w:sz w:val="14"/>
                <w:szCs w:val="14"/>
                <w:color w:val="auto"/>
              </w:rPr>
            </w:pPr>
          </w:p>
        </w:tc>
        <w:tc>
          <w:tcPr>
            <w:tcW w:w="900" w:type="dxa"/>
            <w:vAlign w:val="bottom"/>
          </w:tcPr>
          <w:p>
            <w:pPr>
              <w:jc w:val="right"/>
              <w:spacing w:after="0"/>
              <w:rPr>
                <w:sz w:val="20"/>
                <w:szCs w:val="20"/>
                <w:color w:val="auto"/>
              </w:rPr>
            </w:pPr>
            <w:r>
              <w:rPr>
                <w:rFonts w:ascii="Arial" w:cs="Arial" w:eastAsia="Arial" w:hAnsi="Arial"/>
                <w:sz w:val="14"/>
                <w:szCs w:val="14"/>
                <w:color w:val="auto"/>
              </w:rPr>
              <w:t>72</w:t>
            </w:r>
          </w:p>
        </w:tc>
        <w:tc>
          <w:tcPr>
            <w:tcW w:w="220" w:type="dxa"/>
            <w:vAlign w:val="bottom"/>
          </w:tcPr>
          <w:p>
            <w:pPr>
              <w:spacing w:after="0"/>
              <w:rPr>
                <w:sz w:val="14"/>
                <w:szCs w:val="14"/>
                <w:color w:val="auto"/>
              </w:rPr>
            </w:pPr>
          </w:p>
        </w:tc>
        <w:tc>
          <w:tcPr>
            <w:tcW w:w="800" w:type="dxa"/>
            <w:vAlign w:val="bottom"/>
          </w:tcPr>
          <w:p>
            <w:pPr>
              <w:jc w:val="right"/>
              <w:spacing w:after="0"/>
              <w:rPr>
                <w:sz w:val="20"/>
                <w:szCs w:val="20"/>
                <w:color w:val="auto"/>
              </w:rPr>
            </w:pPr>
            <w:r>
              <w:rPr>
                <w:rFonts w:ascii="Arial" w:cs="Arial" w:eastAsia="Arial" w:hAnsi="Arial"/>
                <w:sz w:val="14"/>
                <w:szCs w:val="14"/>
                <w:color w:val="auto"/>
              </w:rPr>
              <w:t>37</w:t>
            </w:r>
          </w:p>
        </w:tc>
        <w:tc>
          <w:tcPr>
            <w:tcW w:w="220" w:type="dxa"/>
            <w:vAlign w:val="bottom"/>
          </w:tcPr>
          <w:p>
            <w:pPr>
              <w:spacing w:after="0"/>
              <w:rPr>
                <w:sz w:val="14"/>
                <w:szCs w:val="14"/>
                <w:color w:val="auto"/>
              </w:rPr>
            </w:pPr>
          </w:p>
        </w:tc>
        <w:tc>
          <w:tcPr>
            <w:tcW w:w="820" w:type="dxa"/>
            <w:vAlign w:val="bottom"/>
          </w:tcPr>
          <w:p>
            <w:pPr>
              <w:jc w:val="right"/>
              <w:spacing w:after="0"/>
              <w:rPr>
                <w:sz w:val="20"/>
                <w:szCs w:val="20"/>
                <w:color w:val="auto"/>
              </w:rPr>
            </w:pPr>
            <w:r>
              <w:rPr>
                <w:rFonts w:ascii="Arial" w:cs="Arial" w:eastAsia="Arial" w:hAnsi="Arial"/>
                <w:sz w:val="14"/>
                <w:szCs w:val="14"/>
                <w:color w:val="auto"/>
              </w:rPr>
              <w:t>4</w:t>
            </w:r>
          </w:p>
        </w:tc>
        <w:tc>
          <w:tcPr>
            <w:tcW w:w="220" w:type="dxa"/>
            <w:vAlign w:val="bottom"/>
          </w:tcPr>
          <w:p>
            <w:pPr>
              <w:spacing w:after="0"/>
              <w:rPr>
                <w:sz w:val="14"/>
                <w:szCs w:val="14"/>
                <w:color w:val="auto"/>
              </w:rPr>
            </w:pPr>
          </w:p>
        </w:tc>
        <w:tc>
          <w:tcPr>
            <w:tcW w:w="1040" w:type="dxa"/>
            <w:vAlign w:val="bottom"/>
          </w:tcPr>
          <w:p>
            <w:pPr>
              <w:jc w:val="right"/>
              <w:spacing w:after="0"/>
              <w:rPr>
                <w:sz w:val="20"/>
                <w:szCs w:val="20"/>
                <w:color w:val="auto"/>
              </w:rPr>
            </w:pPr>
            <w:r>
              <w:rPr>
                <w:rFonts w:ascii="Arial" w:cs="Arial" w:eastAsia="Arial" w:hAnsi="Arial"/>
                <w:sz w:val="14"/>
                <w:szCs w:val="14"/>
                <w:color w:val="auto"/>
              </w:rPr>
              <w:t>9</w:t>
            </w:r>
          </w:p>
        </w:tc>
        <w:tc>
          <w:tcPr>
            <w:tcW w:w="1460" w:type="dxa"/>
            <w:vAlign w:val="bottom"/>
            <w:gridSpan w:val="2"/>
          </w:tcPr>
          <w:p>
            <w:pPr>
              <w:jc w:val="center"/>
              <w:ind w:left="132"/>
              <w:spacing w:after="0"/>
              <w:rPr>
                <w:sz w:val="20"/>
                <w:szCs w:val="20"/>
                <w:color w:val="auto"/>
              </w:rPr>
            </w:pPr>
            <w:r>
              <w:rPr>
                <w:rFonts w:ascii="Arial" w:cs="Arial" w:eastAsia="Arial" w:hAnsi="Arial"/>
                <w:sz w:val="14"/>
                <w:szCs w:val="14"/>
                <w:color w:val="auto"/>
                <w:w w:val="88"/>
              </w:rPr>
              <w:t>$465 - $569</w:t>
            </w:r>
          </w:p>
        </w:tc>
      </w:tr>
      <w:tr>
        <w:trPr>
          <w:trHeight w:val="162"/>
        </w:trPr>
        <w:tc>
          <w:tcPr>
            <w:tcW w:w="3660" w:type="dxa"/>
            <w:vAlign w:val="bottom"/>
            <w:gridSpan w:val="2"/>
            <w:shd w:val="clear" w:color="auto" w:fill="CFF0FC"/>
          </w:tcPr>
          <w:p>
            <w:pPr>
              <w:ind w:left="380"/>
              <w:spacing w:after="0"/>
              <w:rPr>
                <w:sz w:val="20"/>
                <w:szCs w:val="20"/>
                <w:color w:val="auto"/>
              </w:rPr>
            </w:pPr>
            <w:r>
              <w:rPr>
                <w:rFonts w:ascii="Arial" w:cs="Arial" w:eastAsia="Arial" w:hAnsi="Arial"/>
                <w:sz w:val="14"/>
                <w:szCs w:val="14"/>
                <w:color w:val="auto"/>
              </w:rPr>
              <w:t>Villas at Aliana, Richmond</w:t>
            </w:r>
          </w:p>
        </w:tc>
        <w:tc>
          <w:tcPr>
            <w:tcW w:w="960" w:type="dxa"/>
            <w:vAlign w:val="bottom"/>
            <w:shd w:val="clear" w:color="auto" w:fill="CFF0FC"/>
          </w:tcPr>
          <w:p>
            <w:pPr>
              <w:jc w:val="center"/>
              <w:spacing w:after="0"/>
              <w:rPr>
                <w:sz w:val="20"/>
                <w:szCs w:val="20"/>
                <w:color w:val="auto"/>
              </w:rPr>
            </w:pPr>
            <w:r>
              <w:rPr>
                <w:rFonts w:ascii="Arial" w:cs="Arial" w:eastAsia="Arial" w:hAnsi="Arial"/>
                <w:sz w:val="14"/>
                <w:szCs w:val="14"/>
                <w:color w:val="auto"/>
                <w:w w:val="83"/>
              </w:rPr>
              <w:t>2013</w:t>
            </w:r>
          </w:p>
        </w:tc>
        <w:tc>
          <w:tcPr>
            <w:tcW w:w="100" w:type="dxa"/>
            <w:vAlign w:val="bottom"/>
            <w:shd w:val="clear" w:color="auto" w:fill="CFF0FC"/>
          </w:tcPr>
          <w:p>
            <w:pPr>
              <w:spacing w:after="0"/>
              <w:rPr>
                <w:sz w:val="14"/>
                <w:szCs w:val="14"/>
                <w:color w:val="auto"/>
              </w:rPr>
            </w:pPr>
          </w:p>
        </w:tc>
        <w:tc>
          <w:tcPr>
            <w:tcW w:w="820" w:type="dxa"/>
            <w:vAlign w:val="bottom"/>
            <w:shd w:val="clear" w:color="auto" w:fill="CFF0FC"/>
          </w:tcPr>
          <w:p>
            <w:pPr>
              <w:jc w:val="right"/>
              <w:spacing w:after="0"/>
              <w:rPr>
                <w:sz w:val="20"/>
                <w:szCs w:val="20"/>
                <w:color w:val="auto"/>
              </w:rPr>
            </w:pPr>
            <w:r>
              <w:rPr>
                <w:rFonts w:ascii="Arial" w:cs="Arial" w:eastAsia="Arial" w:hAnsi="Arial"/>
                <w:sz w:val="14"/>
                <w:szCs w:val="14"/>
                <w:color w:val="auto"/>
              </w:rPr>
              <w:t>65</w:t>
            </w:r>
          </w:p>
        </w:tc>
        <w:tc>
          <w:tcPr>
            <w:tcW w:w="200" w:type="dxa"/>
            <w:vAlign w:val="bottom"/>
            <w:shd w:val="clear" w:color="auto" w:fill="CFF0FC"/>
          </w:tcPr>
          <w:p>
            <w:pPr>
              <w:spacing w:after="0"/>
              <w:rPr>
                <w:sz w:val="14"/>
                <w:szCs w:val="14"/>
                <w:color w:val="auto"/>
              </w:rPr>
            </w:pPr>
          </w:p>
        </w:tc>
        <w:tc>
          <w:tcPr>
            <w:tcW w:w="900" w:type="dxa"/>
            <w:vAlign w:val="bottom"/>
            <w:shd w:val="clear" w:color="auto" w:fill="CFF0FC"/>
          </w:tcPr>
          <w:p>
            <w:pPr>
              <w:jc w:val="right"/>
              <w:spacing w:after="0"/>
              <w:rPr>
                <w:sz w:val="20"/>
                <w:szCs w:val="20"/>
                <w:color w:val="auto"/>
              </w:rPr>
            </w:pPr>
            <w:r>
              <w:rPr>
                <w:rFonts w:ascii="Arial" w:cs="Arial" w:eastAsia="Arial" w:hAnsi="Arial"/>
                <w:sz w:val="14"/>
                <w:szCs w:val="14"/>
                <w:color w:val="auto"/>
              </w:rPr>
              <w:t>42</w:t>
            </w:r>
          </w:p>
        </w:tc>
        <w:tc>
          <w:tcPr>
            <w:tcW w:w="220" w:type="dxa"/>
            <w:vAlign w:val="bottom"/>
            <w:shd w:val="clear" w:color="auto" w:fill="CFF0FC"/>
          </w:tcPr>
          <w:p>
            <w:pPr>
              <w:spacing w:after="0"/>
              <w:rPr>
                <w:sz w:val="14"/>
                <w:szCs w:val="14"/>
                <w:color w:val="auto"/>
              </w:rPr>
            </w:pPr>
          </w:p>
        </w:tc>
        <w:tc>
          <w:tcPr>
            <w:tcW w:w="800" w:type="dxa"/>
            <w:vAlign w:val="bottom"/>
            <w:shd w:val="clear" w:color="auto" w:fill="CFF0FC"/>
          </w:tcPr>
          <w:p>
            <w:pPr>
              <w:jc w:val="right"/>
              <w:spacing w:after="0"/>
              <w:rPr>
                <w:sz w:val="20"/>
                <w:szCs w:val="20"/>
                <w:color w:val="auto"/>
              </w:rPr>
            </w:pPr>
            <w:r>
              <w:rPr>
                <w:rFonts w:ascii="Arial" w:cs="Arial" w:eastAsia="Arial" w:hAnsi="Arial"/>
                <w:sz w:val="14"/>
                <w:szCs w:val="14"/>
                <w:color w:val="auto"/>
              </w:rPr>
              <w:t>23</w:t>
            </w:r>
          </w:p>
        </w:tc>
        <w:tc>
          <w:tcPr>
            <w:tcW w:w="220" w:type="dxa"/>
            <w:vAlign w:val="bottom"/>
            <w:shd w:val="clear" w:color="auto" w:fill="CFF0FC"/>
          </w:tcPr>
          <w:p>
            <w:pPr>
              <w:spacing w:after="0"/>
              <w:rPr>
                <w:sz w:val="14"/>
                <w:szCs w:val="14"/>
                <w:color w:val="auto"/>
              </w:rPr>
            </w:pPr>
          </w:p>
        </w:tc>
        <w:tc>
          <w:tcPr>
            <w:tcW w:w="820" w:type="dxa"/>
            <w:vAlign w:val="bottom"/>
            <w:shd w:val="clear" w:color="auto" w:fill="CFF0FC"/>
          </w:tcPr>
          <w:p>
            <w:pPr>
              <w:jc w:val="right"/>
              <w:spacing w:after="0"/>
              <w:rPr>
                <w:sz w:val="20"/>
                <w:szCs w:val="20"/>
                <w:color w:val="auto"/>
              </w:rPr>
            </w:pPr>
            <w:r>
              <w:rPr>
                <w:rFonts w:ascii="Arial" w:cs="Arial" w:eastAsia="Arial" w:hAnsi="Arial"/>
                <w:sz w:val="14"/>
                <w:szCs w:val="14"/>
                <w:color w:val="auto"/>
              </w:rPr>
              <w:t>5</w:t>
            </w:r>
          </w:p>
        </w:tc>
        <w:tc>
          <w:tcPr>
            <w:tcW w:w="220" w:type="dxa"/>
            <w:vAlign w:val="bottom"/>
            <w:shd w:val="clear" w:color="auto" w:fill="CFF0FC"/>
          </w:tcPr>
          <w:p>
            <w:pPr>
              <w:spacing w:after="0"/>
              <w:rPr>
                <w:sz w:val="14"/>
                <w:szCs w:val="14"/>
                <w:color w:val="auto"/>
              </w:rPr>
            </w:pPr>
          </w:p>
        </w:tc>
        <w:tc>
          <w:tcPr>
            <w:tcW w:w="1040" w:type="dxa"/>
            <w:vAlign w:val="bottom"/>
            <w:shd w:val="clear" w:color="auto" w:fill="CFF0FC"/>
          </w:tcPr>
          <w:p>
            <w:pPr>
              <w:jc w:val="right"/>
              <w:spacing w:after="0"/>
              <w:rPr>
                <w:sz w:val="20"/>
                <w:szCs w:val="20"/>
                <w:color w:val="auto"/>
              </w:rPr>
            </w:pPr>
            <w:r>
              <w:rPr>
                <w:rFonts w:ascii="Arial" w:cs="Arial" w:eastAsia="Arial" w:hAnsi="Arial"/>
                <w:sz w:val="14"/>
                <w:szCs w:val="14"/>
                <w:color w:val="auto"/>
              </w:rPr>
              <w:t>5</w:t>
            </w:r>
          </w:p>
        </w:tc>
        <w:tc>
          <w:tcPr>
            <w:tcW w:w="1460" w:type="dxa"/>
            <w:vAlign w:val="bottom"/>
            <w:gridSpan w:val="2"/>
            <w:shd w:val="clear" w:color="auto" w:fill="CFF0FC"/>
          </w:tcPr>
          <w:p>
            <w:pPr>
              <w:jc w:val="center"/>
              <w:ind w:left="132"/>
              <w:spacing w:after="0"/>
              <w:rPr>
                <w:sz w:val="20"/>
                <w:szCs w:val="20"/>
                <w:color w:val="auto"/>
              </w:rPr>
            </w:pPr>
            <w:r>
              <w:rPr>
                <w:rFonts w:ascii="Arial" w:cs="Arial" w:eastAsia="Arial" w:hAnsi="Arial"/>
                <w:sz w:val="14"/>
                <w:szCs w:val="14"/>
                <w:color w:val="auto"/>
                <w:w w:val="88"/>
              </w:rPr>
              <w:t>$435 - $501</w:t>
            </w:r>
          </w:p>
        </w:tc>
      </w:tr>
      <w:tr>
        <w:trPr>
          <w:trHeight w:val="162"/>
        </w:trPr>
        <w:tc>
          <w:tcPr>
            <w:tcW w:w="3660" w:type="dxa"/>
            <w:vAlign w:val="bottom"/>
            <w:gridSpan w:val="2"/>
          </w:tcPr>
          <w:p>
            <w:pPr>
              <w:ind w:left="380"/>
              <w:spacing w:after="0"/>
              <w:rPr>
                <w:sz w:val="20"/>
                <w:szCs w:val="20"/>
                <w:color w:val="auto"/>
              </w:rPr>
            </w:pPr>
            <w:r>
              <w:rPr>
                <w:rFonts w:ascii="Arial" w:cs="Arial" w:eastAsia="Arial" w:hAnsi="Arial"/>
                <w:sz w:val="14"/>
                <w:szCs w:val="14"/>
                <w:color w:val="auto"/>
              </w:rPr>
              <w:t>Riverstone 55', Sugar Land</w:t>
            </w:r>
          </w:p>
        </w:tc>
        <w:tc>
          <w:tcPr>
            <w:tcW w:w="960" w:type="dxa"/>
            <w:vAlign w:val="bottom"/>
          </w:tcPr>
          <w:p>
            <w:pPr>
              <w:jc w:val="center"/>
              <w:spacing w:after="0"/>
              <w:rPr>
                <w:sz w:val="20"/>
                <w:szCs w:val="20"/>
                <w:color w:val="auto"/>
              </w:rPr>
            </w:pPr>
            <w:r>
              <w:rPr>
                <w:rFonts w:ascii="Arial" w:cs="Arial" w:eastAsia="Arial" w:hAnsi="Arial"/>
                <w:sz w:val="14"/>
                <w:szCs w:val="14"/>
                <w:color w:val="auto"/>
                <w:w w:val="83"/>
              </w:rPr>
              <w:t>2013</w:t>
            </w:r>
          </w:p>
        </w:tc>
        <w:tc>
          <w:tcPr>
            <w:tcW w:w="100" w:type="dxa"/>
            <w:vAlign w:val="bottom"/>
          </w:tcPr>
          <w:p>
            <w:pPr>
              <w:spacing w:after="0"/>
              <w:rPr>
                <w:sz w:val="14"/>
                <w:szCs w:val="14"/>
                <w:color w:val="auto"/>
              </w:rPr>
            </w:pPr>
          </w:p>
        </w:tc>
        <w:tc>
          <w:tcPr>
            <w:tcW w:w="820" w:type="dxa"/>
            <w:vAlign w:val="bottom"/>
          </w:tcPr>
          <w:p>
            <w:pPr>
              <w:jc w:val="right"/>
              <w:spacing w:after="0"/>
              <w:rPr>
                <w:sz w:val="20"/>
                <w:szCs w:val="20"/>
                <w:color w:val="auto"/>
              </w:rPr>
            </w:pPr>
            <w:r>
              <w:rPr>
                <w:rFonts w:ascii="Arial" w:cs="Arial" w:eastAsia="Arial" w:hAnsi="Arial"/>
                <w:sz w:val="14"/>
                <w:szCs w:val="14"/>
                <w:color w:val="auto"/>
              </w:rPr>
              <w:t>81</w:t>
            </w:r>
          </w:p>
        </w:tc>
        <w:tc>
          <w:tcPr>
            <w:tcW w:w="200" w:type="dxa"/>
            <w:vAlign w:val="bottom"/>
          </w:tcPr>
          <w:p>
            <w:pPr>
              <w:spacing w:after="0"/>
              <w:rPr>
                <w:sz w:val="14"/>
                <w:szCs w:val="14"/>
                <w:color w:val="auto"/>
              </w:rPr>
            </w:pPr>
          </w:p>
        </w:tc>
        <w:tc>
          <w:tcPr>
            <w:tcW w:w="900" w:type="dxa"/>
            <w:vAlign w:val="bottom"/>
          </w:tcPr>
          <w:p>
            <w:pPr>
              <w:jc w:val="right"/>
              <w:spacing w:after="0"/>
              <w:rPr>
                <w:sz w:val="20"/>
                <w:szCs w:val="20"/>
                <w:color w:val="auto"/>
              </w:rPr>
            </w:pPr>
            <w:r>
              <w:rPr>
                <w:rFonts w:ascii="Arial" w:cs="Arial" w:eastAsia="Arial" w:hAnsi="Arial"/>
                <w:sz w:val="14"/>
                <w:szCs w:val="14"/>
                <w:color w:val="auto"/>
              </w:rPr>
              <w:t>49</w:t>
            </w:r>
          </w:p>
        </w:tc>
        <w:tc>
          <w:tcPr>
            <w:tcW w:w="220" w:type="dxa"/>
            <w:vAlign w:val="bottom"/>
          </w:tcPr>
          <w:p>
            <w:pPr>
              <w:spacing w:after="0"/>
              <w:rPr>
                <w:sz w:val="14"/>
                <w:szCs w:val="14"/>
                <w:color w:val="auto"/>
              </w:rPr>
            </w:pPr>
          </w:p>
        </w:tc>
        <w:tc>
          <w:tcPr>
            <w:tcW w:w="800" w:type="dxa"/>
            <w:vAlign w:val="bottom"/>
          </w:tcPr>
          <w:p>
            <w:pPr>
              <w:jc w:val="right"/>
              <w:spacing w:after="0"/>
              <w:rPr>
                <w:sz w:val="20"/>
                <w:szCs w:val="20"/>
                <w:color w:val="auto"/>
              </w:rPr>
            </w:pPr>
            <w:r>
              <w:rPr>
                <w:rFonts w:ascii="Arial" w:cs="Arial" w:eastAsia="Arial" w:hAnsi="Arial"/>
                <w:sz w:val="14"/>
                <w:szCs w:val="14"/>
                <w:color w:val="auto"/>
              </w:rPr>
              <w:t>32</w:t>
            </w:r>
          </w:p>
        </w:tc>
        <w:tc>
          <w:tcPr>
            <w:tcW w:w="220" w:type="dxa"/>
            <w:vAlign w:val="bottom"/>
          </w:tcPr>
          <w:p>
            <w:pPr>
              <w:spacing w:after="0"/>
              <w:rPr>
                <w:sz w:val="14"/>
                <w:szCs w:val="14"/>
                <w:color w:val="auto"/>
              </w:rPr>
            </w:pPr>
          </w:p>
        </w:tc>
        <w:tc>
          <w:tcPr>
            <w:tcW w:w="820" w:type="dxa"/>
            <w:vAlign w:val="bottom"/>
          </w:tcPr>
          <w:p>
            <w:pPr>
              <w:jc w:val="right"/>
              <w:spacing w:after="0"/>
              <w:rPr>
                <w:sz w:val="20"/>
                <w:szCs w:val="20"/>
                <w:color w:val="auto"/>
              </w:rPr>
            </w:pPr>
            <w:r>
              <w:rPr>
                <w:rFonts w:ascii="Arial" w:cs="Arial" w:eastAsia="Arial" w:hAnsi="Arial"/>
                <w:sz w:val="14"/>
                <w:szCs w:val="14"/>
                <w:color w:val="auto"/>
              </w:rPr>
              <w:t>5</w:t>
            </w:r>
          </w:p>
        </w:tc>
        <w:tc>
          <w:tcPr>
            <w:tcW w:w="220" w:type="dxa"/>
            <w:vAlign w:val="bottom"/>
          </w:tcPr>
          <w:p>
            <w:pPr>
              <w:spacing w:after="0"/>
              <w:rPr>
                <w:sz w:val="14"/>
                <w:szCs w:val="14"/>
                <w:color w:val="auto"/>
              </w:rPr>
            </w:pPr>
          </w:p>
        </w:tc>
        <w:tc>
          <w:tcPr>
            <w:tcW w:w="1040" w:type="dxa"/>
            <w:vAlign w:val="bottom"/>
          </w:tcPr>
          <w:p>
            <w:pPr>
              <w:jc w:val="right"/>
              <w:spacing w:after="0"/>
              <w:rPr>
                <w:sz w:val="20"/>
                <w:szCs w:val="20"/>
                <w:color w:val="auto"/>
              </w:rPr>
            </w:pPr>
            <w:r>
              <w:rPr>
                <w:rFonts w:ascii="Arial" w:cs="Arial" w:eastAsia="Arial" w:hAnsi="Arial"/>
                <w:sz w:val="14"/>
                <w:szCs w:val="14"/>
                <w:color w:val="auto"/>
              </w:rPr>
              <w:t>1</w:t>
            </w:r>
          </w:p>
        </w:tc>
        <w:tc>
          <w:tcPr>
            <w:tcW w:w="1460" w:type="dxa"/>
            <w:vAlign w:val="bottom"/>
            <w:gridSpan w:val="2"/>
          </w:tcPr>
          <w:p>
            <w:pPr>
              <w:jc w:val="center"/>
              <w:ind w:left="132"/>
              <w:spacing w:after="0"/>
              <w:rPr>
                <w:sz w:val="20"/>
                <w:szCs w:val="20"/>
                <w:color w:val="auto"/>
              </w:rPr>
            </w:pPr>
            <w:r>
              <w:rPr>
                <w:rFonts w:ascii="Arial" w:cs="Arial" w:eastAsia="Arial" w:hAnsi="Arial"/>
                <w:sz w:val="14"/>
                <w:szCs w:val="14"/>
                <w:color w:val="auto"/>
                <w:w w:val="88"/>
              </w:rPr>
              <w:t>$397 - $460</w:t>
            </w:r>
          </w:p>
        </w:tc>
      </w:tr>
      <w:tr>
        <w:trPr>
          <w:trHeight w:val="162"/>
        </w:trPr>
        <w:tc>
          <w:tcPr>
            <w:tcW w:w="3660" w:type="dxa"/>
            <w:vAlign w:val="bottom"/>
            <w:gridSpan w:val="2"/>
            <w:shd w:val="clear" w:color="auto" w:fill="CFF0FC"/>
          </w:tcPr>
          <w:p>
            <w:pPr>
              <w:ind w:left="380"/>
              <w:spacing w:after="0"/>
              <w:rPr>
                <w:sz w:val="20"/>
                <w:szCs w:val="20"/>
                <w:color w:val="auto"/>
              </w:rPr>
            </w:pPr>
            <w:r>
              <w:rPr>
                <w:rFonts w:ascii="Arial" w:cs="Arial" w:eastAsia="Arial" w:hAnsi="Arial"/>
                <w:sz w:val="14"/>
                <w:szCs w:val="14"/>
                <w:color w:val="auto"/>
              </w:rPr>
              <w:t>Riverstone 80' &amp; 100', Sugar Land</w:t>
            </w:r>
          </w:p>
        </w:tc>
        <w:tc>
          <w:tcPr>
            <w:tcW w:w="960" w:type="dxa"/>
            <w:vAlign w:val="bottom"/>
            <w:shd w:val="clear" w:color="auto" w:fill="CFF0FC"/>
          </w:tcPr>
          <w:p>
            <w:pPr>
              <w:jc w:val="center"/>
              <w:spacing w:after="0"/>
              <w:rPr>
                <w:sz w:val="20"/>
                <w:szCs w:val="20"/>
                <w:color w:val="auto"/>
              </w:rPr>
            </w:pPr>
            <w:r>
              <w:rPr>
                <w:rFonts w:ascii="Arial" w:cs="Arial" w:eastAsia="Arial" w:hAnsi="Arial"/>
                <w:sz w:val="14"/>
                <w:szCs w:val="14"/>
                <w:color w:val="auto"/>
                <w:w w:val="83"/>
              </w:rPr>
              <w:t>2013</w:t>
            </w:r>
          </w:p>
        </w:tc>
        <w:tc>
          <w:tcPr>
            <w:tcW w:w="100" w:type="dxa"/>
            <w:vAlign w:val="bottom"/>
            <w:shd w:val="clear" w:color="auto" w:fill="CFF0FC"/>
          </w:tcPr>
          <w:p>
            <w:pPr>
              <w:spacing w:after="0"/>
              <w:rPr>
                <w:sz w:val="14"/>
                <w:szCs w:val="14"/>
                <w:color w:val="auto"/>
              </w:rPr>
            </w:pPr>
          </w:p>
        </w:tc>
        <w:tc>
          <w:tcPr>
            <w:tcW w:w="820" w:type="dxa"/>
            <w:vAlign w:val="bottom"/>
            <w:shd w:val="clear" w:color="auto" w:fill="CFF0FC"/>
          </w:tcPr>
          <w:p>
            <w:pPr>
              <w:jc w:val="right"/>
              <w:spacing w:after="0"/>
              <w:rPr>
                <w:sz w:val="20"/>
                <w:szCs w:val="20"/>
                <w:color w:val="auto"/>
              </w:rPr>
            </w:pPr>
            <w:r>
              <w:rPr>
                <w:rFonts w:ascii="Arial" w:cs="Arial" w:eastAsia="Arial" w:hAnsi="Arial"/>
                <w:sz w:val="14"/>
                <w:szCs w:val="14"/>
                <w:color w:val="auto"/>
              </w:rPr>
              <w:t>5</w:t>
            </w:r>
          </w:p>
        </w:tc>
        <w:tc>
          <w:tcPr>
            <w:tcW w:w="200" w:type="dxa"/>
            <w:vAlign w:val="bottom"/>
            <w:shd w:val="clear" w:color="auto" w:fill="CFF0FC"/>
          </w:tcPr>
          <w:p>
            <w:pPr>
              <w:spacing w:after="0"/>
              <w:rPr>
                <w:sz w:val="14"/>
                <w:szCs w:val="14"/>
                <w:color w:val="auto"/>
              </w:rPr>
            </w:pPr>
          </w:p>
        </w:tc>
        <w:tc>
          <w:tcPr>
            <w:tcW w:w="900" w:type="dxa"/>
            <w:vAlign w:val="bottom"/>
            <w:shd w:val="clear" w:color="auto" w:fill="CFF0FC"/>
          </w:tcPr>
          <w:p>
            <w:pPr>
              <w:jc w:val="right"/>
              <w:spacing w:after="0"/>
              <w:rPr>
                <w:sz w:val="20"/>
                <w:szCs w:val="20"/>
                <w:color w:val="auto"/>
              </w:rPr>
            </w:pPr>
            <w:r>
              <w:rPr>
                <w:rFonts w:ascii="Arial" w:cs="Arial" w:eastAsia="Arial" w:hAnsi="Arial"/>
                <w:sz w:val="14"/>
                <w:szCs w:val="14"/>
                <w:color w:val="auto"/>
              </w:rPr>
              <w:t>-</w:t>
            </w:r>
          </w:p>
        </w:tc>
        <w:tc>
          <w:tcPr>
            <w:tcW w:w="220" w:type="dxa"/>
            <w:vAlign w:val="bottom"/>
            <w:shd w:val="clear" w:color="auto" w:fill="CFF0FC"/>
          </w:tcPr>
          <w:p>
            <w:pPr>
              <w:spacing w:after="0"/>
              <w:rPr>
                <w:sz w:val="14"/>
                <w:szCs w:val="14"/>
                <w:color w:val="auto"/>
              </w:rPr>
            </w:pPr>
          </w:p>
        </w:tc>
        <w:tc>
          <w:tcPr>
            <w:tcW w:w="800" w:type="dxa"/>
            <w:vAlign w:val="bottom"/>
            <w:shd w:val="clear" w:color="auto" w:fill="CFF0FC"/>
          </w:tcPr>
          <w:p>
            <w:pPr>
              <w:jc w:val="right"/>
              <w:spacing w:after="0"/>
              <w:rPr>
                <w:sz w:val="20"/>
                <w:szCs w:val="20"/>
                <w:color w:val="auto"/>
              </w:rPr>
            </w:pPr>
            <w:r>
              <w:rPr>
                <w:rFonts w:ascii="Arial" w:cs="Arial" w:eastAsia="Arial" w:hAnsi="Arial"/>
                <w:sz w:val="14"/>
                <w:szCs w:val="14"/>
                <w:color w:val="auto"/>
              </w:rPr>
              <w:t>5</w:t>
            </w:r>
          </w:p>
        </w:tc>
        <w:tc>
          <w:tcPr>
            <w:tcW w:w="220" w:type="dxa"/>
            <w:vAlign w:val="bottom"/>
            <w:shd w:val="clear" w:color="auto" w:fill="CFF0FC"/>
          </w:tcPr>
          <w:p>
            <w:pPr>
              <w:spacing w:after="0"/>
              <w:rPr>
                <w:sz w:val="14"/>
                <w:szCs w:val="14"/>
                <w:color w:val="auto"/>
              </w:rPr>
            </w:pPr>
          </w:p>
        </w:tc>
        <w:tc>
          <w:tcPr>
            <w:tcW w:w="820" w:type="dxa"/>
            <w:vAlign w:val="bottom"/>
            <w:shd w:val="clear" w:color="auto" w:fill="CFF0FC"/>
          </w:tcPr>
          <w:p>
            <w:pPr>
              <w:jc w:val="right"/>
              <w:spacing w:after="0"/>
              <w:rPr>
                <w:sz w:val="20"/>
                <w:szCs w:val="20"/>
                <w:color w:val="auto"/>
              </w:rPr>
            </w:pPr>
            <w:r>
              <w:rPr>
                <w:rFonts w:ascii="Arial" w:cs="Arial" w:eastAsia="Arial" w:hAnsi="Arial"/>
                <w:sz w:val="14"/>
                <w:szCs w:val="14"/>
                <w:color w:val="auto"/>
              </w:rPr>
              <w:t>-</w:t>
            </w:r>
          </w:p>
        </w:tc>
        <w:tc>
          <w:tcPr>
            <w:tcW w:w="220" w:type="dxa"/>
            <w:vAlign w:val="bottom"/>
            <w:shd w:val="clear" w:color="auto" w:fill="CFF0FC"/>
          </w:tcPr>
          <w:p>
            <w:pPr>
              <w:spacing w:after="0"/>
              <w:rPr>
                <w:sz w:val="14"/>
                <w:szCs w:val="14"/>
                <w:color w:val="auto"/>
              </w:rPr>
            </w:pPr>
          </w:p>
        </w:tc>
        <w:tc>
          <w:tcPr>
            <w:tcW w:w="1040" w:type="dxa"/>
            <w:vAlign w:val="bottom"/>
            <w:shd w:val="clear" w:color="auto" w:fill="CFF0FC"/>
          </w:tcPr>
          <w:p>
            <w:pPr>
              <w:jc w:val="right"/>
              <w:spacing w:after="0"/>
              <w:rPr>
                <w:sz w:val="20"/>
                <w:szCs w:val="20"/>
                <w:color w:val="auto"/>
              </w:rPr>
            </w:pPr>
            <w:r>
              <w:rPr>
                <w:rFonts w:ascii="Arial" w:cs="Arial" w:eastAsia="Arial" w:hAnsi="Arial"/>
                <w:sz w:val="14"/>
                <w:szCs w:val="14"/>
                <w:color w:val="auto"/>
              </w:rPr>
              <w:t>-</w:t>
            </w:r>
          </w:p>
        </w:tc>
        <w:tc>
          <w:tcPr>
            <w:tcW w:w="1460" w:type="dxa"/>
            <w:vAlign w:val="bottom"/>
            <w:gridSpan w:val="2"/>
            <w:shd w:val="clear" w:color="auto" w:fill="CFF0FC"/>
          </w:tcPr>
          <w:p>
            <w:pPr>
              <w:jc w:val="center"/>
              <w:ind w:left="132"/>
              <w:spacing w:after="0"/>
              <w:rPr>
                <w:sz w:val="20"/>
                <w:szCs w:val="20"/>
                <w:color w:val="auto"/>
              </w:rPr>
            </w:pPr>
            <w:r>
              <w:rPr>
                <w:rFonts w:ascii="Arial" w:cs="Arial" w:eastAsia="Arial" w:hAnsi="Arial"/>
                <w:sz w:val="14"/>
                <w:szCs w:val="14"/>
                <w:color w:val="auto"/>
                <w:w w:val="85"/>
              </w:rPr>
              <w:t>$990 - $1,051</w:t>
            </w:r>
          </w:p>
        </w:tc>
      </w:tr>
      <w:tr>
        <w:trPr>
          <w:trHeight w:val="162"/>
        </w:trPr>
        <w:tc>
          <w:tcPr>
            <w:tcW w:w="3660" w:type="dxa"/>
            <w:vAlign w:val="bottom"/>
            <w:gridSpan w:val="2"/>
          </w:tcPr>
          <w:p>
            <w:pPr>
              <w:ind w:left="380"/>
              <w:spacing w:after="0"/>
              <w:rPr>
                <w:sz w:val="20"/>
                <w:szCs w:val="20"/>
                <w:color w:val="auto"/>
              </w:rPr>
            </w:pPr>
            <w:r>
              <w:rPr>
                <w:rFonts w:ascii="Arial" w:cs="Arial" w:eastAsia="Arial" w:hAnsi="Arial"/>
                <w:sz w:val="14"/>
                <w:szCs w:val="14"/>
                <w:color w:val="auto"/>
              </w:rPr>
              <w:t>The Townhomes at Imperial Sugar, Sugar Land</w:t>
            </w:r>
          </w:p>
        </w:tc>
        <w:tc>
          <w:tcPr>
            <w:tcW w:w="960" w:type="dxa"/>
            <w:vAlign w:val="bottom"/>
          </w:tcPr>
          <w:p>
            <w:pPr>
              <w:jc w:val="center"/>
              <w:spacing w:after="0"/>
              <w:rPr>
                <w:sz w:val="20"/>
                <w:szCs w:val="20"/>
                <w:color w:val="auto"/>
              </w:rPr>
            </w:pPr>
            <w:r>
              <w:rPr>
                <w:rFonts w:ascii="Arial" w:cs="Arial" w:eastAsia="Arial" w:hAnsi="Arial"/>
                <w:sz w:val="14"/>
                <w:szCs w:val="14"/>
                <w:color w:val="auto"/>
                <w:w w:val="83"/>
              </w:rPr>
              <w:t>2015</w:t>
            </w:r>
          </w:p>
        </w:tc>
        <w:tc>
          <w:tcPr>
            <w:tcW w:w="100" w:type="dxa"/>
            <w:vAlign w:val="bottom"/>
          </w:tcPr>
          <w:p>
            <w:pPr>
              <w:spacing w:after="0"/>
              <w:rPr>
                <w:sz w:val="14"/>
                <w:szCs w:val="14"/>
                <w:color w:val="auto"/>
              </w:rPr>
            </w:pPr>
          </w:p>
        </w:tc>
        <w:tc>
          <w:tcPr>
            <w:tcW w:w="820" w:type="dxa"/>
            <w:vAlign w:val="bottom"/>
          </w:tcPr>
          <w:p>
            <w:pPr>
              <w:jc w:val="right"/>
              <w:spacing w:after="0"/>
              <w:rPr>
                <w:sz w:val="20"/>
                <w:szCs w:val="20"/>
                <w:color w:val="auto"/>
              </w:rPr>
            </w:pPr>
            <w:r>
              <w:rPr>
                <w:rFonts w:ascii="Arial" w:cs="Arial" w:eastAsia="Arial" w:hAnsi="Arial"/>
                <w:sz w:val="14"/>
                <w:szCs w:val="14"/>
                <w:color w:val="auto"/>
              </w:rPr>
              <w:t>27</w:t>
            </w:r>
          </w:p>
        </w:tc>
        <w:tc>
          <w:tcPr>
            <w:tcW w:w="200" w:type="dxa"/>
            <w:vAlign w:val="bottom"/>
          </w:tcPr>
          <w:p>
            <w:pPr>
              <w:spacing w:after="0"/>
              <w:rPr>
                <w:sz w:val="14"/>
                <w:szCs w:val="14"/>
                <w:color w:val="auto"/>
              </w:rPr>
            </w:pPr>
          </w:p>
        </w:tc>
        <w:tc>
          <w:tcPr>
            <w:tcW w:w="900" w:type="dxa"/>
            <w:vAlign w:val="bottom"/>
          </w:tcPr>
          <w:p>
            <w:pPr>
              <w:jc w:val="right"/>
              <w:spacing w:after="0"/>
              <w:rPr>
                <w:sz w:val="20"/>
                <w:szCs w:val="20"/>
                <w:color w:val="auto"/>
              </w:rPr>
            </w:pPr>
            <w:r>
              <w:rPr>
                <w:rFonts w:ascii="Arial" w:cs="Arial" w:eastAsia="Arial" w:hAnsi="Arial"/>
                <w:sz w:val="14"/>
                <w:szCs w:val="14"/>
                <w:color w:val="auto"/>
              </w:rPr>
              <w:t>3</w:t>
            </w:r>
          </w:p>
        </w:tc>
        <w:tc>
          <w:tcPr>
            <w:tcW w:w="220" w:type="dxa"/>
            <w:vAlign w:val="bottom"/>
          </w:tcPr>
          <w:p>
            <w:pPr>
              <w:spacing w:after="0"/>
              <w:rPr>
                <w:sz w:val="14"/>
                <w:szCs w:val="14"/>
                <w:color w:val="auto"/>
              </w:rPr>
            </w:pPr>
          </w:p>
        </w:tc>
        <w:tc>
          <w:tcPr>
            <w:tcW w:w="800" w:type="dxa"/>
            <w:vAlign w:val="bottom"/>
          </w:tcPr>
          <w:p>
            <w:pPr>
              <w:jc w:val="right"/>
              <w:spacing w:after="0"/>
              <w:rPr>
                <w:sz w:val="20"/>
                <w:szCs w:val="20"/>
                <w:color w:val="auto"/>
              </w:rPr>
            </w:pPr>
            <w:r>
              <w:rPr>
                <w:rFonts w:ascii="Arial" w:cs="Arial" w:eastAsia="Arial" w:hAnsi="Arial"/>
                <w:sz w:val="14"/>
                <w:szCs w:val="14"/>
                <w:color w:val="auto"/>
              </w:rPr>
              <w:t>24</w:t>
            </w:r>
          </w:p>
        </w:tc>
        <w:tc>
          <w:tcPr>
            <w:tcW w:w="220" w:type="dxa"/>
            <w:vAlign w:val="bottom"/>
          </w:tcPr>
          <w:p>
            <w:pPr>
              <w:spacing w:after="0"/>
              <w:rPr>
                <w:sz w:val="14"/>
                <w:szCs w:val="14"/>
                <w:color w:val="auto"/>
              </w:rPr>
            </w:pPr>
          </w:p>
        </w:tc>
        <w:tc>
          <w:tcPr>
            <w:tcW w:w="820" w:type="dxa"/>
            <w:vAlign w:val="bottom"/>
          </w:tcPr>
          <w:p>
            <w:pPr>
              <w:jc w:val="right"/>
              <w:spacing w:after="0"/>
              <w:rPr>
                <w:sz w:val="20"/>
                <w:szCs w:val="20"/>
                <w:color w:val="auto"/>
              </w:rPr>
            </w:pPr>
            <w:r>
              <w:rPr>
                <w:rFonts w:ascii="Arial" w:cs="Arial" w:eastAsia="Arial" w:hAnsi="Arial"/>
                <w:sz w:val="14"/>
                <w:szCs w:val="14"/>
                <w:color w:val="auto"/>
              </w:rPr>
              <w:t>4</w:t>
            </w:r>
          </w:p>
        </w:tc>
        <w:tc>
          <w:tcPr>
            <w:tcW w:w="220" w:type="dxa"/>
            <w:vAlign w:val="bottom"/>
          </w:tcPr>
          <w:p>
            <w:pPr>
              <w:spacing w:after="0"/>
              <w:rPr>
                <w:sz w:val="14"/>
                <w:szCs w:val="14"/>
                <w:color w:val="auto"/>
              </w:rPr>
            </w:pPr>
          </w:p>
        </w:tc>
        <w:tc>
          <w:tcPr>
            <w:tcW w:w="1040" w:type="dxa"/>
            <w:vAlign w:val="bottom"/>
          </w:tcPr>
          <w:p>
            <w:pPr>
              <w:jc w:val="right"/>
              <w:spacing w:after="0"/>
              <w:rPr>
                <w:sz w:val="20"/>
                <w:szCs w:val="20"/>
                <w:color w:val="auto"/>
              </w:rPr>
            </w:pPr>
            <w:r>
              <w:rPr>
                <w:rFonts w:ascii="Arial" w:cs="Arial" w:eastAsia="Arial" w:hAnsi="Arial"/>
                <w:sz w:val="14"/>
                <w:szCs w:val="14"/>
                <w:color w:val="auto"/>
              </w:rPr>
              <w:t>3</w:t>
            </w:r>
          </w:p>
        </w:tc>
        <w:tc>
          <w:tcPr>
            <w:tcW w:w="1460" w:type="dxa"/>
            <w:vAlign w:val="bottom"/>
            <w:gridSpan w:val="2"/>
          </w:tcPr>
          <w:p>
            <w:pPr>
              <w:jc w:val="center"/>
              <w:ind w:left="132"/>
              <w:spacing w:after="0"/>
              <w:rPr>
                <w:sz w:val="20"/>
                <w:szCs w:val="20"/>
                <w:color w:val="auto"/>
              </w:rPr>
            </w:pPr>
            <w:r>
              <w:rPr>
                <w:rFonts w:ascii="Arial" w:cs="Arial" w:eastAsia="Arial" w:hAnsi="Arial"/>
                <w:sz w:val="14"/>
                <w:szCs w:val="14"/>
                <w:color w:val="auto"/>
                <w:w w:val="88"/>
              </w:rPr>
              <w:t>$384 - $530</w:t>
            </w:r>
          </w:p>
        </w:tc>
      </w:tr>
      <w:tr>
        <w:trPr>
          <w:trHeight w:val="162"/>
        </w:trPr>
        <w:tc>
          <w:tcPr>
            <w:tcW w:w="3660" w:type="dxa"/>
            <w:vAlign w:val="bottom"/>
            <w:gridSpan w:val="2"/>
            <w:shd w:val="clear" w:color="auto" w:fill="CFF0FC"/>
          </w:tcPr>
          <w:p>
            <w:pPr>
              <w:spacing w:after="0"/>
              <w:rPr>
                <w:sz w:val="20"/>
                <w:szCs w:val="20"/>
                <w:color w:val="auto"/>
              </w:rPr>
            </w:pPr>
            <w:r>
              <w:rPr>
                <w:rFonts w:ascii="Arial" w:cs="Arial" w:eastAsia="Arial" w:hAnsi="Arial"/>
                <w:sz w:val="14"/>
                <w:szCs w:val="14"/>
                <w:color w:val="auto"/>
              </w:rPr>
              <w:t>Galveston County:</w:t>
            </w:r>
          </w:p>
        </w:tc>
        <w:tc>
          <w:tcPr>
            <w:tcW w:w="960" w:type="dxa"/>
            <w:vAlign w:val="bottom"/>
            <w:shd w:val="clear" w:color="auto" w:fill="CFF0FC"/>
          </w:tcPr>
          <w:p>
            <w:pPr>
              <w:spacing w:after="0"/>
              <w:rPr>
                <w:sz w:val="14"/>
                <w:szCs w:val="14"/>
                <w:color w:val="auto"/>
              </w:rPr>
            </w:pPr>
          </w:p>
        </w:tc>
        <w:tc>
          <w:tcPr>
            <w:tcW w:w="100" w:type="dxa"/>
            <w:vAlign w:val="bottom"/>
            <w:shd w:val="clear" w:color="auto" w:fill="CFF0FC"/>
          </w:tcPr>
          <w:p>
            <w:pPr>
              <w:spacing w:after="0"/>
              <w:rPr>
                <w:sz w:val="14"/>
                <w:szCs w:val="14"/>
                <w:color w:val="auto"/>
              </w:rPr>
            </w:pPr>
          </w:p>
        </w:tc>
        <w:tc>
          <w:tcPr>
            <w:tcW w:w="820" w:type="dxa"/>
            <w:vAlign w:val="bottom"/>
            <w:shd w:val="clear" w:color="auto" w:fill="CFF0FC"/>
          </w:tcPr>
          <w:p>
            <w:pPr>
              <w:spacing w:after="0"/>
              <w:rPr>
                <w:sz w:val="14"/>
                <w:szCs w:val="14"/>
                <w:color w:val="auto"/>
              </w:rPr>
            </w:pPr>
          </w:p>
        </w:tc>
        <w:tc>
          <w:tcPr>
            <w:tcW w:w="200" w:type="dxa"/>
            <w:vAlign w:val="bottom"/>
            <w:shd w:val="clear" w:color="auto" w:fill="CFF0FC"/>
          </w:tcPr>
          <w:p>
            <w:pPr>
              <w:spacing w:after="0"/>
              <w:rPr>
                <w:sz w:val="14"/>
                <w:szCs w:val="14"/>
                <w:color w:val="auto"/>
              </w:rPr>
            </w:pPr>
          </w:p>
        </w:tc>
        <w:tc>
          <w:tcPr>
            <w:tcW w:w="900" w:type="dxa"/>
            <w:vAlign w:val="bottom"/>
            <w:shd w:val="clear" w:color="auto" w:fill="CFF0FC"/>
          </w:tcPr>
          <w:p>
            <w:pPr>
              <w:spacing w:after="0"/>
              <w:rPr>
                <w:sz w:val="14"/>
                <w:szCs w:val="14"/>
                <w:color w:val="auto"/>
              </w:rPr>
            </w:pPr>
          </w:p>
        </w:tc>
        <w:tc>
          <w:tcPr>
            <w:tcW w:w="220" w:type="dxa"/>
            <w:vAlign w:val="bottom"/>
            <w:shd w:val="clear" w:color="auto" w:fill="CFF0FC"/>
          </w:tcPr>
          <w:p>
            <w:pPr>
              <w:spacing w:after="0"/>
              <w:rPr>
                <w:sz w:val="14"/>
                <w:szCs w:val="14"/>
                <w:color w:val="auto"/>
              </w:rPr>
            </w:pPr>
          </w:p>
        </w:tc>
        <w:tc>
          <w:tcPr>
            <w:tcW w:w="800" w:type="dxa"/>
            <w:vAlign w:val="bottom"/>
            <w:shd w:val="clear" w:color="auto" w:fill="CFF0FC"/>
          </w:tcPr>
          <w:p>
            <w:pPr>
              <w:spacing w:after="0"/>
              <w:rPr>
                <w:sz w:val="14"/>
                <w:szCs w:val="14"/>
                <w:color w:val="auto"/>
              </w:rPr>
            </w:pPr>
          </w:p>
        </w:tc>
        <w:tc>
          <w:tcPr>
            <w:tcW w:w="220" w:type="dxa"/>
            <w:vAlign w:val="bottom"/>
            <w:shd w:val="clear" w:color="auto" w:fill="CFF0FC"/>
          </w:tcPr>
          <w:p>
            <w:pPr>
              <w:spacing w:after="0"/>
              <w:rPr>
                <w:sz w:val="14"/>
                <w:szCs w:val="14"/>
                <w:color w:val="auto"/>
              </w:rPr>
            </w:pPr>
          </w:p>
        </w:tc>
        <w:tc>
          <w:tcPr>
            <w:tcW w:w="820" w:type="dxa"/>
            <w:vAlign w:val="bottom"/>
            <w:shd w:val="clear" w:color="auto" w:fill="CFF0FC"/>
          </w:tcPr>
          <w:p>
            <w:pPr>
              <w:spacing w:after="0"/>
              <w:rPr>
                <w:sz w:val="14"/>
                <w:szCs w:val="14"/>
                <w:color w:val="auto"/>
              </w:rPr>
            </w:pPr>
          </w:p>
        </w:tc>
        <w:tc>
          <w:tcPr>
            <w:tcW w:w="220" w:type="dxa"/>
            <w:vAlign w:val="bottom"/>
            <w:shd w:val="clear" w:color="auto" w:fill="CFF0FC"/>
          </w:tcPr>
          <w:p>
            <w:pPr>
              <w:spacing w:after="0"/>
              <w:rPr>
                <w:sz w:val="14"/>
                <w:szCs w:val="14"/>
                <w:color w:val="auto"/>
              </w:rPr>
            </w:pPr>
          </w:p>
        </w:tc>
        <w:tc>
          <w:tcPr>
            <w:tcW w:w="1040" w:type="dxa"/>
            <w:vAlign w:val="bottom"/>
            <w:shd w:val="clear" w:color="auto" w:fill="CFF0FC"/>
          </w:tcPr>
          <w:p>
            <w:pPr>
              <w:spacing w:after="0"/>
              <w:rPr>
                <w:sz w:val="14"/>
                <w:szCs w:val="14"/>
                <w:color w:val="auto"/>
              </w:rPr>
            </w:pPr>
          </w:p>
        </w:tc>
        <w:tc>
          <w:tcPr>
            <w:tcW w:w="220" w:type="dxa"/>
            <w:vAlign w:val="bottom"/>
            <w:shd w:val="clear" w:color="auto" w:fill="CFF0FC"/>
          </w:tcPr>
          <w:p>
            <w:pPr>
              <w:spacing w:after="0"/>
              <w:rPr>
                <w:sz w:val="14"/>
                <w:szCs w:val="14"/>
                <w:color w:val="auto"/>
              </w:rPr>
            </w:pPr>
          </w:p>
        </w:tc>
        <w:tc>
          <w:tcPr>
            <w:tcW w:w="1240" w:type="dxa"/>
            <w:vAlign w:val="bottom"/>
            <w:shd w:val="clear" w:color="auto" w:fill="CFF0FC"/>
          </w:tcPr>
          <w:p>
            <w:pPr>
              <w:spacing w:after="0"/>
              <w:rPr>
                <w:sz w:val="14"/>
                <w:szCs w:val="14"/>
                <w:color w:val="auto"/>
              </w:rPr>
            </w:pPr>
          </w:p>
        </w:tc>
      </w:tr>
      <w:tr>
        <w:trPr>
          <w:trHeight w:val="162"/>
        </w:trPr>
        <w:tc>
          <w:tcPr>
            <w:tcW w:w="3660" w:type="dxa"/>
            <w:vAlign w:val="bottom"/>
            <w:gridSpan w:val="2"/>
          </w:tcPr>
          <w:p>
            <w:pPr>
              <w:ind w:left="380"/>
              <w:spacing w:after="0"/>
              <w:rPr>
                <w:sz w:val="20"/>
                <w:szCs w:val="20"/>
                <w:color w:val="auto"/>
              </w:rPr>
            </w:pPr>
            <w:r>
              <w:rPr>
                <w:rFonts w:ascii="Arial" w:cs="Arial" w:eastAsia="Arial" w:hAnsi="Arial"/>
                <w:sz w:val="14"/>
                <w:szCs w:val="14"/>
                <w:color w:val="auto"/>
              </w:rPr>
              <w:t>Harborwalk, Hitchcock</w:t>
            </w:r>
          </w:p>
        </w:tc>
        <w:tc>
          <w:tcPr>
            <w:tcW w:w="960" w:type="dxa"/>
            <w:vAlign w:val="bottom"/>
          </w:tcPr>
          <w:p>
            <w:pPr>
              <w:jc w:val="center"/>
              <w:spacing w:after="0"/>
              <w:rPr>
                <w:sz w:val="20"/>
                <w:szCs w:val="20"/>
                <w:color w:val="auto"/>
              </w:rPr>
            </w:pPr>
            <w:r>
              <w:rPr>
                <w:rFonts w:ascii="Arial" w:cs="Arial" w:eastAsia="Arial" w:hAnsi="Arial"/>
                <w:sz w:val="14"/>
                <w:szCs w:val="14"/>
                <w:color w:val="auto"/>
                <w:w w:val="83"/>
              </w:rPr>
              <w:t>2014</w:t>
            </w:r>
          </w:p>
        </w:tc>
        <w:tc>
          <w:tcPr>
            <w:tcW w:w="100" w:type="dxa"/>
            <w:vAlign w:val="bottom"/>
          </w:tcPr>
          <w:p>
            <w:pPr>
              <w:spacing w:after="0"/>
              <w:rPr>
                <w:sz w:val="14"/>
                <w:szCs w:val="14"/>
                <w:color w:val="auto"/>
              </w:rPr>
            </w:pPr>
          </w:p>
        </w:tc>
        <w:tc>
          <w:tcPr>
            <w:tcW w:w="820" w:type="dxa"/>
            <w:vAlign w:val="bottom"/>
          </w:tcPr>
          <w:p>
            <w:pPr>
              <w:jc w:val="right"/>
              <w:spacing w:after="0"/>
              <w:rPr>
                <w:sz w:val="20"/>
                <w:szCs w:val="20"/>
                <w:color w:val="auto"/>
              </w:rPr>
            </w:pPr>
            <w:r>
              <w:rPr>
                <w:rFonts w:ascii="Arial" w:cs="Arial" w:eastAsia="Arial" w:hAnsi="Arial"/>
                <w:sz w:val="14"/>
                <w:szCs w:val="14"/>
                <w:color w:val="auto"/>
              </w:rPr>
              <w:t>9</w:t>
            </w:r>
          </w:p>
        </w:tc>
        <w:tc>
          <w:tcPr>
            <w:tcW w:w="200" w:type="dxa"/>
            <w:vAlign w:val="bottom"/>
          </w:tcPr>
          <w:p>
            <w:pPr>
              <w:spacing w:after="0"/>
              <w:rPr>
                <w:sz w:val="14"/>
                <w:szCs w:val="14"/>
                <w:color w:val="auto"/>
              </w:rPr>
            </w:pPr>
          </w:p>
        </w:tc>
        <w:tc>
          <w:tcPr>
            <w:tcW w:w="900" w:type="dxa"/>
            <w:vAlign w:val="bottom"/>
          </w:tcPr>
          <w:p>
            <w:pPr>
              <w:jc w:val="right"/>
              <w:spacing w:after="0"/>
              <w:rPr>
                <w:sz w:val="20"/>
                <w:szCs w:val="20"/>
                <w:color w:val="auto"/>
              </w:rPr>
            </w:pPr>
            <w:r>
              <w:rPr>
                <w:rFonts w:ascii="Arial" w:cs="Arial" w:eastAsia="Arial" w:hAnsi="Arial"/>
                <w:sz w:val="14"/>
                <w:szCs w:val="14"/>
                <w:color w:val="auto"/>
              </w:rPr>
              <w:t>3</w:t>
            </w:r>
          </w:p>
        </w:tc>
        <w:tc>
          <w:tcPr>
            <w:tcW w:w="220" w:type="dxa"/>
            <w:vAlign w:val="bottom"/>
          </w:tcPr>
          <w:p>
            <w:pPr>
              <w:spacing w:after="0"/>
              <w:rPr>
                <w:sz w:val="14"/>
                <w:szCs w:val="14"/>
                <w:color w:val="auto"/>
              </w:rPr>
            </w:pPr>
          </w:p>
        </w:tc>
        <w:tc>
          <w:tcPr>
            <w:tcW w:w="800" w:type="dxa"/>
            <w:vAlign w:val="bottom"/>
          </w:tcPr>
          <w:p>
            <w:pPr>
              <w:jc w:val="right"/>
              <w:spacing w:after="0"/>
              <w:rPr>
                <w:sz w:val="20"/>
                <w:szCs w:val="20"/>
                <w:color w:val="auto"/>
              </w:rPr>
            </w:pPr>
            <w:r>
              <w:rPr>
                <w:rFonts w:ascii="Arial" w:cs="Arial" w:eastAsia="Arial" w:hAnsi="Arial"/>
                <w:sz w:val="14"/>
                <w:szCs w:val="14"/>
                <w:color w:val="auto"/>
              </w:rPr>
              <w:t>6</w:t>
            </w:r>
          </w:p>
        </w:tc>
        <w:tc>
          <w:tcPr>
            <w:tcW w:w="220" w:type="dxa"/>
            <w:vAlign w:val="bottom"/>
          </w:tcPr>
          <w:p>
            <w:pPr>
              <w:spacing w:after="0"/>
              <w:rPr>
                <w:sz w:val="14"/>
                <w:szCs w:val="14"/>
                <w:color w:val="auto"/>
              </w:rPr>
            </w:pPr>
          </w:p>
        </w:tc>
        <w:tc>
          <w:tcPr>
            <w:tcW w:w="820" w:type="dxa"/>
            <w:vAlign w:val="bottom"/>
          </w:tcPr>
          <w:p>
            <w:pPr>
              <w:jc w:val="right"/>
              <w:spacing w:after="0"/>
              <w:rPr>
                <w:sz w:val="20"/>
                <w:szCs w:val="20"/>
                <w:color w:val="auto"/>
              </w:rPr>
            </w:pPr>
            <w:r>
              <w:rPr>
                <w:rFonts w:ascii="Arial" w:cs="Arial" w:eastAsia="Arial" w:hAnsi="Arial"/>
                <w:sz w:val="14"/>
                <w:szCs w:val="14"/>
                <w:color w:val="auto"/>
              </w:rPr>
              <w:t>4</w:t>
            </w:r>
          </w:p>
        </w:tc>
        <w:tc>
          <w:tcPr>
            <w:tcW w:w="220" w:type="dxa"/>
            <w:vAlign w:val="bottom"/>
          </w:tcPr>
          <w:p>
            <w:pPr>
              <w:spacing w:after="0"/>
              <w:rPr>
                <w:sz w:val="14"/>
                <w:szCs w:val="14"/>
                <w:color w:val="auto"/>
              </w:rPr>
            </w:pPr>
          </w:p>
        </w:tc>
        <w:tc>
          <w:tcPr>
            <w:tcW w:w="1040" w:type="dxa"/>
            <w:vAlign w:val="bottom"/>
          </w:tcPr>
          <w:p>
            <w:pPr>
              <w:jc w:val="right"/>
              <w:spacing w:after="0"/>
              <w:rPr>
                <w:sz w:val="20"/>
                <w:szCs w:val="20"/>
                <w:color w:val="auto"/>
              </w:rPr>
            </w:pPr>
            <w:r>
              <w:rPr>
                <w:rFonts w:ascii="Arial" w:cs="Arial" w:eastAsia="Arial" w:hAnsi="Arial"/>
                <w:sz w:val="14"/>
                <w:szCs w:val="14"/>
                <w:color w:val="auto"/>
              </w:rPr>
              <w:t>1</w:t>
            </w:r>
          </w:p>
        </w:tc>
        <w:tc>
          <w:tcPr>
            <w:tcW w:w="1460" w:type="dxa"/>
            <w:vAlign w:val="bottom"/>
            <w:gridSpan w:val="2"/>
          </w:tcPr>
          <w:p>
            <w:pPr>
              <w:jc w:val="center"/>
              <w:ind w:left="132"/>
              <w:spacing w:after="0"/>
              <w:rPr>
                <w:sz w:val="20"/>
                <w:szCs w:val="20"/>
                <w:color w:val="auto"/>
              </w:rPr>
            </w:pPr>
            <w:r>
              <w:rPr>
                <w:rFonts w:ascii="Arial" w:cs="Arial" w:eastAsia="Arial" w:hAnsi="Arial"/>
                <w:sz w:val="14"/>
                <w:szCs w:val="14"/>
                <w:color w:val="auto"/>
                <w:w w:val="88"/>
              </w:rPr>
              <w:t>$567 - $620</w:t>
            </w:r>
          </w:p>
        </w:tc>
      </w:tr>
      <w:tr>
        <w:trPr>
          <w:trHeight w:val="162"/>
        </w:trPr>
        <w:tc>
          <w:tcPr>
            <w:tcW w:w="3660" w:type="dxa"/>
            <w:vAlign w:val="bottom"/>
            <w:gridSpan w:val="2"/>
            <w:shd w:val="clear" w:color="auto" w:fill="CFF0FC"/>
          </w:tcPr>
          <w:p>
            <w:pPr>
              <w:spacing w:after="0"/>
              <w:rPr>
                <w:sz w:val="20"/>
                <w:szCs w:val="20"/>
                <w:color w:val="auto"/>
              </w:rPr>
            </w:pPr>
            <w:r>
              <w:rPr>
                <w:rFonts w:ascii="Arial" w:cs="Arial" w:eastAsia="Arial" w:hAnsi="Arial"/>
                <w:sz w:val="14"/>
                <w:szCs w:val="14"/>
                <w:color w:val="auto"/>
              </w:rPr>
              <w:t>Harris County:</w:t>
            </w:r>
          </w:p>
        </w:tc>
        <w:tc>
          <w:tcPr>
            <w:tcW w:w="960" w:type="dxa"/>
            <w:vAlign w:val="bottom"/>
            <w:shd w:val="clear" w:color="auto" w:fill="CFF0FC"/>
          </w:tcPr>
          <w:p>
            <w:pPr>
              <w:spacing w:after="0"/>
              <w:rPr>
                <w:sz w:val="14"/>
                <w:szCs w:val="14"/>
                <w:color w:val="auto"/>
              </w:rPr>
            </w:pPr>
          </w:p>
        </w:tc>
        <w:tc>
          <w:tcPr>
            <w:tcW w:w="100" w:type="dxa"/>
            <w:vAlign w:val="bottom"/>
            <w:shd w:val="clear" w:color="auto" w:fill="CFF0FC"/>
          </w:tcPr>
          <w:p>
            <w:pPr>
              <w:spacing w:after="0"/>
              <w:rPr>
                <w:sz w:val="14"/>
                <w:szCs w:val="14"/>
                <w:color w:val="auto"/>
              </w:rPr>
            </w:pPr>
          </w:p>
        </w:tc>
        <w:tc>
          <w:tcPr>
            <w:tcW w:w="820" w:type="dxa"/>
            <w:vAlign w:val="bottom"/>
            <w:shd w:val="clear" w:color="auto" w:fill="CFF0FC"/>
          </w:tcPr>
          <w:p>
            <w:pPr>
              <w:spacing w:after="0"/>
              <w:rPr>
                <w:sz w:val="14"/>
                <w:szCs w:val="14"/>
                <w:color w:val="auto"/>
              </w:rPr>
            </w:pPr>
          </w:p>
        </w:tc>
        <w:tc>
          <w:tcPr>
            <w:tcW w:w="200" w:type="dxa"/>
            <w:vAlign w:val="bottom"/>
            <w:shd w:val="clear" w:color="auto" w:fill="CFF0FC"/>
          </w:tcPr>
          <w:p>
            <w:pPr>
              <w:spacing w:after="0"/>
              <w:rPr>
                <w:sz w:val="14"/>
                <w:szCs w:val="14"/>
                <w:color w:val="auto"/>
              </w:rPr>
            </w:pPr>
          </w:p>
        </w:tc>
        <w:tc>
          <w:tcPr>
            <w:tcW w:w="900" w:type="dxa"/>
            <w:vAlign w:val="bottom"/>
            <w:shd w:val="clear" w:color="auto" w:fill="CFF0FC"/>
          </w:tcPr>
          <w:p>
            <w:pPr>
              <w:spacing w:after="0"/>
              <w:rPr>
                <w:sz w:val="14"/>
                <w:szCs w:val="14"/>
                <w:color w:val="auto"/>
              </w:rPr>
            </w:pPr>
          </w:p>
        </w:tc>
        <w:tc>
          <w:tcPr>
            <w:tcW w:w="220" w:type="dxa"/>
            <w:vAlign w:val="bottom"/>
            <w:shd w:val="clear" w:color="auto" w:fill="CFF0FC"/>
          </w:tcPr>
          <w:p>
            <w:pPr>
              <w:spacing w:after="0"/>
              <w:rPr>
                <w:sz w:val="14"/>
                <w:szCs w:val="14"/>
                <w:color w:val="auto"/>
              </w:rPr>
            </w:pPr>
          </w:p>
        </w:tc>
        <w:tc>
          <w:tcPr>
            <w:tcW w:w="800" w:type="dxa"/>
            <w:vAlign w:val="bottom"/>
            <w:shd w:val="clear" w:color="auto" w:fill="CFF0FC"/>
          </w:tcPr>
          <w:p>
            <w:pPr>
              <w:spacing w:after="0"/>
              <w:rPr>
                <w:sz w:val="14"/>
                <w:szCs w:val="14"/>
                <w:color w:val="auto"/>
              </w:rPr>
            </w:pPr>
          </w:p>
        </w:tc>
        <w:tc>
          <w:tcPr>
            <w:tcW w:w="220" w:type="dxa"/>
            <w:vAlign w:val="bottom"/>
            <w:shd w:val="clear" w:color="auto" w:fill="CFF0FC"/>
          </w:tcPr>
          <w:p>
            <w:pPr>
              <w:spacing w:after="0"/>
              <w:rPr>
                <w:sz w:val="14"/>
                <w:szCs w:val="14"/>
                <w:color w:val="auto"/>
              </w:rPr>
            </w:pPr>
          </w:p>
        </w:tc>
        <w:tc>
          <w:tcPr>
            <w:tcW w:w="820" w:type="dxa"/>
            <w:vAlign w:val="bottom"/>
            <w:shd w:val="clear" w:color="auto" w:fill="CFF0FC"/>
          </w:tcPr>
          <w:p>
            <w:pPr>
              <w:spacing w:after="0"/>
              <w:rPr>
                <w:sz w:val="14"/>
                <w:szCs w:val="14"/>
                <w:color w:val="auto"/>
              </w:rPr>
            </w:pPr>
          </w:p>
        </w:tc>
        <w:tc>
          <w:tcPr>
            <w:tcW w:w="220" w:type="dxa"/>
            <w:vAlign w:val="bottom"/>
            <w:shd w:val="clear" w:color="auto" w:fill="CFF0FC"/>
          </w:tcPr>
          <w:p>
            <w:pPr>
              <w:spacing w:after="0"/>
              <w:rPr>
                <w:sz w:val="14"/>
                <w:szCs w:val="14"/>
                <w:color w:val="auto"/>
              </w:rPr>
            </w:pPr>
          </w:p>
        </w:tc>
        <w:tc>
          <w:tcPr>
            <w:tcW w:w="1040" w:type="dxa"/>
            <w:vAlign w:val="bottom"/>
            <w:shd w:val="clear" w:color="auto" w:fill="CFF0FC"/>
          </w:tcPr>
          <w:p>
            <w:pPr>
              <w:spacing w:after="0"/>
              <w:rPr>
                <w:sz w:val="14"/>
                <w:szCs w:val="14"/>
                <w:color w:val="auto"/>
              </w:rPr>
            </w:pPr>
          </w:p>
        </w:tc>
        <w:tc>
          <w:tcPr>
            <w:tcW w:w="220" w:type="dxa"/>
            <w:vAlign w:val="bottom"/>
            <w:shd w:val="clear" w:color="auto" w:fill="CFF0FC"/>
          </w:tcPr>
          <w:p>
            <w:pPr>
              <w:spacing w:after="0"/>
              <w:rPr>
                <w:sz w:val="14"/>
                <w:szCs w:val="14"/>
                <w:color w:val="auto"/>
              </w:rPr>
            </w:pPr>
          </w:p>
        </w:tc>
        <w:tc>
          <w:tcPr>
            <w:tcW w:w="1240" w:type="dxa"/>
            <w:vAlign w:val="bottom"/>
            <w:shd w:val="clear" w:color="auto" w:fill="CFF0FC"/>
          </w:tcPr>
          <w:p>
            <w:pPr>
              <w:spacing w:after="0"/>
              <w:rPr>
                <w:sz w:val="14"/>
                <w:szCs w:val="14"/>
                <w:color w:val="auto"/>
              </w:rPr>
            </w:pPr>
          </w:p>
        </w:tc>
      </w:tr>
      <w:tr>
        <w:trPr>
          <w:trHeight w:val="162"/>
        </w:trPr>
        <w:tc>
          <w:tcPr>
            <w:tcW w:w="3660" w:type="dxa"/>
            <w:vAlign w:val="bottom"/>
            <w:gridSpan w:val="2"/>
          </w:tcPr>
          <w:p>
            <w:pPr>
              <w:ind w:left="380"/>
              <w:spacing w:after="0"/>
              <w:rPr>
                <w:sz w:val="20"/>
                <w:szCs w:val="20"/>
                <w:color w:val="auto"/>
              </w:rPr>
            </w:pPr>
            <w:r>
              <w:rPr>
                <w:rFonts w:ascii="Arial" w:cs="Arial" w:eastAsia="Arial" w:hAnsi="Arial"/>
                <w:sz w:val="14"/>
                <w:szCs w:val="14"/>
                <w:color w:val="auto"/>
              </w:rPr>
              <w:t>Fairfield, Cypress</w:t>
            </w:r>
          </w:p>
        </w:tc>
        <w:tc>
          <w:tcPr>
            <w:tcW w:w="960" w:type="dxa"/>
            <w:vAlign w:val="bottom"/>
          </w:tcPr>
          <w:p>
            <w:pPr>
              <w:jc w:val="center"/>
              <w:spacing w:after="0"/>
              <w:rPr>
                <w:sz w:val="20"/>
                <w:szCs w:val="20"/>
                <w:color w:val="auto"/>
              </w:rPr>
            </w:pPr>
            <w:r>
              <w:rPr>
                <w:rFonts w:ascii="Arial" w:cs="Arial" w:eastAsia="Arial" w:hAnsi="Arial"/>
                <w:sz w:val="14"/>
                <w:szCs w:val="14"/>
                <w:color w:val="auto"/>
                <w:w w:val="83"/>
              </w:rPr>
              <w:t>2010</w:t>
            </w:r>
          </w:p>
        </w:tc>
        <w:tc>
          <w:tcPr>
            <w:tcW w:w="100" w:type="dxa"/>
            <w:vAlign w:val="bottom"/>
          </w:tcPr>
          <w:p>
            <w:pPr>
              <w:spacing w:after="0"/>
              <w:rPr>
                <w:sz w:val="14"/>
                <w:szCs w:val="14"/>
                <w:color w:val="auto"/>
              </w:rPr>
            </w:pPr>
          </w:p>
        </w:tc>
        <w:tc>
          <w:tcPr>
            <w:tcW w:w="820" w:type="dxa"/>
            <w:vAlign w:val="bottom"/>
          </w:tcPr>
          <w:p>
            <w:pPr>
              <w:jc w:val="right"/>
              <w:spacing w:after="0"/>
              <w:rPr>
                <w:sz w:val="20"/>
                <w:szCs w:val="20"/>
                <w:color w:val="auto"/>
              </w:rPr>
            </w:pPr>
            <w:r>
              <w:rPr>
                <w:rFonts w:ascii="Arial" w:cs="Arial" w:eastAsia="Arial" w:hAnsi="Arial"/>
                <w:sz w:val="14"/>
                <w:szCs w:val="14"/>
                <w:color w:val="auto"/>
              </w:rPr>
              <w:t>62</w:t>
            </w:r>
          </w:p>
        </w:tc>
        <w:tc>
          <w:tcPr>
            <w:tcW w:w="200" w:type="dxa"/>
            <w:vAlign w:val="bottom"/>
          </w:tcPr>
          <w:p>
            <w:pPr>
              <w:spacing w:after="0"/>
              <w:rPr>
                <w:sz w:val="14"/>
                <w:szCs w:val="14"/>
                <w:color w:val="auto"/>
              </w:rPr>
            </w:pPr>
          </w:p>
        </w:tc>
        <w:tc>
          <w:tcPr>
            <w:tcW w:w="900" w:type="dxa"/>
            <w:vAlign w:val="bottom"/>
          </w:tcPr>
          <w:p>
            <w:pPr>
              <w:jc w:val="right"/>
              <w:spacing w:after="0"/>
              <w:rPr>
                <w:sz w:val="20"/>
                <w:szCs w:val="20"/>
                <w:color w:val="auto"/>
              </w:rPr>
            </w:pPr>
            <w:r>
              <w:rPr>
                <w:rFonts w:ascii="Arial" w:cs="Arial" w:eastAsia="Arial" w:hAnsi="Arial"/>
                <w:sz w:val="14"/>
                <w:szCs w:val="14"/>
                <w:color w:val="auto"/>
              </w:rPr>
              <w:t>29</w:t>
            </w:r>
          </w:p>
        </w:tc>
        <w:tc>
          <w:tcPr>
            <w:tcW w:w="220" w:type="dxa"/>
            <w:vAlign w:val="bottom"/>
          </w:tcPr>
          <w:p>
            <w:pPr>
              <w:spacing w:after="0"/>
              <w:rPr>
                <w:sz w:val="14"/>
                <w:szCs w:val="14"/>
                <w:color w:val="auto"/>
              </w:rPr>
            </w:pPr>
          </w:p>
        </w:tc>
        <w:tc>
          <w:tcPr>
            <w:tcW w:w="800" w:type="dxa"/>
            <w:vAlign w:val="bottom"/>
          </w:tcPr>
          <w:p>
            <w:pPr>
              <w:jc w:val="right"/>
              <w:spacing w:after="0"/>
              <w:rPr>
                <w:sz w:val="20"/>
                <w:szCs w:val="20"/>
                <w:color w:val="auto"/>
              </w:rPr>
            </w:pPr>
            <w:r>
              <w:rPr>
                <w:rFonts w:ascii="Arial" w:cs="Arial" w:eastAsia="Arial" w:hAnsi="Arial"/>
                <w:sz w:val="14"/>
                <w:szCs w:val="14"/>
                <w:color w:val="auto"/>
              </w:rPr>
              <w:t>33</w:t>
            </w:r>
          </w:p>
        </w:tc>
        <w:tc>
          <w:tcPr>
            <w:tcW w:w="220" w:type="dxa"/>
            <w:vAlign w:val="bottom"/>
          </w:tcPr>
          <w:p>
            <w:pPr>
              <w:spacing w:after="0"/>
              <w:rPr>
                <w:sz w:val="14"/>
                <w:szCs w:val="14"/>
                <w:color w:val="auto"/>
              </w:rPr>
            </w:pPr>
          </w:p>
        </w:tc>
        <w:tc>
          <w:tcPr>
            <w:tcW w:w="820" w:type="dxa"/>
            <w:vAlign w:val="bottom"/>
          </w:tcPr>
          <w:p>
            <w:pPr>
              <w:jc w:val="right"/>
              <w:spacing w:after="0"/>
              <w:rPr>
                <w:sz w:val="20"/>
                <w:szCs w:val="20"/>
                <w:color w:val="auto"/>
              </w:rPr>
            </w:pPr>
            <w:r>
              <w:rPr>
                <w:rFonts w:ascii="Arial" w:cs="Arial" w:eastAsia="Arial" w:hAnsi="Arial"/>
                <w:sz w:val="14"/>
                <w:szCs w:val="14"/>
                <w:color w:val="auto"/>
              </w:rPr>
              <w:t>10</w:t>
            </w:r>
          </w:p>
        </w:tc>
        <w:tc>
          <w:tcPr>
            <w:tcW w:w="220" w:type="dxa"/>
            <w:vAlign w:val="bottom"/>
          </w:tcPr>
          <w:p>
            <w:pPr>
              <w:spacing w:after="0"/>
              <w:rPr>
                <w:sz w:val="14"/>
                <w:szCs w:val="14"/>
                <w:color w:val="auto"/>
              </w:rPr>
            </w:pPr>
          </w:p>
        </w:tc>
        <w:tc>
          <w:tcPr>
            <w:tcW w:w="1040" w:type="dxa"/>
            <w:vAlign w:val="bottom"/>
          </w:tcPr>
          <w:p>
            <w:pPr>
              <w:jc w:val="right"/>
              <w:spacing w:after="0"/>
              <w:rPr>
                <w:sz w:val="20"/>
                <w:szCs w:val="20"/>
                <w:color w:val="auto"/>
              </w:rPr>
            </w:pPr>
            <w:r>
              <w:rPr>
                <w:rFonts w:ascii="Arial" w:cs="Arial" w:eastAsia="Arial" w:hAnsi="Arial"/>
                <w:sz w:val="14"/>
                <w:szCs w:val="14"/>
                <w:color w:val="auto"/>
              </w:rPr>
              <w:t>5</w:t>
            </w:r>
          </w:p>
        </w:tc>
        <w:tc>
          <w:tcPr>
            <w:tcW w:w="1460" w:type="dxa"/>
            <w:vAlign w:val="bottom"/>
            <w:gridSpan w:val="2"/>
          </w:tcPr>
          <w:p>
            <w:pPr>
              <w:jc w:val="center"/>
              <w:ind w:left="132"/>
              <w:spacing w:after="0"/>
              <w:rPr>
                <w:sz w:val="20"/>
                <w:szCs w:val="20"/>
                <w:color w:val="auto"/>
              </w:rPr>
            </w:pPr>
            <w:r>
              <w:rPr>
                <w:rFonts w:ascii="Arial" w:cs="Arial" w:eastAsia="Arial" w:hAnsi="Arial"/>
                <w:sz w:val="14"/>
                <w:szCs w:val="14"/>
                <w:color w:val="auto"/>
                <w:w w:val="88"/>
              </w:rPr>
              <w:t>$469 - $568</w:t>
            </w:r>
          </w:p>
        </w:tc>
      </w:tr>
      <w:tr>
        <w:trPr>
          <w:trHeight w:val="162"/>
        </w:trPr>
        <w:tc>
          <w:tcPr>
            <w:tcW w:w="3660" w:type="dxa"/>
            <w:vAlign w:val="bottom"/>
            <w:gridSpan w:val="2"/>
            <w:shd w:val="clear" w:color="auto" w:fill="CFF0FC"/>
          </w:tcPr>
          <w:p>
            <w:pPr>
              <w:ind w:left="380"/>
              <w:spacing w:after="0"/>
              <w:rPr>
                <w:sz w:val="20"/>
                <w:szCs w:val="20"/>
                <w:color w:val="auto"/>
              </w:rPr>
            </w:pPr>
            <w:r>
              <w:rPr>
                <w:rFonts w:ascii="Arial" w:cs="Arial" w:eastAsia="Arial" w:hAnsi="Arial"/>
                <w:sz w:val="14"/>
                <w:szCs w:val="14"/>
                <w:color w:val="auto"/>
              </w:rPr>
              <w:t>Lakes of Fairhaven, Cypress</w:t>
            </w:r>
          </w:p>
        </w:tc>
        <w:tc>
          <w:tcPr>
            <w:tcW w:w="960" w:type="dxa"/>
            <w:vAlign w:val="bottom"/>
            <w:shd w:val="clear" w:color="auto" w:fill="CFF0FC"/>
          </w:tcPr>
          <w:p>
            <w:pPr>
              <w:jc w:val="center"/>
              <w:spacing w:after="0"/>
              <w:rPr>
                <w:sz w:val="20"/>
                <w:szCs w:val="20"/>
                <w:color w:val="auto"/>
              </w:rPr>
            </w:pPr>
            <w:r>
              <w:rPr>
                <w:rFonts w:ascii="Arial" w:cs="Arial" w:eastAsia="Arial" w:hAnsi="Arial"/>
                <w:sz w:val="14"/>
                <w:szCs w:val="14"/>
                <w:color w:val="auto"/>
                <w:w w:val="83"/>
              </w:rPr>
              <w:t>2008</w:t>
            </w:r>
          </w:p>
        </w:tc>
        <w:tc>
          <w:tcPr>
            <w:tcW w:w="100" w:type="dxa"/>
            <w:vAlign w:val="bottom"/>
            <w:shd w:val="clear" w:color="auto" w:fill="CFF0FC"/>
          </w:tcPr>
          <w:p>
            <w:pPr>
              <w:spacing w:after="0"/>
              <w:rPr>
                <w:sz w:val="14"/>
                <w:szCs w:val="14"/>
                <w:color w:val="auto"/>
              </w:rPr>
            </w:pPr>
          </w:p>
        </w:tc>
        <w:tc>
          <w:tcPr>
            <w:tcW w:w="820" w:type="dxa"/>
            <w:vAlign w:val="bottom"/>
            <w:shd w:val="clear" w:color="auto" w:fill="CFF0FC"/>
          </w:tcPr>
          <w:p>
            <w:pPr>
              <w:jc w:val="right"/>
              <w:spacing w:after="0"/>
              <w:rPr>
                <w:sz w:val="20"/>
                <w:szCs w:val="20"/>
                <w:color w:val="auto"/>
              </w:rPr>
            </w:pPr>
            <w:r>
              <w:rPr>
                <w:rFonts w:ascii="Arial" w:cs="Arial" w:eastAsia="Arial" w:hAnsi="Arial"/>
                <w:sz w:val="14"/>
                <w:szCs w:val="14"/>
                <w:color w:val="auto"/>
              </w:rPr>
              <w:t>241</w:t>
            </w:r>
          </w:p>
        </w:tc>
        <w:tc>
          <w:tcPr>
            <w:tcW w:w="200" w:type="dxa"/>
            <w:vAlign w:val="bottom"/>
            <w:shd w:val="clear" w:color="auto" w:fill="CFF0FC"/>
          </w:tcPr>
          <w:p>
            <w:pPr>
              <w:spacing w:after="0"/>
              <w:rPr>
                <w:sz w:val="14"/>
                <w:szCs w:val="14"/>
                <w:color w:val="auto"/>
              </w:rPr>
            </w:pPr>
          </w:p>
        </w:tc>
        <w:tc>
          <w:tcPr>
            <w:tcW w:w="900" w:type="dxa"/>
            <w:vAlign w:val="bottom"/>
            <w:shd w:val="clear" w:color="auto" w:fill="CFF0FC"/>
          </w:tcPr>
          <w:p>
            <w:pPr>
              <w:jc w:val="right"/>
              <w:spacing w:after="0"/>
              <w:rPr>
                <w:sz w:val="20"/>
                <w:szCs w:val="20"/>
                <w:color w:val="auto"/>
              </w:rPr>
            </w:pPr>
            <w:r>
              <w:rPr>
                <w:rFonts w:ascii="Arial" w:cs="Arial" w:eastAsia="Arial" w:hAnsi="Arial"/>
                <w:sz w:val="14"/>
                <w:szCs w:val="14"/>
                <w:color w:val="auto"/>
              </w:rPr>
              <w:t>215</w:t>
            </w:r>
          </w:p>
        </w:tc>
        <w:tc>
          <w:tcPr>
            <w:tcW w:w="220" w:type="dxa"/>
            <w:vAlign w:val="bottom"/>
            <w:shd w:val="clear" w:color="auto" w:fill="CFF0FC"/>
          </w:tcPr>
          <w:p>
            <w:pPr>
              <w:spacing w:after="0"/>
              <w:rPr>
                <w:sz w:val="14"/>
                <w:szCs w:val="14"/>
                <w:color w:val="auto"/>
              </w:rPr>
            </w:pPr>
          </w:p>
        </w:tc>
        <w:tc>
          <w:tcPr>
            <w:tcW w:w="800" w:type="dxa"/>
            <w:vAlign w:val="bottom"/>
            <w:shd w:val="clear" w:color="auto" w:fill="CFF0FC"/>
          </w:tcPr>
          <w:p>
            <w:pPr>
              <w:jc w:val="right"/>
              <w:spacing w:after="0"/>
              <w:rPr>
                <w:sz w:val="20"/>
                <w:szCs w:val="20"/>
                <w:color w:val="auto"/>
              </w:rPr>
            </w:pPr>
            <w:r>
              <w:rPr>
                <w:rFonts w:ascii="Arial" w:cs="Arial" w:eastAsia="Arial" w:hAnsi="Arial"/>
                <w:sz w:val="14"/>
                <w:szCs w:val="14"/>
                <w:color w:val="auto"/>
              </w:rPr>
              <w:t>26</w:t>
            </w:r>
          </w:p>
        </w:tc>
        <w:tc>
          <w:tcPr>
            <w:tcW w:w="220" w:type="dxa"/>
            <w:vAlign w:val="bottom"/>
            <w:shd w:val="clear" w:color="auto" w:fill="CFF0FC"/>
          </w:tcPr>
          <w:p>
            <w:pPr>
              <w:spacing w:after="0"/>
              <w:rPr>
                <w:sz w:val="14"/>
                <w:szCs w:val="14"/>
                <w:color w:val="auto"/>
              </w:rPr>
            </w:pPr>
          </w:p>
        </w:tc>
        <w:tc>
          <w:tcPr>
            <w:tcW w:w="820" w:type="dxa"/>
            <w:vAlign w:val="bottom"/>
            <w:shd w:val="clear" w:color="auto" w:fill="CFF0FC"/>
          </w:tcPr>
          <w:p>
            <w:pPr>
              <w:jc w:val="right"/>
              <w:spacing w:after="0"/>
              <w:rPr>
                <w:sz w:val="20"/>
                <w:szCs w:val="20"/>
                <w:color w:val="auto"/>
              </w:rPr>
            </w:pPr>
            <w:r>
              <w:rPr>
                <w:rFonts w:ascii="Arial" w:cs="Arial" w:eastAsia="Arial" w:hAnsi="Arial"/>
                <w:sz w:val="14"/>
                <w:szCs w:val="14"/>
                <w:color w:val="auto"/>
              </w:rPr>
              <w:t>19</w:t>
            </w:r>
          </w:p>
        </w:tc>
        <w:tc>
          <w:tcPr>
            <w:tcW w:w="220" w:type="dxa"/>
            <w:vAlign w:val="bottom"/>
            <w:shd w:val="clear" w:color="auto" w:fill="CFF0FC"/>
          </w:tcPr>
          <w:p>
            <w:pPr>
              <w:spacing w:after="0"/>
              <w:rPr>
                <w:sz w:val="14"/>
                <w:szCs w:val="14"/>
                <w:color w:val="auto"/>
              </w:rPr>
            </w:pPr>
          </w:p>
        </w:tc>
        <w:tc>
          <w:tcPr>
            <w:tcW w:w="1040" w:type="dxa"/>
            <w:vAlign w:val="bottom"/>
            <w:shd w:val="clear" w:color="auto" w:fill="CFF0FC"/>
          </w:tcPr>
          <w:p>
            <w:pPr>
              <w:jc w:val="right"/>
              <w:spacing w:after="0"/>
              <w:rPr>
                <w:sz w:val="20"/>
                <w:szCs w:val="20"/>
                <w:color w:val="auto"/>
              </w:rPr>
            </w:pPr>
            <w:r>
              <w:rPr>
                <w:rFonts w:ascii="Arial" w:cs="Arial" w:eastAsia="Arial" w:hAnsi="Arial"/>
                <w:sz w:val="14"/>
                <w:szCs w:val="14"/>
                <w:color w:val="auto"/>
              </w:rPr>
              <w:t>6</w:t>
            </w:r>
          </w:p>
        </w:tc>
        <w:tc>
          <w:tcPr>
            <w:tcW w:w="1460" w:type="dxa"/>
            <w:vAlign w:val="bottom"/>
            <w:gridSpan w:val="2"/>
            <w:shd w:val="clear" w:color="auto" w:fill="CFF0FC"/>
          </w:tcPr>
          <w:p>
            <w:pPr>
              <w:jc w:val="center"/>
              <w:ind w:left="132"/>
              <w:spacing w:after="0"/>
              <w:rPr>
                <w:sz w:val="20"/>
                <w:szCs w:val="20"/>
                <w:color w:val="auto"/>
              </w:rPr>
            </w:pPr>
            <w:r>
              <w:rPr>
                <w:rFonts w:ascii="Arial" w:cs="Arial" w:eastAsia="Arial" w:hAnsi="Arial"/>
                <w:sz w:val="14"/>
                <w:szCs w:val="14"/>
                <w:color w:val="auto"/>
                <w:w w:val="88"/>
              </w:rPr>
              <w:t>$410 - $658</w:t>
            </w:r>
          </w:p>
        </w:tc>
      </w:tr>
      <w:tr>
        <w:trPr>
          <w:trHeight w:val="162"/>
        </w:trPr>
        <w:tc>
          <w:tcPr>
            <w:tcW w:w="3660" w:type="dxa"/>
            <w:vAlign w:val="bottom"/>
            <w:gridSpan w:val="2"/>
          </w:tcPr>
          <w:p>
            <w:pPr>
              <w:ind w:left="380"/>
              <w:spacing w:after="0"/>
              <w:rPr>
                <w:sz w:val="20"/>
                <w:szCs w:val="20"/>
                <w:color w:val="auto"/>
              </w:rPr>
            </w:pPr>
            <w:r>
              <w:rPr>
                <w:rFonts w:ascii="Arial" w:cs="Arial" w:eastAsia="Arial" w:hAnsi="Arial"/>
                <w:sz w:val="14"/>
                <w:szCs w:val="14"/>
                <w:color w:val="auto"/>
              </w:rPr>
              <w:t>Towne Lake Living Views, Cypress</w:t>
            </w:r>
          </w:p>
        </w:tc>
        <w:tc>
          <w:tcPr>
            <w:tcW w:w="960" w:type="dxa"/>
            <w:vAlign w:val="bottom"/>
          </w:tcPr>
          <w:p>
            <w:pPr>
              <w:jc w:val="center"/>
              <w:spacing w:after="0"/>
              <w:rPr>
                <w:sz w:val="20"/>
                <w:szCs w:val="20"/>
                <w:color w:val="auto"/>
              </w:rPr>
            </w:pPr>
            <w:r>
              <w:rPr>
                <w:rFonts w:ascii="Arial" w:cs="Arial" w:eastAsia="Arial" w:hAnsi="Arial"/>
                <w:sz w:val="14"/>
                <w:szCs w:val="14"/>
                <w:color w:val="auto"/>
                <w:w w:val="83"/>
              </w:rPr>
              <w:t>2013</w:t>
            </w:r>
          </w:p>
        </w:tc>
        <w:tc>
          <w:tcPr>
            <w:tcW w:w="100" w:type="dxa"/>
            <w:vAlign w:val="bottom"/>
          </w:tcPr>
          <w:p>
            <w:pPr>
              <w:spacing w:after="0"/>
              <w:rPr>
                <w:sz w:val="14"/>
                <w:szCs w:val="14"/>
                <w:color w:val="auto"/>
              </w:rPr>
            </w:pPr>
          </w:p>
        </w:tc>
        <w:tc>
          <w:tcPr>
            <w:tcW w:w="820" w:type="dxa"/>
            <w:vAlign w:val="bottom"/>
          </w:tcPr>
          <w:p>
            <w:pPr>
              <w:jc w:val="right"/>
              <w:spacing w:after="0"/>
              <w:rPr>
                <w:sz w:val="20"/>
                <w:szCs w:val="20"/>
                <w:color w:val="auto"/>
              </w:rPr>
            </w:pPr>
            <w:r>
              <w:rPr>
                <w:rFonts w:ascii="Arial" w:cs="Arial" w:eastAsia="Arial" w:hAnsi="Arial"/>
                <w:sz w:val="14"/>
                <w:szCs w:val="14"/>
                <w:color w:val="auto"/>
              </w:rPr>
              <w:t>45</w:t>
            </w:r>
          </w:p>
        </w:tc>
        <w:tc>
          <w:tcPr>
            <w:tcW w:w="200" w:type="dxa"/>
            <w:vAlign w:val="bottom"/>
          </w:tcPr>
          <w:p>
            <w:pPr>
              <w:spacing w:after="0"/>
              <w:rPr>
                <w:sz w:val="14"/>
                <w:szCs w:val="14"/>
                <w:color w:val="auto"/>
              </w:rPr>
            </w:pPr>
          </w:p>
        </w:tc>
        <w:tc>
          <w:tcPr>
            <w:tcW w:w="900" w:type="dxa"/>
            <w:vAlign w:val="bottom"/>
          </w:tcPr>
          <w:p>
            <w:pPr>
              <w:jc w:val="right"/>
              <w:spacing w:after="0"/>
              <w:rPr>
                <w:sz w:val="20"/>
                <w:szCs w:val="20"/>
                <w:color w:val="auto"/>
              </w:rPr>
            </w:pPr>
            <w:r>
              <w:rPr>
                <w:rFonts w:ascii="Arial" w:cs="Arial" w:eastAsia="Arial" w:hAnsi="Arial"/>
                <w:sz w:val="14"/>
                <w:szCs w:val="14"/>
                <w:color w:val="auto"/>
              </w:rPr>
              <w:t>19</w:t>
            </w:r>
          </w:p>
        </w:tc>
        <w:tc>
          <w:tcPr>
            <w:tcW w:w="220" w:type="dxa"/>
            <w:vAlign w:val="bottom"/>
          </w:tcPr>
          <w:p>
            <w:pPr>
              <w:spacing w:after="0"/>
              <w:rPr>
                <w:sz w:val="14"/>
                <w:szCs w:val="14"/>
                <w:color w:val="auto"/>
              </w:rPr>
            </w:pPr>
          </w:p>
        </w:tc>
        <w:tc>
          <w:tcPr>
            <w:tcW w:w="800" w:type="dxa"/>
            <w:vAlign w:val="bottom"/>
          </w:tcPr>
          <w:p>
            <w:pPr>
              <w:jc w:val="right"/>
              <w:spacing w:after="0"/>
              <w:rPr>
                <w:sz w:val="20"/>
                <w:szCs w:val="20"/>
                <w:color w:val="auto"/>
              </w:rPr>
            </w:pPr>
            <w:r>
              <w:rPr>
                <w:rFonts w:ascii="Arial" w:cs="Arial" w:eastAsia="Arial" w:hAnsi="Arial"/>
                <w:sz w:val="14"/>
                <w:szCs w:val="14"/>
                <w:color w:val="auto"/>
              </w:rPr>
              <w:t>26</w:t>
            </w:r>
          </w:p>
        </w:tc>
        <w:tc>
          <w:tcPr>
            <w:tcW w:w="220" w:type="dxa"/>
            <w:vAlign w:val="bottom"/>
          </w:tcPr>
          <w:p>
            <w:pPr>
              <w:spacing w:after="0"/>
              <w:rPr>
                <w:sz w:val="14"/>
                <w:szCs w:val="14"/>
                <w:color w:val="auto"/>
              </w:rPr>
            </w:pPr>
          </w:p>
        </w:tc>
        <w:tc>
          <w:tcPr>
            <w:tcW w:w="820" w:type="dxa"/>
            <w:vAlign w:val="bottom"/>
          </w:tcPr>
          <w:p>
            <w:pPr>
              <w:jc w:val="right"/>
              <w:spacing w:after="0"/>
              <w:rPr>
                <w:sz w:val="20"/>
                <w:szCs w:val="20"/>
                <w:color w:val="auto"/>
              </w:rPr>
            </w:pPr>
            <w:r>
              <w:rPr>
                <w:rFonts w:ascii="Arial" w:cs="Arial" w:eastAsia="Arial" w:hAnsi="Arial"/>
                <w:sz w:val="14"/>
                <w:szCs w:val="14"/>
                <w:color w:val="auto"/>
              </w:rPr>
              <w:t>6</w:t>
            </w:r>
          </w:p>
        </w:tc>
        <w:tc>
          <w:tcPr>
            <w:tcW w:w="220" w:type="dxa"/>
            <w:vAlign w:val="bottom"/>
          </w:tcPr>
          <w:p>
            <w:pPr>
              <w:spacing w:after="0"/>
              <w:rPr>
                <w:sz w:val="14"/>
                <w:szCs w:val="14"/>
                <w:color w:val="auto"/>
              </w:rPr>
            </w:pPr>
          </w:p>
        </w:tc>
        <w:tc>
          <w:tcPr>
            <w:tcW w:w="1040" w:type="dxa"/>
            <w:vAlign w:val="bottom"/>
          </w:tcPr>
          <w:p>
            <w:pPr>
              <w:jc w:val="right"/>
              <w:spacing w:after="0"/>
              <w:rPr>
                <w:sz w:val="20"/>
                <w:szCs w:val="20"/>
                <w:color w:val="auto"/>
              </w:rPr>
            </w:pPr>
            <w:r>
              <w:rPr>
                <w:rFonts w:ascii="Arial" w:cs="Arial" w:eastAsia="Arial" w:hAnsi="Arial"/>
                <w:sz w:val="14"/>
                <w:szCs w:val="14"/>
                <w:color w:val="auto"/>
              </w:rPr>
              <w:t>4</w:t>
            </w:r>
          </w:p>
        </w:tc>
        <w:tc>
          <w:tcPr>
            <w:tcW w:w="1460" w:type="dxa"/>
            <w:vAlign w:val="bottom"/>
            <w:gridSpan w:val="2"/>
          </w:tcPr>
          <w:p>
            <w:pPr>
              <w:jc w:val="center"/>
              <w:ind w:left="132"/>
              <w:spacing w:after="0"/>
              <w:rPr>
                <w:sz w:val="20"/>
                <w:szCs w:val="20"/>
                <w:color w:val="auto"/>
              </w:rPr>
            </w:pPr>
            <w:r>
              <w:rPr>
                <w:rFonts w:ascii="Arial" w:cs="Arial" w:eastAsia="Arial" w:hAnsi="Arial"/>
                <w:sz w:val="14"/>
                <w:szCs w:val="14"/>
                <w:color w:val="auto"/>
                <w:w w:val="88"/>
              </w:rPr>
              <w:t>$443 - $538</w:t>
            </w:r>
          </w:p>
        </w:tc>
      </w:tr>
      <w:tr>
        <w:trPr>
          <w:trHeight w:val="162"/>
        </w:trPr>
        <w:tc>
          <w:tcPr>
            <w:tcW w:w="3660" w:type="dxa"/>
            <w:vAlign w:val="bottom"/>
            <w:gridSpan w:val="2"/>
            <w:shd w:val="clear" w:color="auto" w:fill="CFF0FC"/>
          </w:tcPr>
          <w:p>
            <w:pPr>
              <w:ind w:left="380"/>
              <w:spacing w:after="0"/>
              <w:rPr>
                <w:sz w:val="20"/>
                <w:szCs w:val="20"/>
                <w:color w:val="auto"/>
              </w:rPr>
            </w:pPr>
            <w:r>
              <w:rPr>
                <w:rFonts w:ascii="Arial" w:cs="Arial" w:eastAsia="Arial" w:hAnsi="Arial"/>
                <w:sz w:val="14"/>
                <w:szCs w:val="14"/>
                <w:color w:val="auto"/>
              </w:rPr>
              <w:t>Calumet Townhomes, Houston</w:t>
            </w:r>
          </w:p>
        </w:tc>
        <w:tc>
          <w:tcPr>
            <w:tcW w:w="960" w:type="dxa"/>
            <w:vAlign w:val="bottom"/>
            <w:shd w:val="clear" w:color="auto" w:fill="CFF0FC"/>
          </w:tcPr>
          <w:p>
            <w:pPr>
              <w:jc w:val="center"/>
              <w:spacing w:after="0"/>
              <w:rPr>
                <w:sz w:val="20"/>
                <w:szCs w:val="20"/>
                <w:color w:val="auto"/>
              </w:rPr>
            </w:pPr>
            <w:r>
              <w:rPr>
                <w:rFonts w:ascii="Arial" w:cs="Arial" w:eastAsia="Arial" w:hAnsi="Arial"/>
                <w:sz w:val="14"/>
                <w:szCs w:val="14"/>
                <w:color w:val="auto"/>
                <w:w w:val="83"/>
              </w:rPr>
              <w:t>2015</w:t>
            </w:r>
          </w:p>
        </w:tc>
        <w:tc>
          <w:tcPr>
            <w:tcW w:w="100" w:type="dxa"/>
            <w:vAlign w:val="bottom"/>
            <w:shd w:val="clear" w:color="auto" w:fill="CFF0FC"/>
          </w:tcPr>
          <w:p>
            <w:pPr>
              <w:spacing w:after="0"/>
              <w:rPr>
                <w:sz w:val="14"/>
                <w:szCs w:val="14"/>
                <w:color w:val="auto"/>
              </w:rPr>
            </w:pPr>
          </w:p>
        </w:tc>
        <w:tc>
          <w:tcPr>
            <w:tcW w:w="820" w:type="dxa"/>
            <w:vAlign w:val="bottom"/>
            <w:shd w:val="clear" w:color="auto" w:fill="CFF0FC"/>
          </w:tcPr>
          <w:p>
            <w:pPr>
              <w:jc w:val="right"/>
              <w:spacing w:after="0"/>
              <w:rPr>
                <w:sz w:val="20"/>
                <w:szCs w:val="20"/>
                <w:color w:val="auto"/>
              </w:rPr>
            </w:pPr>
            <w:r>
              <w:rPr>
                <w:rFonts w:ascii="Arial" w:cs="Arial" w:eastAsia="Arial" w:hAnsi="Arial"/>
                <w:sz w:val="14"/>
                <w:szCs w:val="14"/>
                <w:color w:val="auto"/>
              </w:rPr>
              <w:t>4</w:t>
            </w:r>
          </w:p>
        </w:tc>
        <w:tc>
          <w:tcPr>
            <w:tcW w:w="200" w:type="dxa"/>
            <w:vAlign w:val="bottom"/>
            <w:shd w:val="clear" w:color="auto" w:fill="CFF0FC"/>
          </w:tcPr>
          <w:p>
            <w:pPr>
              <w:spacing w:after="0"/>
              <w:rPr>
                <w:sz w:val="14"/>
                <w:szCs w:val="14"/>
                <w:color w:val="auto"/>
              </w:rPr>
            </w:pPr>
          </w:p>
        </w:tc>
        <w:tc>
          <w:tcPr>
            <w:tcW w:w="900" w:type="dxa"/>
            <w:vAlign w:val="bottom"/>
            <w:shd w:val="clear" w:color="auto" w:fill="CFF0FC"/>
          </w:tcPr>
          <w:p>
            <w:pPr>
              <w:jc w:val="right"/>
              <w:spacing w:after="0"/>
              <w:rPr>
                <w:sz w:val="20"/>
                <w:szCs w:val="20"/>
                <w:color w:val="auto"/>
              </w:rPr>
            </w:pPr>
            <w:r>
              <w:rPr>
                <w:rFonts w:ascii="Arial" w:cs="Arial" w:eastAsia="Arial" w:hAnsi="Arial"/>
                <w:sz w:val="14"/>
                <w:szCs w:val="14"/>
                <w:color w:val="auto"/>
              </w:rPr>
              <w:t>-</w:t>
            </w:r>
          </w:p>
        </w:tc>
        <w:tc>
          <w:tcPr>
            <w:tcW w:w="220" w:type="dxa"/>
            <w:vAlign w:val="bottom"/>
            <w:shd w:val="clear" w:color="auto" w:fill="CFF0FC"/>
          </w:tcPr>
          <w:p>
            <w:pPr>
              <w:spacing w:after="0"/>
              <w:rPr>
                <w:sz w:val="14"/>
                <w:szCs w:val="14"/>
                <w:color w:val="auto"/>
              </w:rPr>
            </w:pPr>
          </w:p>
        </w:tc>
        <w:tc>
          <w:tcPr>
            <w:tcW w:w="800" w:type="dxa"/>
            <w:vAlign w:val="bottom"/>
            <w:shd w:val="clear" w:color="auto" w:fill="CFF0FC"/>
          </w:tcPr>
          <w:p>
            <w:pPr>
              <w:jc w:val="right"/>
              <w:spacing w:after="0"/>
              <w:rPr>
                <w:sz w:val="20"/>
                <w:szCs w:val="20"/>
                <w:color w:val="auto"/>
              </w:rPr>
            </w:pPr>
            <w:r>
              <w:rPr>
                <w:rFonts w:ascii="Arial" w:cs="Arial" w:eastAsia="Arial" w:hAnsi="Arial"/>
                <w:sz w:val="14"/>
                <w:szCs w:val="14"/>
                <w:color w:val="auto"/>
              </w:rPr>
              <w:t>4</w:t>
            </w:r>
          </w:p>
        </w:tc>
        <w:tc>
          <w:tcPr>
            <w:tcW w:w="220" w:type="dxa"/>
            <w:vAlign w:val="bottom"/>
            <w:shd w:val="clear" w:color="auto" w:fill="CFF0FC"/>
          </w:tcPr>
          <w:p>
            <w:pPr>
              <w:spacing w:after="0"/>
              <w:rPr>
                <w:sz w:val="14"/>
                <w:szCs w:val="14"/>
                <w:color w:val="auto"/>
              </w:rPr>
            </w:pPr>
          </w:p>
        </w:tc>
        <w:tc>
          <w:tcPr>
            <w:tcW w:w="820" w:type="dxa"/>
            <w:vAlign w:val="bottom"/>
            <w:shd w:val="clear" w:color="auto" w:fill="CFF0FC"/>
          </w:tcPr>
          <w:p>
            <w:pPr>
              <w:jc w:val="right"/>
              <w:spacing w:after="0"/>
              <w:rPr>
                <w:sz w:val="20"/>
                <w:szCs w:val="20"/>
                <w:color w:val="auto"/>
              </w:rPr>
            </w:pPr>
            <w:r>
              <w:rPr>
                <w:rFonts w:ascii="Arial" w:cs="Arial" w:eastAsia="Arial" w:hAnsi="Arial"/>
                <w:sz w:val="14"/>
                <w:szCs w:val="14"/>
                <w:color w:val="auto"/>
              </w:rPr>
              <w:t>1</w:t>
            </w:r>
          </w:p>
        </w:tc>
        <w:tc>
          <w:tcPr>
            <w:tcW w:w="220" w:type="dxa"/>
            <w:vAlign w:val="bottom"/>
            <w:shd w:val="clear" w:color="auto" w:fill="CFF0FC"/>
          </w:tcPr>
          <w:p>
            <w:pPr>
              <w:spacing w:after="0"/>
              <w:rPr>
                <w:sz w:val="14"/>
                <w:szCs w:val="14"/>
                <w:color w:val="auto"/>
              </w:rPr>
            </w:pPr>
          </w:p>
        </w:tc>
        <w:tc>
          <w:tcPr>
            <w:tcW w:w="1040" w:type="dxa"/>
            <w:vAlign w:val="bottom"/>
            <w:shd w:val="clear" w:color="auto" w:fill="CFF0FC"/>
          </w:tcPr>
          <w:p>
            <w:pPr>
              <w:jc w:val="right"/>
              <w:spacing w:after="0"/>
              <w:rPr>
                <w:sz w:val="20"/>
                <w:szCs w:val="20"/>
                <w:color w:val="auto"/>
              </w:rPr>
            </w:pPr>
            <w:r>
              <w:rPr>
                <w:rFonts w:ascii="Arial" w:cs="Arial" w:eastAsia="Arial" w:hAnsi="Arial"/>
                <w:sz w:val="14"/>
                <w:szCs w:val="14"/>
                <w:color w:val="auto"/>
              </w:rPr>
              <w:t>-</w:t>
            </w:r>
          </w:p>
        </w:tc>
        <w:tc>
          <w:tcPr>
            <w:tcW w:w="1460" w:type="dxa"/>
            <w:vAlign w:val="bottom"/>
            <w:gridSpan w:val="2"/>
            <w:shd w:val="clear" w:color="auto" w:fill="CFF0FC"/>
          </w:tcPr>
          <w:p>
            <w:pPr>
              <w:jc w:val="center"/>
              <w:ind w:left="132"/>
              <w:spacing w:after="0"/>
              <w:rPr>
                <w:sz w:val="20"/>
                <w:szCs w:val="20"/>
                <w:color w:val="auto"/>
              </w:rPr>
            </w:pPr>
            <w:r>
              <w:rPr>
                <w:rFonts w:ascii="Arial" w:cs="Arial" w:eastAsia="Arial" w:hAnsi="Arial"/>
                <w:sz w:val="14"/>
                <w:szCs w:val="14"/>
                <w:color w:val="auto"/>
                <w:w w:val="83"/>
              </w:rPr>
              <w:t>$634</w:t>
            </w:r>
          </w:p>
        </w:tc>
      </w:tr>
      <w:tr>
        <w:trPr>
          <w:trHeight w:val="162"/>
        </w:trPr>
        <w:tc>
          <w:tcPr>
            <w:tcW w:w="3660" w:type="dxa"/>
            <w:vAlign w:val="bottom"/>
            <w:gridSpan w:val="2"/>
          </w:tcPr>
          <w:p>
            <w:pPr>
              <w:ind w:left="380"/>
              <w:spacing w:after="0"/>
              <w:rPr>
                <w:sz w:val="20"/>
                <w:szCs w:val="20"/>
                <w:color w:val="auto"/>
              </w:rPr>
            </w:pPr>
            <w:r>
              <w:rPr>
                <w:rFonts w:ascii="Arial" w:cs="Arial" w:eastAsia="Arial" w:hAnsi="Arial"/>
                <w:sz w:val="14"/>
                <w:szCs w:val="14"/>
                <w:color w:val="auto"/>
              </w:rPr>
              <w:t>The Groves, Humble</w:t>
            </w:r>
          </w:p>
        </w:tc>
        <w:tc>
          <w:tcPr>
            <w:tcW w:w="960" w:type="dxa"/>
            <w:vAlign w:val="bottom"/>
          </w:tcPr>
          <w:p>
            <w:pPr>
              <w:jc w:val="center"/>
              <w:spacing w:after="0"/>
              <w:rPr>
                <w:sz w:val="20"/>
                <w:szCs w:val="20"/>
                <w:color w:val="auto"/>
              </w:rPr>
            </w:pPr>
            <w:r>
              <w:rPr>
                <w:rFonts w:ascii="Arial" w:cs="Arial" w:eastAsia="Arial" w:hAnsi="Arial"/>
                <w:sz w:val="14"/>
                <w:szCs w:val="14"/>
                <w:color w:val="auto"/>
                <w:w w:val="83"/>
              </w:rPr>
              <w:t>2015</w:t>
            </w:r>
          </w:p>
        </w:tc>
        <w:tc>
          <w:tcPr>
            <w:tcW w:w="100" w:type="dxa"/>
            <w:vAlign w:val="bottom"/>
          </w:tcPr>
          <w:p>
            <w:pPr>
              <w:spacing w:after="0"/>
              <w:rPr>
                <w:sz w:val="14"/>
                <w:szCs w:val="14"/>
                <w:color w:val="auto"/>
              </w:rPr>
            </w:pPr>
          </w:p>
        </w:tc>
        <w:tc>
          <w:tcPr>
            <w:tcW w:w="820" w:type="dxa"/>
            <w:vAlign w:val="bottom"/>
          </w:tcPr>
          <w:p>
            <w:pPr>
              <w:jc w:val="right"/>
              <w:spacing w:after="0"/>
              <w:rPr>
                <w:sz w:val="20"/>
                <w:szCs w:val="20"/>
                <w:color w:val="auto"/>
              </w:rPr>
            </w:pPr>
            <w:r>
              <w:rPr>
                <w:rFonts w:ascii="Arial" w:cs="Arial" w:eastAsia="Arial" w:hAnsi="Arial"/>
                <w:sz w:val="14"/>
                <w:szCs w:val="14"/>
                <w:color w:val="auto"/>
              </w:rPr>
              <w:t>6</w:t>
            </w:r>
          </w:p>
        </w:tc>
        <w:tc>
          <w:tcPr>
            <w:tcW w:w="200" w:type="dxa"/>
            <w:vAlign w:val="bottom"/>
          </w:tcPr>
          <w:p>
            <w:pPr>
              <w:spacing w:after="0"/>
              <w:rPr>
                <w:sz w:val="14"/>
                <w:szCs w:val="14"/>
                <w:color w:val="auto"/>
              </w:rPr>
            </w:pPr>
          </w:p>
        </w:tc>
        <w:tc>
          <w:tcPr>
            <w:tcW w:w="900" w:type="dxa"/>
            <w:vAlign w:val="bottom"/>
          </w:tcPr>
          <w:p>
            <w:pPr>
              <w:jc w:val="right"/>
              <w:spacing w:after="0"/>
              <w:rPr>
                <w:sz w:val="20"/>
                <w:szCs w:val="20"/>
                <w:color w:val="auto"/>
              </w:rPr>
            </w:pPr>
            <w:r>
              <w:rPr>
                <w:rFonts w:ascii="Arial" w:cs="Arial" w:eastAsia="Arial" w:hAnsi="Arial"/>
                <w:sz w:val="14"/>
                <w:szCs w:val="14"/>
                <w:color w:val="auto"/>
              </w:rPr>
              <w:t>-</w:t>
            </w:r>
          </w:p>
        </w:tc>
        <w:tc>
          <w:tcPr>
            <w:tcW w:w="220" w:type="dxa"/>
            <w:vAlign w:val="bottom"/>
          </w:tcPr>
          <w:p>
            <w:pPr>
              <w:spacing w:after="0"/>
              <w:rPr>
                <w:sz w:val="14"/>
                <w:szCs w:val="14"/>
                <w:color w:val="auto"/>
              </w:rPr>
            </w:pPr>
          </w:p>
        </w:tc>
        <w:tc>
          <w:tcPr>
            <w:tcW w:w="800" w:type="dxa"/>
            <w:vAlign w:val="bottom"/>
          </w:tcPr>
          <w:p>
            <w:pPr>
              <w:jc w:val="right"/>
              <w:spacing w:after="0"/>
              <w:rPr>
                <w:sz w:val="20"/>
                <w:szCs w:val="20"/>
                <w:color w:val="auto"/>
              </w:rPr>
            </w:pPr>
            <w:r>
              <w:rPr>
                <w:rFonts w:ascii="Arial" w:cs="Arial" w:eastAsia="Arial" w:hAnsi="Arial"/>
                <w:sz w:val="14"/>
                <w:szCs w:val="14"/>
                <w:color w:val="auto"/>
              </w:rPr>
              <w:t>12</w:t>
            </w:r>
          </w:p>
        </w:tc>
        <w:tc>
          <w:tcPr>
            <w:tcW w:w="220" w:type="dxa"/>
            <w:vAlign w:val="bottom"/>
          </w:tcPr>
          <w:p>
            <w:pPr>
              <w:spacing w:after="0"/>
              <w:rPr>
                <w:sz w:val="14"/>
                <w:szCs w:val="14"/>
                <w:color w:val="auto"/>
              </w:rPr>
            </w:pPr>
          </w:p>
        </w:tc>
        <w:tc>
          <w:tcPr>
            <w:tcW w:w="820" w:type="dxa"/>
            <w:vAlign w:val="bottom"/>
          </w:tcPr>
          <w:p>
            <w:pPr>
              <w:jc w:val="right"/>
              <w:spacing w:after="0"/>
              <w:rPr>
                <w:sz w:val="20"/>
                <w:szCs w:val="20"/>
                <w:color w:val="auto"/>
              </w:rPr>
            </w:pPr>
            <w:r>
              <w:rPr>
                <w:rFonts w:ascii="Arial" w:cs="Arial" w:eastAsia="Arial" w:hAnsi="Arial"/>
                <w:sz w:val="14"/>
                <w:szCs w:val="14"/>
                <w:color w:val="auto"/>
              </w:rPr>
              <w:t>6</w:t>
            </w:r>
          </w:p>
        </w:tc>
        <w:tc>
          <w:tcPr>
            <w:tcW w:w="220" w:type="dxa"/>
            <w:vAlign w:val="bottom"/>
          </w:tcPr>
          <w:p>
            <w:pPr>
              <w:spacing w:after="0"/>
              <w:rPr>
                <w:sz w:val="14"/>
                <w:szCs w:val="14"/>
                <w:color w:val="auto"/>
              </w:rPr>
            </w:pPr>
          </w:p>
        </w:tc>
        <w:tc>
          <w:tcPr>
            <w:tcW w:w="1040" w:type="dxa"/>
            <w:vAlign w:val="bottom"/>
          </w:tcPr>
          <w:p>
            <w:pPr>
              <w:jc w:val="right"/>
              <w:spacing w:after="0"/>
              <w:rPr>
                <w:sz w:val="20"/>
                <w:szCs w:val="20"/>
                <w:color w:val="auto"/>
              </w:rPr>
            </w:pPr>
            <w:r>
              <w:rPr>
                <w:rFonts w:ascii="Arial" w:cs="Arial" w:eastAsia="Arial" w:hAnsi="Arial"/>
                <w:sz w:val="14"/>
                <w:szCs w:val="14"/>
                <w:color w:val="auto"/>
              </w:rPr>
              <w:t>-</w:t>
            </w:r>
          </w:p>
        </w:tc>
        <w:tc>
          <w:tcPr>
            <w:tcW w:w="1460" w:type="dxa"/>
            <w:vAlign w:val="bottom"/>
            <w:gridSpan w:val="2"/>
          </w:tcPr>
          <w:p>
            <w:pPr>
              <w:jc w:val="center"/>
              <w:ind w:left="132"/>
              <w:spacing w:after="0"/>
              <w:rPr>
                <w:sz w:val="20"/>
                <w:szCs w:val="20"/>
                <w:color w:val="auto"/>
              </w:rPr>
            </w:pPr>
            <w:r>
              <w:rPr>
                <w:rFonts w:ascii="Arial" w:cs="Arial" w:eastAsia="Arial" w:hAnsi="Arial"/>
                <w:sz w:val="14"/>
                <w:szCs w:val="14"/>
                <w:color w:val="auto"/>
                <w:w w:val="88"/>
              </w:rPr>
              <w:t>$446 - $497</w:t>
            </w:r>
          </w:p>
        </w:tc>
      </w:tr>
      <w:tr>
        <w:trPr>
          <w:trHeight w:val="162"/>
        </w:trPr>
        <w:tc>
          <w:tcPr>
            <w:tcW w:w="3660" w:type="dxa"/>
            <w:vAlign w:val="bottom"/>
            <w:gridSpan w:val="2"/>
            <w:shd w:val="clear" w:color="auto" w:fill="CFF0FC"/>
          </w:tcPr>
          <w:p>
            <w:pPr>
              <w:ind w:left="380"/>
              <w:spacing w:after="0"/>
              <w:rPr>
                <w:sz w:val="20"/>
                <w:szCs w:val="20"/>
                <w:color w:val="auto"/>
              </w:rPr>
            </w:pPr>
            <w:r>
              <w:rPr>
                <w:rFonts w:ascii="Arial" w:cs="Arial" w:eastAsia="Arial" w:hAnsi="Arial"/>
                <w:sz w:val="14"/>
                <w:szCs w:val="14"/>
                <w:color w:val="auto"/>
              </w:rPr>
              <w:t>Clear Lake, Houston</w:t>
            </w:r>
          </w:p>
        </w:tc>
        <w:tc>
          <w:tcPr>
            <w:tcW w:w="960" w:type="dxa"/>
            <w:vAlign w:val="bottom"/>
            <w:shd w:val="clear" w:color="auto" w:fill="CFF0FC"/>
          </w:tcPr>
          <w:p>
            <w:pPr>
              <w:jc w:val="center"/>
              <w:spacing w:after="0"/>
              <w:rPr>
                <w:sz w:val="20"/>
                <w:szCs w:val="20"/>
                <w:color w:val="auto"/>
              </w:rPr>
            </w:pPr>
            <w:r>
              <w:rPr>
                <w:rFonts w:ascii="Arial" w:cs="Arial" w:eastAsia="Arial" w:hAnsi="Arial"/>
                <w:sz w:val="14"/>
                <w:szCs w:val="14"/>
                <w:color w:val="auto"/>
                <w:w w:val="83"/>
              </w:rPr>
              <w:t>2015</w:t>
            </w:r>
          </w:p>
        </w:tc>
        <w:tc>
          <w:tcPr>
            <w:tcW w:w="100" w:type="dxa"/>
            <w:vAlign w:val="bottom"/>
            <w:shd w:val="clear" w:color="auto" w:fill="CFF0FC"/>
          </w:tcPr>
          <w:p>
            <w:pPr>
              <w:spacing w:after="0"/>
              <w:rPr>
                <w:sz w:val="14"/>
                <w:szCs w:val="14"/>
                <w:color w:val="auto"/>
              </w:rPr>
            </w:pPr>
          </w:p>
        </w:tc>
        <w:tc>
          <w:tcPr>
            <w:tcW w:w="820" w:type="dxa"/>
            <w:vAlign w:val="bottom"/>
            <w:shd w:val="clear" w:color="auto" w:fill="CFF0FC"/>
          </w:tcPr>
          <w:p>
            <w:pPr>
              <w:jc w:val="right"/>
              <w:spacing w:after="0"/>
              <w:rPr>
                <w:sz w:val="20"/>
                <w:szCs w:val="20"/>
                <w:color w:val="auto"/>
              </w:rPr>
            </w:pPr>
            <w:r>
              <w:rPr>
                <w:rFonts w:ascii="Arial" w:cs="Arial" w:eastAsia="Arial" w:hAnsi="Arial"/>
                <w:sz w:val="14"/>
                <w:szCs w:val="14"/>
                <w:color w:val="auto"/>
              </w:rPr>
              <w:t>188</w:t>
            </w:r>
          </w:p>
        </w:tc>
        <w:tc>
          <w:tcPr>
            <w:tcW w:w="200" w:type="dxa"/>
            <w:vAlign w:val="bottom"/>
            <w:shd w:val="clear" w:color="auto" w:fill="CFF0FC"/>
          </w:tcPr>
          <w:p>
            <w:pPr>
              <w:spacing w:after="0"/>
              <w:rPr>
                <w:sz w:val="14"/>
                <w:szCs w:val="14"/>
                <w:color w:val="auto"/>
              </w:rPr>
            </w:pPr>
          </w:p>
        </w:tc>
        <w:tc>
          <w:tcPr>
            <w:tcW w:w="900" w:type="dxa"/>
            <w:vAlign w:val="bottom"/>
            <w:shd w:val="clear" w:color="auto" w:fill="CFF0FC"/>
          </w:tcPr>
          <w:p>
            <w:pPr>
              <w:jc w:val="right"/>
              <w:spacing w:after="0"/>
              <w:rPr>
                <w:sz w:val="20"/>
                <w:szCs w:val="20"/>
                <w:color w:val="auto"/>
              </w:rPr>
            </w:pPr>
            <w:r>
              <w:rPr>
                <w:rFonts w:ascii="Arial" w:cs="Arial" w:eastAsia="Arial" w:hAnsi="Arial"/>
                <w:sz w:val="14"/>
                <w:szCs w:val="14"/>
                <w:color w:val="auto"/>
              </w:rPr>
              <w:t>-</w:t>
            </w:r>
          </w:p>
        </w:tc>
        <w:tc>
          <w:tcPr>
            <w:tcW w:w="220" w:type="dxa"/>
            <w:vAlign w:val="bottom"/>
            <w:shd w:val="clear" w:color="auto" w:fill="CFF0FC"/>
          </w:tcPr>
          <w:p>
            <w:pPr>
              <w:spacing w:after="0"/>
              <w:rPr>
                <w:sz w:val="14"/>
                <w:szCs w:val="14"/>
                <w:color w:val="auto"/>
              </w:rPr>
            </w:pPr>
          </w:p>
        </w:tc>
        <w:tc>
          <w:tcPr>
            <w:tcW w:w="800" w:type="dxa"/>
            <w:vAlign w:val="bottom"/>
            <w:shd w:val="clear" w:color="auto" w:fill="CFF0FC"/>
          </w:tcPr>
          <w:p>
            <w:pPr>
              <w:jc w:val="right"/>
              <w:spacing w:after="0"/>
              <w:rPr>
                <w:sz w:val="20"/>
                <w:szCs w:val="20"/>
                <w:color w:val="auto"/>
              </w:rPr>
            </w:pPr>
            <w:r>
              <w:rPr>
                <w:rFonts w:ascii="Arial" w:cs="Arial" w:eastAsia="Arial" w:hAnsi="Arial"/>
                <w:sz w:val="14"/>
                <w:szCs w:val="14"/>
                <w:color w:val="auto"/>
              </w:rPr>
              <w:t>188</w:t>
            </w:r>
          </w:p>
        </w:tc>
        <w:tc>
          <w:tcPr>
            <w:tcW w:w="220" w:type="dxa"/>
            <w:vAlign w:val="bottom"/>
            <w:shd w:val="clear" w:color="auto" w:fill="CFF0FC"/>
          </w:tcPr>
          <w:p>
            <w:pPr>
              <w:spacing w:after="0"/>
              <w:rPr>
                <w:sz w:val="14"/>
                <w:szCs w:val="14"/>
                <w:color w:val="auto"/>
              </w:rPr>
            </w:pPr>
          </w:p>
        </w:tc>
        <w:tc>
          <w:tcPr>
            <w:tcW w:w="820" w:type="dxa"/>
            <w:vAlign w:val="bottom"/>
            <w:shd w:val="clear" w:color="auto" w:fill="CFF0FC"/>
          </w:tcPr>
          <w:p>
            <w:pPr>
              <w:jc w:val="right"/>
              <w:spacing w:after="0"/>
              <w:rPr>
                <w:sz w:val="20"/>
                <w:szCs w:val="20"/>
                <w:color w:val="auto"/>
              </w:rPr>
            </w:pPr>
            <w:r>
              <w:rPr>
                <w:rFonts w:ascii="Arial" w:cs="Arial" w:eastAsia="Arial" w:hAnsi="Arial"/>
                <w:sz w:val="14"/>
                <w:szCs w:val="14"/>
                <w:color w:val="auto"/>
              </w:rPr>
              <w:t>21</w:t>
            </w:r>
          </w:p>
        </w:tc>
        <w:tc>
          <w:tcPr>
            <w:tcW w:w="220" w:type="dxa"/>
            <w:vAlign w:val="bottom"/>
            <w:shd w:val="clear" w:color="auto" w:fill="CFF0FC"/>
          </w:tcPr>
          <w:p>
            <w:pPr>
              <w:spacing w:after="0"/>
              <w:rPr>
                <w:sz w:val="14"/>
                <w:szCs w:val="14"/>
                <w:color w:val="auto"/>
              </w:rPr>
            </w:pPr>
          </w:p>
        </w:tc>
        <w:tc>
          <w:tcPr>
            <w:tcW w:w="1040" w:type="dxa"/>
            <w:vAlign w:val="bottom"/>
            <w:shd w:val="clear" w:color="auto" w:fill="CFF0FC"/>
          </w:tcPr>
          <w:p>
            <w:pPr>
              <w:jc w:val="right"/>
              <w:spacing w:after="0"/>
              <w:rPr>
                <w:sz w:val="20"/>
                <w:szCs w:val="20"/>
                <w:color w:val="auto"/>
              </w:rPr>
            </w:pPr>
            <w:r>
              <w:rPr>
                <w:rFonts w:ascii="Arial" w:cs="Arial" w:eastAsia="Arial" w:hAnsi="Arial"/>
                <w:sz w:val="14"/>
                <w:szCs w:val="14"/>
                <w:color w:val="auto"/>
              </w:rPr>
              <w:t>-</w:t>
            </w:r>
          </w:p>
        </w:tc>
        <w:tc>
          <w:tcPr>
            <w:tcW w:w="1460" w:type="dxa"/>
            <w:vAlign w:val="bottom"/>
            <w:gridSpan w:val="2"/>
            <w:shd w:val="clear" w:color="auto" w:fill="CFF0FC"/>
          </w:tcPr>
          <w:p>
            <w:pPr>
              <w:jc w:val="center"/>
              <w:ind w:left="132"/>
              <w:spacing w:after="0"/>
              <w:rPr>
                <w:sz w:val="20"/>
                <w:szCs w:val="20"/>
                <w:color w:val="auto"/>
              </w:rPr>
            </w:pPr>
            <w:r>
              <w:rPr>
                <w:rFonts w:ascii="Arial" w:cs="Arial" w:eastAsia="Arial" w:hAnsi="Arial"/>
                <w:sz w:val="14"/>
                <w:szCs w:val="14"/>
                <w:color w:val="auto"/>
                <w:w w:val="88"/>
              </w:rPr>
              <w:t>$493 - $683</w:t>
            </w:r>
          </w:p>
        </w:tc>
      </w:tr>
      <w:tr>
        <w:trPr>
          <w:trHeight w:val="162"/>
        </w:trPr>
        <w:tc>
          <w:tcPr>
            <w:tcW w:w="3660" w:type="dxa"/>
            <w:vAlign w:val="bottom"/>
            <w:gridSpan w:val="2"/>
          </w:tcPr>
          <w:p>
            <w:pPr>
              <w:spacing w:after="0"/>
              <w:rPr>
                <w:sz w:val="20"/>
                <w:szCs w:val="20"/>
                <w:color w:val="auto"/>
              </w:rPr>
            </w:pPr>
            <w:r>
              <w:rPr>
                <w:rFonts w:ascii="Arial" w:cs="Arial" w:eastAsia="Arial" w:hAnsi="Arial"/>
                <w:sz w:val="14"/>
                <w:szCs w:val="14"/>
                <w:color w:val="auto"/>
              </w:rPr>
              <w:t>Montgomery County:</w:t>
            </w:r>
          </w:p>
        </w:tc>
        <w:tc>
          <w:tcPr>
            <w:tcW w:w="9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04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240" w:type="dxa"/>
            <w:vAlign w:val="bottom"/>
          </w:tcPr>
          <w:p>
            <w:pPr>
              <w:spacing w:after="0"/>
              <w:rPr>
                <w:sz w:val="14"/>
                <w:szCs w:val="14"/>
                <w:color w:val="auto"/>
              </w:rPr>
            </w:pPr>
          </w:p>
        </w:tc>
      </w:tr>
      <w:tr>
        <w:trPr>
          <w:trHeight w:val="162"/>
        </w:trPr>
        <w:tc>
          <w:tcPr>
            <w:tcW w:w="3660" w:type="dxa"/>
            <w:vAlign w:val="bottom"/>
            <w:gridSpan w:val="2"/>
            <w:shd w:val="clear" w:color="auto" w:fill="CFF0FC"/>
          </w:tcPr>
          <w:p>
            <w:pPr>
              <w:ind w:left="380"/>
              <w:spacing w:after="0"/>
              <w:rPr>
                <w:sz w:val="20"/>
                <w:szCs w:val="20"/>
                <w:color w:val="auto"/>
              </w:rPr>
            </w:pPr>
            <w:r>
              <w:rPr>
                <w:rFonts w:ascii="Arial" w:cs="Arial" w:eastAsia="Arial" w:hAnsi="Arial"/>
                <w:sz w:val="14"/>
                <w:szCs w:val="14"/>
                <w:color w:val="auto"/>
              </w:rPr>
              <w:t>Barton Woods, Conroe</w:t>
            </w:r>
          </w:p>
        </w:tc>
        <w:tc>
          <w:tcPr>
            <w:tcW w:w="960" w:type="dxa"/>
            <w:vAlign w:val="bottom"/>
            <w:shd w:val="clear" w:color="auto" w:fill="CFF0FC"/>
          </w:tcPr>
          <w:p>
            <w:pPr>
              <w:jc w:val="center"/>
              <w:spacing w:after="0"/>
              <w:rPr>
                <w:sz w:val="20"/>
                <w:szCs w:val="20"/>
                <w:color w:val="auto"/>
              </w:rPr>
            </w:pPr>
            <w:r>
              <w:rPr>
                <w:rFonts w:ascii="Arial" w:cs="Arial" w:eastAsia="Arial" w:hAnsi="Arial"/>
                <w:sz w:val="14"/>
                <w:szCs w:val="14"/>
                <w:color w:val="auto"/>
                <w:w w:val="83"/>
              </w:rPr>
              <w:t>2013</w:t>
            </w:r>
          </w:p>
        </w:tc>
        <w:tc>
          <w:tcPr>
            <w:tcW w:w="100" w:type="dxa"/>
            <w:vAlign w:val="bottom"/>
            <w:shd w:val="clear" w:color="auto" w:fill="CFF0FC"/>
          </w:tcPr>
          <w:p>
            <w:pPr>
              <w:spacing w:after="0"/>
              <w:rPr>
                <w:sz w:val="14"/>
                <w:szCs w:val="14"/>
                <w:color w:val="auto"/>
              </w:rPr>
            </w:pPr>
          </w:p>
        </w:tc>
        <w:tc>
          <w:tcPr>
            <w:tcW w:w="820" w:type="dxa"/>
            <w:vAlign w:val="bottom"/>
            <w:shd w:val="clear" w:color="auto" w:fill="CFF0FC"/>
          </w:tcPr>
          <w:p>
            <w:pPr>
              <w:jc w:val="right"/>
              <w:spacing w:after="0"/>
              <w:rPr>
                <w:sz w:val="20"/>
                <w:szCs w:val="20"/>
                <w:color w:val="auto"/>
              </w:rPr>
            </w:pPr>
            <w:r>
              <w:rPr>
                <w:rFonts w:ascii="Arial" w:cs="Arial" w:eastAsia="Arial" w:hAnsi="Arial"/>
                <w:sz w:val="14"/>
                <w:szCs w:val="14"/>
                <w:color w:val="auto"/>
              </w:rPr>
              <w:t>75</w:t>
            </w:r>
          </w:p>
        </w:tc>
        <w:tc>
          <w:tcPr>
            <w:tcW w:w="200" w:type="dxa"/>
            <w:vAlign w:val="bottom"/>
            <w:shd w:val="clear" w:color="auto" w:fill="CFF0FC"/>
          </w:tcPr>
          <w:p>
            <w:pPr>
              <w:spacing w:after="0"/>
              <w:rPr>
                <w:sz w:val="14"/>
                <w:szCs w:val="14"/>
                <w:color w:val="auto"/>
              </w:rPr>
            </w:pPr>
          </w:p>
        </w:tc>
        <w:tc>
          <w:tcPr>
            <w:tcW w:w="900" w:type="dxa"/>
            <w:vAlign w:val="bottom"/>
            <w:shd w:val="clear" w:color="auto" w:fill="CFF0FC"/>
          </w:tcPr>
          <w:p>
            <w:pPr>
              <w:jc w:val="right"/>
              <w:spacing w:after="0"/>
              <w:rPr>
                <w:sz w:val="20"/>
                <w:szCs w:val="20"/>
                <w:color w:val="auto"/>
              </w:rPr>
            </w:pPr>
            <w:r>
              <w:rPr>
                <w:rFonts w:ascii="Arial" w:cs="Arial" w:eastAsia="Arial" w:hAnsi="Arial"/>
                <w:sz w:val="14"/>
                <w:szCs w:val="14"/>
                <w:color w:val="auto"/>
              </w:rPr>
              <w:t>40</w:t>
            </w:r>
          </w:p>
        </w:tc>
        <w:tc>
          <w:tcPr>
            <w:tcW w:w="220" w:type="dxa"/>
            <w:vAlign w:val="bottom"/>
            <w:shd w:val="clear" w:color="auto" w:fill="CFF0FC"/>
          </w:tcPr>
          <w:p>
            <w:pPr>
              <w:spacing w:after="0"/>
              <w:rPr>
                <w:sz w:val="14"/>
                <w:szCs w:val="14"/>
                <w:color w:val="auto"/>
              </w:rPr>
            </w:pPr>
          </w:p>
        </w:tc>
        <w:tc>
          <w:tcPr>
            <w:tcW w:w="800" w:type="dxa"/>
            <w:vAlign w:val="bottom"/>
            <w:shd w:val="clear" w:color="auto" w:fill="CFF0FC"/>
          </w:tcPr>
          <w:p>
            <w:pPr>
              <w:jc w:val="right"/>
              <w:spacing w:after="0"/>
              <w:rPr>
                <w:sz w:val="20"/>
                <w:szCs w:val="20"/>
                <w:color w:val="auto"/>
              </w:rPr>
            </w:pPr>
            <w:r>
              <w:rPr>
                <w:rFonts w:ascii="Arial" w:cs="Arial" w:eastAsia="Arial" w:hAnsi="Arial"/>
                <w:sz w:val="14"/>
                <w:szCs w:val="14"/>
                <w:color w:val="auto"/>
              </w:rPr>
              <w:t>35</w:t>
            </w:r>
          </w:p>
        </w:tc>
        <w:tc>
          <w:tcPr>
            <w:tcW w:w="220" w:type="dxa"/>
            <w:vAlign w:val="bottom"/>
            <w:shd w:val="clear" w:color="auto" w:fill="CFF0FC"/>
          </w:tcPr>
          <w:p>
            <w:pPr>
              <w:spacing w:after="0"/>
              <w:rPr>
                <w:sz w:val="14"/>
                <w:szCs w:val="14"/>
                <w:color w:val="auto"/>
              </w:rPr>
            </w:pPr>
          </w:p>
        </w:tc>
        <w:tc>
          <w:tcPr>
            <w:tcW w:w="820" w:type="dxa"/>
            <w:vAlign w:val="bottom"/>
            <w:shd w:val="clear" w:color="auto" w:fill="CFF0FC"/>
          </w:tcPr>
          <w:p>
            <w:pPr>
              <w:jc w:val="right"/>
              <w:spacing w:after="0"/>
              <w:rPr>
                <w:sz w:val="20"/>
                <w:szCs w:val="20"/>
                <w:color w:val="auto"/>
              </w:rPr>
            </w:pPr>
            <w:r>
              <w:rPr>
                <w:rFonts w:ascii="Arial" w:cs="Arial" w:eastAsia="Arial" w:hAnsi="Arial"/>
                <w:sz w:val="14"/>
                <w:szCs w:val="14"/>
                <w:color w:val="auto"/>
              </w:rPr>
              <w:t>5</w:t>
            </w:r>
          </w:p>
        </w:tc>
        <w:tc>
          <w:tcPr>
            <w:tcW w:w="220" w:type="dxa"/>
            <w:vAlign w:val="bottom"/>
            <w:shd w:val="clear" w:color="auto" w:fill="CFF0FC"/>
          </w:tcPr>
          <w:p>
            <w:pPr>
              <w:spacing w:after="0"/>
              <w:rPr>
                <w:sz w:val="14"/>
                <w:szCs w:val="14"/>
                <w:color w:val="auto"/>
              </w:rPr>
            </w:pPr>
          </w:p>
        </w:tc>
        <w:tc>
          <w:tcPr>
            <w:tcW w:w="1040" w:type="dxa"/>
            <w:vAlign w:val="bottom"/>
            <w:shd w:val="clear" w:color="auto" w:fill="CFF0FC"/>
          </w:tcPr>
          <w:p>
            <w:pPr>
              <w:jc w:val="right"/>
              <w:spacing w:after="0"/>
              <w:rPr>
                <w:sz w:val="20"/>
                <w:szCs w:val="20"/>
                <w:color w:val="auto"/>
              </w:rPr>
            </w:pPr>
            <w:r>
              <w:rPr>
                <w:rFonts w:ascii="Arial" w:cs="Arial" w:eastAsia="Arial" w:hAnsi="Arial"/>
                <w:sz w:val="14"/>
                <w:szCs w:val="14"/>
                <w:color w:val="auto"/>
              </w:rPr>
              <w:t>5</w:t>
            </w:r>
          </w:p>
        </w:tc>
        <w:tc>
          <w:tcPr>
            <w:tcW w:w="1460" w:type="dxa"/>
            <w:vAlign w:val="bottom"/>
            <w:gridSpan w:val="2"/>
            <w:shd w:val="clear" w:color="auto" w:fill="CFF0FC"/>
          </w:tcPr>
          <w:p>
            <w:pPr>
              <w:jc w:val="center"/>
              <w:ind w:left="132"/>
              <w:spacing w:after="0"/>
              <w:rPr>
                <w:sz w:val="20"/>
                <w:szCs w:val="20"/>
                <w:color w:val="auto"/>
              </w:rPr>
            </w:pPr>
            <w:r>
              <w:rPr>
                <w:rFonts w:ascii="Arial" w:cs="Arial" w:eastAsia="Arial" w:hAnsi="Arial"/>
                <w:sz w:val="14"/>
                <w:szCs w:val="14"/>
                <w:color w:val="auto"/>
                <w:w w:val="88"/>
              </w:rPr>
              <w:t>$401 - $601</w:t>
            </w:r>
          </w:p>
        </w:tc>
      </w:tr>
      <w:tr>
        <w:trPr>
          <w:trHeight w:val="162"/>
        </w:trPr>
        <w:tc>
          <w:tcPr>
            <w:tcW w:w="3660" w:type="dxa"/>
            <w:vAlign w:val="bottom"/>
            <w:gridSpan w:val="2"/>
          </w:tcPr>
          <w:p>
            <w:pPr>
              <w:ind w:left="380"/>
              <w:spacing w:after="0"/>
              <w:rPr>
                <w:sz w:val="20"/>
                <w:szCs w:val="20"/>
                <w:color w:val="auto"/>
              </w:rPr>
            </w:pPr>
            <w:r>
              <w:rPr>
                <w:rFonts w:ascii="Arial" w:cs="Arial" w:eastAsia="Arial" w:hAnsi="Arial"/>
                <w:sz w:val="14"/>
                <w:szCs w:val="14"/>
                <w:color w:val="auto"/>
              </w:rPr>
              <w:t>Villas at Oakhurst, Porter</w:t>
            </w:r>
          </w:p>
        </w:tc>
        <w:tc>
          <w:tcPr>
            <w:tcW w:w="960" w:type="dxa"/>
            <w:vAlign w:val="bottom"/>
          </w:tcPr>
          <w:p>
            <w:pPr>
              <w:jc w:val="center"/>
              <w:spacing w:after="0"/>
              <w:rPr>
                <w:sz w:val="20"/>
                <w:szCs w:val="20"/>
                <w:color w:val="auto"/>
              </w:rPr>
            </w:pPr>
            <w:r>
              <w:rPr>
                <w:rFonts w:ascii="Arial" w:cs="Arial" w:eastAsia="Arial" w:hAnsi="Arial"/>
                <w:sz w:val="14"/>
                <w:szCs w:val="14"/>
                <w:color w:val="auto"/>
                <w:w w:val="83"/>
              </w:rPr>
              <w:t>2013</w:t>
            </w:r>
          </w:p>
        </w:tc>
        <w:tc>
          <w:tcPr>
            <w:tcW w:w="100" w:type="dxa"/>
            <w:vAlign w:val="bottom"/>
          </w:tcPr>
          <w:p>
            <w:pPr>
              <w:spacing w:after="0"/>
              <w:rPr>
                <w:sz w:val="14"/>
                <w:szCs w:val="14"/>
                <w:color w:val="auto"/>
              </w:rPr>
            </w:pPr>
          </w:p>
        </w:tc>
        <w:tc>
          <w:tcPr>
            <w:tcW w:w="820" w:type="dxa"/>
            <w:vAlign w:val="bottom"/>
          </w:tcPr>
          <w:p>
            <w:pPr>
              <w:jc w:val="right"/>
              <w:spacing w:after="0"/>
              <w:rPr>
                <w:sz w:val="20"/>
                <w:szCs w:val="20"/>
                <w:color w:val="auto"/>
              </w:rPr>
            </w:pPr>
            <w:r>
              <w:rPr>
                <w:rFonts w:ascii="Arial" w:cs="Arial" w:eastAsia="Arial" w:hAnsi="Arial"/>
                <w:sz w:val="14"/>
                <w:szCs w:val="14"/>
                <w:color w:val="auto"/>
              </w:rPr>
              <w:t>56</w:t>
            </w:r>
          </w:p>
        </w:tc>
        <w:tc>
          <w:tcPr>
            <w:tcW w:w="200" w:type="dxa"/>
            <w:vAlign w:val="bottom"/>
          </w:tcPr>
          <w:p>
            <w:pPr>
              <w:spacing w:after="0"/>
              <w:rPr>
                <w:sz w:val="14"/>
                <w:szCs w:val="14"/>
                <w:color w:val="auto"/>
              </w:rPr>
            </w:pPr>
          </w:p>
        </w:tc>
        <w:tc>
          <w:tcPr>
            <w:tcW w:w="900" w:type="dxa"/>
            <w:vAlign w:val="bottom"/>
          </w:tcPr>
          <w:p>
            <w:pPr>
              <w:jc w:val="right"/>
              <w:spacing w:after="0"/>
              <w:rPr>
                <w:sz w:val="20"/>
                <w:szCs w:val="20"/>
                <w:color w:val="auto"/>
              </w:rPr>
            </w:pPr>
            <w:r>
              <w:rPr>
                <w:rFonts w:ascii="Arial" w:cs="Arial" w:eastAsia="Arial" w:hAnsi="Arial"/>
                <w:sz w:val="14"/>
                <w:szCs w:val="14"/>
                <w:color w:val="auto"/>
              </w:rPr>
              <w:t>36</w:t>
            </w:r>
          </w:p>
        </w:tc>
        <w:tc>
          <w:tcPr>
            <w:tcW w:w="220" w:type="dxa"/>
            <w:vAlign w:val="bottom"/>
          </w:tcPr>
          <w:p>
            <w:pPr>
              <w:spacing w:after="0"/>
              <w:rPr>
                <w:sz w:val="14"/>
                <w:szCs w:val="14"/>
                <w:color w:val="auto"/>
              </w:rPr>
            </w:pPr>
          </w:p>
        </w:tc>
        <w:tc>
          <w:tcPr>
            <w:tcW w:w="800" w:type="dxa"/>
            <w:vAlign w:val="bottom"/>
          </w:tcPr>
          <w:p>
            <w:pPr>
              <w:jc w:val="right"/>
              <w:spacing w:after="0"/>
              <w:rPr>
                <w:sz w:val="20"/>
                <w:szCs w:val="20"/>
                <w:color w:val="auto"/>
              </w:rPr>
            </w:pPr>
            <w:r>
              <w:rPr>
                <w:rFonts w:ascii="Arial" w:cs="Arial" w:eastAsia="Arial" w:hAnsi="Arial"/>
                <w:sz w:val="14"/>
                <w:szCs w:val="14"/>
                <w:color w:val="auto"/>
              </w:rPr>
              <w:t>20</w:t>
            </w:r>
          </w:p>
        </w:tc>
        <w:tc>
          <w:tcPr>
            <w:tcW w:w="220" w:type="dxa"/>
            <w:vAlign w:val="bottom"/>
          </w:tcPr>
          <w:p>
            <w:pPr>
              <w:spacing w:after="0"/>
              <w:rPr>
                <w:sz w:val="14"/>
                <w:szCs w:val="14"/>
                <w:color w:val="auto"/>
              </w:rPr>
            </w:pPr>
          </w:p>
        </w:tc>
        <w:tc>
          <w:tcPr>
            <w:tcW w:w="820" w:type="dxa"/>
            <w:vAlign w:val="bottom"/>
          </w:tcPr>
          <w:p>
            <w:pPr>
              <w:jc w:val="right"/>
              <w:spacing w:after="0"/>
              <w:rPr>
                <w:sz w:val="20"/>
                <w:szCs w:val="20"/>
                <w:color w:val="auto"/>
              </w:rPr>
            </w:pPr>
            <w:r>
              <w:rPr>
                <w:rFonts w:ascii="Arial" w:cs="Arial" w:eastAsia="Arial" w:hAnsi="Arial"/>
                <w:sz w:val="14"/>
                <w:szCs w:val="14"/>
                <w:color w:val="auto"/>
              </w:rPr>
              <w:t>8</w:t>
            </w:r>
          </w:p>
        </w:tc>
        <w:tc>
          <w:tcPr>
            <w:tcW w:w="220" w:type="dxa"/>
            <w:vAlign w:val="bottom"/>
          </w:tcPr>
          <w:p>
            <w:pPr>
              <w:spacing w:after="0"/>
              <w:rPr>
                <w:sz w:val="14"/>
                <w:szCs w:val="14"/>
                <w:color w:val="auto"/>
              </w:rPr>
            </w:pPr>
          </w:p>
        </w:tc>
        <w:tc>
          <w:tcPr>
            <w:tcW w:w="1040" w:type="dxa"/>
            <w:vAlign w:val="bottom"/>
          </w:tcPr>
          <w:p>
            <w:pPr>
              <w:jc w:val="right"/>
              <w:spacing w:after="0"/>
              <w:rPr>
                <w:sz w:val="20"/>
                <w:szCs w:val="20"/>
                <w:color w:val="auto"/>
              </w:rPr>
            </w:pPr>
            <w:r>
              <w:rPr>
                <w:rFonts w:ascii="Arial" w:cs="Arial" w:eastAsia="Arial" w:hAnsi="Arial"/>
                <w:sz w:val="14"/>
                <w:szCs w:val="14"/>
                <w:color w:val="auto"/>
              </w:rPr>
              <w:t>3</w:t>
            </w:r>
          </w:p>
        </w:tc>
        <w:tc>
          <w:tcPr>
            <w:tcW w:w="1460" w:type="dxa"/>
            <w:vAlign w:val="bottom"/>
            <w:gridSpan w:val="2"/>
          </w:tcPr>
          <w:p>
            <w:pPr>
              <w:jc w:val="center"/>
              <w:ind w:left="132"/>
              <w:spacing w:after="0"/>
              <w:rPr>
                <w:sz w:val="20"/>
                <w:szCs w:val="20"/>
                <w:color w:val="auto"/>
              </w:rPr>
            </w:pPr>
            <w:r>
              <w:rPr>
                <w:rFonts w:ascii="Arial" w:cs="Arial" w:eastAsia="Arial" w:hAnsi="Arial"/>
                <w:sz w:val="14"/>
                <w:szCs w:val="14"/>
                <w:color w:val="auto"/>
                <w:w w:val="88"/>
              </w:rPr>
              <w:t>$372 - $412</w:t>
            </w:r>
          </w:p>
        </w:tc>
      </w:tr>
      <w:tr>
        <w:trPr>
          <w:trHeight w:val="162"/>
        </w:trPr>
        <w:tc>
          <w:tcPr>
            <w:tcW w:w="3660" w:type="dxa"/>
            <w:vAlign w:val="bottom"/>
            <w:gridSpan w:val="2"/>
            <w:shd w:val="clear" w:color="auto" w:fill="CFF0FC"/>
          </w:tcPr>
          <w:p>
            <w:pPr>
              <w:ind w:left="380"/>
              <w:spacing w:after="0"/>
              <w:rPr>
                <w:sz w:val="20"/>
                <w:szCs w:val="20"/>
                <w:color w:val="auto"/>
              </w:rPr>
            </w:pPr>
            <w:r>
              <w:rPr>
                <w:rFonts w:ascii="Arial" w:cs="Arial" w:eastAsia="Arial" w:hAnsi="Arial"/>
                <w:sz w:val="14"/>
                <w:szCs w:val="14"/>
                <w:color w:val="auto"/>
              </w:rPr>
              <w:t>Woodtrace, Woodtrace</w:t>
            </w:r>
          </w:p>
        </w:tc>
        <w:tc>
          <w:tcPr>
            <w:tcW w:w="960" w:type="dxa"/>
            <w:vAlign w:val="bottom"/>
            <w:shd w:val="clear" w:color="auto" w:fill="CFF0FC"/>
          </w:tcPr>
          <w:p>
            <w:pPr>
              <w:jc w:val="center"/>
              <w:spacing w:after="0"/>
              <w:rPr>
                <w:sz w:val="20"/>
                <w:szCs w:val="20"/>
                <w:color w:val="auto"/>
              </w:rPr>
            </w:pPr>
            <w:r>
              <w:rPr>
                <w:rFonts w:ascii="Arial" w:cs="Arial" w:eastAsia="Arial" w:hAnsi="Arial"/>
                <w:sz w:val="14"/>
                <w:szCs w:val="14"/>
                <w:color w:val="auto"/>
                <w:w w:val="83"/>
              </w:rPr>
              <w:t>2014</w:t>
            </w:r>
          </w:p>
        </w:tc>
        <w:tc>
          <w:tcPr>
            <w:tcW w:w="100" w:type="dxa"/>
            <w:vAlign w:val="bottom"/>
            <w:shd w:val="clear" w:color="auto" w:fill="CFF0FC"/>
          </w:tcPr>
          <w:p>
            <w:pPr>
              <w:spacing w:after="0"/>
              <w:rPr>
                <w:sz w:val="14"/>
                <w:szCs w:val="14"/>
                <w:color w:val="auto"/>
              </w:rPr>
            </w:pPr>
          </w:p>
        </w:tc>
        <w:tc>
          <w:tcPr>
            <w:tcW w:w="820" w:type="dxa"/>
            <w:vAlign w:val="bottom"/>
            <w:shd w:val="clear" w:color="auto" w:fill="CFF0FC"/>
          </w:tcPr>
          <w:p>
            <w:pPr>
              <w:jc w:val="right"/>
              <w:spacing w:after="0"/>
              <w:rPr>
                <w:sz w:val="20"/>
                <w:szCs w:val="20"/>
                <w:color w:val="auto"/>
              </w:rPr>
            </w:pPr>
            <w:r>
              <w:rPr>
                <w:rFonts w:ascii="Arial" w:cs="Arial" w:eastAsia="Arial" w:hAnsi="Arial"/>
                <w:sz w:val="14"/>
                <w:szCs w:val="14"/>
                <w:color w:val="auto"/>
              </w:rPr>
              <w:t>25</w:t>
            </w:r>
          </w:p>
        </w:tc>
        <w:tc>
          <w:tcPr>
            <w:tcW w:w="200" w:type="dxa"/>
            <w:vAlign w:val="bottom"/>
            <w:shd w:val="clear" w:color="auto" w:fill="CFF0FC"/>
          </w:tcPr>
          <w:p>
            <w:pPr>
              <w:spacing w:after="0"/>
              <w:rPr>
                <w:sz w:val="14"/>
                <w:szCs w:val="14"/>
                <w:color w:val="auto"/>
              </w:rPr>
            </w:pPr>
          </w:p>
        </w:tc>
        <w:tc>
          <w:tcPr>
            <w:tcW w:w="900" w:type="dxa"/>
            <w:vAlign w:val="bottom"/>
            <w:shd w:val="clear" w:color="auto" w:fill="CFF0FC"/>
          </w:tcPr>
          <w:p>
            <w:pPr>
              <w:jc w:val="right"/>
              <w:spacing w:after="0"/>
              <w:rPr>
                <w:sz w:val="20"/>
                <w:szCs w:val="20"/>
                <w:color w:val="auto"/>
              </w:rPr>
            </w:pPr>
            <w:r>
              <w:rPr>
                <w:rFonts w:ascii="Arial" w:cs="Arial" w:eastAsia="Arial" w:hAnsi="Arial"/>
                <w:sz w:val="14"/>
                <w:szCs w:val="14"/>
                <w:color w:val="auto"/>
              </w:rPr>
              <w:t>3</w:t>
            </w:r>
          </w:p>
        </w:tc>
        <w:tc>
          <w:tcPr>
            <w:tcW w:w="220" w:type="dxa"/>
            <w:vAlign w:val="bottom"/>
            <w:shd w:val="clear" w:color="auto" w:fill="CFF0FC"/>
          </w:tcPr>
          <w:p>
            <w:pPr>
              <w:spacing w:after="0"/>
              <w:rPr>
                <w:sz w:val="14"/>
                <w:szCs w:val="14"/>
                <w:color w:val="auto"/>
              </w:rPr>
            </w:pPr>
          </w:p>
        </w:tc>
        <w:tc>
          <w:tcPr>
            <w:tcW w:w="800" w:type="dxa"/>
            <w:vAlign w:val="bottom"/>
            <w:shd w:val="clear" w:color="auto" w:fill="CFF0FC"/>
          </w:tcPr>
          <w:p>
            <w:pPr>
              <w:jc w:val="right"/>
              <w:spacing w:after="0"/>
              <w:rPr>
                <w:sz w:val="20"/>
                <w:szCs w:val="20"/>
                <w:color w:val="auto"/>
              </w:rPr>
            </w:pPr>
            <w:r>
              <w:rPr>
                <w:rFonts w:ascii="Arial" w:cs="Arial" w:eastAsia="Arial" w:hAnsi="Arial"/>
                <w:sz w:val="14"/>
                <w:szCs w:val="14"/>
                <w:color w:val="auto"/>
              </w:rPr>
              <w:t>22</w:t>
            </w:r>
          </w:p>
        </w:tc>
        <w:tc>
          <w:tcPr>
            <w:tcW w:w="220" w:type="dxa"/>
            <w:vAlign w:val="bottom"/>
            <w:shd w:val="clear" w:color="auto" w:fill="CFF0FC"/>
          </w:tcPr>
          <w:p>
            <w:pPr>
              <w:spacing w:after="0"/>
              <w:rPr>
                <w:sz w:val="14"/>
                <w:szCs w:val="14"/>
                <w:color w:val="auto"/>
              </w:rPr>
            </w:pPr>
          </w:p>
        </w:tc>
        <w:tc>
          <w:tcPr>
            <w:tcW w:w="820" w:type="dxa"/>
            <w:vAlign w:val="bottom"/>
            <w:shd w:val="clear" w:color="auto" w:fill="CFF0FC"/>
          </w:tcPr>
          <w:p>
            <w:pPr>
              <w:jc w:val="right"/>
              <w:spacing w:after="0"/>
              <w:rPr>
                <w:sz w:val="20"/>
                <w:szCs w:val="20"/>
                <w:color w:val="auto"/>
              </w:rPr>
            </w:pPr>
            <w:r>
              <w:rPr>
                <w:rFonts w:ascii="Arial" w:cs="Arial" w:eastAsia="Arial" w:hAnsi="Arial"/>
                <w:sz w:val="14"/>
                <w:szCs w:val="14"/>
                <w:color w:val="auto"/>
              </w:rPr>
              <w:t>1</w:t>
            </w:r>
          </w:p>
        </w:tc>
        <w:tc>
          <w:tcPr>
            <w:tcW w:w="220" w:type="dxa"/>
            <w:vAlign w:val="bottom"/>
            <w:shd w:val="clear" w:color="auto" w:fill="CFF0FC"/>
          </w:tcPr>
          <w:p>
            <w:pPr>
              <w:spacing w:after="0"/>
              <w:rPr>
                <w:sz w:val="14"/>
                <w:szCs w:val="14"/>
                <w:color w:val="auto"/>
              </w:rPr>
            </w:pPr>
          </w:p>
        </w:tc>
        <w:tc>
          <w:tcPr>
            <w:tcW w:w="1040" w:type="dxa"/>
            <w:vAlign w:val="bottom"/>
            <w:shd w:val="clear" w:color="auto" w:fill="CFF0FC"/>
          </w:tcPr>
          <w:p>
            <w:pPr>
              <w:jc w:val="right"/>
              <w:spacing w:after="0"/>
              <w:rPr>
                <w:sz w:val="20"/>
                <w:szCs w:val="20"/>
                <w:color w:val="auto"/>
              </w:rPr>
            </w:pPr>
            <w:r>
              <w:rPr>
                <w:rFonts w:ascii="Arial" w:cs="Arial" w:eastAsia="Arial" w:hAnsi="Arial"/>
                <w:sz w:val="14"/>
                <w:szCs w:val="14"/>
                <w:color w:val="auto"/>
              </w:rPr>
              <w:t>2</w:t>
            </w:r>
          </w:p>
        </w:tc>
        <w:tc>
          <w:tcPr>
            <w:tcW w:w="1460" w:type="dxa"/>
            <w:vAlign w:val="bottom"/>
            <w:gridSpan w:val="2"/>
            <w:shd w:val="clear" w:color="auto" w:fill="CFF0FC"/>
          </w:tcPr>
          <w:p>
            <w:pPr>
              <w:jc w:val="center"/>
              <w:ind w:left="132"/>
              <w:spacing w:after="0"/>
              <w:rPr>
                <w:sz w:val="20"/>
                <w:szCs w:val="20"/>
                <w:color w:val="auto"/>
              </w:rPr>
            </w:pPr>
            <w:r>
              <w:rPr>
                <w:rFonts w:ascii="Arial" w:cs="Arial" w:eastAsia="Arial" w:hAnsi="Arial"/>
                <w:sz w:val="14"/>
                <w:szCs w:val="14"/>
                <w:color w:val="auto"/>
                <w:w w:val="88"/>
              </w:rPr>
              <w:t>$485 - $536</w:t>
            </w:r>
          </w:p>
        </w:tc>
      </w:tr>
      <w:tr>
        <w:trPr>
          <w:trHeight w:val="162"/>
        </w:trPr>
        <w:tc>
          <w:tcPr>
            <w:tcW w:w="3660" w:type="dxa"/>
            <w:vAlign w:val="bottom"/>
            <w:gridSpan w:val="2"/>
          </w:tcPr>
          <w:p>
            <w:pPr>
              <w:ind w:left="380"/>
              <w:spacing w:after="0"/>
              <w:rPr>
                <w:sz w:val="20"/>
                <w:szCs w:val="20"/>
                <w:color w:val="auto"/>
              </w:rPr>
            </w:pPr>
            <w:r>
              <w:rPr>
                <w:rFonts w:ascii="Arial" w:cs="Arial" w:eastAsia="Arial" w:hAnsi="Arial"/>
                <w:sz w:val="14"/>
                <w:szCs w:val="14"/>
                <w:color w:val="auto"/>
              </w:rPr>
              <w:t>Bender's Landing Estates, Spring</w:t>
            </w:r>
          </w:p>
        </w:tc>
        <w:tc>
          <w:tcPr>
            <w:tcW w:w="960" w:type="dxa"/>
            <w:vAlign w:val="bottom"/>
          </w:tcPr>
          <w:p>
            <w:pPr>
              <w:jc w:val="center"/>
              <w:spacing w:after="0"/>
              <w:rPr>
                <w:sz w:val="20"/>
                <w:szCs w:val="20"/>
                <w:color w:val="auto"/>
              </w:rPr>
            </w:pPr>
            <w:r>
              <w:rPr>
                <w:rFonts w:ascii="Arial" w:cs="Arial" w:eastAsia="Arial" w:hAnsi="Arial"/>
                <w:sz w:val="14"/>
                <w:szCs w:val="14"/>
                <w:color w:val="auto"/>
                <w:w w:val="83"/>
              </w:rPr>
              <w:t>2014</w:t>
            </w:r>
          </w:p>
        </w:tc>
        <w:tc>
          <w:tcPr>
            <w:tcW w:w="100" w:type="dxa"/>
            <w:vAlign w:val="bottom"/>
          </w:tcPr>
          <w:p>
            <w:pPr>
              <w:spacing w:after="0"/>
              <w:rPr>
                <w:sz w:val="14"/>
                <w:szCs w:val="14"/>
                <w:color w:val="auto"/>
              </w:rPr>
            </w:pPr>
          </w:p>
        </w:tc>
        <w:tc>
          <w:tcPr>
            <w:tcW w:w="820" w:type="dxa"/>
            <w:vAlign w:val="bottom"/>
          </w:tcPr>
          <w:p>
            <w:pPr>
              <w:jc w:val="right"/>
              <w:spacing w:after="0"/>
              <w:rPr>
                <w:sz w:val="20"/>
                <w:szCs w:val="20"/>
                <w:color w:val="auto"/>
              </w:rPr>
            </w:pPr>
            <w:r>
              <w:rPr>
                <w:rFonts w:ascii="Arial" w:cs="Arial" w:eastAsia="Arial" w:hAnsi="Arial"/>
                <w:sz w:val="14"/>
                <w:szCs w:val="14"/>
                <w:color w:val="auto"/>
              </w:rPr>
              <w:t>107</w:t>
            </w:r>
          </w:p>
        </w:tc>
        <w:tc>
          <w:tcPr>
            <w:tcW w:w="200" w:type="dxa"/>
            <w:vAlign w:val="bottom"/>
          </w:tcPr>
          <w:p>
            <w:pPr>
              <w:spacing w:after="0"/>
              <w:rPr>
                <w:sz w:val="14"/>
                <w:szCs w:val="14"/>
                <w:color w:val="auto"/>
              </w:rPr>
            </w:pPr>
          </w:p>
        </w:tc>
        <w:tc>
          <w:tcPr>
            <w:tcW w:w="900" w:type="dxa"/>
            <w:vAlign w:val="bottom"/>
          </w:tcPr>
          <w:p>
            <w:pPr>
              <w:jc w:val="right"/>
              <w:spacing w:after="0"/>
              <w:rPr>
                <w:sz w:val="20"/>
                <w:szCs w:val="20"/>
                <w:color w:val="auto"/>
              </w:rPr>
            </w:pPr>
            <w:r>
              <w:rPr>
                <w:rFonts w:ascii="Arial" w:cs="Arial" w:eastAsia="Arial" w:hAnsi="Arial"/>
                <w:sz w:val="14"/>
                <w:szCs w:val="14"/>
                <w:color w:val="auto"/>
              </w:rPr>
              <w:t>8</w:t>
            </w:r>
          </w:p>
        </w:tc>
        <w:tc>
          <w:tcPr>
            <w:tcW w:w="220" w:type="dxa"/>
            <w:vAlign w:val="bottom"/>
          </w:tcPr>
          <w:p>
            <w:pPr>
              <w:spacing w:after="0"/>
              <w:rPr>
                <w:sz w:val="14"/>
                <w:szCs w:val="14"/>
                <w:color w:val="auto"/>
              </w:rPr>
            </w:pPr>
          </w:p>
        </w:tc>
        <w:tc>
          <w:tcPr>
            <w:tcW w:w="800" w:type="dxa"/>
            <w:vAlign w:val="bottom"/>
          </w:tcPr>
          <w:p>
            <w:pPr>
              <w:jc w:val="right"/>
              <w:spacing w:after="0"/>
              <w:rPr>
                <w:sz w:val="20"/>
                <w:szCs w:val="20"/>
                <w:color w:val="auto"/>
              </w:rPr>
            </w:pPr>
            <w:r>
              <w:rPr>
                <w:rFonts w:ascii="Arial" w:cs="Arial" w:eastAsia="Arial" w:hAnsi="Arial"/>
                <w:sz w:val="14"/>
                <w:szCs w:val="14"/>
                <w:color w:val="auto"/>
              </w:rPr>
              <w:t>99</w:t>
            </w:r>
          </w:p>
        </w:tc>
        <w:tc>
          <w:tcPr>
            <w:tcW w:w="220" w:type="dxa"/>
            <w:vAlign w:val="bottom"/>
          </w:tcPr>
          <w:p>
            <w:pPr>
              <w:spacing w:after="0"/>
              <w:rPr>
                <w:sz w:val="14"/>
                <w:szCs w:val="14"/>
                <w:color w:val="auto"/>
              </w:rPr>
            </w:pPr>
          </w:p>
        </w:tc>
        <w:tc>
          <w:tcPr>
            <w:tcW w:w="820" w:type="dxa"/>
            <w:vAlign w:val="bottom"/>
          </w:tcPr>
          <w:p>
            <w:pPr>
              <w:jc w:val="right"/>
              <w:spacing w:after="0"/>
              <w:rPr>
                <w:sz w:val="20"/>
                <w:szCs w:val="20"/>
                <w:color w:val="auto"/>
              </w:rPr>
            </w:pPr>
            <w:r>
              <w:rPr>
                <w:rFonts w:ascii="Arial" w:cs="Arial" w:eastAsia="Arial" w:hAnsi="Arial"/>
                <w:sz w:val="14"/>
                <w:szCs w:val="14"/>
                <w:color w:val="auto"/>
              </w:rPr>
              <w:t>3</w:t>
            </w:r>
          </w:p>
        </w:tc>
        <w:tc>
          <w:tcPr>
            <w:tcW w:w="220" w:type="dxa"/>
            <w:vAlign w:val="bottom"/>
          </w:tcPr>
          <w:p>
            <w:pPr>
              <w:spacing w:after="0"/>
              <w:rPr>
                <w:sz w:val="14"/>
                <w:szCs w:val="14"/>
                <w:color w:val="auto"/>
              </w:rPr>
            </w:pPr>
          </w:p>
        </w:tc>
        <w:tc>
          <w:tcPr>
            <w:tcW w:w="1040" w:type="dxa"/>
            <w:vAlign w:val="bottom"/>
          </w:tcPr>
          <w:p>
            <w:pPr>
              <w:jc w:val="right"/>
              <w:spacing w:after="0"/>
              <w:rPr>
                <w:sz w:val="20"/>
                <w:szCs w:val="20"/>
                <w:color w:val="auto"/>
              </w:rPr>
            </w:pPr>
            <w:r>
              <w:rPr>
                <w:rFonts w:ascii="Arial" w:cs="Arial" w:eastAsia="Arial" w:hAnsi="Arial"/>
                <w:sz w:val="14"/>
                <w:szCs w:val="14"/>
                <w:color w:val="auto"/>
              </w:rPr>
              <w:t>4</w:t>
            </w:r>
          </w:p>
        </w:tc>
        <w:tc>
          <w:tcPr>
            <w:tcW w:w="1460" w:type="dxa"/>
            <w:vAlign w:val="bottom"/>
            <w:gridSpan w:val="2"/>
          </w:tcPr>
          <w:p>
            <w:pPr>
              <w:jc w:val="center"/>
              <w:ind w:left="132"/>
              <w:spacing w:after="0"/>
              <w:rPr>
                <w:sz w:val="20"/>
                <w:szCs w:val="20"/>
                <w:color w:val="auto"/>
              </w:rPr>
            </w:pPr>
            <w:r>
              <w:rPr>
                <w:rFonts w:ascii="Arial" w:cs="Arial" w:eastAsia="Arial" w:hAnsi="Arial"/>
                <w:sz w:val="14"/>
                <w:szCs w:val="14"/>
                <w:color w:val="auto"/>
                <w:w w:val="88"/>
              </w:rPr>
              <w:t>$478 - $629</w:t>
            </w:r>
          </w:p>
        </w:tc>
      </w:tr>
      <w:tr>
        <w:trPr>
          <w:trHeight w:val="162"/>
        </w:trPr>
        <w:tc>
          <w:tcPr>
            <w:tcW w:w="3660" w:type="dxa"/>
            <w:vAlign w:val="bottom"/>
            <w:gridSpan w:val="2"/>
            <w:shd w:val="clear" w:color="auto" w:fill="CFF0FC"/>
          </w:tcPr>
          <w:p>
            <w:pPr>
              <w:spacing w:after="0"/>
              <w:rPr>
                <w:sz w:val="20"/>
                <w:szCs w:val="20"/>
                <w:color w:val="auto"/>
              </w:rPr>
            </w:pPr>
            <w:r>
              <w:rPr>
                <w:rFonts w:ascii="Arial" w:cs="Arial" w:eastAsia="Arial" w:hAnsi="Arial"/>
                <w:sz w:val="14"/>
                <w:szCs w:val="14"/>
                <w:color w:val="auto"/>
              </w:rPr>
              <w:t>Other:</w:t>
            </w:r>
          </w:p>
        </w:tc>
        <w:tc>
          <w:tcPr>
            <w:tcW w:w="960" w:type="dxa"/>
            <w:vAlign w:val="bottom"/>
            <w:shd w:val="clear" w:color="auto" w:fill="CFF0FC"/>
          </w:tcPr>
          <w:p>
            <w:pPr>
              <w:spacing w:after="0"/>
              <w:rPr>
                <w:sz w:val="14"/>
                <w:szCs w:val="14"/>
                <w:color w:val="auto"/>
              </w:rPr>
            </w:pPr>
          </w:p>
        </w:tc>
        <w:tc>
          <w:tcPr>
            <w:tcW w:w="100" w:type="dxa"/>
            <w:vAlign w:val="bottom"/>
            <w:shd w:val="clear" w:color="auto" w:fill="CFF0FC"/>
          </w:tcPr>
          <w:p>
            <w:pPr>
              <w:spacing w:after="0"/>
              <w:rPr>
                <w:sz w:val="14"/>
                <w:szCs w:val="14"/>
                <w:color w:val="auto"/>
              </w:rPr>
            </w:pPr>
          </w:p>
        </w:tc>
        <w:tc>
          <w:tcPr>
            <w:tcW w:w="820" w:type="dxa"/>
            <w:vAlign w:val="bottom"/>
            <w:shd w:val="clear" w:color="auto" w:fill="CFF0FC"/>
          </w:tcPr>
          <w:p>
            <w:pPr>
              <w:spacing w:after="0"/>
              <w:rPr>
                <w:sz w:val="14"/>
                <w:szCs w:val="14"/>
                <w:color w:val="auto"/>
              </w:rPr>
            </w:pPr>
          </w:p>
        </w:tc>
        <w:tc>
          <w:tcPr>
            <w:tcW w:w="200" w:type="dxa"/>
            <w:vAlign w:val="bottom"/>
            <w:shd w:val="clear" w:color="auto" w:fill="CFF0FC"/>
          </w:tcPr>
          <w:p>
            <w:pPr>
              <w:spacing w:after="0"/>
              <w:rPr>
                <w:sz w:val="14"/>
                <w:szCs w:val="14"/>
                <w:color w:val="auto"/>
              </w:rPr>
            </w:pPr>
          </w:p>
        </w:tc>
        <w:tc>
          <w:tcPr>
            <w:tcW w:w="900" w:type="dxa"/>
            <w:vAlign w:val="bottom"/>
            <w:shd w:val="clear" w:color="auto" w:fill="CFF0FC"/>
          </w:tcPr>
          <w:p>
            <w:pPr>
              <w:spacing w:after="0"/>
              <w:rPr>
                <w:sz w:val="14"/>
                <w:szCs w:val="14"/>
                <w:color w:val="auto"/>
              </w:rPr>
            </w:pPr>
          </w:p>
        </w:tc>
        <w:tc>
          <w:tcPr>
            <w:tcW w:w="220" w:type="dxa"/>
            <w:vAlign w:val="bottom"/>
            <w:shd w:val="clear" w:color="auto" w:fill="CFF0FC"/>
          </w:tcPr>
          <w:p>
            <w:pPr>
              <w:spacing w:after="0"/>
              <w:rPr>
                <w:sz w:val="14"/>
                <w:szCs w:val="14"/>
                <w:color w:val="auto"/>
              </w:rPr>
            </w:pPr>
          </w:p>
        </w:tc>
        <w:tc>
          <w:tcPr>
            <w:tcW w:w="800" w:type="dxa"/>
            <w:vAlign w:val="bottom"/>
            <w:shd w:val="clear" w:color="auto" w:fill="CFF0FC"/>
          </w:tcPr>
          <w:p>
            <w:pPr>
              <w:spacing w:after="0"/>
              <w:rPr>
                <w:sz w:val="14"/>
                <w:szCs w:val="14"/>
                <w:color w:val="auto"/>
              </w:rPr>
            </w:pPr>
          </w:p>
        </w:tc>
        <w:tc>
          <w:tcPr>
            <w:tcW w:w="220" w:type="dxa"/>
            <w:vAlign w:val="bottom"/>
            <w:shd w:val="clear" w:color="auto" w:fill="CFF0FC"/>
          </w:tcPr>
          <w:p>
            <w:pPr>
              <w:spacing w:after="0"/>
              <w:rPr>
                <w:sz w:val="14"/>
                <w:szCs w:val="14"/>
                <w:color w:val="auto"/>
              </w:rPr>
            </w:pPr>
          </w:p>
        </w:tc>
        <w:tc>
          <w:tcPr>
            <w:tcW w:w="820" w:type="dxa"/>
            <w:vAlign w:val="bottom"/>
            <w:shd w:val="clear" w:color="auto" w:fill="CFF0FC"/>
          </w:tcPr>
          <w:p>
            <w:pPr>
              <w:spacing w:after="0"/>
              <w:rPr>
                <w:sz w:val="14"/>
                <w:szCs w:val="14"/>
                <w:color w:val="auto"/>
              </w:rPr>
            </w:pPr>
          </w:p>
        </w:tc>
        <w:tc>
          <w:tcPr>
            <w:tcW w:w="220" w:type="dxa"/>
            <w:vAlign w:val="bottom"/>
            <w:shd w:val="clear" w:color="auto" w:fill="CFF0FC"/>
          </w:tcPr>
          <w:p>
            <w:pPr>
              <w:spacing w:after="0"/>
              <w:rPr>
                <w:sz w:val="14"/>
                <w:szCs w:val="14"/>
                <w:color w:val="auto"/>
              </w:rPr>
            </w:pPr>
          </w:p>
        </w:tc>
        <w:tc>
          <w:tcPr>
            <w:tcW w:w="1040" w:type="dxa"/>
            <w:vAlign w:val="bottom"/>
            <w:shd w:val="clear" w:color="auto" w:fill="CFF0FC"/>
          </w:tcPr>
          <w:p>
            <w:pPr>
              <w:spacing w:after="0"/>
              <w:rPr>
                <w:sz w:val="14"/>
                <w:szCs w:val="14"/>
                <w:color w:val="auto"/>
              </w:rPr>
            </w:pPr>
          </w:p>
        </w:tc>
        <w:tc>
          <w:tcPr>
            <w:tcW w:w="220" w:type="dxa"/>
            <w:vAlign w:val="bottom"/>
            <w:shd w:val="clear" w:color="auto" w:fill="CFF0FC"/>
          </w:tcPr>
          <w:p>
            <w:pPr>
              <w:spacing w:after="0"/>
              <w:rPr>
                <w:sz w:val="14"/>
                <w:szCs w:val="14"/>
                <w:color w:val="auto"/>
              </w:rPr>
            </w:pPr>
          </w:p>
        </w:tc>
        <w:tc>
          <w:tcPr>
            <w:tcW w:w="1240" w:type="dxa"/>
            <w:vAlign w:val="bottom"/>
            <w:shd w:val="clear" w:color="auto" w:fill="CFF0FC"/>
          </w:tcPr>
          <w:p>
            <w:pPr>
              <w:spacing w:after="0"/>
              <w:rPr>
                <w:sz w:val="14"/>
                <w:szCs w:val="14"/>
                <w:color w:val="auto"/>
              </w:rPr>
            </w:pPr>
          </w:p>
        </w:tc>
      </w:tr>
      <w:tr>
        <w:trPr>
          <w:trHeight w:val="162"/>
        </w:trPr>
        <w:tc>
          <w:tcPr>
            <w:tcW w:w="3660" w:type="dxa"/>
            <w:vAlign w:val="bottom"/>
            <w:gridSpan w:val="2"/>
          </w:tcPr>
          <w:p>
            <w:pPr>
              <w:ind w:left="380"/>
              <w:spacing w:after="0"/>
              <w:rPr>
                <w:sz w:val="20"/>
                <w:szCs w:val="20"/>
                <w:color w:val="auto"/>
              </w:rPr>
            </w:pPr>
            <w:r>
              <w:rPr>
                <w:rFonts w:ascii="Arial" w:cs="Arial" w:eastAsia="Arial" w:hAnsi="Arial"/>
                <w:sz w:val="14"/>
                <w:szCs w:val="14"/>
                <w:color w:val="auto"/>
              </w:rPr>
              <w:t>Avanti Custom Homes</w:t>
            </w:r>
          </w:p>
        </w:tc>
        <w:tc>
          <w:tcPr>
            <w:tcW w:w="960" w:type="dxa"/>
            <w:vAlign w:val="bottom"/>
          </w:tcPr>
          <w:p>
            <w:pPr>
              <w:jc w:val="center"/>
              <w:spacing w:after="0"/>
              <w:rPr>
                <w:sz w:val="20"/>
                <w:szCs w:val="20"/>
                <w:color w:val="auto"/>
              </w:rPr>
            </w:pPr>
            <w:r>
              <w:rPr>
                <w:rFonts w:ascii="Arial" w:cs="Arial" w:eastAsia="Arial" w:hAnsi="Arial"/>
                <w:sz w:val="14"/>
                <w:szCs w:val="14"/>
                <w:color w:val="auto"/>
                <w:w w:val="83"/>
              </w:rPr>
              <w:t>2007</w:t>
            </w:r>
          </w:p>
        </w:tc>
        <w:tc>
          <w:tcPr>
            <w:tcW w:w="100" w:type="dxa"/>
            <w:vAlign w:val="bottom"/>
          </w:tcPr>
          <w:p>
            <w:pPr>
              <w:spacing w:after="0"/>
              <w:rPr>
                <w:sz w:val="14"/>
                <w:szCs w:val="14"/>
                <w:color w:val="auto"/>
              </w:rPr>
            </w:pPr>
          </w:p>
        </w:tc>
        <w:tc>
          <w:tcPr>
            <w:tcW w:w="820" w:type="dxa"/>
            <w:vAlign w:val="bottom"/>
          </w:tcPr>
          <w:p>
            <w:pPr>
              <w:jc w:val="right"/>
              <w:spacing w:after="0"/>
              <w:rPr>
                <w:sz w:val="20"/>
                <w:szCs w:val="20"/>
                <w:color w:val="auto"/>
              </w:rPr>
            </w:pPr>
            <w:r>
              <w:rPr>
                <w:rFonts w:ascii="Arial" w:cs="Arial" w:eastAsia="Arial" w:hAnsi="Arial"/>
                <w:sz w:val="14"/>
                <w:szCs w:val="14"/>
                <w:color w:val="auto"/>
              </w:rPr>
              <w:t>122</w:t>
            </w:r>
          </w:p>
        </w:tc>
        <w:tc>
          <w:tcPr>
            <w:tcW w:w="200" w:type="dxa"/>
            <w:vAlign w:val="bottom"/>
          </w:tcPr>
          <w:p>
            <w:pPr>
              <w:spacing w:after="0"/>
              <w:rPr>
                <w:sz w:val="14"/>
                <w:szCs w:val="14"/>
                <w:color w:val="auto"/>
              </w:rPr>
            </w:pPr>
          </w:p>
        </w:tc>
        <w:tc>
          <w:tcPr>
            <w:tcW w:w="900" w:type="dxa"/>
            <w:vAlign w:val="bottom"/>
          </w:tcPr>
          <w:p>
            <w:pPr>
              <w:jc w:val="right"/>
              <w:spacing w:after="0"/>
              <w:rPr>
                <w:sz w:val="20"/>
                <w:szCs w:val="20"/>
                <w:color w:val="auto"/>
              </w:rPr>
            </w:pPr>
            <w:r>
              <w:rPr>
                <w:rFonts w:ascii="Arial" w:cs="Arial" w:eastAsia="Arial" w:hAnsi="Arial"/>
                <w:sz w:val="14"/>
                <w:szCs w:val="14"/>
                <w:color w:val="auto"/>
              </w:rPr>
              <w:t>96</w:t>
            </w:r>
          </w:p>
        </w:tc>
        <w:tc>
          <w:tcPr>
            <w:tcW w:w="220" w:type="dxa"/>
            <w:vAlign w:val="bottom"/>
          </w:tcPr>
          <w:p>
            <w:pPr>
              <w:spacing w:after="0"/>
              <w:rPr>
                <w:sz w:val="14"/>
                <w:szCs w:val="14"/>
                <w:color w:val="auto"/>
              </w:rPr>
            </w:pPr>
          </w:p>
        </w:tc>
        <w:tc>
          <w:tcPr>
            <w:tcW w:w="800" w:type="dxa"/>
            <w:vAlign w:val="bottom"/>
          </w:tcPr>
          <w:p>
            <w:pPr>
              <w:jc w:val="right"/>
              <w:spacing w:after="0"/>
              <w:rPr>
                <w:sz w:val="20"/>
                <w:szCs w:val="20"/>
                <w:color w:val="auto"/>
              </w:rPr>
            </w:pPr>
            <w:r>
              <w:rPr>
                <w:rFonts w:ascii="Arial" w:cs="Arial" w:eastAsia="Arial" w:hAnsi="Arial"/>
                <w:sz w:val="14"/>
                <w:szCs w:val="14"/>
                <w:color w:val="auto"/>
              </w:rPr>
              <w:t>26</w:t>
            </w:r>
          </w:p>
        </w:tc>
        <w:tc>
          <w:tcPr>
            <w:tcW w:w="220" w:type="dxa"/>
            <w:vAlign w:val="bottom"/>
          </w:tcPr>
          <w:p>
            <w:pPr>
              <w:spacing w:after="0"/>
              <w:rPr>
                <w:sz w:val="14"/>
                <w:szCs w:val="14"/>
                <w:color w:val="auto"/>
              </w:rPr>
            </w:pPr>
          </w:p>
        </w:tc>
        <w:tc>
          <w:tcPr>
            <w:tcW w:w="820" w:type="dxa"/>
            <w:vAlign w:val="bottom"/>
          </w:tcPr>
          <w:p>
            <w:pPr>
              <w:jc w:val="right"/>
              <w:spacing w:after="0"/>
              <w:rPr>
                <w:sz w:val="20"/>
                <w:szCs w:val="20"/>
                <w:color w:val="auto"/>
              </w:rPr>
            </w:pPr>
            <w:r>
              <w:rPr>
                <w:rFonts w:ascii="Arial" w:cs="Arial" w:eastAsia="Arial" w:hAnsi="Arial"/>
                <w:sz w:val="14"/>
                <w:szCs w:val="14"/>
                <w:color w:val="auto"/>
              </w:rPr>
              <w:t>28</w:t>
            </w:r>
          </w:p>
        </w:tc>
        <w:tc>
          <w:tcPr>
            <w:tcW w:w="220" w:type="dxa"/>
            <w:vAlign w:val="bottom"/>
          </w:tcPr>
          <w:p>
            <w:pPr>
              <w:spacing w:after="0"/>
              <w:rPr>
                <w:sz w:val="14"/>
                <w:szCs w:val="14"/>
                <w:color w:val="auto"/>
              </w:rPr>
            </w:pPr>
          </w:p>
        </w:tc>
        <w:tc>
          <w:tcPr>
            <w:tcW w:w="1040" w:type="dxa"/>
            <w:vAlign w:val="bottom"/>
          </w:tcPr>
          <w:p>
            <w:pPr>
              <w:jc w:val="right"/>
              <w:spacing w:after="0"/>
              <w:rPr>
                <w:sz w:val="20"/>
                <w:szCs w:val="20"/>
                <w:color w:val="auto"/>
              </w:rPr>
            </w:pPr>
            <w:r>
              <w:rPr>
                <w:rFonts w:ascii="Arial" w:cs="Arial" w:eastAsia="Arial" w:hAnsi="Arial"/>
                <w:sz w:val="14"/>
                <w:szCs w:val="14"/>
                <w:color w:val="auto"/>
              </w:rPr>
              <w:t>6</w:t>
            </w:r>
          </w:p>
        </w:tc>
        <w:tc>
          <w:tcPr>
            <w:tcW w:w="1460" w:type="dxa"/>
            <w:vAlign w:val="bottom"/>
            <w:gridSpan w:val="2"/>
          </w:tcPr>
          <w:p>
            <w:pPr>
              <w:jc w:val="center"/>
              <w:ind w:left="132"/>
              <w:spacing w:after="0"/>
              <w:rPr>
                <w:sz w:val="20"/>
                <w:szCs w:val="20"/>
                <w:color w:val="auto"/>
              </w:rPr>
            </w:pPr>
            <w:r>
              <w:rPr>
                <w:rFonts w:ascii="Arial" w:cs="Arial" w:eastAsia="Arial" w:hAnsi="Arial"/>
                <w:sz w:val="14"/>
                <w:szCs w:val="14"/>
                <w:color w:val="auto"/>
                <w:w w:val="88"/>
              </w:rPr>
              <w:t>$421 - $623</w:t>
            </w:r>
          </w:p>
        </w:tc>
      </w:tr>
      <w:tr>
        <w:trPr>
          <w:trHeight w:val="162"/>
        </w:trPr>
        <w:tc>
          <w:tcPr>
            <w:tcW w:w="3660" w:type="dxa"/>
            <w:vAlign w:val="bottom"/>
            <w:gridSpan w:val="2"/>
            <w:shd w:val="clear" w:color="auto" w:fill="CFF0FC"/>
          </w:tcPr>
          <w:p>
            <w:pPr>
              <w:ind w:left="380"/>
              <w:spacing w:after="0"/>
              <w:rPr>
                <w:sz w:val="20"/>
                <w:szCs w:val="20"/>
                <w:color w:val="auto"/>
              </w:rPr>
            </w:pPr>
            <w:r>
              <w:rPr>
                <w:rFonts w:ascii="Arial" w:cs="Arial" w:eastAsia="Arial" w:hAnsi="Arial"/>
                <w:sz w:val="14"/>
                <w:szCs w:val="14"/>
                <w:color w:val="auto"/>
              </w:rPr>
              <w:t>Texas Casual Cottages - Round Top</w:t>
            </w:r>
          </w:p>
        </w:tc>
        <w:tc>
          <w:tcPr>
            <w:tcW w:w="960" w:type="dxa"/>
            <w:vAlign w:val="bottom"/>
            <w:shd w:val="clear" w:color="auto" w:fill="CFF0FC"/>
          </w:tcPr>
          <w:p>
            <w:pPr>
              <w:jc w:val="center"/>
              <w:spacing w:after="0"/>
              <w:rPr>
                <w:sz w:val="20"/>
                <w:szCs w:val="20"/>
                <w:color w:val="auto"/>
              </w:rPr>
            </w:pPr>
            <w:r>
              <w:rPr>
                <w:rFonts w:ascii="Arial" w:cs="Arial" w:eastAsia="Arial" w:hAnsi="Arial"/>
                <w:sz w:val="14"/>
                <w:szCs w:val="14"/>
                <w:color w:val="auto"/>
                <w:w w:val="83"/>
              </w:rPr>
              <w:t>2010</w:t>
            </w:r>
          </w:p>
        </w:tc>
        <w:tc>
          <w:tcPr>
            <w:tcW w:w="100" w:type="dxa"/>
            <w:vAlign w:val="bottom"/>
            <w:shd w:val="clear" w:color="auto" w:fill="CFF0FC"/>
          </w:tcPr>
          <w:p>
            <w:pPr>
              <w:spacing w:after="0"/>
              <w:rPr>
                <w:sz w:val="14"/>
                <w:szCs w:val="14"/>
                <w:color w:val="auto"/>
              </w:rPr>
            </w:pPr>
          </w:p>
        </w:tc>
        <w:tc>
          <w:tcPr>
            <w:tcW w:w="820" w:type="dxa"/>
            <w:vAlign w:val="bottom"/>
            <w:shd w:val="clear" w:color="auto" w:fill="CFF0FC"/>
          </w:tcPr>
          <w:p>
            <w:pPr>
              <w:jc w:val="right"/>
              <w:spacing w:after="0"/>
              <w:rPr>
                <w:sz w:val="20"/>
                <w:szCs w:val="20"/>
                <w:color w:val="auto"/>
              </w:rPr>
            </w:pPr>
            <w:r>
              <w:rPr>
                <w:rFonts w:ascii="Arial" w:cs="Arial" w:eastAsia="Arial" w:hAnsi="Arial"/>
                <w:sz w:val="14"/>
                <w:szCs w:val="14"/>
                <w:color w:val="auto"/>
              </w:rPr>
              <w:t>78</w:t>
            </w:r>
          </w:p>
        </w:tc>
        <w:tc>
          <w:tcPr>
            <w:tcW w:w="200" w:type="dxa"/>
            <w:vAlign w:val="bottom"/>
            <w:shd w:val="clear" w:color="auto" w:fill="CFF0FC"/>
          </w:tcPr>
          <w:p>
            <w:pPr>
              <w:spacing w:after="0"/>
              <w:rPr>
                <w:sz w:val="14"/>
                <w:szCs w:val="14"/>
                <w:color w:val="auto"/>
              </w:rPr>
            </w:pPr>
          </w:p>
        </w:tc>
        <w:tc>
          <w:tcPr>
            <w:tcW w:w="900" w:type="dxa"/>
            <w:vAlign w:val="bottom"/>
            <w:shd w:val="clear" w:color="auto" w:fill="CFF0FC"/>
          </w:tcPr>
          <w:p>
            <w:pPr>
              <w:jc w:val="right"/>
              <w:spacing w:after="0"/>
              <w:rPr>
                <w:sz w:val="20"/>
                <w:szCs w:val="20"/>
                <w:color w:val="auto"/>
              </w:rPr>
            </w:pPr>
            <w:r>
              <w:rPr>
                <w:rFonts w:ascii="Arial" w:cs="Arial" w:eastAsia="Arial" w:hAnsi="Arial"/>
                <w:sz w:val="14"/>
                <w:szCs w:val="14"/>
                <w:color w:val="auto"/>
              </w:rPr>
              <w:t>66</w:t>
            </w:r>
          </w:p>
        </w:tc>
        <w:tc>
          <w:tcPr>
            <w:tcW w:w="220" w:type="dxa"/>
            <w:vAlign w:val="bottom"/>
            <w:shd w:val="clear" w:color="auto" w:fill="CFF0FC"/>
          </w:tcPr>
          <w:p>
            <w:pPr>
              <w:spacing w:after="0"/>
              <w:rPr>
                <w:sz w:val="14"/>
                <w:szCs w:val="14"/>
                <w:color w:val="auto"/>
              </w:rPr>
            </w:pPr>
          </w:p>
        </w:tc>
        <w:tc>
          <w:tcPr>
            <w:tcW w:w="800" w:type="dxa"/>
            <w:vAlign w:val="bottom"/>
            <w:shd w:val="clear" w:color="auto" w:fill="CFF0FC"/>
          </w:tcPr>
          <w:p>
            <w:pPr>
              <w:jc w:val="right"/>
              <w:spacing w:after="0"/>
              <w:rPr>
                <w:sz w:val="20"/>
                <w:szCs w:val="20"/>
                <w:color w:val="auto"/>
              </w:rPr>
            </w:pPr>
            <w:r>
              <w:rPr>
                <w:rFonts w:ascii="Arial" w:cs="Arial" w:eastAsia="Arial" w:hAnsi="Arial"/>
                <w:sz w:val="14"/>
                <w:szCs w:val="14"/>
                <w:color w:val="auto"/>
              </w:rPr>
              <w:t>12</w:t>
            </w:r>
          </w:p>
        </w:tc>
        <w:tc>
          <w:tcPr>
            <w:tcW w:w="220" w:type="dxa"/>
            <w:vAlign w:val="bottom"/>
            <w:shd w:val="clear" w:color="auto" w:fill="CFF0FC"/>
          </w:tcPr>
          <w:p>
            <w:pPr>
              <w:spacing w:after="0"/>
              <w:rPr>
                <w:sz w:val="14"/>
                <w:szCs w:val="14"/>
                <w:color w:val="auto"/>
              </w:rPr>
            </w:pPr>
          </w:p>
        </w:tc>
        <w:tc>
          <w:tcPr>
            <w:tcW w:w="820" w:type="dxa"/>
            <w:vAlign w:val="bottom"/>
            <w:shd w:val="clear" w:color="auto" w:fill="CFF0FC"/>
          </w:tcPr>
          <w:p>
            <w:pPr>
              <w:jc w:val="right"/>
              <w:spacing w:after="0"/>
              <w:rPr>
                <w:sz w:val="20"/>
                <w:szCs w:val="20"/>
                <w:color w:val="auto"/>
              </w:rPr>
            </w:pPr>
            <w:r>
              <w:rPr>
                <w:rFonts w:ascii="Arial" w:cs="Arial" w:eastAsia="Arial" w:hAnsi="Arial"/>
                <w:sz w:val="14"/>
                <w:szCs w:val="14"/>
                <w:color w:val="auto"/>
              </w:rPr>
              <w:t>26</w:t>
            </w:r>
          </w:p>
        </w:tc>
        <w:tc>
          <w:tcPr>
            <w:tcW w:w="220" w:type="dxa"/>
            <w:vAlign w:val="bottom"/>
            <w:shd w:val="clear" w:color="auto" w:fill="CFF0FC"/>
          </w:tcPr>
          <w:p>
            <w:pPr>
              <w:spacing w:after="0"/>
              <w:rPr>
                <w:sz w:val="14"/>
                <w:szCs w:val="14"/>
                <w:color w:val="auto"/>
              </w:rPr>
            </w:pPr>
          </w:p>
        </w:tc>
        <w:tc>
          <w:tcPr>
            <w:tcW w:w="1040" w:type="dxa"/>
            <w:vAlign w:val="bottom"/>
            <w:shd w:val="clear" w:color="auto" w:fill="CFF0FC"/>
          </w:tcPr>
          <w:p>
            <w:pPr>
              <w:jc w:val="right"/>
              <w:spacing w:after="0"/>
              <w:rPr>
                <w:sz w:val="20"/>
                <w:szCs w:val="20"/>
                <w:color w:val="auto"/>
              </w:rPr>
            </w:pPr>
            <w:r>
              <w:rPr>
                <w:rFonts w:ascii="Arial" w:cs="Arial" w:eastAsia="Arial" w:hAnsi="Arial"/>
                <w:sz w:val="14"/>
                <w:szCs w:val="14"/>
                <w:color w:val="auto"/>
              </w:rPr>
              <w:t>4</w:t>
            </w:r>
          </w:p>
        </w:tc>
        <w:tc>
          <w:tcPr>
            <w:tcW w:w="1460" w:type="dxa"/>
            <w:vAlign w:val="bottom"/>
            <w:gridSpan w:val="2"/>
            <w:shd w:val="clear" w:color="auto" w:fill="CFF0FC"/>
          </w:tcPr>
          <w:p>
            <w:pPr>
              <w:jc w:val="center"/>
              <w:ind w:left="132"/>
              <w:spacing w:after="0"/>
              <w:rPr>
                <w:sz w:val="20"/>
                <w:szCs w:val="20"/>
                <w:color w:val="auto"/>
              </w:rPr>
            </w:pPr>
            <w:r>
              <w:rPr>
                <w:rFonts w:ascii="Arial" w:cs="Arial" w:eastAsia="Arial" w:hAnsi="Arial"/>
                <w:sz w:val="14"/>
                <w:szCs w:val="14"/>
                <w:color w:val="auto"/>
                <w:w w:val="88"/>
              </w:rPr>
              <w:t>$200 - $443</w:t>
            </w:r>
          </w:p>
        </w:tc>
      </w:tr>
      <w:tr>
        <w:trPr>
          <w:trHeight w:val="162"/>
        </w:trPr>
        <w:tc>
          <w:tcPr>
            <w:tcW w:w="3660" w:type="dxa"/>
            <w:vAlign w:val="bottom"/>
            <w:gridSpan w:val="2"/>
          </w:tcPr>
          <w:p>
            <w:pPr>
              <w:ind w:left="380"/>
              <w:spacing w:after="0"/>
              <w:rPr>
                <w:sz w:val="20"/>
                <w:szCs w:val="20"/>
                <w:color w:val="auto"/>
              </w:rPr>
            </w:pPr>
            <w:r>
              <w:rPr>
                <w:rFonts w:ascii="Arial" w:cs="Arial" w:eastAsia="Arial" w:hAnsi="Arial"/>
                <w:sz w:val="14"/>
                <w:szCs w:val="14"/>
                <w:color w:val="auto"/>
              </w:rPr>
              <w:t>Texas Casual Cottages - Hill Country</w:t>
            </w:r>
          </w:p>
        </w:tc>
        <w:tc>
          <w:tcPr>
            <w:tcW w:w="960" w:type="dxa"/>
            <w:vAlign w:val="bottom"/>
          </w:tcPr>
          <w:p>
            <w:pPr>
              <w:jc w:val="center"/>
              <w:spacing w:after="0"/>
              <w:rPr>
                <w:sz w:val="20"/>
                <w:szCs w:val="20"/>
                <w:color w:val="auto"/>
              </w:rPr>
            </w:pPr>
            <w:r>
              <w:rPr>
                <w:rFonts w:ascii="Arial" w:cs="Arial" w:eastAsia="Arial" w:hAnsi="Arial"/>
                <w:sz w:val="14"/>
                <w:szCs w:val="14"/>
                <w:color w:val="auto"/>
                <w:w w:val="83"/>
              </w:rPr>
              <w:t>2012</w:t>
            </w:r>
          </w:p>
        </w:tc>
        <w:tc>
          <w:tcPr>
            <w:tcW w:w="100" w:type="dxa"/>
            <w:vAlign w:val="bottom"/>
          </w:tcPr>
          <w:p>
            <w:pPr>
              <w:spacing w:after="0"/>
              <w:rPr>
                <w:sz w:val="14"/>
                <w:szCs w:val="14"/>
                <w:color w:val="auto"/>
              </w:rPr>
            </w:pPr>
          </w:p>
        </w:tc>
        <w:tc>
          <w:tcPr>
            <w:tcW w:w="820" w:type="dxa"/>
            <w:vAlign w:val="bottom"/>
          </w:tcPr>
          <w:p>
            <w:pPr>
              <w:jc w:val="right"/>
              <w:spacing w:after="0"/>
              <w:rPr>
                <w:sz w:val="20"/>
                <w:szCs w:val="20"/>
                <w:color w:val="auto"/>
              </w:rPr>
            </w:pPr>
            <w:r>
              <w:rPr>
                <w:rFonts w:ascii="Arial" w:cs="Arial" w:eastAsia="Arial" w:hAnsi="Arial"/>
                <w:sz w:val="14"/>
                <w:szCs w:val="14"/>
                <w:color w:val="auto"/>
              </w:rPr>
              <w:t>45</w:t>
            </w:r>
          </w:p>
        </w:tc>
        <w:tc>
          <w:tcPr>
            <w:tcW w:w="200" w:type="dxa"/>
            <w:vAlign w:val="bottom"/>
          </w:tcPr>
          <w:p>
            <w:pPr>
              <w:spacing w:after="0"/>
              <w:rPr>
                <w:sz w:val="14"/>
                <w:szCs w:val="14"/>
                <w:color w:val="auto"/>
              </w:rPr>
            </w:pPr>
          </w:p>
        </w:tc>
        <w:tc>
          <w:tcPr>
            <w:tcW w:w="900" w:type="dxa"/>
            <w:vAlign w:val="bottom"/>
          </w:tcPr>
          <w:p>
            <w:pPr>
              <w:jc w:val="right"/>
              <w:spacing w:after="0"/>
              <w:rPr>
                <w:sz w:val="20"/>
                <w:szCs w:val="20"/>
                <w:color w:val="auto"/>
              </w:rPr>
            </w:pPr>
            <w:r>
              <w:rPr>
                <w:rFonts w:ascii="Arial" w:cs="Arial" w:eastAsia="Arial" w:hAnsi="Arial"/>
                <w:sz w:val="14"/>
                <w:szCs w:val="14"/>
                <w:color w:val="auto"/>
              </w:rPr>
              <w:t>37</w:t>
            </w:r>
          </w:p>
        </w:tc>
        <w:tc>
          <w:tcPr>
            <w:tcW w:w="220" w:type="dxa"/>
            <w:vAlign w:val="bottom"/>
          </w:tcPr>
          <w:p>
            <w:pPr>
              <w:spacing w:after="0"/>
              <w:rPr>
                <w:sz w:val="14"/>
                <w:szCs w:val="14"/>
                <w:color w:val="auto"/>
              </w:rPr>
            </w:pPr>
          </w:p>
        </w:tc>
        <w:tc>
          <w:tcPr>
            <w:tcW w:w="800" w:type="dxa"/>
            <w:vAlign w:val="bottom"/>
          </w:tcPr>
          <w:p>
            <w:pPr>
              <w:jc w:val="right"/>
              <w:spacing w:after="0"/>
              <w:rPr>
                <w:sz w:val="20"/>
                <w:szCs w:val="20"/>
                <w:color w:val="auto"/>
              </w:rPr>
            </w:pPr>
            <w:r>
              <w:rPr>
                <w:rFonts w:ascii="Arial" w:cs="Arial" w:eastAsia="Arial" w:hAnsi="Arial"/>
                <w:sz w:val="14"/>
                <w:szCs w:val="14"/>
                <w:color w:val="auto"/>
              </w:rPr>
              <w:t>8</w:t>
            </w:r>
          </w:p>
        </w:tc>
        <w:tc>
          <w:tcPr>
            <w:tcW w:w="220" w:type="dxa"/>
            <w:vAlign w:val="bottom"/>
          </w:tcPr>
          <w:p>
            <w:pPr>
              <w:spacing w:after="0"/>
              <w:rPr>
                <w:sz w:val="14"/>
                <w:szCs w:val="14"/>
                <w:color w:val="auto"/>
              </w:rPr>
            </w:pPr>
          </w:p>
        </w:tc>
        <w:tc>
          <w:tcPr>
            <w:tcW w:w="820" w:type="dxa"/>
            <w:vAlign w:val="bottom"/>
          </w:tcPr>
          <w:p>
            <w:pPr>
              <w:jc w:val="right"/>
              <w:spacing w:after="0"/>
              <w:rPr>
                <w:sz w:val="20"/>
                <w:szCs w:val="20"/>
                <w:color w:val="auto"/>
              </w:rPr>
            </w:pPr>
            <w:r>
              <w:rPr>
                <w:rFonts w:ascii="Arial" w:cs="Arial" w:eastAsia="Arial" w:hAnsi="Arial"/>
                <w:sz w:val="14"/>
                <w:szCs w:val="14"/>
                <w:color w:val="auto"/>
              </w:rPr>
              <w:t>10</w:t>
            </w:r>
          </w:p>
        </w:tc>
        <w:tc>
          <w:tcPr>
            <w:tcW w:w="220" w:type="dxa"/>
            <w:vAlign w:val="bottom"/>
          </w:tcPr>
          <w:p>
            <w:pPr>
              <w:spacing w:after="0"/>
              <w:rPr>
                <w:sz w:val="14"/>
                <w:szCs w:val="14"/>
                <w:color w:val="auto"/>
              </w:rPr>
            </w:pPr>
          </w:p>
        </w:tc>
        <w:tc>
          <w:tcPr>
            <w:tcW w:w="1040" w:type="dxa"/>
            <w:vAlign w:val="bottom"/>
          </w:tcPr>
          <w:p>
            <w:pPr>
              <w:jc w:val="right"/>
              <w:spacing w:after="0"/>
              <w:rPr>
                <w:sz w:val="20"/>
                <w:szCs w:val="20"/>
                <w:color w:val="auto"/>
              </w:rPr>
            </w:pPr>
            <w:r>
              <w:rPr>
                <w:rFonts w:ascii="Arial" w:cs="Arial" w:eastAsia="Arial" w:hAnsi="Arial"/>
                <w:sz w:val="14"/>
                <w:szCs w:val="14"/>
                <w:color w:val="auto"/>
              </w:rPr>
              <w:t>1</w:t>
            </w:r>
          </w:p>
        </w:tc>
        <w:tc>
          <w:tcPr>
            <w:tcW w:w="1460" w:type="dxa"/>
            <w:vAlign w:val="bottom"/>
            <w:gridSpan w:val="2"/>
          </w:tcPr>
          <w:p>
            <w:pPr>
              <w:jc w:val="center"/>
              <w:ind w:left="132"/>
              <w:spacing w:after="0"/>
              <w:rPr>
                <w:sz w:val="20"/>
                <w:szCs w:val="20"/>
                <w:color w:val="auto"/>
              </w:rPr>
            </w:pPr>
            <w:r>
              <w:rPr>
                <w:rFonts w:ascii="Arial" w:cs="Arial" w:eastAsia="Arial" w:hAnsi="Arial"/>
                <w:sz w:val="14"/>
                <w:szCs w:val="14"/>
                <w:color w:val="auto"/>
                <w:w w:val="88"/>
              </w:rPr>
              <w:t>$209 - $463</w:t>
            </w:r>
          </w:p>
        </w:tc>
      </w:tr>
      <w:tr>
        <w:trPr>
          <w:trHeight w:val="162"/>
        </w:trPr>
        <w:tc>
          <w:tcPr>
            <w:tcW w:w="3660" w:type="dxa"/>
            <w:vAlign w:val="bottom"/>
            <w:gridSpan w:val="2"/>
            <w:shd w:val="clear" w:color="auto" w:fill="CFF0FC"/>
          </w:tcPr>
          <w:p>
            <w:pPr>
              <w:spacing w:after="0"/>
              <w:rPr>
                <w:sz w:val="20"/>
                <w:szCs w:val="20"/>
                <w:color w:val="auto"/>
              </w:rPr>
            </w:pPr>
            <w:r>
              <w:rPr>
                <w:rFonts w:ascii="Arial" w:cs="Arial" w:eastAsia="Arial" w:hAnsi="Arial"/>
                <w:sz w:val="14"/>
                <w:szCs w:val="14"/>
                <w:color w:val="auto"/>
              </w:rPr>
              <w:t>Closed Communities:</w:t>
            </w:r>
          </w:p>
        </w:tc>
        <w:tc>
          <w:tcPr>
            <w:tcW w:w="960" w:type="dxa"/>
            <w:vAlign w:val="bottom"/>
            <w:shd w:val="clear" w:color="auto" w:fill="CFF0FC"/>
          </w:tcPr>
          <w:p>
            <w:pPr>
              <w:spacing w:after="0"/>
              <w:rPr>
                <w:sz w:val="14"/>
                <w:szCs w:val="14"/>
                <w:color w:val="auto"/>
              </w:rPr>
            </w:pPr>
          </w:p>
        </w:tc>
        <w:tc>
          <w:tcPr>
            <w:tcW w:w="100" w:type="dxa"/>
            <w:vAlign w:val="bottom"/>
            <w:shd w:val="clear" w:color="auto" w:fill="CFF0FC"/>
          </w:tcPr>
          <w:p>
            <w:pPr>
              <w:spacing w:after="0"/>
              <w:rPr>
                <w:sz w:val="14"/>
                <w:szCs w:val="14"/>
                <w:color w:val="auto"/>
              </w:rPr>
            </w:pPr>
          </w:p>
        </w:tc>
        <w:tc>
          <w:tcPr>
            <w:tcW w:w="820" w:type="dxa"/>
            <w:vAlign w:val="bottom"/>
            <w:shd w:val="clear" w:color="auto" w:fill="CFF0FC"/>
          </w:tcPr>
          <w:p>
            <w:pPr>
              <w:spacing w:after="0"/>
              <w:rPr>
                <w:sz w:val="14"/>
                <w:szCs w:val="14"/>
                <w:color w:val="auto"/>
              </w:rPr>
            </w:pPr>
          </w:p>
        </w:tc>
        <w:tc>
          <w:tcPr>
            <w:tcW w:w="200" w:type="dxa"/>
            <w:vAlign w:val="bottom"/>
            <w:shd w:val="clear" w:color="auto" w:fill="CFF0FC"/>
          </w:tcPr>
          <w:p>
            <w:pPr>
              <w:spacing w:after="0"/>
              <w:rPr>
                <w:sz w:val="14"/>
                <w:szCs w:val="14"/>
                <w:color w:val="auto"/>
              </w:rPr>
            </w:pPr>
          </w:p>
        </w:tc>
        <w:tc>
          <w:tcPr>
            <w:tcW w:w="900" w:type="dxa"/>
            <w:vAlign w:val="bottom"/>
            <w:shd w:val="clear" w:color="auto" w:fill="CFF0FC"/>
          </w:tcPr>
          <w:p>
            <w:pPr>
              <w:spacing w:after="0"/>
              <w:rPr>
                <w:sz w:val="14"/>
                <w:szCs w:val="14"/>
                <w:color w:val="auto"/>
              </w:rPr>
            </w:pPr>
          </w:p>
        </w:tc>
        <w:tc>
          <w:tcPr>
            <w:tcW w:w="220" w:type="dxa"/>
            <w:vAlign w:val="bottom"/>
            <w:shd w:val="clear" w:color="auto" w:fill="CFF0FC"/>
          </w:tcPr>
          <w:p>
            <w:pPr>
              <w:spacing w:after="0"/>
              <w:rPr>
                <w:sz w:val="14"/>
                <w:szCs w:val="14"/>
                <w:color w:val="auto"/>
              </w:rPr>
            </w:pPr>
          </w:p>
        </w:tc>
        <w:tc>
          <w:tcPr>
            <w:tcW w:w="800" w:type="dxa"/>
            <w:vAlign w:val="bottom"/>
            <w:shd w:val="clear" w:color="auto" w:fill="CFF0FC"/>
          </w:tcPr>
          <w:p>
            <w:pPr>
              <w:spacing w:after="0"/>
              <w:rPr>
                <w:sz w:val="14"/>
                <w:szCs w:val="14"/>
                <w:color w:val="auto"/>
              </w:rPr>
            </w:pPr>
          </w:p>
        </w:tc>
        <w:tc>
          <w:tcPr>
            <w:tcW w:w="220" w:type="dxa"/>
            <w:vAlign w:val="bottom"/>
            <w:shd w:val="clear" w:color="auto" w:fill="CFF0FC"/>
          </w:tcPr>
          <w:p>
            <w:pPr>
              <w:spacing w:after="0"/>
              <w:rPr>
                <w:sz w:val="14"/>
                <w:szCs w:val="14"/>
                <w:color w:val="auto"/>
              </w:rPr>
            </w:pPr>
          </w:p>
        </w:tc>
        <w:tc>
          <w:tcPr>
            <w:tcW w:w="820" w:type="dxa"/>
            <w:vAlign w:val="bottom"/>
            <w:shd w:val="clear" w:color="auto" w:fill="CFF0FC"/>
          </w:tcPr>
          <w:p>
            <w:pPr>
              <w:spacing w:after="0"/>
              <w:rPr>
                <w:sz w:val="14"/>
                <w:szCs w:val="14"/>
                <w:color w:val="auto"/>
              </w:rPr>
            </w:pPr>
          </w:p>
        </w:tc>
        <w:tc>
          <w:tcPr>
            <w:tcW w:w="220" w:type="dxa"/>
            <w:vAlign w:val="bottom"/>
            <w:shd w:val="clear" w:color="auto" w:fill="CFF0FC"/>
          </w:tcPr>
          <w:p>
            <w:pPr>
              <w:spacing w:after="0"/>
              <w:rPr>
                <w:sz w:val="14"/>
                <w:szCs w:val="14"/>
                <w:color w:val="auto"/>
              </w:rPr>
            </w:pPr>
          </w:p>
        </w:tc>
        <w:tc>
          <w:tcPr>
            <w:tcW w:w="1040" w:type="dxa"/>
            <w:vAlign w:val="bottom"/>
            <w:shd w:val="clear" w:color="auto" w:fill="CFF0FC"/>
          </w:tcPr>
          <w:p>
            <w:pPr>
              <w:spacing w:after="0"/>
              <w:rPr>
                <w:sz w:val="14"/>
                <w:szCs w:val="14"/>
                <w:color w:val="auto"/>
              </w:rPr>
            </w:pPr>
          </w:p>
        </w:tc>
        <w:tc>
          <w:tcPr>
            <w:tcW w:w="220" w:type="dxa"/>
            <w:vAlign w:val="bottom"/>
            <w:shd w:val="clear" w:color="auto" w:fill="CFF0FC"/>
          </w:tcPr>
          <w:p>
            <w:pPr>
              <w:spacing w:after="0"/>
              <w:rPr>
                <w:sz w:val="14"/>
                <w:szCs w:val="14"/>
                <w:color w:val="auto"/>
              </w:rPr>
            </w:pPr>
          </w:p>
        </w:tc>
        <w:tc>
          <w:tcPr>
            <w:tcW w:w="1240" w:type="dxa"/>
            <w:vAlign w:val="bottom"/>
            <w:shd w:val="clear" w:color="auto" w:fill="CFF0FC"/>
          </w:tcPr>
          <w:p>
            <w:pPr>
              <w:spacing w:after="0"/>
              <w:rPr>
                <w:sz w:val="14"/>
                <w:szCs w:val="14"/>
                <w:color w:val="auto"/>
              </w:rPr>
            </w:pPr>
          </w:p>
        </w:tc>
      </w:tr>
      <w:tr>
        <w:trPr>
          <w:trHeight w:val="162"/>
        </w:trPr>
        <w:tc>
          <w:tcPr>
            <w:tcW w:w="3660" w:type="dxa"/>
            <w:vAlign w:val="bottom"/>
            <w:tcBorders>
              <w:bottom w:val="single" w:sz="8" w:color="CFF0FC"/>
            </w:tcBorders>
            <w:gridSpan w:val="2"/>
          </w:tcPr>
          <w:p>
            <w:pPr>
              <w:ind w:left="380"/>
              <w:spacing w:after="0"/>
              <w:rPr>
                <w:sz w:val="20"/>
                <w:szCs w:val="20"/>
                <w:color w:val="auto"/>
              </w:rPr>
            </w:pPr>
            <w:r>
              <w:rPr>
                <w:rFonts w:ascii="Arial" w:cs="Arial" w:eastAsia="Arial" w:hAnsi="Arial"/>
                <w:sz w:val="14"/>
                <w:szCs w:val="14"/>
                <w:color w:val="auto"/>
              </w:rPr>
              <w:t>Riverstone 80'</w:t>
            </w:r>
          </w:p>
        </w:tc>
        <w:tc>
          <w:tcPr>
            <w:tcW w:w="960" w:type="dxa"/>
            <w:vAlign w:val="bottom"/>
            <w:tcBorders>
              <w:bottom w:val="single" w:sz="8" w:color="CFF0FC"/>
            </w:tcBorders>
          </w:tcPr>
          <w:p>
            <w:pPr>
              <w:jc w:val="center"/>
              <w:spacing w:after="0"/>
              <w:rPr>
                <w:sz w:val="20"/>
                <w:szCs w:val="20"/>
                <w:color w:val="auto"/>
              </w:rPr>
            </w:pPr>
            <w:r>
              <w:rPr>
                <w:rFonts w:ascii="Arial" w:cs="Arial" w:eastAsia="Arial" w:hAnsi="Arial"/>
                <w:sz w:val="14"/>
                <w:szCs w:val="14"/>
                <w:color w:val="auto"/>
                <w:w w:val="83"/>
              </w:rPr>
              <w:t>2013</w:t>
            </w:r>
          </w:p>
        </w:tc>
        <w:tc>
          <w:tcPr>
            <w:tcW w:w="100" w:type="dxa"/>
            <w:vAlign w:val="bottom"/>
            <w:tcBorders>
              <w:bottom w:val="single" w:sz="8" w:color="CFF0FC"/>
            </w:tcBorders>
          </w:tcPr>
          <w:p>
            <w:pPr>
              <w:spacing w:after="0"/>
              <w:rPr>
                <w:sz w:val="14"/>
                <w:szCs w:val="14"/>
                <w:color w:val="auto"/>
              </w:rPr>
            </w:pPr>
          </w:p>
        </w:tc>
        <w:tc>
          <w:tcPr>
            <w:tcW w:w="8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50</w:t>
            </w:r>
          </w:p>
        </w:tc>
        <w:tc>
          <w:tcPr>
            <w:tcW w:w="200" w:type="dxa"/>
            <w:vAlign w:val="bottom"/>
            <w:tcBorders>
              <w:bottom w:val="single" w:sz="8" w:color="CFF0FC"/>
            </w:tcBorders>
          </w:tcPr>
          <w:p>
            <w:pPr>
              <w:spacing w:after="0"/>
              <w:rPr>
                <w:sz w:val="14"/>
                <w:szCs w:val="14"/>
                <w:color w:val="auto"/>
              </w:rPr>
            </w:pP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34</w:t>
            </w:r>
          </w:p>
        </w:tc>
        <w:tc>
          <w:tcPr>
            <w:tcW w:w="220" w:type="dxa"/>
            <w:vAlign w:val="bottom"/>
            <w:tcBorders>
              <w:bottom w:val="single" w:sz="8" w:color="CFF0FC"/>
            </w:tcBorders>
          </w:tcPr>
          <w:p>
            <w:pPr>
              <w:spacing w:after="0"/>
              <w:rPr>
                <w:sz w:val="14"/>
                <w:szCs w:val="14"/>
                <w:color w:val="auto"/>
              </w:rPr>
            </w:pP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19</w:t>
            </w:r>
          </w:p>
        </w:tc>
        <w:tc>
          <w:tcPr>
            <w:tcW w:w="220" w:type="dxa"/>
            <w:vAlign w:val="bottom"/>
            <w:tcBorders>
              <w:bottom w:val="single" w:sz="8" w:color="CFF0FC"/>
            </w:tcBorders>
          </w:tcPr>
          <w:p>
            <w:pPr>
              <w:spacing w:after="0"/>
              <w:rPr>
                <w:sz w:val="14"/>
                <w:szCs w:val="14"/>
                <w:color w:val="auto"/>
              </w:rPr>
            </w:pPr>
          </w:p>
        </w:tc>
        <w:tc>
          <w:tcPr>
            <w:tcW w:w="8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17</w:t>
            </w:r>
          </w:p>
        </w:tc>
        <w:tc>
          <w:tcPr>
            <w:tcW w:w="220" w:type="dxa"/>
            <w:vAlign w:val="bottom"/>
            <w:tcBorders>
              <w:bottom w:val="single" w:sz="8" w:color="CFF0FC"/>
            </w:tcBorders>
          </w:tcPr>
          <w:p>
            <w:pPr>
              <w:spacing w:after="0"/>
              <w:rPr>
                <w:sz w:val="14"/>
                <w:szCs w:val="14"/>
                <w:color w:val="auto"/>
              </w:rPr>
            </w:pPr>
          </w:p>
        </w:tc>
        <w:tc>
          <w:tcPr>
            <w:tcW w:w="10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3</w:t>
            </w:r>
          </w:p>
        </w:tc>
        <w:tc>
          <w:tcPr>
            <w:tcW w:w="1460" w:type="dxa"/>
            <w:vAlign w:val="bottom"/>
            <w:tcBorders>
              <w:bottom w:val="single" w:sz="8" w:color="CFF0FC"/>
            </w:tcBorders>
            <w:gridSpan w:val="2"/>
          </w:tcPr>
          <w:p>
            <w:pPr>
              <w:jc w:val="center"/>
              <w:ind w:left="132"/>
              <w:spacing w:after="0"/>
              <w:rPr>
                <w:sz w:val="20"/>
                <w:szCs w:val="20"/>
                <w:color w:val="auto"/>
              </w:rPr>
            </w:pPr>
            <w:r>
              <w:rPr>
                <w:rFonts w:ascii="Arial" w:cs="Arial" w:eastAsia="Arial" w:hAnsi="Arial"/>
                <w:sz w:val="14"/>
                <w:szCs w:val="14"/>
                <w:color w:val="auto"/>
                <w:w w:val="88"/>
              </w:rPr>
              <w:t>$559 - $710</w:t>
            </w:r>
          </w:p>
        </w:tc>
      </w:tr>
      <w:tr>
        <w:trPr>
          <w:trHeight w:val="156"/>
        </w:trPr>
        <w:tc>
          <w:tcPr>
            <w:tcW w:w="3660" w:type="dxa"/>
            <w:vAlign w:val="bottom"/>
            <w:gridSpan w:val="2"/>
            <w:shd w:val="clear" w:color="auto" w:fill="CFF0FC"/>
          </w:tcPr>
          <w:p>
            <w:pPr>
              <w:spacing w:after="0" w:line="155" w:lineRule="exact"/>
              <w:rPr>
                <w:sz w:val="20"/>
                <w:szCs w:val="20"/>
                <w:color w:val="auto"/>
              </w:rPr>
            </w:pPr>
            <w:r>
              <w:rPr>
                <w:rFonts w:ascii="Arial" w:cs="Arial" w:eastAsia="Arial" w:hAnsi="Arial"/>
                <w:sz w:val="14"/>
                <w:szCs w:val="14"/>
                <w:b w:val="1"/>
                <w:bCs w:val="1"/>
                <w:color w:val="auto"/>
              </w:rPr>
              <w:t>Texas Total</w:t>
            </w:r>
          </w:p>
        </w:tc>
        <w:tc>
          <w:tcPr>
            <w:tcW w:w="960" w:type="dxa"/>
            <w:vAlign w:val="bottom"/>
            <w:shd w:val="clear" w:color="auto" w:fill="CFF0FC"/>
          </w:tcPr>
          <w:p>
            <w:pPr>
              <w:spacing w:after="0"/>
              <w:rPr>
                <w:sz w:val="13"/>
                <w:szCs w:val="13"/>
                <w:color w:val="auto"/>
              </w:rPr>
            </w:pPr>
          </w:p>
        </w:tc>
        <w:tc>
          <w:tcPr>
            <w:tcW w:w="100" w:type="dxa"/>
            <w:vAlign w:val="bottom"/>
            <w:shd w:val="clear" w:color="auto" w:fill="CFF0FC"/>
          </w:tcPr>
          <w:p>
            <w:pPr>
              <w:spacing w:after="0"/>
              <w:rPr>
                <w:sz w:val="13"/>
                <w:szCs w:val="13"/>
                <w:color w:val="auto"/>
              </w:rPr>
            </w:pPr>
          </w:p>
        </w:tc>
        <w:tc>
          <w:tcPr>
            <w:tcW w:w="820" w:type="dxa"/>
            <w:vAlign w:val="bottom"/>
            <w:tcBorders>
              <w:bottom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b w:val="1"/>
                <w:bCs w:val="1"/>
                <w:color w:val="auto"/>
              </w:rPr>
              <w:t>2,020</w:t>
            </w:r>
          </w:p>
        </w:tc>
        <w:tc>
          <w:tcPr>
            <w:tcW w:w="200" w:type="dxa"/>
            <w:vAlign w:val="bottom"/>
            <w:shd w:val="clear" w:color="auto" w:fill="CFF0FC"/>
          </w:tcPr>
          <w:p>
            <w:pPr>
              <w:spacing w:after="0"/>
              <w:rPr>
                <w:sz w:val="13"/>
                <w:szCs w:val="13"/>
                <w:color w:val="auto"/>
              </w:rPr>
            </w:pPr>
          </w:p>
        </w:tc>
        <w:tc>
          <w:tcPr>
            <w:tcW w:w="900" w:type="dxa"/>
            <w:vAlign w:val="bottom"/>
            <w:tcBorders>
              <w:bottom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b w:val="1"/>
                <w:bCs w:val="1"/>
                <w:color w:val="auto"/>
              </w:rPr>
              <w:t>1,133</w:t>
            </w:r>
          </w:p>
        </w:tc>
        <w:tc>
          <w:tcPr>
            <w:tcW w:w="220" w:type="dxa"/>
            <w:vAlign w:val="bottom"/>
            <w:shd w:val="clear" w:color="auto" w:fill="CFF0FC"/>
          </w:tcPr>
          <w:p>
            <w:pPr>
              <w:spacing w:after="0"/>
              <w:rPr>
                <w:sz w:val="13"/>
                <w:szCs w:val="13"/>
                <w:color w:val="auto"/>
              </w:rPr>
            </w:pPr>
          </w:p>
        </w:tc>
        <w:tc>
          <w:tcPr>
            <w:tcW w:w="800" w:type="dxa"/>
            <w:vAlign w:val="bottom"/>
            <w:tcBorders>
              <w:bottom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b w:val="1"/>
                <w:bCs w:val="1"/>
                <w:color w:val="auto"/>
              </w:rPr>
              <w:t>896</w:t>
            </w:r>
          </w:p>
        </w:tc>
        <w:tc>
          <w:tcPr>
            <w:tcW w:w="220" w:type="dxa"/>
            <w:vAlign w:val="bottom"/>
            <w:shd w:val="clear" w:color="auto" w:fill="CFF0FC"/>
          </w:tcPr>
          <w:p>
            <w:pPr>
              <w:spacing w:after="0"/>
              <w:rPr>
                <w:sz w:val="13"/>
                <w:szCs w:val="13"/>
                <w:color w:val="auto"/>
              </w:rPr>
            </w:pPr>
          </w:p>
        </w:tc>
        <w:tc>
          <w:tcPr>
            <w:tcW w:w="820" w:type="dxa"/>
            <w:vAlign w:val="bottom"/>
            <w:tcBorders>
              <w:bottom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b w:val="1"/>
                <w:bCs w:val="1"/>
                <w:color w:val="auto"/>
              </w:rPr>
              <w:t>242</w:t>
            </w:r>
          </w:p>
        </w:tc>
        <w:tc>
          <w:tcPr>
            <w:tcW w:w="220" w:type="dxa"/>
            <w:vAlign w:val="bottom"/>
            <w:shd w:val="clear" w:color="auto" w:fill="CFF0FC"/>
          </w:tcPr>
          <w:p>
            <w:pPr>
              <w:spacing w:after="0"/>
              <w:rPr>
                <w:sz w:val="13"/>
                <w:szCs w:val="13"/>
                <w:color w:val="auto"/>
              </w:rPr>
            </w:pPr>
          </w:p>
        </w:tc>
        <w:tc>
          <w:tcPr>
            <w:tcW w:w="1040" w:type="dxa"/>
            <w:vAlign w:val="bottom"/>
            <w:tcBorders>
              <w:bottom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b w:val="1"/>
                <w:bCs w:val="1"/>
                <w:color w:val="auto"/>
              </w:rPr>
              <w:t>108</w:t>
            </w:r>
          </w:p>
        </w:tc>
        <w:tc>
          <w:tcPr>
            <w:tcW w:w="220" w:type="dxa"/>
            <w:vAlign w:val="bottom"/>
            <w:shd w:val="clear" w:color="auto" w:fill="CFF0FC"/>
          </w:tcPr>
          <w:p>
            <w:pPr>
              <w:spacing w:after="0"/>
              <w:rPr>
                <w:sz w:val="13"/>
                <w:szCs w:val="13"/>
                <w:color w:val="auto"/>
              </w:rPr>
            </w:pPr>
          </w:p>
        </w:tc>
        <w:tc>
          <w:tcPr>
            <w:tcW w:w="1240" w:type="dxa"/>
            <w:vAlign w:val="bottom"/>
            <w:shd w:val="clear" w:color="auto" w:fill="CFF0FC"/>
          </w:tcPr>
          <w:p>
            <w:pPr>
              <w:spacing w:after="0"/>
              <w:rPr>
                <w:sz w:val="13"/>
                <w:szCs w:val="13"/>
                <w:color w:val="auto"/>
              </w:rPr>
            </w:pPr>
          </w:p>
        </w:tc>
      </w:tr>
      <w:tr>
        <w:trPr>
          <w:trHeight w:val="156"/>
        </w:trPr>
        <w:tc>
          <w:tcPr>
            <w:tcW w:w="3660" w:type="dxa"/>
            <w:vAlign w:val="bottom"/>
            <w:gridSpan w:val="2"/>
          </w:tcPr>
          <w:p>
            <w:pPr>
              <w:spacing w:after="0" w:line="155" w:lineRule="exact"/>
              <w:rPr>
                <w:sz w:val="20"/>
                <w:szCs w:val="20"/>
                <w:color w:val="auto"/>
              </w:rPr>
            </w:pPr>
            <w:r>
              <w:rPr>
                <w:rFonts w:ascii="Arial" w:cs="Arial" w:eastAsia="Arial" w:hAnsi="Arial"/>
                <w:sz w:val="14"/>
                <w:szCs w:val="14"/>
                <w:b w:val="1"/>
                <w:bCs w:val="1"/>
                <w:color w:val="auto"/>
              </w:rPr>
              <w:t>Trendmaker Total</w:t>
            </w:r>
          </w:p>
        </w:tc>
        <w:tc>
          <w:tcPr>
            <w:tcW w:w="9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820" w:type="dxa"/>
            <w:vAlign w:val="bottom"/>
            <w:tcBorders>
              <w:bottom w:val="single" w:sz="8" w:color="auto"/>
            </w:tcBorders>
          </w:tcPr>
          <w:p>
            <w:pPr>
              <w:jc w:val="right"/>
              <w:spacing w:after="0" w:line="155" w:lineRule="exact"/>
              <w:rPr>
                <w:sz w:val="20"/>
                <w:szCs w:val="20"/>
                <w:color w:val="auto"/>
              </w:rPr>
            </w:pPr>
            <w:r>
              <w:rPr>
                <w:rFonts w:ascii="Arial" w:cs="Arial" w:eastAsia="Arial" w:hAnsi="Arial"/>
                <w:sz w:val="14"/>
                <w:szCs w:val="14"/>
                <w:b w:val="1"/>
                <w:bCs w:val="1"/>
                <w:color w:val="auto"/>
              </w:rPr>
              <w:t>2,020</w:t>
            </w:r>
          </w:p>
        </w:tc>
        <w:tc>
          <w:tcPr>
            <w:tcW w:w="200" w:type="dxa"/>
            <w:vAlign w:val="bottom"/>
          </w:tcPr>
          <w:p>
            <w:pPr>
              <w:spacing w:after="0"/>
              <w:rPr>
                <w:sz w:val="13"/>
                <w:szCs w:val="13"/>
                <w:color w:val="auto"/>
              </w:rPr>
            </w:pPr>
          </w:p>
        </w:tc>
        <w:tc>
          <w:tcPr>
            <w:tcW w:w="900" w:type="dxa"/>
            <w:vAlign w:val="bottom"/>
            <w:tcBorders>
              <w:bottom w:val="single" w:sz="8" w:color="auto"/>
            </w:tcBorders>
          </w:tcPr>
          <w:p>
            <w:pPr>
              <w:jc w:val="right"/>
              <w:spacing w:after="0" w:line="155" w:lineRule="exact"/>
              <w:rPr>
                <w:sz w:val="20"/>
                <w:szCs w:val="20"/>
                <w:color w:val="auto"/>
              </w:rPr>
            </w:pPr>
            <w:r>
              <w:rPr>
                <w:rFonts w:ascii="Arial" w:cs="Arial" w:eastAsia="Arial" w:hAnsi="Arial"/>
                <w:sz w:val="14"/>
                <w:szCs w:val="14"/>
                <w:b w:val="1"/>
                <w:bCs w:val="1"/>
                <w:color w:val="auto"/>
              </w:rPr>
              <w:t>1,133</w:t>
            </w:r>
          </w:p>
        </w:tc>
        <w:tc>
          <w:tcPr>
            <w:tcW w:w="220" w:type="dxa"/>
            <w:vAlign w:val="bottom"/>
          </w:tcPr>
          <w:p>
            <w:pPr>
              <w:spacing w:after="0"/>
              <w:rPr>
                <w:sz w:val="13"/>
                <w:szCs w:val="13"/>
                <w:color w:val="auto"/>
              </w:rPr>
            </w:pPr>
          </w:p>
        </w:tc>
        <w:tc>
          <w:tcPr>
            <w:tcW w:w="800" w:type="dxa"/>
            <w:vAlign w:val="bottom"/>
            <w:tcBorders>
              <w:bottom w:val="single" w:sz="8" w:color="auto"/>
            </w:tcBorders>
          </w:tcPr>
          <w:p>
            <w:pPr>
              <w:jc w:val="right"/>
              <w:spacing w:after="0" w:line="155" w:lineRule="exact"/>
              <w:rPr>
                <w:sz w:val="20"/>
                <w:szCs w:val="20"/>
                <w:color w:val="auto"/>
              </w:rPr>
            </w:pPr>
            <w:r>
              <w:rPr>
                <w:rFonts w:ascii="Arial" w:cs="Arial" w:eastAsia="Arial" w:hAnsi="Arial"/>
                <w:sz w:val="14"/>
                <w:szCs w:val="14"/>
                <w:b w:val="1"/>
                <w:bCs w:val="1"/>
                <w:color w:val="auto"/>
              </w:rPr>
              <w:t>896</w:t>
            </w:r>
          </w:p>
        </w:tc>
        <w:tc>
          <w:tcPr>
            <w:tcW w:w="220" w:type="dxa"/>
            <w:vAlign w:val="bottom"/>
          </w:tcPr>
          <w:p>
            <w:pPr>
              <w:spacing w:after="0"/>
              <w:rPr>
                <w:sz w:val="13"/>
                <w:szCs w:val="13"/>
                <w:color w:val="auto"/>
              </w:rPr>
            </w:pPr>
          </w:p>
        </w:tc>
        <w:tc>
          <w:tcPr>
            <w:tcW w:w="820" w:type="dxa"/>
            <w:vAlign w:val="bottom"/>
            <w:tcBorders>
              <w:bottom w:val="single" w:sz="8" w:color="auto"/>
            </w:tcBorders>
          </w:tcPr>
          <w:p>
            <w:pPr>
              <w:jc w:val="right"/>
              <w:spacing w:after="0" w:line="155" w:lineRule="exact"/>
              <w:rPr>
                <w:sz w:val="20"/>
                <w:szCs w:val="20"/>
                <w:color w:val="auto"/>
              </w:rPr>
            </w:pPr>
            <w:r>
              <w:rPr>
                <w:rFonts w:ascii="Arial" w:cs="Arial" w:eastAsia="Arial" w:hAnsi="Arial"/>
                <w:sz w:val="14"/>
                <w:szCs w:val="14"/>
                <w:b w:val="1"/>
                <w:bCs w:val="1"/>
                <w:color w:val="auto"/>
              </w:rPr>
              <w:t>242</w:t>
            </w:r>
          </w:p>
        </w:tc>
        <w:tc>
          <w:tcPr>
            <w:tcW w:w="220" w:type="dxa"/>
            <w:vAlign w:val="bottom"/>
          </w:tcPr>
          <w:p>
            <w:pPr>
              <w:spacing w:after="0"/>
              <w:rPr>
                <w:sz w:val="13"/>
                <w:szCs w:val="13"/>
                <w:color w:val="auto"/>
              </w:rPr>
            </w:pPr>
          </w:p>
        </w:tc>
        <w:tc>
          <w:tcPr>
            <w:tcW w:w="1040" w:type="dxa"/>
            <w:vAlign w:val="bottom"/>
            <w:tcBorders>
              <w:bottom w:val="single" w:sz="8" w:color="auto"/>
            </w:tcBorders>
          </w:tcPr>
          <w:p>
            <w:pPr>
              <w:jc w:val="right"/>
              <w:spacing w:after="0" w:line="155" w:lineRule="exact"/>
              <w:rPr>
                <w:sz w:val="20"/>
                <w:szCs w:val="20"/>
                <w:color w:val="auto"/>
              </w:rPr>
            </w:pPr>
            <w:r>
              <w:rPr>
                <w:rFonts w:ascii="Arial" w:cs="Arial" w:eastAsia="Arial" w:hAnsi="Arial"/>
                <w:sz w:val="14"/>
                <w:szCs w:val="14"/>
                <w:b w:val="1"/>
                <w:bCs w:val="1"/>
                <w:color w:val="auto"/>
              </w:rPr>
              <w:t>108</w:t>
            </w:r>
          </w:p>
        </w:tc>
        <w:tc>
          <w:tcPr>
            <w:tcW w:w="220" w:type="dxa"/>
            <w:vAlign w:val="bottom"/>
          </w:tcPr>
          <w:p>
            <w:pPr>
              <w:spacing w:after="0"/>
              <w:rPr>
                <w:sz w:val="13"/>
                <w:szCs w:val="13"/>
                <w:color w:val="auto"/>
              </w:rPr>
            </w:pPr>
          </w:p>
        </w:tc>
        <w:tc>
          <w:tcPr>
            <w:tcW w:w="1240" w:type="dxa"/>
            <w:vAlign w:val="bottom"/>
          </w:tcPr>
          <w:p>
            <w:pPr>
              <w:spacing w:after="0"/>
              <w:rPr>
                <w:sz w:val="13"/>
                <w:szCs w:val="13"/>
                <w:color w:val="auto"/>
              </w:rPr>
            </w:pPr>
          </w:p>
        </w:tc>
      </w:tr>
      <w:tr>
        <w:trPr>
          <w:trHeight w:val="20"/>
        </w:trPr>
        <w:tc>
          <w:tcPr>
            <w:tcW w:w="1220" w:type="dxa"/>
            <w:vAlign w:val="bottom"/>
          </w:tcPr>
          <w:p>
            <w:pPr>
              <w:spacing w:after="0" w:line="20" w:lineRule="exact"/>
              <w:rPr>
                <w:sz w:val="1"/>
                <w:szCs w:val="1"/>
                <w:color w:val="auto"/>
              </w:rPr>
            </w:pPr>
          </w:p>
        </w:tc>
        <w:tc>
          <w:tcPr>
            <w:tcW w:w="2440" w:type="dxa"/>
            <w:vAlign w:val="bottom"/>
          </w:tcPr>
          <w:p>
            <w:pPr>
              <w:spacing w:after="0" w:line="20" w:lineRule="exact"/>
              <w:rPr>
                <w:sz w:val="1"/>
                <w:szCs w:val="1"/>
                <w:color w:val="auto"/>
              </w:rPr>
            </w:pPr>
          </w:p>
        </w:tc>
        <w:tc>
          <w:tcPr>
            <w:tcW w:w="9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24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6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- 41 -</w:t>
      </w:r>
    </w:p>
    <w:p>
      <w:pPr>
        <w:sectPr>
          <w:pgSz w:w="11900" w:h="16838" w:orient="portrait"/>
          <w:cols w:equalWidth="0" w:num="1">
            <w:col w:w="11420"/>
          </w:cols>
          <w:pgMar w:left="240" w:top="287" w:right="239" w:bottom="1440" w:gutter="0" w:footer="0" w:header="0"/>
        </w:sectPr>
      </w:pPr>
    </w:p>
    <w:bookmarkStart w:id="41" w:name="page42"/>
    <w:bookmarkEnd w:id="41"/>
    <w:p>
      <w:pPr>
        <w:spacing w:after="0"/>
        <w:rPr>
          <w:sz w:val="20"/>
          <w:szCs w:val="20"/>
          <w:color w:val="auto"/>
        </w:rPr>
      </w:pPr>
      <w:r>
        <w:rPr>
          <w:rFonts w:ascii="Arial" w:cs="Arial" w:eastAsia="Arial" w:hAnsi="Arial"/>
          <w:sz w:val="18"/>
          <w:szCs w:val="18"/>
          <w:b w:val="1"/>
          <w:bCs w:val="1"/>
          <w:i w:val="1"/>
          <w:iCs w:val="1"/>
          <w:color w:val="auto"/>
        </w:rPr>
        <w:t>TRI Pointe</w:t>
      </w:r>
    </w:p>
    <w:p>
      <w:pPr>
        <w:spacing w:after="0" w:line="24" w:lineRule="exact"/>
        <w:rPr>
          <w:sz w:val="20"/>
          <w:szCs w:val="20"/>
          <w:color w:val="auto"/>
        </w:rPr>
      </w:pPr>
    </w:p>
    <w:tbl>
      <w:tblPr>
        <w:tblLayout w:type="fixed"/>
        <w:tblInd w:w="0" w:type="dxa"/>
        <w:tblCellMar>
          <w:top w:w="0" w:type="dxa"/>
          <w:left w:w="0" w:type="dxa"/>
          <w:bottom w:w="0" w:type="dxa"/>
          <w:right w:w="0" w:type="dxa"/>
        </w:tblCellMar>
      </w:tblPr>
      <w:tr>
        <w:trPr>
          <w:trHeight w:val="162"/>
        </w:trPr>
        <w:tc>
          <w:tcPr>
            <w:tcW w:w="1220" w:type="dxa"/>
            <w:vAlign w:val="bottom"/>
          </w:tcPr>
          <w:p>
            <w:pPr>
              <w:spacing w:after="0"/>
              <w:rPr>
                <w:sz w:val="14"/>
                <w:szCs w:val="14"/>
                <w:color w:val="auto"/>
              </w:rPr>
            </w:pPr>
          </w:p>
        </w:tc>
        <w:tc>
          <w:tcPr>
            <w:tcW w:w="2440" w:type="dxa"/>
            <w:vAlign w:val="bottom"/>
          </w:tcPr>
          <w:p>
            <w:pPr>
              <w:spacing w:after="0"/>
              <w:rPr>
                <w:sz w:val="14"/>
                <w:szCs w:val="14"/>
                <w:color w:val="auto"/>
              </w:rPr>
            </w:pPr>
          </w:p>
        </w:tc>
        <w:tc>
          <w:tcPr>
            <w:tcW w:w="9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12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w w:val="90"/>
              </w:rPr>
              <w:t>Cumulative</w:t>
            </w:r>
          </w:p>
        </w:tc>
        <w:tc>
          <w:tcPr>
            <w:tcW w:w="80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040" w:type="dxa"/>
            <w:vAlign w:val="bottom"/>
          </w:tcPr>
          <w:p>
            <w:pPr>
              <w:jc w:val="center"/>
              <w:spacing w:after="0"/>
              <w:rPr>
                <w:sz w:val="20"/>
                <w:szCs w:val="20"/>
                <w:color w:val="auto"/>
              </w:rPr>
            </w:pPr>
            <w:r>
              <w:rPr>
                <w:rFonts w:ascii="Arial" w:cs="Arial" w:eastAsia="Arial" w:hAnsi="Arial"/>
                <w:sz w:val="14"/>
                <w:szCs w:val="14"/>
                <w:b w:val="1"/>
                <w:bCs w:val="1"/>
                <w:color w:val="auto"/>
                <w:w w:val="86"/>
              </w:rPr>
              <w:t>Homes Delivered</w:t>
            </w:r>
          </w:p>
        </w:tc>
        <w:tc>
          <w:tcPr>
            <w:tcW w:w="22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660" w:type="dxa"/>
            <w:vAlign w:val="bottom"/>
          </w:tcPr>
          <w:p>
            <w:pPr>
              <w:spacing w:after="0"/>
              <w:rPr>
                <w:sz w:val="14"/>
                <w:szCs w:val="14"/>
                <w:color w:val="auto"/>
              </w:rPr>
            </w:pPr>
          </w:p>
        </w:tc>
      </w:tr>
      <w:tr>
        <w:trPr>
          <w:trHeight w:val="162"/>
        </w:trPr>
        <w:tc>
          <w:tcPr>
            <w:tcW w:w="1220" w:type="dxa"/>
            <w:vAlign w:val="bottom"/>
          </w:tcPr>
          <w:p>
            <w:pPr>
              <w:spacing w:after="0"/>
              <w:rPr>
                <w:sz w:val="14"/>
                <w:szCs w:val="14"/>
                <w:color w:val="auto"/>
              </w:rPr>
            </w:pPr>
          </w:p>
        </w:tc>
        <w:tc>
          <w:tcPr>
            <w:tcW w:w="2440" w:type="dxa"/>
            <w:vAlign w:val="bottom"/>
          </w:tcPr>
          <w:p>
            <w:pPr>
              <w:spacing w:after="0"/>
              <w:rPr>
                <w:sz w:val="14"/>
                <w:szCs w:val="14"/>
                <w:color w:val="auto"/>
              </w:rPr>
            </w:pPr>
          </w:p>
        </w:tc>
        <w:tc>
          <w:tcPr>
            <w:tcW w:w="9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12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w w:val="85"/>
              </w:rPr>
              <w:t>Homes</w:t>
            </w:r>
          </w:p>
        </w:tc>
        <w:tc>
          <w:tcPr>
            <w:tcW w:w="102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w w:val="87"/>
              </w:rPr>
              <w:t>Lots</w:t>
            </w:r>
          </w:p>
        </w:tc>
        <w:tc>
          <w:tcPr>
            <w:tcW w:w="82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040" w:type="dxa"/>
            <w:vAlign w:val="bottom"/>
          </w:tcPr>
          <w:p>
            <w:pPr>
              <w:jc w:val="center"/>
              <w:spacing w:after="0"/>
              <w:rPr>
                <w:sz w:val="20"/>
                <w:szCs w:val="20"/>
                <w:color w:val="auto"/>
              </w:rPr>
            </w:pPr>
            <w:r>
              <w:rPr>
                <w:rFonts w:ascii="Arial" w:cs="Arial" w:eastAsia="Arial" w:hAnsi="Arial"/>
                <w:sz w:val="14"/>
                <w:szCs w:val="14"/>
                <w:b w:val="1"/>
                <w:bCs w:val="1"/>
                <w:color w:val="auto"/>
                <w:w w:val="88"/>
              </w:rPr>
              <w:t>for the Three</w:t>
            </w:r>
          </w:p>
        </w:tc>
        <w:tc>
          <w:tcPr>
            <w:tcW w:w="22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660" w:type="dxa"/>
            <w:vAlign w:val="bottom"/>
          </w:tcPr>
          <w:p>
            <w:pPr>
              <w:spacing w:after="0"/>
              <w:rPr>
                <w:sz w:val="14"/>
                <w:szCs w:val="14"/>
                <w:color w:val="auto"/>
              </w:rPr>
            </w:pPr>
          </w:p>
        </w:tc>
      </w:tr>
      <w:tr>
        <w:trPr>
          <w:trHeight w:val="162"/>
        </w:trPr>
        <w:tc>
          <w:tcPr>
            <w:tcW w:w="1220" w:type="dxa"/>
            <w:vAlign w:val="bottom"/>
          </w:tcPr>
          <w:p>
            <w:pPr>
              <w:spacing w:after="0"/>
              <w:rPr>
                <w:sz w:val="14"/>
                <w:szCs w:val="14"/>
                <w:color w:val="auto"/>
              </w:rPr>
            </w:pPr>
          </w:p>
        </w:tc>
        <w:tc>
          <w:tcPr>
            <w:tcW w:w="2440" w:type="dxa"/>
            <w:vAlign w:val="bottom"/>
          </w:tcPr>
          <w:p>
            <w:pPr>
              <w:spacing w:after="0"/>
              <w:rPr>
                <w:sz w:val="14"/>
                <w:szCs w:val="14"/>
                <w:color w:val="auto"/>
              </w:rPr>
            </w:pPr>
          </w:p>
        </w:tc>
        <w:tc>
          <w:tcPr>
            <w:tcW w:w="1060" w:type="dxa"/>
            <w:vAlign w:val="bottom"/>
            <w:gridSpan w:val="2"/>
          </w:tcPr>
          <w:p>
            <w:pPr>
              <w:jc w:val="center"/>
              <w:ind w:right="120"/>
              <w:spacing w:after="0"/>
              <w:rPr>
                <w:sz w:val="20"/>
                <w:szCs w:val="20"/>
                <w:color w:val="auto"/>
              </w:rPr>
            </w:pPr>
            <w:r>
              <w:rPr>
                <w:rFonts w:ascii="Arial" w:cs="Arial" w:eastAsia="Arial" w:hAnsi="Arial"/>
                <w:sz w:val="14"/>
                <w:szCs w:val="14"/>
                <w:b w:val="1"/>
                <w:bCs w:val="1"/>
                <w:color w:val="auto"/>
                <w:w w:val="88"/>
              </w:rPr>
              <w:t>Year of</w:t>
            </w:r>
          </w:p>
        </w:tc>
        <w:tc>
          <w:tcPr>
            <w:tcW w:w="1020" w:type="dxa"/>
            <w:vAlign w:val="bottom"/>
            <w:gridSpan w:val="2"/>
          </w:tcPr>
          <w:p>
            <w:pPr>
              <w:jc w:val="center"/>
              <w:ind w:right="220"/>
              <w:spacing w:after="0"/>
              <w:rPr>
                <w:sz w:val="20"/>
                <w:szCs w:val="20"/>
                <w:color w:val="auto"/>
              </w:rPr>
            </w:pPr>
            <w:r>
              <w:rPr>
                <w:rFonts w:ascii="Arial" w:cs="Arial" w:eastAsia="Arial" w:hAnsi="Arial"/>
                <w:sz w:val="14"/>
                <w:szCs w:val="14"/>
                <w:b w:val="1"/>
                <w:bCs w:val="1"/>
                <w:color w:val="auto"/>
                <w:w w:val="83"/>
              </w:rPr>
              <w:t>Total</w:t>
            </w:r>
          </w:p>
        </w:tc>
        <w:tc>
          <w:tcPr>
            <w:tcW w:w="1120" w:type="dxa"/>
            <w:vAlign w:val="bottom"/>
            <w:gridSpan w:val="2"/>
          </w:tcPr>
          <w:p>
            <w:pPr>
              <w:jc w:val="center"/>
              <w:ind w:right="220"/>
              <w:spacing w:after="0"/>
              <w:rPr>
                <w:sz w:val="20"/>
                <w:szCs w:val="20"/>
                <w:color w:val="auto"/>
              </w:rPr>
            </w:pPr>
            <w:r>
              <w:rPr>
                <w:rFonts w:ascii="Arial" w:cs="Arial" w:eastAsia="Arial" w:hAnsi="Arial"/>
                <w:sz w:val="14"/>
                <w:szCs w:val="14"/>
                <w:b w:val="1"/>
                <w:bCs w:val="1"/>
                <w:color w:val="auto"/>
                <w:w w:val="86"/>
              </w:rPr>
              <w:t>Delivered as of</w:t>
            </w:r>
          </w:p>
        </w:tc>
        <w:tc>
          <w:tcPr>
            <w:tcW w:w="1020" w:type="dxa"/>
            <w:vAlign w:val="bottom"/>
            <w:gridSpan w:val="2"/>
          </w:tcPr>
          <w:p>
            <w:pPr>
              <w:jc w:val="center"/>
              <w:ind w:right="220"/>
              <w:spacing w:after="0"/>
              <w:rPr>
                <w:sz w:val="20"/>
                <w:szCs w:val="20"/>
                <w:color w:val="auto"/>
              </w:rPr>
            </w:pPr>
            <w:r>
              <w:rPr>
                <w:rFonts w:ascii="Arial" w:cs="Arial" w:eastAsia="Arial" w:hAnsi="Arial"/>
                <w:sz w:val="14"/>
                <w:szCs w:val="14"/>
                <w:b w:val="1"/>
                <w:bCs w:val="1"/>
                <w:color w:val="auto"/>
                <w:w w:val="86"/>
              </w:rPr>
              <w:t>Owned as of</w:t>
            </w:r>
          </w:p>
        </w:tc>
        <w:tc>
          <w:tcPr>
            <w:tcW w:w="104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w w:val="83"/>
              </w:rPr>
              <w:t>Backlog as of</w:t>
            </w:r>
          </w:p>
        </w:tc>
        <w:tc>
          <w:tcPr>
            <w:tcW w:w="1040" w:type="dxa"/>
            <w:vAlign w:val="bottom"/>
          </w:tcPr>
          <w:p>
            <w:pPr>
              <w:jc w:val="center"/>
              <w:spacing w:after="0"/>
              <w:rPr>
                <w:sz w:val="20"/>
                <w:szCs w:val="20"/>
                <w:color w:val="auto"/>
              </w:rPr>
            </w:pPr>
            <w:r>
              <w:rPr>
                <w:rFonts w:ascii="Arial" w:cs="Arial" w:eastAsia="Arial" w:hAnsi="Arial"/>
                <w:sz w:val="14"/>
                <w:szCs w:val="14"/>
                <w:b w:val="1"/>
                <w:bCs w:val="1"/>
                <w:color w:val="auto"/>
                <w:w w:val="89"/>
              </w:rPr>
              <w:t>Months Ended</w:t>
            </w:r>
          </w:p>
        </w:tc>
        <w:tc>
          <w:tcPr>
            <w:tcW w:w="220" w:type="dxa"/>
            <w:vAlign w:val="bottom"/>
          </w:tcPr>
          <w:p>
            <w:pPr>
              <w:spacing w:after="0"/>
              <w:rPr>
                <w:sz w:val="14"/>
                <w:szCs w:val="14"/>
                <w:color w:val="auto"/>
              </w:rPr>
            </w:pPr>
          </w:p>
        </w:tc>
        <w:tc>
          <w:tcPr>
            <w:tcW w:w="1240" w:type="dxa"/>
            <w:vAlign w:val="bottom"/>
            <w:gridSpan w:val="2"/>
          </w:tcPr>
          <w:p>
            <w:pPr>
              <w:jc w:val="center"/>
              <w:spacing w:after="0"/>
              <w:rPr>
                <w:sz w:val="20"/>
                <w:szCs w:val="20"/>
                <w:color w:val="auto"/>
              </w:rPr>
            </w:pPr>
            <w:r>
              <w:rPr>
                <w:rFonts w:ascii="Arial" w:cs="Arial" w:eastAsia="Arial" w:hAnsi="Arial"/>
                <w:sz w:val="14"/>
                <w:szCs w:val="14"/>
                <w:b w:val="1"/>
                <w:bCs w:val="1"/>
                <w:color w:val="auto"/>
                <w:w w:val="82"/>
              </w:rPr>
              <w:t>Sales Price</w:t>
            </w:r>
          </w:p>
        </w:tc>
      </w:tr>
      <w:tr>
        <w:trPr>
          <w:trHeight w:val="174"/>
        </w:trPr>
        <w:tc>
          <w:tcPr>
            <w:tcW w:w="1220" w:type="dxa"/>
            <w:vAlign w:val="bottom"/>
          </w:tcPr>
          <w:p>
            <w:pPr>
              <w:spacing w:after="0"/>
              <w:rPr>
                <w:sz w:val="15"/>
                <w:szCs w:val="15"/>
                <w:color w:val="auto"/>
              </w:rPr>
            </w:pPr>
          </w:p>
        </w:tc>
        <w:tc>
          <w:tcPr>
            <w:tcW w:w="2440" w:type="dxa"/>
            <w:vAlign w:val="bottom"/>
          </w:tcPr>
          <w:p>
            <w:pPr>
              <w:spacing w:after="0"/>
              <w:rPr>
                <w:sz w:val="15"/>
                <w:szCs w:val="15"/>
                <w:color w:val="auto"/>
              </w:rPr>
            </w:pPr>
          </w:p>
        </w:tc>
        <w:tc>
          <w:tcPr>
            <w:tcW w:w="1060" w:type="dxa"/>
            <w:vAlign w:val="bottom"/>
            <w:gridSpan w:val="2"/>
          </w:tcPr>
          <w:p>
            <w:pPr>
              <w:jc w:val="center"/>
              <w:ind w:right="100"/>
              <w:spacing w:after="0"/>
              <w:rPr>
                <w:sz w:val="20"/>
                <w:szCs w:val="20"/>
                <w:color w:val="auto"/>
              </w:rPr>
            </w:pPr>
            <w:r>
              <w:rPr>
                <w:rFonts w:ascii="Arial" w:cs="Arial" w:eastAsia="Arial" w:hAnsi="Arial"/>
                <w:sz w:val="14"/>
                <w:szCs w:val="14"/>
                <w:b w:val="1"/>
                <w:bCs w:val="1"/>
                <w:color w:val="auto"/>
                <w:w w:val="92"/>
              </w:rPr>
              <w:t>First</w:t>
            </w:r>
          </w:p>
        </w:tc>
        <w:tc>
          <w:tcPr>
            <w:tcW w:w="1020" w:type="dxa"/>
            <w:vAlign w:val="bottom"/>
            <w:gridSpan w:val="2"/>
          </w:tcPr>
          <w:p>
            <w:pPr>
              <w:jc w:val="center"/>
              <w:ind w:right="220"/>
              <w:spacing w:after="0"/>
              <w:rPr>
                <w:sz w:val="20"/>
                <w:szCs w:val="20"/>
                <w:color w:val="auto"/>
              </w:rPr>
            </w:pPr>
            <w:r>
              <w:rPr>
                <w:rFonts w:ascii="Arial" w:cs="Arial" w:eastAsia="Arial" w:hAnsi="Arial"/>
                <w:sz w:val="14"/>
                <w:szCs w:val="14"/>
                <w:b w:val="1"/>
                <w:bCs w:val="1"/>
                <w:color w:val="auto"/>
                <w:w w:val="91"/>
              </w:rPr>
              <w:t>Number of</w:t>
            </w:r>
          </w:p>
        </w:tc>
        <w:tc>
          <w:tcPr>
            <w:tcW w:w="1120" w:type="dxa"/>
            <w:vAlign w:val="bottom"/>
            <w:gridSpan w:val="2"/>
          </w:tcPr>
          <w:p>
            <w:pPr>
              <w:jc w:val="center"/>
              <w:ind w:right="220"/>
              <w:spacing w:after="0"/>
              <w:rPr>
                <w:sz w:val="20"/>
                <w:szCs w:val="20"/>
                <w:color w:val="auto"/>
              </w:rPr>
            </w:pPr>
            <w:r>
              <w:rPr>
                <w:rFonts w:ascii="Arial" w:cs="Arial" w:eastAsia="Arial" w:hAnsi="Arial"/>
                <w:sz w:val="14"/>
                <w:szCs w:val="14"/>
                <w:b w:val="1"/>
                <w:bCs w:val="1"/>
                <w:color w:val="auto"/>
                <w:w w:val="89"/>
              </w:rPr>
              <w:t>March 31,</w:t>
            </w:r>
          </w:p>
        </w:tc>
        <w:tc>
          <w:tcPr>
            <w:tcW w:w="102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w w:val="89"/>
              </w:rPr>
              <w:t>March 31,</w:t>
            </w:r>
          </w:p>
        </w:tc>
        <w:tc>
          <w:tcPr>
            <w:tcW w:w="1040" w:type="dxa"/>
            <w:vAlign w:val="bottom"/>
            <w:gridSpan w:val="2"/>
          </w:tcPr>
          <w:p>
            <w:pPr>
              <w:jc w:val="center"/>
              <w:ind w:right="220"/>
              <w:spacing w:after="0"/>
              <w:rPr>
                <w:sz w:val="20"/>
                <w:szCs w:val="20"/>
                <w:color w:val="auto"/>
              </w:rPr>
            </w:pPr>
            <w:r>
              <w:rPr>
                <w:rFonts w:ascii="Arial" w:cs="Arial" w:eastAsia="Arial" w:hAnsi="Arial"/>
                <w:sz w:val="14"/>
                <w:szCs w:val="14"/>
                <w:b w:val="1"/>
                <w:bCs w:val="1"/>
                <w:color w:val="auto"/>
                <w:w w:val="89"/>
              </w:rPr>
              <w:t>March 31,</w:t>
            </w:r>
          </w:p>
        </w:tc>
        <w:tc>
          <w:tcPr>
            <w:tcW w:w="1040" w:type="dxa"/>
            <w:vAlign w:val="bottom"/>
          </w:tcPr>
          <w:p>
            <w:pPr>
              <w:jc w:val="center"/>
              <w:spacing w:after="0"/>
              <w:rPr>
                <w:sz w:val="20"/>
                <w:szCs w:val="20"/>
                <w:color w:val="auto"/>
              </w:rPr>
            </w:pPr>
            <w:r>
              <w:rPr>
                <w:rFonts w:ascii="Arial" w:cs="Arial" w:eastAsia="Arial" w:hAnsi="Arial"/>
                <w:sz w:val="14"/>
                <w:szCs w:val="14"/>
                <w:b w:val="1"/>
                <w:bCs w:val="1"/>
                <w:color w:val="auto"/>
                <w:w w:val="89"/>
              </w:rPr>
              <w:t>March 31,</w:t>
            </w:r>
          </w:p>
        </w:tc>
        <w:tc>
          <w:tcPr>
            <w:tcW w:w="220" w:type="dxa"/>
            <w:vAlign w:val="bottom"/>
          </w:tcPr>
          <w:p>
            <w:pPr>
              <w:spacing w:after="0"/>
              <w:rPr>
                <w:sz w:val="15"/>
                <w:szCs w:val="15"/>
                <w:color w:val="auto"/>
              </w:rPr>
            </w:pPr>
          </w:p>
        </w:tc>
        <w:tc>
          <w:tcPr>
            <w:tcW w:w="1240" w:type="dxa"/>
            <w:vAlign w:val="bottom"/>
            <w:gridSpan w:val="2"/>
          </w:tcPr>
          <w:p>
            <w:pPr>
              <w:jc w:val="center"/>
              <w:spacing w:after="0"/>
              <w:rPr>
                <w:sz w:val="20"/>
                <w:szCs w:val="20"/>
                <w:color w:val="auto"/>
              </w:rPr>
            </w:pPr>
            <w:r>
              <w:rPr>
                <w:rFonts w:ascii="Arial" w:cs="Arial" w:eastAsia="Arial" w:hAnsi="Arial"/>
                <w:sz w:val="14"/>
                <w:szCs w:val="14"/>
                <w:b w:val="1"/>
                <w:bCs w:val="1"/>
                <w:color w:val="auto"/>
                <w:w w:val="88"/>
              </w:rPr>
              <w:t>Range</w:t>
            </w:r>
          </w:p>
        </w:tc>
      </w:tr>
      <w:tr>
        <w:trPr>
          <w:trHeight w:val="237"/>
        </w:trPr>
        <w:tc>
          <w:tcPr>
            <w:tcW w:w="3660" w:type="dxa"/>
            <w:vAlign w:val="bottom"/>
            <w:gridSpan w:val="2"/>
          </w:tcPr>
          <w:p>
            <w:pPr>
              <w:spacing w:after="0"/>
              <w:rPr>
                <w:sz w:val="20"/>
                <w:szCs w:val="20"/>
                <w:color w:val="auto"/>
              </w:rPr>
            </w:pPr>
            <w:r>
              <w:rPr>
                <w:rFonts w:ascii="Arial" w:cs="Arial" w:eastAsia="Arial" w:hAnsi="Arial"/>
                <w:sz w:val="14"/>
                <w:szCs w:val="14"/>
                <w:b w:val="1"/>
                <w:bCs w:val="1"/>
                <w:color w:val="auto"/>
              </w:rPr>
              <w:t>County, Project, City</w:t>
            </w:r>
          </w:p>
        </w:tc>
        <w:tc>
          <w:tcPr>
            <w:tcW w:w="1060" w:type="dxa"/>
            <w:vAlign w:val="bottom"/>
            <w:gridSpan w:val="2"/>
          </w:tcPr>
          <w:p>
            <w:pPr>
              <w:jc w:val="center"/>
              <w:ind w:right="120"/>
              <w:spacing w:after="0"/>
              <w:rPr>
                <w:sz w:val="20"/>
                <w:szCs w:val="20"/>
                <w:color w:val="auto"/>
              </w:rPr>
            </w:pPr>
            <w:r>
              <w:rPr>
                <w:rFonts w:ascii="Arial" w:cs="Arial" w:eastAsia="Arial" w:hAnsi="Arial"/>
                <w:sz w:val="14"/>
                <w:szCs w:val="14"/>
                <w:b w:val="1"/>
                <w:bCs w:val="1"/>
                <w:color w:val="auto"/>
                <w:w w:val="91"/>
              </w:rPr>
              <w:t>Delivery</w:t>
            </w:r>
            <w:r>
              <w:rPr>
                <w:rFonts w:ascii="Arial" w:cs="Arial" w:eastAsia="Arial" w:hAnsi="Arial"/>
                <w:sz w:val="11"/>
                <w:szCs w:val="11"/>
                <w:b w:val="1"/>
                <w:bCs w:val="1"/>
                <w:color w:val="auto"/>
                <w:w w:val="91"/>
              </w:rPr>
              <w:t>(1)</w:t>
            </w:r>
          </w:p>
        </w:tc>
        <w:tc>
          <w:tcPr>
            <w:tcW w:w="1020" w:type="dxa"/>
            <w:vAlign w:val="bottom"/>
            <w:gridSpan w:val="2"/>
          </w:tcPr>
          <w:p>
            <w:pPr>
              <w:jc w:val="center"/>
              <w:ind w:right="220"/>
              <w:spacing w:after="0"/>
              <w:rPr>
                <w:sz w:val="20"/>
                <w:szCs w:val="20"/>
                <w:color w:val="auto"/>
              </w:rPr>
            </w:pPr>
            <w:r>
              <w:rPr>
                <w:rFonts w:ascii="Arial" w:cs="Arial" w:eastAsia="Arial" w:hAnsi="Arial"/>
                <w:sz w:val="14"/>
                <w:szCs w:val="14"/>
                <w:b w:val="1"/>
                <w:bCs w:val="1"/>
                <w:color w:val="auto"/>
                <w:w w:val="92"/>
              </w:rPr>
              <w:t>Lots</w:t>
            </w:r>
            <w:r>
              <w:rPr>
                <w:rFonts w:ascii="Arial" w:cs="Arial" w:eastAsia="Arial" w:hAnsi="Arial"/>
                <w:sz w:val="11"/>
                <w:szCs w:val="11"/>
                <w:b w:val="1"/>
                <w:bCs w:val="1"/>
                <w:color w:val="auto"/>
                <w:w w:val="92"/>
              </w:rPr>
              <w:t>(2)</w:t>
            </w:r>
          </w:p>
        </w:tc>
        <w:tc>
          <w:tcPr>
            <w:tcW w:w="900" w:type="dxa"/>
            <w:vAlign w:val="bottom"/>
          </w:tcPr>
          <w:p>
            <w:pPr>
              <w:jc w:val="center"/>
              <w:spacing w:after="0"/>
              <w:rPr>
                <w:sz w:val="20"/>
                <w:szCs w:val="20"/>
                <w:color w:val="auto"/>
              </w:rPr>
            </w:pPr>
            <w:r>
              <w:rPr>
                <w:rFonts w:ascii="Arial" w:cs="Arial" w:eastAsia="Arial" w:hAnsi="Arial"/>
                <w:sz w:val="14"/>
                <w:szCs w:val="14"/>
                <w:b w:val="1"/>
                <w:bCs w:val="1"/>
                <w:color w:val="auto"/>
                <w:w w:val="83"/>
              </w:rPr>
              <w:t>2015</w:t>
            </w:r>
          </w:p>
        </w:tc>
        <w:tc>
          <w:tcPr>
            <w:tcW w:w="220" w:type="dxa"/>
            <w:vAlign w:val="bottom"/>
          </w:tcPr>
          <w:p>
            <w:pPr>
              <w:spacing w:after="0"/>
              <w:rPr>
                <w:sz w:val="20"/>
                <w:szCs w:val="20"/>
                <w:color w:val="auto"/>
              </w:rPr>
            </w:pPr>
          </w:p>
        </w:tc>
        <w:tc>
          <w:tcPr>
            <w:tcW w:w="800" w:type="dxa"/>
            <w:vAlign w:val="bottom"/>
          </w:tcPr>
          <w:p>
            <w:pPr>
              <w:jc w:val="center"/>
              <w:spacing w:after="0"/>
              <w:rPr>
                <w:sz w:val="20"/>
                <w:szCs w:val="20"/>
                <w:color w:val="auto"/>
              </w:rPr>
            </w:pPr>
            <w:r>
              <w:rPr>
                <w:rFonts w:ascii="Arial" w:cs="Arial" w:eastAsia="Arial" w:hAnsi="Arial"/>
                <w:sz w:val="14"/>
                <w:szCs w:val="14"/>
                <w:b w:val="1"/>
                <w:bCs w:val="1"/>
                <w:color w:val="auto"/>
                <w:w w:val="89"/>
              </w:rPr>
              <w:t>2015</w:t>
            </w:r>
            <w:r>
              <w:rPr>
                <w:rFonts w:ascii="Arial" w:cs="Arial" w:eastAsia="Arial" w:hAnsi="Arial"/>
                <w:sz w:val="11"/>
                <w:szCs w:val="11"/>
                <w:b w:val="1"/>
                <w:bCs w:val="1"/>
                <w:color w:val="auto"/>
                <w:w w:val="89"/>
              </w:rPr>
              <w:t>(3)</w:t>
            </w:r>
          </w:p>
        </w:tc>
        <w:tc>
          <w:tcPr>
            <w:tcW w:w="220" w:type="dxa"/>
            <w:vAlign w:val="bottom"/>
          </w:tcPr>
          <w:p>
            <w:pPr>
              <w:spacing w:after="0"/>
              <w:rPr>
                <w:sz w:val="20"/>
                <w:szCs w:val="20"/>
                <w:color w:val="auto"/>
              </w:rPr>
            </w:pPr>
          </w:p>
        </w:tc>
        <w:tc>
          <w:tcPr>
            <w:tcW w:w="820" w:type="dxa"/>
            <w:vAlign w:val="bottom"/>
          </w:tcPr>
          <w:p>
            <w:pPr>
              <w:jc w:val="center"/>
              <w:spacing w:after="0"/>
              <w:rPr>
                <w:sz w:val="20"/>
                <w:szCs w:val="20"/>
                <w:color w:val="auto"/>
              </w:rPr>
            </w:pPr>
            <w:r>
              <w:rPr>
                <w:rFonts w:ascii="Arial" w:cs="Arial" w:eastAsia="Arial" w:hAnsi="Arial"/>
                <w:sz w:val="14"/>
                <w:szCs w:val="14"/>
                <w:b w:val="1"/>
                <w:bCs w:val="1"/>
                <w:color w:val="auto"/>
                <w:w w:val="92"/>
              </w:rPr>
              <w:t>2015</w:t>
            </w:r>
            <w:r>
              <w:rPr>
                <w:rFonts w:ascii="Arial" w:cs="Arial" w:eastAsia="Arial" w:hAnsi="Arial"/>
                <w:sz w:val="11"/>
                <w:szCs w:val="11"/>
                <w:b w:val="1"/>
                <w:bCs w:val="1"/>
                <w:color w:val="auto"/>
                <w:w w:val="92"/>
              </w:rPr>
              <w:t>(4)(5)</w:t>
            </w:r>
          </w:p>
        </w:tc>
        <w:tc>
          <w:tcPr>
            <w:tcW w:w="220" w:type="dxa"/>
            <w:vAlign w:val="bottom"/>
          </w:tcPr>
          <w:p>
            <w:pPr>
              <w:spacing w:after="0"/>
              <w:rPr>
                <w:sz w:val="20"/>
                <w:szCs w:val="20"/>
                <w:color w:val="auto"/>
              </w:rPr>
            </w:pPr>
          </w:p>
        </w:tc>
        <w:tc>
          <w:tcPr>
            <w:tcW w:w="1040" w:type="dxa"/>
            <w:vAlign w:val="bottom"/>
          </w:tcPr>
          <w:p>
            <w:pPr>
              <w:jc w:val="center"/>
              <w:spacing w:after="0"/>
              <w:rPr>
                <w:sz w:val="20"/>
                <w:szCs w:val="20"/>
                <w:color w:val="auto"/>
              </w:rPr>
            </w:pPr>
            <w:r>
              <w:rPr>
                <w:rFonts w:ascii="Arial" w:cs="Arial" w:eastAsia="Arial" w:hAnsi="Arial"/>
                <w:sz w:val="14"/>
                <w:szCs w:val="14"/>
                <w:b w:val="1"/>
                <w:bCs w:val="1"/>
                <w:color w:val="auto"/>
                <w:w w:val="83"/>
              </w:rPr>
              <w:t>2015</w:t>
            </w:r>
          </w:p>
        </w:tc>
        <w:tc>
          <w:tcPr>
            <w:tcW w:w="220" w:type="dxa"/>
            <w:vAlign w:val="bottom"/>
          </w:tcPr>
          <w:p>
            <w:pPr>
              <w:spacing w:after="0"/>
              <w:rPr>
                <w:sz w:val="20"/>
                <w:szCs w:val="20"/>
                <w:color w:val="auto"/>
              </w:rPr>
            </w:pPr>
          </w:p>
        </w:tc>
        <w:tc>
          <w:tcPr>
            <w:tcW w:w="1240" w:type="dxa"/>
            <w:vAlign w:val="bottom"/>
            <w:gridSpan w:val="2"/>
          </w:tcPr>
          <w:p>
            <w:pPr>
              <w:jc w:val="center"/>
              <w:spacing w:after="0"/>
              <w:rPr>
                <w:sz w:val="20"/>
                <w:szCs w:val="20"/>
                <w:color w:val="auto"/>
              </w:rPr>
            </w:pPr>
            <w:r>
              <w:rPr>
                <w:rFonts w:ascii="Arial" w:cs="Arial" w:eastAsia="Arial" w:hAnsi="Arial"/>
                <w:sz w:val="14"/>
                <w:szCs w:val="14"/>
                <w:b w:val="1"/>
                <w:bCs w:val="1"/>
                <w:color w:val="auto"/>
                <w:w w:val="85"/>
              </w:rPr>
              <w:t>(in thousands)</w:t>
            </w:r>
            <w:r>
              <w:rPr>
                <w:rFonts w:ascii="Arial" w:cs="Arial" w:eastAsia="Arial" w:hAnsi="Arial"/>
                <w:sz w:val="11"/>
                <w:szCs w:val="11"/>
                <w:b w:val="1"/>
                <w:bCs w:val="1"/>
                <w:color w:val="auto"/>
                <w:w w:val="85"/>
              </w:rPr>
              <w:t>(6)</w:t>
            </w:r>
          </w:p>
        </w:tc>
      </w:tr>
      <w:tr>
        <w:trPr>
          <w:trHeight w:val="149"/>
        </w:trPr>
        <w:tc>
          <w:tcPr>
            <w:tcW w:w="1220" w:type="dxa"/>
            <w:vAlign w:val="bottom"/>
            <w:tcBorders>
              <w:top w:val="single" w:sz="8" w:color="auto"/>
            </w:tcBorders>
            <w:shd w:val="clear" w:color="auto" w:fill="CFF0FC"/>
          </w:tcPr>
          <w:p>
            <w:pPr>
              <w:spacing w:after="0" w:line="149" w:lineRule="exact"/>
              <w:rPr>
                <w:sz w:val="20"/>
                <w:szCs w:val="20"/>
                <w:color w:val="auto"/>
              </w:rPr>
            </w:pPr>
            <w:r>
              <w:rPr>
                <w:rFonts w:ascii="Arial" w:cs="Arial" w:eastAsia="Arial" w:hAnsi="Arial"/>
                <w:sz w:val="14"/>
                <w:szCs w:val="14"/>
                <w:b w:val="1"/>
                <w:bCs w:val="1"/>
                <w:color w:val="auto"/>
                <w:w w:val="92"/>
              </w:rPr>
              <w:t>Southern California</w:t>
            </w:r>
          </w:p>
        </w:tc>
        <w:tc>
          <w:tcPr>
            <w:tcW w:w="2440" w:type="dxa"/>
            <w:vAlign w:val="bottom"/>
            <w:tcBorders>
              <w:top w:val="single" w:sz="8" w:color="CFF0FC"/>
            </w:tcBorders>
            <w:shd w:val="clear" w:color="auto" w:fill="CFF0FC"/>
          </w:tcPr>
          <w:p>
            <w:pPr>
              <w:spacing w:after="0"/>
              <w:rPr>
                <w:sz w:val="12"/>
                <w:szCs w:val="12"/>
                <w:color w:val="auto"/>
              </w:rPr>
            </w:pPr>
          </w:p>
        </w:tc>
        <w:tc>
          <w:tcPr>
            <w:tcW w:w="960" w:type="dxa"/>
            <w:vAlign w:val="bottom"/>
            <w:tcBorders>
              <w:top w:val="single" w:sz="8" w:color="auto"/>
            </w:tcBorders>
            <w:shd w:val="clear" w:color="auto" w:fill="CFF0FC"/>
          </w:tcPr>
          <w:p>
            <w:pPr>
              <w:spacing w:after="0"/>
              <w:rPr>
                <w:sz w:val="12"/>
                <w:szCs w:val="12"/>
                <w:color w:val="auto"/>
              </w:rPr>
            </w:pPr>
          </w:p>
        </w:tc>
        <w:tc>
          <w:tcPr>
            <w:tcW w:w="100" w:type="dxa"/>
            <w:vAlign w:val="bottom"/>
            <w:tcBorders>
              <w:top w:val="single" w:sz="8" w:color="CFF0FC"/>
            </w:tcBorders>
            <w:shd w:val="clear" w:color="auto" w:fill="CFF0FC"/>
          </w:tcPr>
          <w:p>
            <w:pPr>
              <w:spacing w:after="0"/>
              <w:rPr>
                <w:sz w:val="12"/>
                <w:szCs w:val="12"/>
                <w:color w:val="auto"/>
              </w:rPr>
            </w:pPr>
          </w:p>
        </w:tc>
        <w:tc>
          <w:tcPr>
            <w:tcW w:w="820" w:type="dxa"/>
            <w:vAlign w:val="bottom"/>
            <w:tcBorders>
              <w:top w:val="single" w:sz="8" w:color="auto"/>
            </w:tcBorders>
            <w:shd w:val="clear" w:color="auto" w:fill="CFF0FC"/>
          </w:tcPr>
          <w:p>
            <w:pPr>
              <w:spacing w:after="0"/>
              <w:rPr>
                <w:sz w:val="12"/>
                <w:szCs w:val="12"/>
                <w:color w:val="auto"/>
              </w:rPr>
            </w:pPr>
          </w:p>
        </w:tc>
        <w:tc>
          <w:tcPr>
            <w:tcW w:w="200" w:type="dxa"/>
            <w:vAlign w:val="bottom"/>
            <w:tcBorders>
              <w:top w:val="single" w:sz="8" w:color="CFF0FC"/>
            </w:tcBorders>
            <w:shd w:val="clear" w:color="auto" w:fill="CFF0FC"/>
          </w:tcPr>
          <w:p>
            <w:pPr>
              <w:spacing w:after="0"/>
              <w:rPr>
                <w:sz w:val="12"/>
                <w:szCs w:val="12"/>
                <w:color w:val="auto"/>
              </w:rPr>
            </w:pPr>
          </w:p>
        </w:tc>
        <w:tc>
          <w:tcPr>
            <w:tcW w:w="900" w:type="dxa"/>
            <w:vAlign w:val="bottom"/>
            <w:tcBorders>
              <w:top w:val="single" w:sz="8" w:color="auto"/>
            </w:tcBorders>
            <w:shd w:val="clear" w:color="auto" w:fill="CFF0FC"/>
          </w:tcPr>
          <w:p>
            <w:pPr>
              <w:spacing w:after="0"/>
              <w:rPr>
                <w:sz w:val="12"/>
                <w:szCs w:val="12"/>
                <w:color w:val="auto"/>
              </w:rPr>
            </w:pPr>
          </w:p>
        </w:tc>
        <w:tc>
          <w:tcPr>
            <w:tcW w:w="220" w:type="dxa"/>
            <w:vAlign w:val="bottom"/>
            <w:tcBorders>
              <w:top w:val="single" w:sz="8" w:color="CFF0FC"/>
            </w:tcBorders>
            <w:shd w:val="clear" w:color="auto" w:fill="CFF0FC"/>
          </w:tcPr>
          <w:p>
            <w:pPr>
              <w:spacing w:after="0"/>
              <w:rPr>
                <w:sz w:val="12"/>
                <w:szCs w:val="12"/>
                <w:color w:val="auto"/>
              </w:rPr>
            </w:pPr>
          </w:p>
        </w:tc>
        <w:tc>
          <w:tcPr>
            <w:tcW w:w="800" w:type="dxa"/>
            <w:vAlign w:val="bottom"/>
            <w:tcBorders>
              <w:top w:val="single" w:sz="8" w:color="auto"/>
            </w:tcBorders>
            <w:shd w:val="clear" w:color="auto" w:fill="CFF0FC"/>
          </w:tcPr>
          <w:p>
            <w:pPr>
              <w:spacing w:after="0"/>
              <w:rPr>
                <w:sz w:val="12"/>
                <w:szCs w:val="12"/>
                <w:color w:val="auto"/>
              </w:rPr>
            </w:pPr>
          </w:p>
        </w:tc>
        <w:tc>
          <w:tcPr>
            <w:tcW w:w="220" w:type="dxa"/>
            <w:vAlign w:val="bottom"/>
            <w:tcBorders>
              <w:top w:val="single" w:sz="8" w:color="CFF0FC"/>
            </w:tcBorders>
            <w:shd w:val="clear" w:color="auto" w:fill="CFF0FC"/>
          </w:tcPr>
          <w:p>
            <w:pPr>
              <w:spacing w:after="0"/>
              <w:rPr>
                <w:sz w:val="12"/>
                <w:szCs w:val="12"/>
                <w:color w:val="auto"/>
              </w:rPr>
            </w:pPr>
          </w:p>
        </w:tc>
        <w:tc>
          <w:tcPr>
            <w:tcW w:w="820" w:type="dxa"/>
            <w:vAlign w:val="bottom"/>
            <w:tcBorders>
              <w:top w:val="single" w:sz="8" w:color="auto"/>
            </w:tcBorders>
            <w:shd w:val="clear" w:color="auto" w:fill="CFF0FC"/>
          </w:tcPr>
          <w:p>
            <w:pPr>
              <w:spacing w:after="0"/>
              <w:rPr>
                <w:sz w:val="12"/>
                <w:szCs w:val="12"/>
                <w:color w:val="auto"/>
              </w:rPr>
            </w:pPr>
          </w:p>
        </w:tc>
        <w:tc>
          <w:tcPr>
            <w:tcW w:w="220" w:type="dxa"/>
            <w:vAlign w:val="bottom"/>
            <w:tcBorders>
              <w:top w:val="single" w:sz="8" w:color="CFF0FC"/>
            </w:tcBorders>
            <w:shd w:val="clear" w:color="auto" w:fill="CFF0FC"/>
          </w:tcPr>
          <w:p>
            <w:pPr>
              <w:spacing w:after="0"/>
              <w:rPr>
                <w:sz w:val="12"/>
                <w:szCs w:val="12"/>
                <w:color w:val="auto"/>
              </w:rPr>
            </w:pPr>
          </w:p>
        </w:tc>
        <w:tc>
          <w:tcPr>
            <w:tcW w:w="1040" w:type="dxa"/>
            <w:vAlign w:val="bottom"/>
            <w:tcBorders>
              <w:top w:val="single" w:sz="8" w:color="auto"/>
            </w:tcBorders>
            <w:shd w:val="clear" w:color="auto" w:fill="CFF0FC"/>
          </w:tcPr>
          <w:p>
            <w:pPr>
              <w:spacing w:after="0"/>
              <w:rPr>
                <w:sz w:val="12"/>
                <w:szCs w:val="12"/>
                <w:color w:val="auto"/>
              </w:rPr>
            </w:pPr>
          </w:p>
        </w:tc>
        <w:tc>
          <w:tcPr>
            <w:tcW w:w="220" w:type="dxa"/>
            <w:vAlign w:val="bottom"/>
            <w:tcBorders>
              <w:top w:val="single" w:sz="8" w:color="CFF0FC"/>
            </w:tcBorders>
            <w:shd w:val="clear" w:color="auto" w:fill="CFF0FC"/>
          </w:tcPr>
          <w:p>
            <w:pPr>
              <w:spacing w:after="0"/>
              <w:rPr>
                <w:sz w:val="12"/>
                <w:szCs w:val="12"/>
                <w:color w:val="auto"/>
              </w:rPr>
            </w:pPr>
          </w:p>
        </w:tc>
        <w:tc>
          <w:tcPr>
            <w:tcW w:w="580" w:type="dxa"/>
            <w:vAlign w:val="bottom"/>
            <w:tcBorders>
              <w:top w:val="single" w:sz="8" w:color="auto"/>
            </w:tcBorders>
            <w:shd w:val="clear" w:color="auto" w:fill="CFF0FC"/>
          </w:tcPr>
          <w:p>
            <w:pPr>
              <w:spacing w:after="0"/>
              <w:rPr>
                <w:sz w:val="12"/>
                <w:szCs w:val="12"/>
                <w:color w:val="auto"/>
              </w:rPr>
            </w:pPr>
          </w:p>
        </w:tc>
        <w:tc>
          <w:tcPr>
            <w:tcW w:w="660" w:type="dxa"/>
            <w:vAlign w:val="bottom"/>
            <w:tcBorders>
              <w:top w:val="single" w:sz="8" w:color="auto"/>
            </w:tcBorders>
            <w:shd w:val="clear" w:color="auto" w:fill="CFF0FC"/>
          </w:tcPr>
          <w:p>
            <w:pPr>
              <w:spacing w:after="0"/>
              <w:rPr>
                <w:sz w:val="12"/>
                <w:szCs w:val="12"/>
                <w:color w:val="auto"/>
              </w:rPr>
            </w:pPr>
          </w:p>
        </w:tc>
      </w:tr>
      <w:tr>
        <w:trPr>
          <w:trHeight w:val="162"/>
        </w:trPr>
        <w:tc>
          <w:tcPr>
            <w:tcW w:w="3660" w:type="dxa"/>
            <w:vAlign w:val="bottom"/>
            <w:gridSpan w:val="2"/>
          </w:tcPr>
          <w:p>
            <w:pPr>
              <w:spacing w:after="0"/>
              <w:rPr>
                <w:sz w:val="20"/>
                <w:szCs w:val="20"/>
                <w:color w:val="auto"/>
              </w:rPr>
            </w:pPr>
            <w:r>
              <w:rPr>
                <w:rFonts w:ascii="Arial" w:cs="Arial" w:eastAsia="Arial" w:hAnsi="Arial"/>
                <w:sz w:val="14"/>
                <w:szCs w:val="14"/>
                <w:color w:val="auto"/>
              </w:rPr>
              <w:t>Orange County:</w:t>
            </w:r>
          </w:p>
        </w:tc>
        <w:tc>
          <w:tcPr>
            <w:tcW w:w="9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04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660" w:type="dxa"/>
            <w:vAlign w:val="bottom"/>
          </w:tcPr>
          <w:p>
            <w:pPr>
              <w:spacing w:after="0"/>
              <w:rPr>
                <w:sz w:val="14"/>
                <w:szCs w:val="14"/>
                <w:color w:val="auto"/>
              </w:rPr>
            </w:pPr>
          </w:p>
        </w:tc>
      </w:tr>
      <w:tr>
        <w:trPr>
          <w:trHeight w:val="162"/>
        </w:trPr>
        <w:tc>
          <w:tcPr>
            <w:tcW w:w="3660" w:type="dxa"/>
            <w:vAlign w:val="bottom"/>
            <w:gridSpan w:val="2"/>
            <w:shd w:val="clear" w:color="auto" w:fill="CFF0FC"/>
          </w:tcPr>
          <w:p>
            <w:pPr>
              <w:ind w:left="380"/>
              <w:spacing w:after="0"/>
              <w:rPr>
                <w:sz w:val="20"/>
                <w:szCs w:val="20"/>
                <w:color w:val="auto"/>
              </w:rPr>
            </w:pPr>
            <w:r>
              <w:rPr>
                <w:rFonts w:ascii="Arial" w:cs="Arial" w:eastAsia="Arial" w:hAnsi="Arial"/>
                <w:sz w:val="14"/>
                <w:szCs w:val="14"/>
                <w:color w:val="auto"/>
              </w:rPr>
              <w:t>Rancho Mission Viejo</w:t>
            </w:r>
          </w:p>
        </w:tc>
        <w:tc>
          <w:tcPr>
            <w:tcW w:w="960" w:type="dxa"/>
            <w:vAlign w:val="bottom"/>
            <w:shd w:val="clear" w:color="auto" w:fill="CFF0FC"/>
          </w:tcPr>
          <w:p>
            <w:pPr>
              <w:jc w:val="center"/>
              <w:spacing w:after="0"/>
              <w:rPr>
                <w:sz w:val="20"/>
                <w:szCs w:val="20"/>
                <w:color w:val="auto"/>
              </w:rPr>
            </w:pPr>
            <w:r>
              <w:rPr>
                <w:rFonts w:ascii="Arial" w:cs="Arial" w:eastAsia="Arial" w:hAnsi="Arial"/>
                <w:sz w:val="14"/>
                <w:szCs w:val="14"/>
                <w:color w:val="auto"/>
                <w:w w:val="83"/>
              </w:rPr>
              <w:t>2013</w:t>
            </w:r>
          </w:p>
        </w:tc>
        <w:tc>
          <w:tcPr>
            <w:tcW w:w="100" w:type="dxa"/>
            <w:vAlign w:val="bottom"/>
            <w:shd w:val="clear" w:color="auto" w:fill="CFF0FC"/>
          </w:tcPr>
          <w:p>
            <w:pPr>
              <w:spacing w:after="0"/>
              <w:rPr>
                <w:sz w:val="14"/>
                <w:szCs w:val="14"/>
                <w:color w:val="auto"/>
              </w:rPr>
            </w:pPr>
          </w:p>
        </w:tc>
        <w:tc>
          <w:tcPr>
            <w:tcW w:w="820" w:type="dxa"/>
            <w:vAlign w:val="bottom"/>
            <w:shd w:val="clear" w:color="auto" w:fill="CFF0FC"/>
          </w:tcPr>
          <w:p>
            <w:pPr>
              <w:jc w:val="right"/>
              <w:spacing w:after="0"/>
              <w:rPr>
                <w:sz w:val="20"/>
                <w:szCs w:val="20"/>
                <w:color w:val="auto"/>
              </w:rPr>
            </w:pPr>
            <w:r>
              <w:rPr>
                <w:rFonts w:ascii="Arial" w:cs="Arial" w:eastAsia="Arial" w:hAnsi="Arial"/>
                <w:sz w:val="14"/>
                <w:szCs w:val="14"/>
                <w:color w:val="auto"/>
              </w:rPr>
              <w:t>105</w:t>
            </w:r>
          </w:p>
        </w:tc>
        <w:tc>
          <w:tcPr>
            <w:tcW w:w="200" w:type="dxa"/>
            <w:vAlign w:val="bottom"/>
            <w:shd w:val="clear" w:color="auto" w:fill="CFF0FC"/>
          </w:tcPr>
          <w:p>
            <w:pPr>
              <w:spacing w:after="0"/>
              <w:rPr>
                <w:sz w:val="14"/>
                <w:szCs w:val="14"/>
                <w:color w:val="auto"/>
              </w:rPr>
            </w:pPr>
          </w:p>
        </w:tc>
        <w:tc>
          <w:tcPr>
            <w:tcW w:w="900" w:type="dxa"/>
            <w:vAlign w:val="bottom"/>
            <w:shd w:val="clear" w:color="auto" w:fill="CFF0FC"/>
          </w:tcPr>
          <w:p>
            <w:pPr>
              <w:jc w:val="right"/>
              <w:spacing w:after="0"/>
              <w:rPr>
                <w:sz w:val="20"/>
                <w:szCs w:val="20"/>
                <w:color w:val="auto"/>
              </w:rPr>
            </w:pPr>
            <w:r>
              <w:rPr>
                <w:rFonts w:ascii="Arial" w:cs="Arial" w:eastAsia="Arial" w:hAnsi="Arial"/>
                <w:sz w:val="14"/>
                <w:szCs w:val="14"/>
                <w:color w:val="auto"/>
              </w:rPr>
              <w:t>84</w:t>
            </w:r>
          </w:p>
        </w:tc>
        <w:tc>
          <w:tcPr>
            <w:tcW w:w="220" w:type="dxa"/>
            <w:vAlign w:val="bottom"/>
            <w:shd w:val="clear" w:color="auto" w:fill="CFF0FC"/>
          </w:tcPr>
          <w:p>
            <w:pPr>
              <w:spacing w:after="0"/>
              <w:rPr>
                <w:sz w:val="14"/>
                <w:szCs w:val="14"/>
                <w:color w:val="auto"/>
              </w:rPr>
            </w:pPr>
          </w:p>
        </w:tc>
        <w:tc>
          <w:tcPr>
            <w:tcW w:w="800" w:type="dxa"/>
            <w:vAlign w:val="bottom"/>
            <w:shd w:val="clear" w:color="auto" w:fill="CFF0FC"/>
          </w:tcPr>
          <w:p>
            <w:pPr>
              <w:jc w:val="right"/>
              <w:spacing w:after="0"/>
              <w:rPr>
                <w:sz w:val="20"/>
                <w:szCs w:val="20"/>
                <w:color w:val="auto"/>
              </w:rPr>
            </w:pPr>
            <w:r>
              <w:rPr>
                <w:rFonts w:ascii="Arial" w:cs="Arial" w:eastAsia="Arial" w:hAnsi="Arial"/>
                <w:sz w:val="14"/>
                <w:szCs w:val="14"/>
                <w:color w:val="auto"/>
              </w:rPr>
              <w:t>21</w:t>
            </w:r>
          </w:p>
        </w:tc>
        <w:tc>
          <w:tcPr>
            <w:tcW w:w="220" w:type="dxa"/>
            <w:vAlign w:val="bottom"/>
            <w:shd w:val="clear" w:color="auto" w:fill="CFF0FC"/>
          </w:tcPr>
          <w:p>
            <w:pPr>
              <w:spacing w:after="0"/>
              <w:rPr>
                <w:sz w:val="14"/>
                <w:szCs w:val="14"/>
                <w:color w:val="auto"/>
              </w:rPr>
            </w:pPr>
          </w:p>
        </w:tc>
        <w:tc>
          <w:tcPr>
            <w:tcW w:w="820" w:type="dxa"/>
            <w:vAlign w:val="bottom"/>
            <w:shd w:val="clear" w:color="auto" w:fill="CFF0FC"/>
          </w:tcPr>
          <w:p>
            <w:pPr>
              <w:jc w:val="right"/>
              <w:spacing w:after="0"/>
              <w:rPr>
                <w:sz w:val="20"/>
                <w:szCs w:val="20"/>
                <w:color w:val="auto"/>
              </w:rPr>
            </w:pPr>
            <w:r>
              <w:rPr>
                <w:rFonts w:ascii="Arial" w:cs="Arial" w:eastAsia="Arial" w:hAnsi="Arial"/>
                <w:sz w:val="14"/>
                <w:szCs w:val="14"/>
                <w:color w:val="auto"/>
              </w:rPr>
              <w:t>19</w:t>
            </w:r>
          </w:p>
        </w:tc>
        <w:tc>
          <w:tcPr>
            <w:tcW w:w="220" w:type="dxa"/>
            <w:vAlign w:val="bottom"/>
            <w:shd w:val="clear" w:color="auto" w:fill="CFF0FC"/>
          </w:tcPr>
          <w:p>
            <w:pPr>
              <w:spacing w:after="0"/>
              <w:rPr>
                <w:sz w:val="14"/>
                <w:szCs w:val="14"/>
                <w:color w:val="auto"/>
              </w:rPr>
            </w:pPr>
          </w:p>
        </w:tc>
        <w:tc>
          <w:tcPr>
            <w:tcW w:w="1040" w:type="dxa"/>
            <w:vAlign w:val="bottom"/>
            <w:shd w:val="clear" w:color="auto" w:fill="CFF0FC"/>
          </w:tcPr>
          <w:p>
            <w:pPr>
              <w:jc w:val="right"/>
              <w:spacing w:after="0"/>
              <w:rPr>
                <w:sz w:val="20"/>
                <w:szCs w:val="20"/>
                <w:color w:val="auto"/>
              </w:rPr>
            </w:pPr>
            <w:r>
              <w:rPr>
                <w:rFonts w:ascii="Arial" w:cs="Arial" w:eastAsia="Arial" w:hAnsi="Arial"/>
                <w:sz w:val="14"/>
                <w:szCs w:val="14"/>
                <w:color w:val="auto"/>
              </w:rPr>
              <w:t>3</w:t>
            </w:r>
          </w:p>
        </w:tc>
        <w:tc>
          <w:tcPr>
            <w:tcW w:w="800" w:type="dxa"/>
            <w:vAlign w:val="bottom"/>
            <w:gridSpan w:val="2"/>
            <w:shd w:val="clear" w:color="auto" w:fill="CFF0FC"/>
          </w:tcPr>
          <w:p>
            <w:pPr>
              <w:jc w:val="right"/>
              <w:spacing w:after="0"/>
              <w:rPr>
                <w:sz w:val="20"/>
                <w:szCs w:val="20"/>
                <w:color w:val="auto"/>
              </w:rPr>
            </w:pPr>
            <w:r>
              <w:rPr>
                <w:rFonts w:ascii="Arial" w:cs="Arial" w:eastAsia="Arial" w:hAnsi="Arial"/>
                <w:sz w:val="14"/>
                <w:szCs w:val="14"/>
                <w:color w:val="auto"/>
              </w:rPr>
              <w:t>$669</w:t>
            </w:r>
          </w:p>
        </w:tc>
        <w:tc>
          <w:tcPr>
            <w:tcW w:w="660" w:type="dxa"/>
            <w:vAlign w:val="bottom"/>
            <w:shd w:val="clear" w:color="auto" w:fill="CFF0FC"/>
          </w:tcPr>
          <w:p>
            <w:pPr>
              <w:spacing w:after="0"/>
              <w:rPr>
                <w:sz w:val="20"/>
                <w:szCs w:val="20"/>
                <w:color w:val="auto"/>
              </w:rPr>
            </w:pPr>
            <w:r>
              <w:rPr>
                <w:rFonts w:ascii="Arial" w:cs="Arial" w:eastAsia="Arial" w:hAnsi="Arial"/>
                <w:sz w:val="14"/>
                <w:szCs w:val="14"/>
                <w:color w:val="auto"/>
              </w:rPr>
              <w:t>- $715</w:t>
            </w:r>
          </w:p>
        </w:tc>
      </w:tr>
      <w:tr>
        <w:trPr>
          <w:trHeight w:val="162"/>
        </w:trPr>
        <w:tc>
          <w:tcPr>
            <w:tcW w:w="3660" w:type="dxa"/>
            <w:vAlign w:val="bottom"/>
            <w:gridSpan w:val="2"/>
          </w:tcPr>
          <w:p>
            <w:pPr>
              <w:ind w:left="380"/>
              <w:spacing w:after="0"/>
              <w:rPr>
                <w:sz w:val="20"/>
                <w:szCs w:val="20"/>
                <w:color w:val="auto"/>
              </w:rPr>
            </w:pPr>
            <w:r>
              <w:rPr>
                <w:rFonts w:ascii="Arial" w:cs="Arial" w:eastAsia="Arial" w:hAnsi="Arial"/>
                <w:sz w:val="14"/>
                <w:szCs w:val="14"/>
                <w:color w:val="auto"/>
              </w:rPr>
              <w:t>Truewind, Huntington Beach</w:t>
            </w:r>
          </w:p>
        </w:tc>
        <w:tc>
          <w:tcPr>
            <w:tcW w:w="960" w:type="dxa"/>
            <w:vAlign w:val="bottom"/>
          </w:tcPr>
          <w:p>
            <w:pPr>
              <w:jc w:val="center"/>
              <w:spacing w:after="0"/>
              <w:rPr>
                <w:sz w:val="20"/>
                <w:szCs w:val="20"/>
                <w:color w:val="auto"/>
              </w:rPr>
            </w:pPr>
            <w:r>
              <w:rPr>
                <w:rFonts w:ascii="Arial" w:cs="Arial" w:eastAsia="Arial" w:hAnsi="Arial"/>
                <w:sz w:val="14"/>
                <w:szCs w:val="14"/>
                <w:color w:val="auto"/>
                <w:w w:val="83"/>
              </w:rPr>
              <w:t>2014</w:t>
            </w:r>
          </w:p>
        </w:tc>
        <w:tc>
          <w:tcPr>
            <w:tcW w:w="100" w:type="dxa"/>
            <w:vAlign w:val="bottom"/>
          </w:tcPr>
          <w:p>
            <w:pPr>
              <w:spacing w:after="0"/>
              <w:rPr>
                <w:sz w:val="14"/>
                <w:szCs w:val="14"/>
                <w:color w:val="auto"/>
              </w:rPr>
            </w:pPr>
          </w:p>
        </w:tc>
        <w:tc>
          <w:tcPr>
            <w:tcW w:w="820" w:type="dxa"/>
            <w:vAlign w:val="bottom"/>
          </w:tcPr>
          <w:p>
            <w:pPr>
              <w:jc w:val="right"/>
              <w:spacing w:after="0"/>
              <w:rPr>
                <w:sz w:val="20"/>
                <w:szCs w:val="20"/>
                <w:color w:val="auto"/>
              </w:rPr>
            </w:pPr>
            <w:r>
              <w:rPr>
                <w:rFonts w:ascii="Arial" w:cs="Arial" w:eastAsia="Arial" w:hAnsi="Arial"/>
                <w:sz w:val="14"/>
                <w:szCs w:val="14"/>
                <w:color w:val="auto"/>
              </w:rPr>
              <w:t>49</w:t>
            </w:r>
          </w:p>
        </w:tc>
        <w:tc>
          <w:tcPr>
            <w:tcW w:w="200" w:type="dxa"/>
            <w:vAlign w:val="bottom"/>
          </w:tcPr>
          <w:p>
            <w:pPr>
              <w:spacing w:after="0"/>
              <w:rPr>
                <w:sz w:val="14"/>
                <w:szCs w:val="14"/>
                <w:color w:val="auto"/>
              </w:rPr>
            </w:pPr>
          </w:p>
        </w:tc>
        <w:tc>
          <w:tcPr>
            <w:tcW w:w="900" w:type="dxa"/>
            <w:vAlign w:val="bottom"/>
          </w:tcPr>
          <w:p>
            <w:pPr>
              <w:jc w:val="right"/>
              <w:spacing w:after="0"/>
              <w:rPr>
                <w:sz w:val="20"/>
                <w:szCs w:val="20"/>
                <w:color w:val="auto"/>
              </w:rPr>
            </w:pPr>
            <w:r>
              <w:rPr>
                <w:rFonts w:ascii="Arial" w:cs="Arial" w:eastAsia="Arial" w:hAnsi="Arial"/>
                <w:sz w:val="14"/>
                <w:szCs w:val="14"/>
                <w:color w:val="auto"/>
              </w:rPr>
              <w:t>15</w:t>
            </w:r>
          </w:p>
        </w:tc>
        <w:tc>
          <w:tcPr>
            <w:tcW w:w="220" w:type="dxa"/>
            <w:vAlign w:val="bottom"/>
          </w:tcPr>
          <w:p>
            <w:pPr>
              <w:spacing w:after="0"/>
              <w:rPr>
                <w:sz w:val="14"/>
                <w:szCs w:val="14"/>
                <w:color w:val="auto"/>
              </w:rPr>
            </w:pPr>
          </w:p>
        </w:tc>
        <w:tc>
          <w:tcPr>
            <w:tcW w:w="800" w:type="dxa"/>
            <w:vAlign w:val="bottom"/>
          </w:tcPr>
          <w:p>
            <w:pPr>
              <w:jc w:val="right"/>
              <w:spacing w:after="0"/>
              <w:rPr>
                <w:sz w:val="20"/>
                <w:szCs w:val="20"/>
                <w:color w:val="auto"/>
              </w:rPr>
            </w:pPr>
            <w:r>
              <w:rPr>
                <w:rFonts w:ascii="Arial" w:cs="Arial" w:eastAsia="Arial" w:hAnsi="Arial"/>
                <w:sz w:val="14"/>
                <w:szCs w:val="14"/>
                <w:color w:val="auto"/>
              </w:rPr>
              <w:t>34</w:t>
            </w:r>
          </w:p>
        </w:tc>
        <w:tc>
          <w:tcPr>
            <w:tcW w:w="220" w:type="dxa"/>
            <w:vAlign w:val="bottom"/>
          </w:tcPr>
          <w:p>
            <w:pPr>
              <w:spacing w:after="0"/>
              <w:rPr>
                <w:sz w:val="14"/>
                <w:szCs w:val="14"/>
                <w:color w:val="auto"/>
              </w:rPr>
            </w:pPr>
          </w:p>
        </w:tc>
        <w:tc>
          <w:tcPr>
            <w:tcW w:w="820" w:type="dxa"/>
            <w:vAlign w:val="bottom"/>
          </w:tcPr>
          <w:p>
            <w:pPr>
              <w:jc w:val="right"/>
              <w:spacing w:after="0"/>
              <w:rPr>
                <w:sz w:val="20"/>
                <w:szCs w:val="20"/>
                <w:color w:val="auto"/>
              </w:rPr>
            </w:pPr>
            <w:r>
              <w:rPr>
                <w:rFonts w:ascii="Arial" w:cs="Arial" w:eastAsia="Arial" w:hAnsi="Arial"/>
                <w:sz w:val="14"/>
                <w:szCs w:val="14"/>
                <w:color w:val="auto"/>
              </w:rPr>
              <w:t>15</w:t>
            </w:r>
          </w:p>
        </w:tc>
        <w:tc>
          <w:tcPr>
            <w:tcW w:w="220" w:type="dxa"/>
            <w:vAlign w:val="bottom"/>
          </w:tcPr>
          <w:p>
            <w:pPr>
              <w:spacing w:after="0"/>
              <w:rPr>
                <w:sz w:val="14"/>
                <w:szCs w:val="14"/>
                <w:color w:val="auto"/>
              </w:rPr>
            </w:pPr>
          </w:p>
        </w:tc>
        <w:tc>
          <w:tcPr>
            <w:tcW w:w="1040" w:type="dxa"/>
            <w:vAlign w:val="bottom"/>
          </w:tcPr>
          <w:p>
            <w:pPr>
              <w:jc w:val="right"/>
              <w:spacing w:after="0"/>
              <w:rPr>
                <w:sz w:val="20"/>
                <w:szCs w:val="20"/>
                <w:color w:val="auto"/>
              </w:rPr>
            </w:pPr>
            <w:r>
              <w:rPr>
                <w:rFonts w:ascii="Arial" w:cs="Arial" w:eastAsia="Arial" w:hAnsi="Arial"/>
                <w:sz w:val="14"/>
                <w:szCs w:val="14"/>
                <w:color w:val="auto"/>
              </w:rPr>
              <w:t>6</w:t>
            </w:r>
          </w:p>
        </w:tc>
        <w:tc>
          <w:tcPr>
            <w:tcW w:w="800" w:type="dxa"/>
            <w:vAlign w:val="bottom"/>
            <w:gridSpan w:val="2"/>
          </w:tcPr>
          <w:p>
            <w:pPr>
              <w:jc w:val="right"/>
              <w:spacing w:after="0"/>
              <w:rPr>
                <w:sz w:val="20"/>
                <w:szCs w:val="20"/>
                <w:color w:val="auto"/>
              </w:rPr>
            </w:pPr>
            <w:r>
              <w:rPr>
                <w:rFonts w:ascii="Arial" w:cs="Arial" w:eastAsia="Arial" w:hAnsi="Arial"/>
                <w:sz w:val="14"/>
                <w:szCs w:val="14"/>
                <w:color w:val="auto"/>
              </w:rPr>
              <w:t>$1,015</w:t>
            </w:r>
          </w:p>
        </w:tc>
        <w:tc>
          <w:tcPr>
            <w:tcW w:w="660" w:type="dxa"/>
            <w:vAlign w:val="bottom"/>
          </w:tcPr>
          <w:p>
            <w:pPr>
              <w:spacing w:after="0"/>
              <w:rPr>
                <w:sz w:val="20"/>
                <w:szCs w:val="20"/>
                <w:color w:val="auto"/>
              </w:rPr>
            </w:pPr>
            <w:r>
              <w:rPr>
                <w:rFonts w:ascii="Arial" w:cs="Arial" w:eastAsia="Arial" w:hAnsi="Arial"/>
                <w:sz w:val="14"/>
                <w:szCs w:val="14"/>
                <w:color w:val="auto"/>
              </w:rPr>
              <w:t>- $1,140</w:t>
            </w:r>
          </w:p>
        </w:tc>
      </w:tr>
      <w:tr>
        <w:trPr>
          <w:trHeight w:val="162"/>
        </w:trPr>
        <w:tc>
          <w:tcPr>
            <w:tcW w:w="3660" w:type="dxa"/>
            <w:vAlign w:val="bottom"/>
            <w:gridSpan w:val="2"/>
            <w:shd w:val="clear" w:color="auto" w:fill="CFF0FC"/>
          </w:tcPr>
          <w:p>
            <w:pPr>
              <w:ind w:left="380"/>
              <w:spacing w:after="0"/>
              <w:rPr>
                <w:sz w:val="20"/>
                <w:szCs w:val="20"/>
                <w:color w:val="auto"/>
              </w:rPr>
            </w:pPr>
            <w:r>
              <w:rPr>
                <w:rFonts w:ascii="Arial" w:cs="Arial" w:eastAsia="Arial" w:hAnsi="Arial"/>
                <w:sz w:val="14"/>
                <w:szCs w:val="14"/>
                <w:color w:val="auto"/>
              </w:rPr>
              <w:t>Arcadia, Irvine</w:t>
            </w:r>
          </w:p>
        </w:tc>
        <w:tc>
          <w:tcPr>
            <w:tcW w:w="960" w:type="dxa"/>
            <w:vAlign w:val="bottom"/>
            <w:shd w:val="clear" w:color="auto" w:fill="CFF0FC"/>
          </w:tcPr>
          <w:p>
            <w:pPr>
              <w:jc w:val="center"/>
              <w:spacing w:after="0"/>
              <w:rPr>
                <w:sz w:val="20"/>
                <w:szCs w:val="20"/>
                <w:color w:val="auto"/>
              </w:rPr>
            </w:pPr>
            <w:r>
              <w:rPr>
                <w:rFonts w:ascii="Arial" w:cs="Arial" w:eastAsia="Arial" w:hAnsi="Arial"/>
                <w:sz w:val="14"/>
                <w:szCs w:val="14"/>
                <w:color w:val="auto"/>
                <w:w w:val="83"/>
              </w:rPr>
              <w:t>2013</w:t>
            </w:r>
          </w:p>
        </w:tc>
        <w:tc>
          <w:tcPr>
            <w:tcW w:w="100" w:type="dxa"/>
            <w:vAlign w:val="bottom"/>
            <w:shd w:val="clear" w:color="auto" w:fill="CFF0FC"/>
          </w:tcPr>
          <w:p>
            <w:pPr>
              <w:spacing w:after="0"/>
              <w:rPr>
                <w:sz w:val="14"/>
                <w:szCs w:val="14"/>
                <w:color w:val="auto"/>
              </w:rPr>
            </w:pPr>
          </w:p>
        </w:tc>
        <w:tc>
          <w:tcPr>
            <w:tcW w:w="820" w:type="dxa"/>
            <w:vAlign w:val="bottom"/>
            <w:shd w:val="clear" w:color="auto" w:fill="CFF0FC"/>
          </w:tcPr>
          <w:p>
            <w:pPr>
              <w:jc w:val="right"/>
              <w:spacing w:after="0"/>
              <w:rPr>
                <w:sz w:val="20"/>
                <w:szCs w:val="20"/>
                <w:color w:val="auto"/>
              </w:rPr>
            </w:pPr>
            <w:r>
              <w:rPr>
                <w:rFonts w:ascii="Arial" w:cs="Arial" w:eastAsia="Arial" w:hAnsi="Arial"/>
                <w:sz w:val="14"/>
                <w:szCs w:val="14"/>
                <w:color w:val="auto"/>
              </w:rPr>
              <w:t>61</w:t>
            </w:r>
          </w:p>
        </w:tc>
        <w:tc>
          <w:tcPr>
            <w:tcW w:w="200" w:type="dxa"/>
            <w:vAlign w:val="bottom"/>
            <w:shd w:val="clear" w:color="auto" w:fill="CFF0FC"/>
          </w:tcPr>
          <w:p>
            <w:pPr>
              <w:spacing w:after="0"/>
              <w:rPr>
                <w:sz w:val="14"/>
                <w:szCs w:val="14"/>
                <w:color w:val="auto"/>
              </w:rPr>
            </w:pPr>
          </w:p>
        </w:tc>
        <w:tc>
          <w:tcPr>
            <w:tcW w:w="900" w:type="dxa"/>
            <w:vAlign w:val="bottom"/>
            <w:shd w:val="clear" w:color="auto" w:fill="CFF0FC"/>
          </w:tcPr>
          <w:p>
            <w:pPr>
              <w:jc w:val="right"/>
              <w:spacing w:after="0"/>
              <w:rPr>
                <w:sz w:val="20"/>
                <w:szCs w:val="20"/>
                <w:color w:val="auto"/>
              </w:rPr>
            </w:pPr>
            <w:r>
              <w:rPr>
                <w:rFonts w:ascii="Arial" w:cs="Arial" w:eastAsia="Arial" w:hAnsi="Arial"/>
                <w:sz w:val="14"/>
                <w:szCs w:val="14"/>
                <w:color w:val="auto"/>
              </w:rPr>
              <w:t>46</w:t>
            </w:r>
          </w:p>
        </w:tc>
        <w:tc>
          <w:tcPr>
            <w:tcW w:w="220" w:type="dxa"/>
            <w:vAlign w:val="bottom"/>
            <w:shd w:val="clear" w:color="auto" w:fill="CFF0FC"/>
          </w:tcPr>
          <w:p>
            <w:pPr>
              <w:spacing w:after="0"/>
              <w:rPr>
                <w:sz w:val="14"/>
                <w:szCs w:val="14"/>
                <w:color w:val="auto"/>
              </w:rPr>
            </w:pPr>
          </w:p>
        </w:tc>
        <w:tc>
          <w:tcPr>
            <w:tcW w:w="800" w:type="dxa"/>
            <w:vAlign w:val="bottom"/>
            <w:shd w:val="clear" w:color="auto" w:fill="CFF0FC"/>
          </w:tcPr>
          <w:p>
            <w:pPr>
              <w:jc w:val="right"/>
              <w:spacing w:after="0"/>
              <w:rPr>
                <w:sz w:val="20"/>
                <w:szCs w:val="20"/>
                <w:color w:val="auto"/>
              </w:rPr>
            </w:pPr>
            <w:r>
              <w:rPr>
                <w:rFonts w:ascii="Arial" w:cs="Arial" w:eastAsia="Arial" w:hAnsi="Arial"/>
                <w:sz w:val="14"/>
                <w:szCs w:val="14"/>
                <w:color w:val="auto"/>
              </w:rPr>
              <w:t>-</w:t>
            </w:r>
          </w:p>
        </w:tc>
        <w:tc>
          <w:tcPr>
            <w:tcW w:w="220" w:type="dxa"/>
            <w:vAlign w:val="bottom"/>
            <w:shd w:val="clear" w:color="auto" w:fill="CFF0FC"/>
          </w:tcPr>
          <w:p>
            <w:pPr>
              <w:spacing w:after="0"/>
              <w:rPr>
                <w:sz w:val="14"/>
                <w:szCs w:val="14"/>
                <w:color w:val="auto"/>
              </w:rPr>
            </w:pPr>
          </w:p>
        </w:tc>
        <w:tc>
          <w:tcPr>
            <w:tcW w:w="820" w:type="dxa"/>
            <w:vAlign w:val="bottom"/>
            <w:shd w:val="clear" w:color="auto" w:fill="CFF0FC"/>
          </w:tcPr>
          <w:p>
            <w:pPr>
              <w:jc w:val="right"/>
              <w:spacing w:after="0"/>
              <w:rPr>
                <w:sz w:val="20"/>
                <w:szCs w:val="20"/>
                <w:color w:val="auto"/>
              </w:rPr>
            </w:pPr>
            <w:r>
              <w:rPr>
                <w:rFonts w:ascii="Arial" w:cs="Arial" w:eastAsia="Arial" w:hAnsi="Arial"/>
                <w:sz w:val="14"/>
                <w:szCs w:val="14"/>
                <w:color w:val="auto"/>
              </w:rPr>
              <w:t>-</w:t>
            </w:r>
          </w:p>
        </w:tc>
        <w:tc>
          <w:tcPr>
            <w:tcW w:w="220" w:type="dxa"/>
            <w:vAlign w:val="bottom"/>
            <w:shd w:val="clear" w:color="auto" w:fill="CFF0FC"/>
          </w:tcPr>
          <w:p>
            <w:pPr>
              <w:spacing w:after="0"/>
              <w:rPr>
                <w:sz w:val="14"/>
                <w:szCs w:val="14"/>
                <w:color w:val="auto"/>
              </w:rPr>
            </w:pPr>
          </w:p>
        </w:tc>
        <w:tc>
          <w:tcPr>
            <w:tcW w:w="1040" w:type="dxa"/>
            <w:vAlign w:val="bottom"/>
            <w:shd w:val="clear" w:color="auto" w:fill="CFF0FC"/>
          </w:tcPr>
          <w:p>
            <w:pPr>
              <w:jc w:val="right"/>
              <w:spacing w:after="0"/>
              <w:rPr>
                <w:sz w:val="20"/>
                <w:szCs w:val="20"/>
                <w:color w:val="auto"/>
              </w:rPr>
            </w:pPr>
            <w:r>
              <w:rPr>
                <w:rFonts w:ascii="Arial" w:cs="Arial" w:eastAsia="Arial" w:hAnsi="Arial"/>
                <w:sz w:val="14"/>
                <w:szCs w:val="14"/>
                <w:color w:val="auto"/>
              </w:rPr>
              <w:t>1</w:t>
            </w:r>
          </w:p>
        </w:tc>
        <w:tc>
          <w:tcPr>
            <w:tcW w:w="800" w:type="dxa"/>
            <w:vAlign w:val="bottom"/>
            <w:gridSpan w:val="2"/>
            <w:shd w:val="clear" w:color="auto" w:fill="CFF0FC"/>
          </w:tcPr>
          <w:p>
            <w:pPr>
              <w:jc w:val="right"/>
              <w:spacing w:after="0"/>
              <w:rPr>
                <w:sz w:val="20"/>
                <w:szCs w:val="20"/>
                <w:color w:val="auto"/>
              </w:rPr>
            </w:pPr>
            <w:r>
              <w:rPr>
                <w:rFonts w:ascii="Arial" w:cs="Arial" w:eastAsia="Arial" w:hAnsi="Arial"/>
                <w:sz w:val="14"/>
                <w:szCs w:val="14"/>
                <w:color w:val="auto"/>
              </w:rPr>
              <w:t>$1,162</w:t>
            </w:r>
          </w:p>
        </w:tc>
        <w:tc>
          <w:tcPr>
            <w:tcW w:w="660" w:type="dxa"/>
            <w:vAlign w:val="bottom"/>
            <w:shd w:val="clear" w:color="auto" w:fill="CFF0FC"/>
          </w:tcPr>
          <w:p>
            <w:pPr>
              <w:spacing w:after="0"/>
              <w:rPr>
                <w:sz w:val="20"/>
                <w:szCs w:val="20"/>
                <w:color w:val="auto"/>
              </w:rPr>
            </w:pPr>
            <w:r>
              <w:rPr>
                <w:rFonts w:ascii="Arial" w:cs="Arial" w:eastAsia="Arial" w:hAnsi="Arial"/>
                <w:sz w:val="14"/>
                <w:szCs w:val="14"/>
                <w:color w:val="auto"/>
              </w:rPr>
              <w:t>- $1,420</w:t>
            </w:r>
          </w:p>
        </w:tc>
      </w:tr>
      <w:tr>
        <w:trPr>
          <w:trHeight w:val="162"/>
        </w:trPr>
        <w:tc>
          <w:tcPr>
            <w:tcW w:w="3660" w:type="dxa"/>
            <w:vAlign w:val="bottom"/>
            <w:gridSpan w:val="2"/>
          </w:tcPr>
          <w:p>
            <w:pPr>
              <w:ind w:left="380"/>
              <w:spacing w:after="0"/>
              <w:rPr>
                <w:sz w:val="20"/>
                <w:szCs w:val="20"/>
                <w:color w:val="auto"/>
              </w:rPr>
            </w:pPr>
            <w:r>
              <w:rPr>
                <w:rFonts w:ascii="Arial" w:cs="Arial" w:eastAsia="Arial" w:hAnsi="Arial"/>
                <w:sz w:val="14"/>
                <w:szCs w:val="14"/>
                <w:color w:val="auto"/>
              </w:rPr>
              <w:t>Arcadia II, Irvine</w:t>
            </w:r>
          </w:p>
        </w:tc>
        <w:tc>
          <w:tcPr>
            <w:tcW w:w="960" w:type="dxa"/>
            <w:vAlign w:val="bottom"/>
          </w:tcPr>
          <w:p>
            <w:pPr>
              <w:jc w:val="center"/>
              <w:spacing w:after="0"/>
              <w:rPr>
                <w:sz w:val="20"/>
                <w:szCs w:val="20"/>
                <w:color w:val="auto"/>
              </w:rPr>
            </w:pPr>
            <w:r>
              <w:rPr>
                <w:rFonts w:ascii="Arial" w:cs="Arial" w:eastAsia="Arial" w:hAnsi="Arial"/>
                <w:sz w:val="14"/>
                <w:szCs w:val="14"/>
                <w:color w:val="auto"/>
                <w:w w:val="83"/>
              </w:rPr>
              <w:t>2014</w:t>
            </w:r>
          </w:p>
        </w:tc>
        <w:tc>
          <w:tcPr>
            <w:tcW w:w="100" w:type="dxa"/>
            <w:vAlign w:val="bottom"/>
          </w:tcPr>
          <w:p>
            <w:pPr>
              <w:spacing w:after="0"/>
              <w:rPr>
                <w:sz w:val="14"/>
                <w:szCs w:val="14"/>
                <w:color w:val="auto"/>
              </w:rPr>
            </w:pPr>
          </w:p>
        </w:tc>
        <w:tc>
          <w:tcPr>
            <w:tcW w:w="820" w:type="dxa"/>
            <w:vAlign w:val="bottom"/>
          </w:tcPr>
          <w:p>
            <w:pPr>
              <w:jc w:val="right"/>
              <w:spacing w:after="0"/>
              <w:rPr>
                <w:sz w:val="20"/>
                <w:szCs w:val="20"/>
                <w:color w:val="auto"/>
              </w:rPr>
            </w:pPr>
            <w:r>
              <w:rPr>
                <w:rFonts w:ascii="Arial" w:cs="Arial" w:eastAsia="Arial" w:hAnsi="Arial"/>
                <w:sz w:val="14"/>
                <w:szCs w:val="14"/>
                <w:color w:val="auto"/>
              </w:rPr>
              <w:t>66</w:t>
            </w:r>
          </w:p>
        </w:tc>
        <w:tc>
          <w:tcPr>
            <w:tcW w:w="200" w:type="dxa"/>
            <w:vAlign w:val="bottom"/>
          </w:tcPr>
          <w:p>
            <w:pPr>
              <w:spacing w:after="0"/>
              <w:rPr>
                <w:sz w:val="14"/>
                <w:szCs w:val="14"/>
                <w:color w:val="auto"/>
              </w:rPr>
            </w:pPr>
          </w:p>
        </w:tc>
        <w:tc>
          <w:tcPr>
            <w:tcW w:w="900" w:type="dxa"/>
            <w:vAlign w:val="bottom"/>
          </w:tcPr>
          <w:p>
            <w:pPr>
              <w:jc w:val="right"/>
              <w:spacing w:after="0"/>
              <w:rPr>
                <w:sz w:val="20"/>
                <w:szCs w:val="20"/>
                <w:color w:val="auto"/>
              </w:rPr>
            </w:pPr>
            <w:r>
              <w:rPr>
                <w:rFonts w:ascii="Arial" w:cs="Arial" w:eastAsia="Arial" w:hAnsi="Arial"/>
                <w:sz w:val="14"/>
                <w:szCs w:val="14"/>
                <w:color w:val="auto"/>
              </w:rPr>
              <w:t>17</w:t>
            </w:r>
          </w:p>
        </w:tc>
        <w:tc>
          <w:tcPr>
            <w:tcW w:w="220" w:type="dxa"/>
            <w:vAlign w:val="bottom"/>
          </w:tcPr>
          <w:p>
            <w:pPr>
              <w:spacing w:after="0"/>
              <w:rPr>
                <w:sz w:val="14"/>
                <w:szCs w:val="14"/>
                <w:color w:val="auto"/>
              </w:rPr>
            </w:pPr>
          </w:p>
        </w:tc>
        <w:tc>
          <w:tcPr>
            <w:tcW w:w="800" w:type="dxa"/>
            <w:vAlign w:val="bottom"/>
          </w:tcPr>
          <w:p>
            <w:pPr>
              <w:jc w:val="right"/>
              <w:spacing w:after="0"/>
              <w:rPr>
                <w:sz w:val="20"/>
                <w:szCs w:val="20"/>
                <w:color w:val="auto"/>
              </w:rPr>
            </w:pPr>
            <w:r>
              <w:rPr>
                <w:rFonts w:ascii="Arial" w:cs="Arial" w:eastAsia="Arial" w:hAnsi="Arial"/>
                <w:sz w:val="14"/>
                <w:szCs w:val="14"/>
                <w:color w:val="auto"/>
              </w:rPr>
              <w:t>9</w:t>
            </w:r>
          </w:p>
        </w:tc>
        <w:tc>
          <w:tcPr>
            <w:tcW w:w="220" w:type="dxa"/>
            <w:vAlign w:val="bottom"/>
          </w:tcPr>
          <w:p>
            <w:pPr>
              <w:spacing w:after="0"/>
              <w:rPr>
                <w:sz w:val="14"/>
                <w:szCs w:val="14"/>
                <w:color w:val="auto"/>
              </w:rPr>
            </w:pPr>
          </w:p>
        </w:tc>
        <w:tc>
          <w:tcPr>
            <w:tcW w:w="820" w:type="dxa"/>
            <w:vAlign w:val="bottom"/>
          </w:tcPr>
          <w:p>
            <w:pPr>
              <w:jc w:val="right"/>
              <w:spacing w:after="0"/>
              <w:rPr>
                <w:sz w:val="20"/>
                <w:szCs w:val="20"/>
                <w:color w:val="auto"/>
              </w:rPr>
            </w:pPr>
            <w:r>
              <w:rPr>
                <w:rFonts w:ascii="Arial" w:cs="Arial" w:eastAsia="Arial" w:hAnsi="Arial"/>
                <w:sz w:val="14"/>
                <w:szCs w:val="14"/>
                <w:color w:val="auto"/>
              </w:rPr>
              <w:t>11</w:t>
            </w:r>
          </w:p>
        </w:tc>
        <w:tc>
          <w:tcPr>
            <w:tcW w:w="220" w:type="dxa"/>
            <w:vAlign w:val="bottom"/>
          </w:tcPr>
          <w:p>
            <w:pPr>
              <w:spacing w:after="0"/>
              <w:rPr>
                <w:sz w:val="14"/>
                <w:szCs w:val="14"/>
                <w:color w:val="auto"/>
              </w:rPr>
            </w:pPr>
          </w:p>
        </w:tc>
        <w:tc>
          <w:tcPr>
            <w:tcW w:w="1040" w:type="dxa"/>
            <w:vAlign w:val="bottom"/>
          </w:tcPr>
          <w:p>
            <w:pPr>
              <w:jc w:val="right"/>
              <w:spacing w:after="0"/>
              <w:rPr>
                <w:sz w:val="20"/>
                <w:szCs w:val="20"/>
                <w:color w:val="auto"/>
              </w:rPr>
            </w:pPr>
            <w:r>
              <w:rPr>
                <w:rFonts w:ascii="Arial" w:cs="Arial" w:eastAsia="Arial" w:hAnsi="Arial"/>
                <w:sz w:val="14"/>
                <w:szCs w:val="14"/>
                <w:color w:val="auto"/>
              </w:rPr>
              <w:t>6</w:t>
            </w:r>
          </w:p>
        </w:tc>
        <w:tc>
          <w:tcPr>
            <w:tcW w:w="800" w:type="dxa"/>
            <w:vAlign w:val="bottom"/>
            <w:gridSpan w:val="2"/>
          </w:tcPr>
          <w:p>
            <w:pPr>
              <w:jc w:val="right"/>
              <w:spacing w:after="0"/>
              <w:rPr>
                <w:sz w:val="20"/>
                <w:szCs w:val="20"/>
                <w:color w:val="auto"/>
              </w:rPr>
            </w:pPr>
            <w:r>
              <w:rPr>
                <w:rFonts w:ascii="Arial" w:cs="Arial" w:eastAsia="Arial" w:hAnsi="Arial"/>
                <w:sz w:val="14"/>
                <w:szCs w:val="14"/>
                <w:color w:val="auto"/>
              </w:rPr>
              <w:t>$1,162</w:t>
            </w:r>
          </w:p>
        </w:tc>
        <w:tc>
          <w:tcPr>
            <w:tcW w:w="660" w:type="dxa"/>
            <w:vAlign w:val="bottom"/>
          </w:tcPr>
          <w:p>
            <w:pPr>
              <w:spacing w:after="0"/>
              <w:rPr>
                <w:sz w:val="20"/>
                <w:szCs w:val="20"/>
                <w:color w:val="auto"/>
              </w:rPr>
            </w:pPr>
            <w:r>
              <w:rPr>
                <w:rFonts w:ascii="Arial" w:cs="Arial" w:eastAsia="Arial" w:hAnsi="Arial"/>
                <w:sz w:val="14"/>
                <w:szCs w:val="14"/>
                <w:color w:val="auto"/>
              </w:rPr>
              <w:t>- $1,232</w:t>
            </w:r>
          </w:p>
        </w:tc>
      </w:tr>
      <w:tr>
        <w:trPr>
          <w:trHeight w:val="162"/>
        </w:trPr>
        <w:tc>
          <w:tcPr>
            <w:tcW w:w="3660" w:type="dxa"/>
            <w:vAlign w:val="bottom"/>
            <w:gridSpan w:val="2"/>
            <w:shd w:val="clear" w:color="auto" w:fill="CFF0FC"/>
          </w:tcPr>
          <w:p>
            <w:pPr>
              <w:ind w:left="380"/>
              <w:spacing w:after="0"/>
              <w:rPr>
                <w:sz w:val="20"/>
                <w:szCs w:val="20"/>
                <w:color w:val="auto"/>
              </w:rPr>
            </w:pPr>
            <w:r>
              <w:rPr>
                <w:rFonts w:ascii="Arial" w:cs="Arial" w:eastAsia="Arial" w:hAnsi="Arial"/>
                <w:sz w:val="14"/>
                <w:szCs w:val="14"/>
                <w:color w:val="auto"/>
              </w:rPr>
              <w:t>Fairwind, Huntington Beach</w:t>
            </w:r>
          </w:p>
        </w:tc>
        <w:tc>
          <w:tcPr>
            <w:tcW w:w="960" w:type="dxa"/>
            <w:vAlign w:val="bottom"/>
            <w:shd w:val="clear" w:color="auto" w:fill="CFF0FC"/>
          </w:tcPr>
          <w:p>
            <w:pPr>
              <w:jc w:val="center"/>
              <w:spacing w:after="0"/>
              <w:rPr>
                <w:sz w:val="20"/>
                <w:szCs w:val="20"/>
                <w:color w:val="auto"/>
              </w:rPr>
            </w:pPr>
            <w:r>
              <w:rPr>
                <w:rFonts w:ascii="Arial" w:cs="Arial" w:eastAsia="Arial" w:hAnsi="Arial"/>
                <w:sz w:val="14"/>
                <w:szCs w:val="14"/>
                <w:color w:val="auto"/>
                <w:w w:val="83"/>
              </w:rPr>
              <w:t>2015</w:t>
            </w:r>
          </w:p>
        </w:tc>
        <w:tc>
          <w:tcPr>
            <w:tcW w:w="100" w:type="dxa"/>
            <w:vAlign w:val="bottom"/>
            <w:shd w:val="clear" w:color="auto" w:fill="CFF0FC"/>
          </w:tcPr>
          <w:p>
            <w:pPr>
              <w:spacing w:after="0"/>
              <w:rPr>
                <w:sz w:val="14"/>
                <w:szCs w:val="14"/>
                <w:color w:val="auto"/>
              </w:rPr>
            </w:pPr>
          </w:p>
        </w:tc>
        <w:tc>
          <w:tcPr>
            <w:tcW w:w="820" w:type="dxa"/>
            <w:vAlign w:val="bottom"/>
            <w:shd w:val="clear" w:color="auto" w:fill="CFF0FC"/>
          </w:tcPr>
          <w:p>
            <w:pPr>
              <w:jc w:val="right"/>
              <w:spacing w:after="0"/>
              <w:rPr>
                <w:sz w:val="20"/>
                <w:szCs w:val="20"/>
                <w:color w:val="auto"/>
              </w:rPr>
            </w:pPr>
            <w:r>
              <w:rPr>
                <w:rFonts w:ascii="Arial" w:cs="Arial" w:eastAsia="Arial" w:hAnsi="Arial"/>
                <w:sz w:val="14"/>
                <w:szCs w:val="14"/>
                <w:color w:val="auto"/>
              </w:rPr>
              <w:t>80</w:t>
            </w:r>
          </w:p>
        </w:tc>
        <w:tc>
          <w:tcPr>
            <w:tcW w:w="200" w:type="dxa"/>
            <w:vAlign w:val="bottom"/>
            <w:shd w:val="clear" w:color="auto" w:fill="CFF0FC"/>
          </w:tcPr>
          <w:p>
            <w:pPr>
              <w:spacing w:after="0"/>
              <w:rPr>
                <w:sz w:val="14"/>
                <w:szCs w:val="14"/>
                <w:color w:val="auto"/>
              </w:rPr>
            </w:pPr>
          </w:p>
        </w:tc>
        <w:tc>
          <w:tcPr>
            <w:tcW w:w="900" w:type="dxa"/>
            <w:vAlign w:val="bottom"/>
            <w:shd w:val="clear" w:color="auto" w:fill="CFF0FC"/>
          </w:tcPr>
          <w:p>
            <w:pPr>
              <w:jc w:val="right"/>
              <w:spacing w:after="0"/>
              <w:rPr>
                <w:sz w:val="20"/>
                <w:szCs w:val="20"/>
                <w:color w:val="auto"/>
              </w:rPr>
            </w:pPr>
            <w:r>
              <w:rPr>
                <w:rFonts w:ascii="Arial" w:cs="Arial" w:eastAsia="Arial" w:hAnsi="Arial"/>
                <w:sz w:val="14"/>
                <w:szCs w:val="14"/>
                <w:color w:val="auto"/>
              </w:rPr>
              <w:t>-</w:t>
            </w:r>
          </w:p>
        </w:tc>
        <w:tc>
          <w:tcPr>
            <w:tcW w:w="220" w:type="dxa"/>
            <w:vAlign w:val="bottom"/>
            <w:shd w:val="clear" w:color="auto" w:fill="CFF0FC"/>
          </w:tcPr>
          <w:p>
            <w:pPr>
              <w:spacing w:after="0"/>
              <w:rPr>
                <w:sz w:val="14"/>
                <w:szCs w:val="14"/>
                <w:color w:val="auto"/>
              </w:rPr>
            </w:pPr>
          </w:p>
        </w:tc>
        <w:tc>
          <w:tcPr>
            <w:tcW w:w="800" w:type="dxa"/>
            <w:vAlign w:val="bottom"/>
            <w:shd w:val="clear" w:color="auto" w:fill="CFF0FC"/>
          </w:tcPr>
          <w:p>
            <w:pPr>
              <w:jc w:val="right"/>
              <w:spacing w:after="0"/>
              <w:rPr>
                <w:sz w:val="20"/>
                <w:szCs w:val="20"/>
                <w:color w:val="auto"/>
              </w:rPr>
            </w:pPr>
            <w:r>
              <w:rPr>
                <w:rFonts w:ascii="Arial" w:cs="Arial" w:eastAsia="Arial" w:hAnsi="Arial"/>
                <w:sz w:val="14"/>
                <w:szCs w:val="14"/>
                <w:color w:val="auto"/>
              </w:rPr>
              <w:t>80</w:t>
            </w:r>
          </w:p>
        </w:tc>
        <w:tc>
          <w:tcPr>
            <w:tcW w:w="220" w:type="dxa"/>
            <w:vAlign w:val="bottom"/>
            <w:shd w:val="clear" w:color="auto" w:fill="CFF0FC"/>
          </w:tcPr>
          <w:p>
            <w:pPr>
              <w:spacing w:after="0"/>
              <w:rPr>
                <w:sz w:val="14"/>
                <w:szCs w:val="14"/>
                <w:color w:val="auto"/>
              </w:rPr>
            </w:pPr>
          </w:p>
        </w:tc>
        <w:tc>
          <w:tcPr>
            <w:tcW w:w="820" w:type="dxa"/>
            <w:vAlign w:val="bottom"/>
            <w:shd w:val="clear" w:color="auto" w:fill="CFF0FC"/>
          </w:tcPr>
          <w:p>
            <w:pPr>
              <w:jc w:val="right"/>
              <w:spacing w:after="0"/>
              <w:rPr>
                <w:sz w:val="20"/>
                <w:szCs w:val="20"/>
                <w:color w:val="auto"/>
              </w:rPr>
            </w:pPr>
            <w:r>
              <w:rPr>
                <w:rFonts w:ascii="Arial" w:cs="Arial" w:eastAsia="Arial" w:hAnsi="Arial"/>
                <w:sz w:val="14"/>
                <w:szCs w:val="14"/>
                <w:color w:val="auto"/>
              </w:rPr>
              <w:t>31</w:t>
            </w:r>
          </w:p>
        </w:tc>
        <w:tc>
          <w:tcPr>
            <w:tcW w:w="220" w:type="dxa"/>
            <w:vAlign w:val="bottom"/>
            <w:shd w:val="clear" w:color="auto" w:fill="CFF0FC"/>
          </w:tcPr>
          <w:p>
            <w:pPr>
              <w:spacing w:after="0"/>
              <w:rPr>
                <w:sz w:val="14"/>
                <w:szCs w:val="14"/>
                <w:color w:val="auto"/>
              </w:rPr>
            </w:pPr>
          </w:p>
        </w:tc>
        <w:tc>
          <w:tcPr>
            <w:tcW w:w="1040" w:type="dxa"/>
            <w:vAlign w:val="bottom"/>
            <w:shd w:val="clear" w:color="auto" w:fill="CFF0FC"/>
          </w:tcPr>
          <w:p>
            <w:pPr>
              <w:jc w:val="right"/>
              <w:spacing w:after="0"/>
              <w:rPr>
                <w:sz w:val="20"/>
                <w:szCs w:val="20"/>
                <w:color w:val="auto"/>
              </w:rPr>
            </w:pPr>
            <w:r>
              <w:rPr>
                <w:rFonts w:ascii="Arial" w:cs="Arial" w:eastAsia="Arial" w:hAnsi="Arial"/>
                <w:sz w:val="14"/>
                <w:szCs w:val="14"/>
                <w:color w:val="auto"/>
              </w:rPr>
              <w:t>-</w:t>
            </w:r>
          </w:p>
        </w:tc>
        <w:tc>
          <w:tcPr>
            <w:tcW w:w="800" w:type="dxa"/>
            <w:vAlign w:val="bottom"/>
            <w:gridSpan w:val="2"/>
            <w:shd w:val="clear" w:color="auto" w:fill="CFF0FC"/>
          </w:tcPr>
          <w:p>
            <w:pPr>
              <w:jc w:val="right"/>
              <w:spacing w:after="0"/>
              <w:rPr>
                <w:sz w:val="20"/>
                <w:szCs w:val="20"/>
                <w:color w:val="auto"/>
              </w:rPr>
            </w:pPr>
            <w:r>
              <w:rPr>
                <w:rFonts w:ascii="Arial" w:cs="Arial" w:eastAsia="Arial" w:hAnsi="Arial"/>
                <w:sz w:val="14"/>
                <w:szCs w:val="14"/>
                <w:color w:val="auto"/>
              </w:rPr>
              <w:t>$855</w:t>
            </w:r>
          </w:p>
        </w:tc>
        <w:tc>
          <w:tcPr>
            <w:tcW w:w="660" w:type="dxa"/>
            <w:vAlign w:val="bottom"/>
            <w:shd w:val="clear" w:color="auto" w:fill="CFF0FC"/>
          </w:tcPr>
          <w:p>
            <w:pPr>
              <w:spacing w:after="0"/>
              <w:rPr>
                <w:sz w:val="20"/>
                <w:szCs w:val="20"/>
                <w:color w:val="auto"/>
              </w:rPr>
            </w:pPr>
            <w:r>
              <w:rPr>
                <w:rFonts w:ascii="Arial" w:cs="Arial" w:eastAsia="Arial" w:hAnsi="Arial"/>
                <w:sz w:val="14"/>
                <w:szCs w:val="14"/>
                <w:color w:val="auto"/>
              </w:rPr>
              <w:t>- $955</w:t>
            </w:r>
          </w:p>
        </w:tc>
      </w:tr>
      <w:tr>
        <w:trPr>
          <w:trHeight w:val="162"/>
        </w:trPr>
        <w:tc>
          <w:tcPr>
            <w:tcW w:w="3660" w:type="dxa"/>
            <w:vAlign w:val="bottom"/>
            <w:gridSpan w:val="2"/>
          </w:tcPr>
          <w:p>
            <w:pPr>
              <w:ind w:left="380"/>
              <w:spacing w:after="0"/>
              <w:rPr>
                <w:sz w:val="20"/>
                <w:szCs w:val="20"/>
                <w:color w:val="auto"/>
              </w:rPr>
            </w:pPr>
            <w:r>
              <w:rPr>
                <w:rFonts w:ascii="Arial" w:cs="Arial" w:eastAsia="Arial" w:hAnsi="Arial"/>
                <w:sz w:val="14"/>
                <w:szCs w:val="14"/>
                <w:color w:val="auto"/>
              </w:rPr>
              <w:t>Cariz, Irvine</w:t>
            </w:r>
          </w:p>
        </w:tc>
        <w:tc>
          <w:tcPr>
            <w:tcW w:w="960" w:type="dxa"/>
            <w:vAlign w:val="bottom"/>
          </w:tcPr>
          <w:p>
            <w:pPr>
              <w:jc w:val="center"/>
              <w:spacing w:after="0"/>
              <w:rPr>
                <w:sz w:val="20"/>
                <w:szCs w:val="20"/>
                <w:color w:val="auto"/>
              </w:rPr>
            </w:pPr>
            <w:r>
              <w:rPr>
                <w:rFonts w:ascii="Arial" w:cs="Arial" w:eastAsia="Arial" w:hAnsi="Arial"/>
                <w:sz w:val="14"/>
                <w:szCs w:val="14"/>
                <w:color w:val="auto"/>
                <w:w w:val="83"/>
              </w:rPr>
              <w:t>2014</w:t>
            </w:r>
          </w:p>
        </w:tc>
        <w:tc>
          <w:tcPr>
            <w:tcW w:w="100" w:type="dxa"/>
            <w:vAlign w:val="bottom"/>
          </w:tcPr>
          <w:p>
            <w:pPr>
              <w:spacing w:after="0"/>
              <w:rPr>
                <w:sz w:val="14"/>
                <w:szCs w:val="14"/>
                <w:color w:val="auto"/>
              </w:rPr>
            </w:pPr>
          </w:p>
        </w:tc>
        <w:tc>
          <w:tcPr>
            <w:tcW w:w="820" w:type="dxa"/>
            <w:vAlign w:val="bottom"/>
          </w:tcPr>
          <w:p>
            <w:pPr>
              <w:jc w:val="right"/>
              <w:spacing w:after="0"/>
              <w:rPr>
                <w:sz w:val="20"/>
                <w:szCs w:val="20"/>
                <w:color w:val="auto"/>
              </w:rPr>
            </w:pPr>
            <w:r>
              <w:rPr>
                <w:rFonts w:ascii="Arial" w:cs="Arial" w:eastAsia="Arial" w:hAnsi="Arial"/>
                <w:sz w:val="14"/>
                <w:szCs w:val="14"/>
                <w:color w:val="auto"/>
              </w:rPr>
              <w:t>112</w:t>
            </w:r>
          </w:p>
        </w:tc>
        <w:tc>
          <w:tcPr>
            <w:tcW w:w="200" w:type="dxa"/>
            <w:vAlign w:val="bottom"/>
          </w:tcPr>
          <w:p>
            <w:pPr>
              <w:spacing w:after="0"/>
              <w:rPr>
                <w:sz w:val="14"/>
                <w:szCs w:val="14"/>
                <w:color w:val="auto"/>
              </w:rPr>
            </w:pPr>
          </w:p>
        </w:tc>
        <w:tc>
          <w:tcPr>
            <w:tcW w:w="900" w:type="dxa"/>
            <w:vAlign w:val="bottom"/>
          </w:tcPr>
          <w:p>
            <w:pPr>
              <w:jc w:val="right"/>
              <w:spacing w:after="0"/>
              <w:rPr>
                <w:sz w:val="20"/>
                <w:szCs w:val="20"/>
                <w:color w:val="auto"/>
              </w:rPr>
            </w:pPr>
            <w:r>
              <w:rPr>
                <w:rFonts w:ascii="Arial" w:cs="Arial" w:eastAsia="Arial" w:hAnsi="Arial"/>
                <w:sz w:val="14"/>
                <w:szCs w:val="14"/>
                <w:color w:val="auto"/>
              </w:rPr>
              <w:t>31</w:t>
            </w:r>
          </w:p>
        </w:tc>
        <w:tc>
          <w:tcPr>
            <w:tcW w:w="220" w:type="dxa"/>
            <w:vAlign w:val="bottom"/>
          </w:tcPr>
          <w:p>
            <w:pPr>
              <w:spacing w:after="0"/>
              <w:rPr>
                <w:sz w:val="14"/>
                <w:szCs w:val="14"/>
                <w:color w:val="auto"/>
              </w:rPr>
            </w:pPr>
          </w:p>
        </w:tc>
        <w:tc>
          <w:tcPr>
            <w:tcW w:w="800" w:type="dxa"/>
            <w:vAlign w:val="bottom"/>
          </w:tcPr>
          <w:p>
            <w:pPr>
              <w:jc w:val="right"/>
              <w:spacing w:after="0"/>
              <w:rPr>
                <w:sz w:val="20"/>
                <w:szCs w:val="20"/>
                <w:color w:val="auto"/>
              </w:rPr>
            </w:pPr>
            <w:r>
              <w:rPr>
                <w:rFonts w:ascii="Arial" w:cs="Arial" w:eastAsia="Arial" w:hAnsi="Arial"/>
                <w:sz w:val="14"/>
                <w:szCs w:val="14"/>
                <w:color w:val="auto"/>
              </w:rPr>
              <w:t>81</w:t>
            </w:r>
          </w:p>
        </w:tc>
        <w:tc>
          <w:tcPr>
            <w:tcW w:w="220" w:type="dxa"/>
            <w:vAlign w:val="bottom"/>
          </w:tcPr>
          <w:p>
            <w:pPr>
              <w:spacing w:after="0"/>
              <w:rPr>
                <w:sz w:val="14"/>
                <w:szCs w:val="14"/>
                <w:color w:val="auto"/>
              </w:rPr>
            </w:pPr>
          </w:p>
        </w:tc>
        <w:tc>
          <w:tcPr>
            <w:tcW w:w="820" w:type="dxa"/>
            <w:vAlign w:val="bottom"/>
          </w:tcPr>
          <w:p>
            <w:pPr>
              <w:jc w:val="right"/>
              <w:spacing w:after="0"/>
              <w:rPr>
                <w:sz w:val="20"/>
                <w:szCs w:val="20"/>
                <w:color w:val="auto"/>
              </w:rPr>
            </w:pPr>
            <w:r>
              <w:rPr>
                <w:rFonts w:ascii="Arial" w:cs="Arial" w:eastAsia="Arial" w:hAnsi="Arial"/>
                <w:sz w:val="14"/>
                <w:szCs w:val="14"/>
                <w:color w:val="auto"/>
              </w:rPr>
              <w:t>33</w:t>
            </w:r>
          </w:p>
        </w:tc>
        <w:tc>
          <w:tcPr>
            <w:tcW w:w="220" w:type="dxa"/>
            <w:vAlign w:val="bottom"/>
          </w:tcPr>
          <w:p>
            <w:pPr>
              <w:spacing w:after="0"/>
              <w:rPr>
                <w:sz w:val="14"/>
                <w:szCs w:val="14"/>
                <w:color w:val="auto"/>
              </w:rPr>
            </w:pPr>
          </w:p>
        </w:tc>
        <w:tc>
          <w:tcPr>
            <w:tcW w:w="1040" w:type="dxa"/>
            <w:vAlign w:val="bottom"/>
          </w:tcPr>
          <w:p>
            <w:pPr>
              <w:jc w:val="right"/>
              <w:spacing w:after="0"/>
              <w:rPr>
                <w:sz w:val="20"/>
                <w:szCs w:val="20"/>
                <w:color w:val="auto"/>
              </w:rPr>
            </w:pPr>
            <w:r>
              <w:rPr>
                <w:rFonts w:ascii="Arial" w:cs="Arial" w:eastAsia="Arial" w:hAnsi="Arial"/>
                <w:sz w:val="14"/>
                <w:szCs w:val="14"/>
                <w:color w:val="auto"/>
              </w:rPr>
              <w:t>12</w:t>
            </w:r>
          </w:p>
        </w:tc>
        <w:tc>
          <w:tcPr>
            <w:tcW w:w="800" w:type="dxa"/>
            <w:vAlign w:val="bottom"/>
            <w:gridSpan w:val="2"/>
          </w:tcPr>
          <w:p>
            <w:pPr>
              <w:jc w:val="right"/>
              <w:spacing w:after="0"/>
              <w:rPr>
                <w:sz w:val="20"/>
                <w:szCs w:val="20"/>
                <w:color w:val="auto"/>
              </w:rPr>
            </w:pPr>
            <w:r>
              <w:rPr>
                <w:rFonts w:ascii="Arial" w:cs="Arial" w:eastAsia="Arial" w:hAnsi="Arial"/>
                <w:sz w:val="14"/>
                <w:szCs w:val="14"/>
                <w:color w:val="auto"/>
              </w:rPr>
              <w:t>$457</w:t>
            </w:r>
          </w:p>
        </w:tc>
        <w:tc>
          <w:tcPr>
            <w:tcW w:w="660" w:type="dxa"/>
            <w:vAlign w:val="bottom"/>
          </w:tcPr>
          <w:p>
            <w:pPr>
              <w:spacing w:after="0"/>
              <w:rPr>
                <w:sz w:val="20"/>
                <w:szCs w:val="20"/>
                <w:color w:val="auto"/>
              </w:rPr>
            </w:pPr>
            <w:r>
              <w:rPr>
                <w:rFonts w:ascii="Arial" w:cs="Arial" w:eastAsia="Arial" w:hAnsi="Arial"/>
                <w:sz w:val="14"/>
                <w:szCs w:val="14"/>
                <w:color w:val="auto"/>
              </w:rPr>
              <w:t>- $600</w:t>
            </w:r>
          </w:p>
        </w:tc>
      </w:tr>
      <w:tr>
        <w:trPr>
          <w:trHeight w:val="162"/>
        </w:trPr>
        <w:tc>
          <w:tcPr>
            <w:tcW w:w="3660" w:type="dxa"/>
            <w:vAlign w:val="bottom"/>
            <w:gridSpan w:val="2"/>
            <w:shd w:val="clear" w:color="auto" w:fill="CFF0FC"/>
          </w:tcPr>
          <w:p>
            <w:pPr>
              <w:ind w:left="380"/>
              <w:spacing w:after="0"/>
              <w:rPr>
                <w:sz w:val="20"/>
                <w:szCs w:val="20"/>
                <w:color w:val="auto"/>
              </w:rPr>
            </w:pPr>
            <w:r>
              <w:rPr>
                <w:rFonts w:ascii="Arial" w:cs="Arial" w:eastAsia="Arial" w:hAnsi="Arial"/>
                <w:sz w:val="14"/>
                <w:szCs w:val="14"/>
                <w:color w:val="auto"/>
              </w:rPr>
              <w:t>Messina, Irvine</w:t>
            </w:r>
          </w:p>
        </w:tc>
        <w:tc>
          <w:tcPr>
            <w:tcW w:w="960" w:type="dxa"/>
            <w:vAlign w:val="bottom"/>
            <w:shd w:val="clear" w:color="auto" w:fill="CFF0FC"/>
          </w:tcPr>
          <w:p>
            <w:pPr>
              <w:jc w:val="center"/>
              <w:spacing w:after="0"/>
              <w:rPr>
                <w:sz w:val="20"/>
                <w:szCs w:val="20"/>
                <w:color w:val="auto"/>
              </w:rPr>
            </w:pPr>
            <w:r>
              <w:rPr>
                <w:rFonts w:ascii="Arial" w:cs="Arial" w:eastAsia="Arial" w:hAnsi="Arial"/>
                <w:sz w:val="14"/>
                <w:szCs w:val="14"/>
                <w:color w:val="auto"/>
                <w:w w:val="83"/>
              </w:rPr>
              <w:t>2014</w:t>
            </w:r>
          </w:p>
        </w:tc>
        <w:tc>
          <w:tcPr>
            <w:tcW w:w="100" w:type="dxa"/>
            <w:vAlign w:val="bottom"/>
            <w:shd w:val="clear" w:color="auto" w:fill="CFF0FC"/>
          </w:tcPr>
          <w:p>
            <w:pPr>
              <w:spacing w:after="0"/>
              <w:rPr>
                <w:sz w:val="14"/>
                <w:szCs w:val="14"/>
                <w:color w:val="auto"/>
              </w:rPr>
            </w:pPr>
          </w:p>
        </w:tc>
        <w:tc>
          <w:tcPr>
            <w:tcW w:w="820" w:type="dxa"/>
            <w:vAlign w:val="bottom"/>
            <w:shd w:val="clear" w:color="auto" w:fill="CFF0FC"/>
          </w:tcPr>
          <w:p>
            <w:pPr>
              <w:jc w:val="right"/>
              <w:spacing w:after="0"/>
              <w:rPr>
                <w:sz w:val="20"/>
                <w:szCs w:val="20"/>
                <w:color w:val="auto"/>
              </w:rPr>
            </w:pPr>
            <w:r>
              <w:rPr>
                <w:rFonts w:ascii="Arial" w:cs="Arial" w:eastAsia="Arial" w:hAnsi="Arial"/>
                <w:sz w:val="14"/>
                <w:szCs w:val="14"/>
                <w:color w:val="auto"/>
              </w:rPr>
              <w:t>59</w:t>
            </w:r>
          </w:p>
        </w:tc>
        <w:tc>
          <w:tcPr>
            <w:tcW w:w="200" w:type="dxa"/>
            <w:vAlign w:val="bottom"/>
            <w:shd w:val="clear" w:color="auto" w:fill="CFF0FC"/>
          </w:tcPr>
          <w:p>
            <w:pPr>
              <w:spacing w:after="0"/>
              <w:rPr>
                <w:sz w:val="14"/>
                <w:szCs w:val="14"/>
                <w:color w:val="auto"/>
              </w:rPr>
            </w:pPr>
          </w:p>
        </w:tc>
        <w:tc>
          <w:tcPr>
            <w:tcW w:w="900" w:type="dxa"/>
            <w:vAlign w:val="bottom"/>
            <w:shd w:val="clear" w:color="auto" w:fill="CFF0FC"/>
          </w:tcPr>
          <w:p>
            <w:pPr>
              <w:jc w:val="right"/>
              <w:spacing w:after="0"/>
              <w:rPr>
                <w:sz w:val="20"/>
                <w:szCs w:val="20"/>
                <w:color w:val="auto"/>
              </w:rPr>
            </w:pPr>
            <w:r>
              <w:rPr>
                <w:rFonts w:ascii="Arial" w:cs="Arial" w:eastAsia="Arial" w:hAnsi="Arial"/>
                <w:sz w:val="14"/>
                <w:szCs w:val="14"/>
                <w:color w:val="auto"/>
              </w:rPr>
              <w:t>17</w:t>
            </w:r>
          </w:p>
        </w:tc>
        <w:tc>
          <w:tcPr>
            <w:tcW w:w="220" w:type="dxa"/>
            <w:vAlign w:val="bottom"/>
            <w:shd w:val="clear" w:color="auto" w:fill="CFF0FC"/>
          </w:tcPr>
          <w:p>
            <w:pPr>
              <w:spacing w:after="0"/>
              <w:rPr>
                <w:sz w:val="14"/>
                <w:szCs w:val="14"/>
                <w:color w:val="auto"/>
              </w:rPr>
            </w:pPr>
          </w:p>
        </w:tc>
        <w:tc>
          <w:tcPr>
            <w:tcW w:w="800" w:type="dxa"/>
            <w:vAlign w:val="bottom"/>
            <w:shd w:val="clear" w:color="auto" w:fill="CFF0FC"/>
          </w:tcPr>
          <w:p>
            <w:pPr>
              <w:jc w:val="right"/>
              <w:spacing w:after="0"/>
              <w:rPr>
                <w:sz w:val="20"/>
                <w:szCs w:val="20"/>
                <w:color w:val="auto"/>
              </w:rPr>
            </w:pPr>
            <w:r>
              <w:rPr>
                <w:rFonts w:ascii="Arial" w:cs="Arial" w:eastAsia="Arial" w:hAnsi="Arial"/>
                <w:sz w:val="14"/>
                <w:szCs w:val="14"/>
                <w:color w:val="auto"/>
              </w:rPr>
              <w:t>13</w:t>
            </w:r>
          </w:p>
        </w:tc>
        <w:tc>
          <w:tcPr>
            <w:tcW w:w="220" w:type="dxa"/>
            <w:vAlign w:val="bottom"/>
            <w:shd w:val="clear" w:color="auto" w:fill="CFF0FC"/>
          </w:tcPr>
          <w:p>
            <w:pPr>
              <w:spacing w:after="0"/>
              <w:rPr>
                <w:sz w:val="14"/>
                <w:szCs w:val="14"/>
                <w:color w:val="auto"/>
              </w:rPr>
            </w:pPr>
          </w:p>
        </w:tc>
        <w:tc>
          <w:tcPr>
            <w:tcW w:w="820" w:type="dxa"/>
            <w:vAlign w:val="bottom"/>
            <w:shd w:val="clear" w:color="auto" w:fill="CFF0FC"/>
          </w:tcPr>
          <w:p>
            <w:pPr>
              <w:jc w:val="right"/>
              <w:spacing w:after="0"/>
              <w:rPr>
                <w:sz w:val="20"/>
                <w:szCs w:val="20"/>
                <w:color w:val="auto"/>
              </w:rPr>
            </w:pPr>
            <w:r>
              <w:rPr>
                <w:rFonts w:ascii="Arial" w:cs="Arial" w:eastAsia="Arial" w:hAnsi="Arial"/>
                <w:sz w:val="14"/>
                <w:szCs w:val="14"/>
                <w:color w:val="auto"/>
              </w:rPr>
              <w:t>6</w:t>
            </w:r>
          </w:p>
        </w:tc>
        <w:tc>
          <w:tcPr>
            <w:tcW w:w="220" w:type="dxa"/>
            <w:vAlign w:val="bottom"/>
            <w:shd w:val="clear" w:color="auto" w:fill="CFF0FC"/>
          </w:tcPr>
          <w:p>
            <w:pPr>
              <w:spacing w:after="0"/>
              <w:rPr>
                <w:sz w:val="14"/>
                <w:szCs w:val="14"/>
                <w:color w:val="auto"/>
              </w:rPr>
            </w:pPr>
          </w:p>
        </w:tc>
        <w:tc>
          <w:tcPr>
            <w:tcW w:w="1040" w:type="dxa"/>
            <w:vAlign w:val="bottom"/>
            <w:shd w:val="clear" w:color="auto" w:fill="CFF0FC"/>
          </w:tcPr>
          <w:p>
            <w:pPr>
              <w:jc w:val="right"/>
              <w:spacing w:after="0"/>
              <w:rPr>
                <w:sz w:val="20"/>
                <w:szCs w:val="20"/>
                <w:color w:val="auto"/>
              </w:rPr>
            </w:pPr>
            <w:r>
              <w:rPr>
                <w:rFonts w:ascii="Arial" w:cs="Arial" w:eastAsia="Arial" w:hAnsi="Arial"/>
                <w:sz w:val="14"/>
                <w:szCs w:val="14"/>
                <w:color w:val="auto"/>
              </w:rPr>
              <w:t>9</w:t>
            </w:r>
          </w:p>
        </w:tc>
        <w:tc>
          <w:tcPr>
            <w:tcW w:w="800" w:type="dxa"/>
            <w:vAlign w:val="bottom"/>
            <w:gridSpan w:val="2"/>
            <w:shd w:val="clear" w:color="auto" w:fill="CFF0FC"/>
          </w:tcPr>
          <w:p>
            <w:pPr>
              <w:jc w:val="right"/>
              <w:spacing w:after="0"/>
              <w:rPr>
                <w:sz w:val="20"/>
                <w:szCs w:val="20"/>
                <w:color w:val="auto"/>
              </w:rPr>
            </w:pPr>
            <w:r>
              <w:rPr>
                <w:rFonts w:ascii="Arial" w:cs="Arial" w:eastAsia="Arial" w:hAnsi="Arial"/>
                <w:sz w:val="14"/>
                <w:szCs w:val="14"/>
                <w:color w:val="auto"/>
              </w:rPr>
              <w:t>$1,515</w:t>
            </w:r>
          </w:p>
        </w:tc>
        <w:tc>
          <w:tcPr>
            <w:tcW w:w="660" w:type="dxa"/>
            <w:vAlign w:val="bottom"/>
            <w:shd w:val="clear" w:color="auto" w:fill="CFF0FC"/>
          </w:tcPr>
          <w:p>
            <w:pPr>
              <w:spacing w:after="0"/>
              <w:rPr>
                <w:sz w:val="20"/>
                <w:szCs w:val="20"/>
                <w:color w:val="auto"/>
              </w:rPr>
            </w:pPr>
            <w:r>
              <w:rPr>
                <w:rFonts w:ascii="Arial" w:cs="Arial" w:eastAsia="Arial" w:hAnsi="Arial"/>
                <w:sz w:val="14"/>
                <w:szCs w:val="14"/>
                <w:color w:val="auto"/>
              </w:rPr>
              <w:t>- $1,630</w:t>
            </w:r>
          </w:p>
        </w:tc>
      </w:tr>
      <w:tr>
        <w:trPr>
          <w:trHeight w:val="162"/>
        </w:trPr>
        <w:tc>
          <w:tcPr>
            <w:tcW w:w="3660" w:type="dxa"/>
            <w:vAlign w:val="bottom"/>
            <w:gridSpan w:val="2"/>
          </w:tcPr>
          <w:p>
            <w:pPr>
              <w:ind w:left="380"/>
              <w:spacing w:after="0"/>
              <w:rPr>
                <w:sz w:val="20"/>
                <w:szCs w:val="20"/>
                <w:color w:val="auto"/>
              </w:rPr>
            </w:pPr>
            <w:r>
              <w:rPr>
                <w:rFonts w:ascii="Arial" w:cs="Arial" w:eastAsia="Arial" w:hAnsi="Arial"/>
                <w:sz w:val="14"/>
                <w:szCs w:val="14"/>
                <w:color w:val="auto"/>
              </w:rPr>
              <w:t>Aria, Rancho Mission Viejo</w:t>
            </w:r>
          </w:p>
        </w:tc>
        <w:tc>
          <w:tcPr>
            <w:tcW w:w="960" w:type="dxa"/>
            <w:vAlign w:val="bottom"/>
          </w:tcPr>
          <w:p>
            <w:pPr>
              <w:jc w:val="center"/>
              <w:spacing w:after="0"/>
              <w:rPr>
                <w:sz w:val="20"/>
                <w:szCs w:val="20"/>
                <w:color w:val="auto"/>
              </w:rPr>
            </w:pPr>
            <w:r>
              <w:rPr>
                <w:rFonts w:ascii="Arial" w:cs="Arial" w:eastAsia="Arial" w:hAnsi="Arial"/>
                <w:sz w:val="14"/>
                <w:szCs w:val="14"/>
                <w:color w:val="auto"/>
                <w:w w:val="83"/>
              </w:rPr>
              <w:t>2016</w:t>
            </w:r>
          </w:p>
        </w:tc>
        <w:tc>
          <w:tcPr>
            <w:tcW w:w="100" w:type="dxa"/>
            <w:vAlign w:val="bottom"/>
          </w:tcPr>
          <w:p>
            <w:pPr>
              <w:spacing w:after="0"/>
              <w:rPr>
                <w:sz w:val="14"/>
                <w:szCs w:val="14"/>
                <w:color w:val="auto"/>
              </w:rPr>
            </w:pPr>
          </w:p>
        </w:tc>
        <w:tc>
          <w:tcPr>
            <w:tcW w:w="820" w:type="dxa"/>
            <w:vAlign w:val="bottom"/>
          </w:tcPr>
          <w:p>
            <w:pPr>
              <w:jc w:val="right"/>
              <w:spacing w:after="0"/>
              <w:rPr>
                <w:sz w:val="20"/>
                <w:szCs w:val="20"/>
                <w:color w:val="auto"/>
              </w:rPr>
            </w:pPr>
            <w:r>
              <w:rPr>
                <w:rFonts w:ascii="Arial" w:cs="Arial" w:eastAsia="Arial" w:hAnsi="Arial"/>
                <w:sz w:val="14"/>
                <w:szCs w:val="14"/>
                <w:color w:val="auto"/>
              </w:rPr>
              <w:t>87</w:t>
            </w:r>
          </w:p>
        </w:tc>
        <w:tc>
          <w:tcPr>
            <w:tcW w:w="200" w:type="dxa"/>
            <w:vAlign w:val="bottom"/>
          </w:tcPr>
          <w:p>
            <w:pPr>
              <w:spacing w:after="0"/>
              <w:rPr>
                <w:sz w:val="14"/>
                <w:szCs w:val="14"/>
                <w:color w:val="auto"/>
              </w:rPr>
            </w:pPr>
          </w:p>
        </w:tc>
        <w:tc>
          <w:tcPr>
            <w:tcW w:w="900" w:type="dxa"/>
            <w:vAlign w:val="bottom"/>
          </w:tcPr>
          <w:p>
            <w:pPr>
              <w:jc w:val="right"/>
              <w:spacing w:after="0"/>
              <w:rPr>
                <w:sz w:val="20"/>
                <w:szCs w:val="20"/>
                <w:color w:val="auto"/>
              </w:rPr>
            </w:pPr>
            <w:r>
              <w:rPr>
                <w:rFonts w:ascii="Arial" w:cs="Arial" w:eastAsia="Arial" w:hAnsi="Arial"/>
                <w:sz w:val="14"/>
                <w:szCs w:val="14"/>
                <w:color w:val="auto"/>
              </w:rPr>
              <w:t>-</w:t>
            </w:r>
          </w:p>
        </w:tc>
        <w:tc>
          <w:tcPr>
            <w:tcW w:w="220" w:type="dxa"/>
            <w:vAlign w:val="bottom"/>
          </w:tcPr>
          <w:p>
            <w:pPr>
              <w:spacing w:after="0"/>
              <w:rPr>
                <w:sz w:val="14"/>
                <w:szCs w:val="14"/>
                <w:color w:val="auto"/>
              </w:rPr>
            </w:pPr>
          </w:p>
        </w:tc>
        <w:tc>
          <w:tcPr>
            <w:tcW w:w="800" w:type="dxa"/>
            <w:vAlign w:val="bottom"/>
          </w:tcPr>
          <w:p>
            <w:pPr>
              <w:jc w:val="right"/>
              <w:spacing w:after="0"/>
              <w:rPr>
                <w:sz w:val="20"/>
                <w:szCs w:val="20"/>
                <w:color w:val="auto"/>
              </w:rPr>
            </w:pPr>
            <w:r>
              <w:rPr>
                <w:rFonts w:ascii="Arial" w:cs="Arial" w:eastAsia="Arial" w:hAnsi="Arial"/>
                <w:sz w:val="14"/>
                <w:szCs w:val="14"/>
                <w:color w:val="auto"/>
              </w:rPr>
              <w:t>87</w:t>
            </w:r>
          </w:p>
        </w:tc>
        <w:tc>
          <w:tcPr>
            <w:tcW w:w="220" w:type="dxa"/>
            <w:vAlign w:val="bottom"/>
          </w:tcPr>
          <w:p>
            <w:pPr>
              <w:spacing w:after="0"/>
              <w:rPr>
                <w:sz w:val="14"/>
                <w:szCs w:val="14"/>
                <w:color w:val="auto"/>
              </w:rPr>
            </w:pPr>
          </w:p>
        </w:tc>
        <w:tc>
          <w:tcPr>
            <w:tcW w:w="820" w:type="dxa"/>
            <w:vAlign w:val="bottom"/>
          </w:tcPr>
          <w:p>
            <w:pPr>
              <w:jc w:val="right"/>
              <w:spacing w:after="0"/>
              <w:rPr>
                <w:sz w:val="20"/>
                <w:szCs w:val="20"/>
                <w:color w:val="auto"/>
              </w:rPr>
            </w:pPr>
            <w:r>
              <w:rPr>
                <w:rFonts w:ascii="Arial" w:cs="Arial" w:eastAsia="Arial" w:hAnsi="Arial"/>
                <w:sz w:val="14"/>
                <w:szCs w:val="14"/>
                <w:color w:val="auto"/>
              </w:rPr>
              <w:t>-</w:t>
            </w:r>
          </w:p>
        </w:tc>
        <w:tc>
          <w:tcPr>
            <w:tcW w:w="220" w:type="dxa"/>
            <w:vAlign w:val="bottom"/>
          </w:tcPr>
          <w:p>
            <w:pPr>
              <w:spacing w:after="0"/>
              <w:rPr>
                <w:sz w:val="14"/>
                <w:szCs w:val="14"/>
                <w:color w:val="auto"/>
              </w:rPr>
            </w:pPr>
          </w:p>
        </w:tc>
        <w:tc>
          <w:tcPr>
            <w:tcW w:w="1040" w:type="dxa"/>
            <w:vAlign w:val="bottom"/>
          </w:tcPr>
          <w:p>
            <w:pPr>
              <w:jc w:val="right"/>
              <w:spacing w:after="0"/>
              <w:rPr>
                <w:sz w:val="20"/>
                <w:szCs w:val="20"/>
                <w:color w:val="auto"/>
              </w:rPr>
            </w:pPr>
            <w:r>
              <w:rPr>
                <w:rFonts w:ascii="Arial" w:cs="Arial" w:eastAsia="Arial" w:hAnsi="Arial"/>
                <w:sz w:val="14"/>
                <w:szCs w:val="14"/>
                <w:color w:val="auto"/>
              </w:rPr>
              <w:t>-</w:t>
            </w:r>
          </w:p>
        </w:tc>
        <w:tc>
          <w:tcPr>
            <w:tcW w:w="800" w:type="dxa"/>
            <w:vAlign w:val="bottom"/>
            <w:gridSpan w:val="2"/>
          </w:tcPr>
          <w:p>
            <w:pPr>
              <w:jc w:val="right"/>
              <w:spacing w:after="0"/>
              <w:rPr>
                <w:sz w:val="20"/>
                <w:szCs w:val="20"/>
                <w:color w:val="auto"/>
              </w:rPr>
            </w:pPr>
            <w:r>
              <w:rPr>
                <w:rFonts w:ascii="Arial" w:cs="Arial" w:eastAsia="Arial" w:hAnsi="Arial"/>
                <w:sz w:val="14"/>
                <w:szCs w:val="14"/>
                <w:color w:val="auto"/>
              </w:rPr>
              <w:t>$645</w:t>
            </w:r>
          </w:p>
        </w:tc>
        <w:tc>
          <w:tcPr>
            <w:tcW w:w="660" w:type="dxa"/>
            <w:vAlign w:val="bottom"/>
          </w:tcPr>
          <w:p>
            <w:pPr>
              <w:spacing w:after="0"/>
              <w:rPr>
                <w:sz w:val="20"/>
                <w:szCs w:val="20"/>
                <w:color w:val="auto"/>
              </w:rPr>
            </w:pPr>
            <w:r>
              <w:rPr>
                <w:rFonts w:ascii="Arial" w:cs="Arial" w:eastAsia="Arial" w:hAnsi="Arial"/>
                <w:sz w:val="14"/>
                <w:szCs w:val="14"/>
                <w:color w:val="auto"/>
              </w:rPr>
              <w:t>- $680</w:t>
            </w:r>
          </w:p>
        </w:tc>
      </w:tr>
      <w:tr>
        <w:trPr>
          <w:trHeight w:val="162"/>
        </w:trPr>
        <w:tc>
          <w:tcPr>
            <w:tcW w:w="3660" w:type="dxa"/>
            <w:vAlign w:val="bottom"/>
            <w:gridSpan w:val="2"/>
            <w:shd w:val="clear" w:color="auto" w:fill="CFF0FC"/>
          </w:tcPr>
          <w:p>
            <w:pPr>
              <w:ind w:left="380"/>
              <w:spacing w:after="0"/>
              <w:rPr>
                <w:sz w:val="20"/>
                <w:szCs w:val="20"/>
                <w:color w:val="auto"/>
              </w:rPr>
            </w:pPr>
            <w:r>
              <w:rPr>
                <w:rFonts w:ascii="Arial" w:cs="Arial" w:eastAsia="Arial" w:hAnsi="Arial"/>
                <w:sz w:val="14"/>
                <w:szCs w:val="14"/>
                <w:color w:val="auto"/>
              </w:rPr>
              <w:t>Auberine, Rancho Mission Viejo</w:t>
            </w:r>
          </w:p>
        </w:tc>
        <w:tc>
          <w:tcPr>
            <w:tcW w:w="960" w:type="dxa"/>
            <w:vAlign w:val="bottom"/>
            <w:shd w:val="clear" w:color="auto" w:fill="CFF0FC"/>
          </w:tcPr>
          <w:p>
            <w:pPr>
              <w:jc w:val="center"/>
              <w:spacing w:after="0"/>
              <w:rPr>
                <w:sz w:val="20"/>
                <w:szCs w:val="20"/>
                <w:color w:val="auto"/>
              </w:rPr>
            </w:pPr>
            <w:r>
              <w:rPr>
                <w:rFonts w:ascii="Arial" w:cs="Arial" w:eastAsia="Arial" w:hAnsi="Arial"/>
                <w:sz w:val="14"/>
                <w:szCs w:val="14"/>
                <w:color w:val="auto"/>
                <w:w w:val="83"/>
              </w:rPr>
              <w:t>2016</w:t>
            </w:r>
          </w:p>
        </w:tc>
        <w:tc>
          <w:tcPr>
            <w:tcW w:w="100" w:type="dxa"/>
            <w:vAlign w:val="bottom"/>
            <w:shd w:val="clear" w:color="auto" w:fill="CFF0FC"/>
          </w:tcPr>
          <w:p>
            <w:pPr>
              <w:spacing w:after="0"/>
              <w:rPr>
                <w:sz w:val="14"/>
                <w:szCs w:val="14"/>
                <w:color w:val="auto"/>
              </w:rPr>
            </w:pPr>
          </w:p>
        </w:tc>
        <w:tc>
          <w:tcPr>
            <w:tcW w:w="820" w:type="dxa"/>
            <w:vAlign w:val="bottom"/>
            <w:shd w:val="clear" w:color="auto" w:fill="CFF0FC"/>
          </w:tcPr>
          <w:p>
            <w:pPr>
              <w:jc w:val="right"/>
              <w:spacing w:after="0"/>
              <w:rPr>
                <w:sz w:val="20"/>
                <w:szCs w:val="20"/>
                <w:color w:val="auto"/>
              </w:rPr>
            </w:pPr>
            <w:r>
              <w:rPr>
                <w:rFonts w:ascii="Arial" w:cs="Arial" w:eastAsia="Arial" w:hAnsi="Arial"/>
                <w:sz w:val="14"/>
                <w:szCs w:val="14"/>
                <w:color w:val="auto"/>
              </w:rPr>
              <w:t>66</w:t>
            </w:r>
          </w:p>
        </w:tc>
        <w:tc>
          <w:tcPr>
            <w:tcW w:w="200" w:type="dxa"/>
            <w:vAlign w:val="bottom"/>
            <w:shd w:val="clear" w:color="auto" w:fill="CFF0FC"/>
          </w:tcPr>
          <w:p>
            <w:pPr>
              <w:spacing w:after="0"/>
              <w:rPr>
                <w:sz w:val="14"/>
                <w:szCs w:val="14"/>
                <w:color w:val="auto"/>
              </w:rPr>
            </w:pPr>
          </w:p>
        </w:tc>
        <w:tc>
          <w:tcPr>
            <w:tcW w:w="900" w:type="dxa"/>
            <w:vAlign w:val="bottom"/>
            <w:shd w:val="clear" w:color="auto" w:fill="CFF0FC"/>
          </w:tcPr>
          <w:p>
            <w:pPr>
              <w:jc w:val="right"/>
              <w:spacing w:after="0"/>
              <w:rPr>
                <w:sz w:val="20"/>
                <w:szCs w:val="20"/>
                <w:color w:val="auto"/>
              </w:rPr>
            </w:pPr>
            <w:r>
              <w:rPr>
                <w:rFonts w:ascii="Arial" w:cs="Arial" w:eastAsia="Arial" w:hAnsi="Arial"/>
                <w:sz w:val="14"/>
                <w:szCs w:val="14"/>
                <w:color w:val="auto"/>
              </w:rPr>
              <w:t>-</w:t>
            </w:r>
          </w:p>
        </w:tc>
        <w:tc>
          <w:tcPr>
            <w:tcW w:w="220" w:type="dxa"/>
            <w:vAlign w:val="bottom"/>
            <w:shd w:val="clear" w:color="auto" w:fill="CFF0FC"/>
          </w:tcPr>
          <w:p>
            <w:pPr>
              <w:spacing w:after="0"/>
              <w:rPr>
                <w:sz w:val="14"/>
                <w:szCs w:val="14"/>
                <w:color w:val="auto"/>
              </w:rPr>
            </w:pPr>
          </w:p>
        </w:tc>
        <w:tc>
          <w:tcPr>
            <w:tcW w:w="800" w:type="dxa"/>
            <w:vAlign w:val="bottom"/>
            <w:shd w:val="clear" w:color="auto" w:fill="CFF0FC"/>
          </w:tcPr>
          <w:p>
            <w:pPr>
              <w:jc w:val="right"/>
              <w:spacing w:after="0"/>
              <w:rPr>
                <w:sz w:val="20"/>
                <w:szCs w:val="20"/>
                <w:color w:val="auto"/>
              </w:rPr>
            </w:pPr>
            <w:r>
              <w:rPr>
                <w:rFonts w:ascii="Arial" w:cs="Arial" w:eastAsia="Arial" w:hAnsi="Arial"/>
                <w:sz w:val="14"/>
                <w:szCs w:val="14"/>
                <w:color w:val="auto"/>
              </w:rPr>
              <w:t>66</w:t>
            </w:r>
          </w:p>
        </w:tc>
        <w:tc>
          <w:tcPr>
            <w:tcW w:w="220" w:type="dxa"/>
            <w:vAlign w:val="bottom"/>
            <w:shd w:val="clear" w:color="auto" w:fill="CFF0FC"/>
          </w:tcPr>
          <w:p>
            <w:pPr>
              <w:spacing w:after="0"/>
              <w:rPr>
                <w:sz w:val="14"/>
                <w:szCs w:val="14"/>
                <w:color w:val="auto"/>
              </w:rPr>
            </w:pPr>
          </w:p>
        </w:tc>
        <w:tc>
          <w:tcPr>
            <w:tcW w:w="820" w:type="dxa"/>
            <w:vAlign w:val="bottom"/>
            <w:shd w:val="clear" w:color="auto" w:fill="CFF0FC"/>
          </w:tcPr>
          <w:p>
            <w:pPr>
              <w:jc w:val="right"/>
              <w:spacing w:after="0"/>
              <w:rPr>
                <w:sz w:val="20"/>
                <w:szCs w:val="20"/>
                <w:color w:val="auto"/>
              </w:rPr>
            </w:pPr>
            <w:r>
              <w:rPr>
                <w:rFonts w:ascii="Arial" w:cs="Arial" w:eastAsia="Arial" w:hAnsi="Arial"/>
                <w:sz w:val="14"/>
                <w:szCs w:val="14"/>
                <w:color w:val="auto"/>
              </w:rPr>
              <w:t>-</w:t>
            </w:r>
          </w:p>
        </w:tc>
        <w:tc>
          <w:tcPr>
            <w:tcW w:w="220" w:type="dxa"/>
            <w:vAlign w:val="bottom"/>
            <w:shd w:val="clear" w:color="auto" w:fill="CFF0FC"/>
          </w:tcPr>
          <w:p>
            <w:pPr>
              <w:spacing w:after="0"/>
              <w:rPr>
                <w:sz w:val="14"/>
                <w:szCs w:val="14"/>
                <w:color w:val="auto"/>
              </w:rPr>
            </w:pPr>
          </w:p>
        </w:tc>
        <w:tc>
          <w:tcPr>
            <w:tcW w:w="1040" w:type="dxa"/>
            <w:vAlign w:val="bottom"/>
            <w:shd w:val="clear" w:color="auto" w:fill="CFF0FC"/>
          </w:tcPr>
          <w:p>
            <w:pPr>
              <w:jc w:val="right"/>
              <w:spacing w:after="0"/>
              <w:rPr>
                <w:sz w:val="20"/>
                <w:szCs w:val="20"/>
                <w:color w:val="auto"/>
              </w:rPr>
            </w:pPr>
            <w:r>
              <w:rPr>
                <w:rFonts w:ascii="Arial" w:cs="Arial" w:eastAsia="Arial" w:hAnsi="Arial"/>
                <w:sz w:val="14"/>
                <w:szCs w:val="14"/>
                <w:color w:val="auto"/>
              </w:rPr>
              <w:t>-</w:t>
            </w:r>
          </w:p>
        </w:tc>
        <w:tc>
          <w:tcPr>
            <w:tcW w:w="1460" w:type="dxa"/>
            <w:vAlign w:val="bottom"/>
            <w:gridSpan w:val="3"/>
            <w:shd w:val="clear" w:color="auto" w:fill="CFF0FC"/>
          </w:tcPr>
          <w:p>
            <w:pPr>
              <w:jc w:val="center"/>
              <w:ind w:left="132"/>
              <w:spacing w:after="0"/>
              <w:rPr>
                <w:sz w:val="20"/>
                <w:szCs w:val="20"/>
                <w:color w:val="auto"/>
              </w:rPr>
            </w:pPr>
            <w:r>
              <w:rPr>
                <w:rFonts w:ascii="Arial" w:cs="Arial" w:eastAsia="Arial" w:hAnsi="Arial"/>
                <w:sz w:val="14"/>
                <w:szCs w:val="14"/>
                <w:color w:val="auto"/>
                <w:w w:val="85"/>
              </w:rPr>
              <w:t>$995 - $1,105</w:t>
            </w:r>
          </w:p>
        </w:tc>
      </w:tr>
      <w:tr>
        <w:trPr>
          <w:trHeight w:val="162"/>
        </w:trPr>
        <w:tc>
          <w:tcPr>
            <w:tcW w:w="3660" w:type="dxa"/>
            <w:vAlign w:val="bottom"/>
            <w:gridSpan w:val="2"/>
          </w:tcPr>
          <w:p>
            <w:pPr>
              <w:spacing w:after="0"/>
              <w:rPr>
                <w:sz w:val="20"/>
                <w:szCs w:val="20"/>
                <w:color w:val="auto"/>
              </w:rPr>
            </w:pPr>
            <w:r>
              <w:rPr>
                <w:rFonts w:ascii="Arial" w:cs="Arial" w:eastAsia="Arial" w:hAnsi="Arial"/>
                <w:sz w:val="14"/>
                <w:szCs w:val="14"/>
                <w:color w:val="auto"/>
              </w:rPr>
              <w:t>San Diego County:</w:t>
            </w:r>
          </w:p>
        </w:tc>
        <w:tc>
          <w:tcPr>
            <w:tcW w:w="9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04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660" w:type="dxa"/>
            <w:vAlign w:val="bottom"/>
          </w:tcPr>
          <w:p>
            <w:pPr>
              <w:spacing w:after="0"/>
              <w:rPr>
                <w:sz w:val="14"/>
                <w:szCs w:val="14"/>
                <w:color w:val="auto"/>
              </w:rPr>
            </w:pPr>
          </w:p>
        </w:tc>
      </w:tr>
      <w:tr>
        <w:trPr>
          <w:trHeight w:val="162"/>
        </w:trPr>
        <w:tc>
          <w:tcPr>
            <w:tcW w:w="3660" w:type="dxa"/>
            <w:vAlign w:val="bottom"/>
            <w:gridSpan w:val="2"/>
            <w:shd w:val="clear" w:color="auto" w:fill="CFF0FC"/>
          </w:tcPr>
          <w:p>
            <w:pPr>
              <w:ind w:left="380"/>
              <w:spacing w:after="0"/>
              <w:rPr>
                <w:sz w:val="20"/>
                <w:szCs w:val="20"/>
                <w:color w:val="auto"/>
              </w:rPr>
            </w:pPr>
            <w:r>
              <w:rPr>
                <w:rFonts w:ascii="Arial" w:cs="Arial" w:eastAsia="Arial" w:hAnsi="Arial"/>
                <w:sz w:val="14"/>
                <w:szCs w:val="14"/>
                <w:color w:val="auto"/>
              </w:rPr>
              <w:t>Altana, San Diego</w:t>
            </w:r>
          </w:p>
        </w:tc>
        <w:tc>
          <w:tcPr>
            <w:tcW w:w="960" w:type="dxa"/>
            <w:vAlign w:val="bottom"/>
            <w:shd w:val="clear" w:color="auto" w:fill="CFF0FC"/>
          </w:tcPr>
          <w:p>
            <w:pPr>
              <w:jc w:val="center"/>
              <w:spacing w:after="0"/>
              <w:rPr>
                <w:sz w:val="20"/>
                <w:szCs w:val="20"/>
                <w:color w:val="auto"/>
              </w:rPr>
            </w:pPr>
            <w:r>
              <w:rPr>
                <w:rFonts w:ascii="Arial" w:cs="Arial" w:eastAsia="Arial" w:hAnsi="Arial"/>
                <w:sz w:val="14"/>
                <w:szCs w:val="14"/>
                <w:color w:val="auto"/>
                <w:w w:val="83"/>
              </w:rPr>
              <w:t>2013</w:t>
            </w:r>
          </w:p>
        </w:tc>
        <w:tc>
          <w:tcPr>
            <w:tcW w:w="100" w:type="dxa"/>
            <w:vAlign w:val="bottom"/>
            <w:shd w:val="clear" w:color="auto" w:fill="CFF0FC"/>
          </w:tcPr>
          <w:p>
            <w:pPr>
              <w:spacing w:after="0"/>
              <w:rPr>
                <w:sz w:val="14"/>
                <w:szCs w:val="14"/>
                <w:color w:val="auto"/>
              </w:rPr>
            </w:pPr>
          </w:p>
        </w:tc>
        <w:tc>
          <w:tcPr>
            <w:tcW w:w="820" w:type="dxa"/>
            <w:vAlign w:val="bottom"/>
            <w:shd w:val="clear" w:color="auto" w:fill="CFF0FC"/>
          </w:tcPr>
          <w:p>
            <w:pPr>
              <w:jc w:val="right"/>
              <w:spacing w:after="0"/>
              <w:rPr>
                <w:sz w:val="20"/>
                <w:szCs w:val="20"/>
                <w:color w:val="auto"/>
              </w:rPr>
            </w:pPr>
            <w:r>
              <w:rPr>
                <w:rFonts w:ascii="Arial" w:cs="Arial" w:eastAsia="Arial" w:hAnsi="Arial"/>
                <w:sz w:val="14"/>
                <w:szCs w:val="14"/>
                <w:color w:val="auto"/>
              </w:rPr>
              <w:t>45</w:t>
            </w:r>
          </w:p>
        </w:tc>
        <w:tc>
          <w:tcPr>
            <w:tcW w:w="200" w:type="dxa"/>
            <w:vAlign w:val="bottom"/>
            <w:shd w:val="clear" w:color="auto" w:fill="CFF0FC"/>
          </w:tcPr>
          <w:p>
            <w:pPr>
              <w:spacing w:after="0"/>
              <w:rPr>
                <w:sz w:val="14"/>
                <w:szCs w:val="14"/>
                <w:color w:val="auto"/>
              </w:rPr>
            </w:pPr>
          </w:p>
        </w:tc>
        <w:tc>
          <w:tcPr>
            <w:tcW w:w="900" w:type="dxa"/>
            <w:vAlign w:val="bottom"/>
            <w:shd w:val="clear" w:color="auto" w:fill="CFF0FC"/>
          </w:tcPr>
          <w:p>
            <w:pPr>
              <w:jc w:val="right"/>
              <w:spacing w:after="0"/>
              <w:rPr>
                <w:sz w:val="20"/>
                <w:szCs w:val="20"/>
                <w:color w:val="auto"/>
              </w:rPr>
            </w:pPr>
            <w:r>
              <w:rPr>
                <w:rFonts w:ascii="Arial" w:cs="Arial" w:eastAsia="Arial" w:hAnsi="Arial"/>
                <w:sz w:val="14"/>
                <w:szCs w:val="14"/>
                <w:color w:val="auto"/>
              </w:rPr>
              <w:t>45</w:t>
            </w:r>
          </w:p>
        </w:tc>
        <w:tc>
          <w:tcPr>
            <w:tcW w:w="220" w:type="dxa"/>
            <w:vAlign w:val="bottom"/>
            <w:shd w:val="clear" w:color="auto" w:fill="CFF0FC"/>
          </w:tcPr>
          <w:p>
            <w:pPr>
              <w:spacing w:after="0"/>
              <w:rPr>
                <w:sz w:val="14"/>
                <w:szCs w:val="14"/>
                <w:color w:val="auto"/>
              </w:rPr>
            </w:pPr>
          </w:p>
        </w:tc>
        <w:tc>
          <w:tcPr>
            <w:tcW w:w="800" w:type="dxa"/>
            <w:vAlign w:val="bottom"/>
            <w:shd w:val="clear" w:color="auto" w:fill="CFF0FC"/>
          </w:tcPr>
          <w:p>
            <w:pPr>
              <w:jc w:val="right"/>
              <w:spacing w:after="0"/>
              <w:rPr>
                <w:sz w:val="20"/>
                <w:szCs w:val="20"/>
                <w:color w:val="auto"/>
              </w:rPr>
            </w:pPr>
            <w:r>
              <w:rPr>
                <w:rFonts w:ascii="Arial" w:cs="Arial" w:eastAsia="Arial" w:hAnsi="Arial"/>
                <w:sz w:val="14"/>
                <w:szCs w:val="14"/>
                <w:color w:val="auto"/>
              </w:rPr>
              <w:t>-</w:t>
            </w:r>
          </w:p>
        </w:tc>
        <w:tc>
          <w:tcPr>
            <w:tcW w:w="220" w:type="dxa"/>
            <w:vAlign w:val="bottom"/>
            <w:shd w:val="clear" w:color="auto" w:fill="CFF0FC"/>
          </w:tcPr>
          <w:p>
            <w:pPr>
              <w:spacing w:after="0"/>
              <w:rPr>
                <w:sz w:val="14"/>
                <w:szCs w:val="14"/>
                <w:color w:val="auto"/>
              </w:rPr>
            </w:pPr>
          </w:p>
        </w:tc>
        <w:tc>
          <w:tcPr>
            <w:tcW w:w="820" w:type="dxa"/>
            <w:vAlign w:val="bottom"/>
            <w:shd w:val="clear" w:color="auto" w:fill="CFF0FC"/>
          </w:tcPr>
          <w:p>
            <w:pPr>
              <w:jc w:val="right"/>
              <w:spacing w:after="0"/>
              <w:rPr>
                <w:sz w:val="20"/>
                <w:szCs w:val="20"/>
                <w:color w:val="auto"/>
              </w:rPr>
            </w:pPr>
            <w:r>
              <w:rPr>
                <w:rFonts w:ascii="Arial" w:cs="Arial" w:eastAsia="Arial" w:hAnsi="Arial"/>
                <w:sz w:val="14"/>
                <w:szCs w:val="14"/>
                <w:color w:val="auto"/>
              </w:rPr>
              <w:t>-</w:t>
            </w:r>
          </w:p>
        </w:tc>
        <w:tc>
          <w:tcPr>
            <w:tcW w:w="220" w:type="dxa"/>
            <w:vAlign w:val="bottom"/>
            <w:shd w:val="clear" w:color="auto" w:fill="CFF0FC"/>
          </w:tcPr>
          <w:p>
            <w:pPr>
              <w:spacing w:after="0"/>
              <w:rPr>
                <w:sz w:val="14"/>
                <w:szCs w:val="14"/>
                <w:color w:val="auto"/>
              </w:rPr>
            </w:pPr>
          </w:p>
        </w:tc>
        <w:tc>
          <w:tcPr>
            <w:tcW w:w="1040" w:type="dxa"/>
            <w:vAlign w:val="bottom"/>
            <w:shd w:val="clear" w:color="auto" w:fill="CFF0FC"/>
          </w:tcPr>
          <w:p>
            <w:pPr>
              <w:jc w:val="right"/>
              <w:spacing w:after="0"/>
              <w:rPr>
                <w:sz w:val="20"/>
                <w:szCs w:val="20"/>
                <w:color w:val="auto"/>
              </w:rPr>
            </w:pPr>
            <w:r>
              <w:rPr>
                <w:rFonts w:ascii="Arial" w:cs="Arial" w:eastAsia="Arial" w:hAnsi="Arial"/>
                <w:sz w:val="14"/>
                <w:szCs w:val="14"/>
                <w:color w:val="auto"/>
              </w:rPr>
              <w:t>1</w:t>
            </w:r>
          </w:p>
        </w:tc>
        <w:tc>
          <w:tcPr>
            <w:tcW w:w="800" w:type="dxa"/>
            <w:vAlign w:val="bottom"/>
            <w:gridSpan w:val="2"/>
            <w:shd w:val="clear" w:color="auto" w:fill="CFF0FC"/>
          </w:tcPr>
          <w:p>
            <w:pPr>
              <w:jc w:val="right"/>
              <w:spacing w:after="0"/>
              <w:rPr>
                <w:sz w:val="20"/>
                <w:szCs w:val="20"/>
                <w:color w:val="auto"/>
              </w:rPr>
            </w:pPr>
            <w:r>
              <w:rPr>
                <w:rFonts w:ascii="Arial" w:cs="Arial" w:eastAsia="Arial" w:hAnsi="Arial"/>
                <w:sz w:val="14"/>
                <w:szCs w:val="14"/>
                <w:color w:val="auto"/>
              </w:rPr>
              <w:t>$630</w:t>
            </w:r>
          </w:p>
        </w:tc>
        <w:tc>
          <w:tcPr>
            <w:tcW w:w="660" w:type="dxa"/>
            <w:vAlign w:val="bottom"/>
            <w:shd w:val="clear" w:color="auto" w:fill="CFF0FC"/>
          </w:tcPr>
          <w:p>
            <w:pPr>
              <w:spacing w:after="0"/>
              <w:rPr>
                <w:sz w:val="20"/>
                <w:szCs w:val="20"/>
                <w:color w:val="auto"/>
              </w:rPr>
            </w:pPr>
            <w:r>
              <w:rPr>
                <w:rFonts w:ascii="Arial" w:cs="Arial" w:eastAsia="Arial" w:hAnsi="Arial"/>
                <w:sz w:val="14"/>
                <w:szCs w:val="14"/>
                <w:color w:val="auto"/>
              </w:rPr>
              <w:t>- $728</w:t>
            </w:r>
          </w:p>
        </w:tc>
      </w:tr>
      <w:tr>
        <w:trPr>
          <w:trHeight w:val="162"/>
        </w:trPr>
        <w:tc>
          <w:tcPr>
            <w:tcW w:w="3660" w:type="dxa"/>
            <w:vAlign w:val="bottom"/>
            <w:gridSpan w:val="2"/>
          </w:tcPr>
          <w:p>
            <w:pPr>
              <w:spacing w:after="0"/>
              <w:rPr>
                <w:sz w:val="20"/>
                <w:szCs w:val="20"/>
                <w:color w:val="auto"/>
              </w:rPr>
            </w:pPr>
            <w:r>
              <w:rPr>
                <w:rFonts w:ascii="Arial" w:cs="Arial" w:eastAsia="Arial" w:hAnsi="Arial"/>
                <w:sz w:val="14"/>
                <w:szCs w:val="14"/>
                <w:color w:val="auto"/>
              </w:rPr>
              <w:t>Riverside County:</w:t>
            </w:r>
          </w:p>
        </w:tc>
        <w:tc>
          <w:tcPr>
            <w:tcW w:w="9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04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660" w:type="dxa"/>
            <w:vAlign w:val="bottom"/>
          </w:tcPr>
          <w:p>
            <w:pPr>
              <w:spacing w:after="0"/>
              <w:rPr>
                <w:sz w:val="14"/>
                <w:szCs w:val="14"/>
                <w:color w:val="auto"/>
              </w:rPr>
            </w:pPr>
          </w:p>
        </w:tc>
      </w:tr>
      <w:tr>
        <w:trPr>
          <w:trHeight w:val="162"/>
        </w:trPr>
        <w:tc>
          <w:tcPr>
            <w:tcW w:w="3660" w:type="dxa"/>
            <w:vAlign w:val="bottom"/>
            <w:gridSpan w:val="2"/>
            <w:shd w:val="clear" w:color="auto" w:fill="CFF0FC"/>
          </w:tcPr>
          <w:p>
            <w:pPr>
              <w:ind w:left="380"/>
              <w:spacing w:after="0"/>
              <w:rPr>
                <w:sz w:val="20"/>
                <w:szCs w:val="20"/>
                <w:color w:val="auto"/>
              </w:rPr>
            </w:pPr>
            <w:r>
              <w:rPr>
                <w:rFonts w:ascii="Arial" w:cs="Arial" w:eastAsia="Arial" w:hAnsi="Arial"/>
                <w:sz w:val="14"/>
                <w:szCs w:val="14"/>
                <w:color w:val="auto"/>
              </w:rPr>
              <w:t>Topazridge, Riverside</w:t>
            </w:r>
          </w:p>
        </w:tc>
        <w:tc>
          <w:tcPr>
            <w:tcW w:w="960" w:type="dxa"/>
            <w:vAlign w:val="bottom"/>
            <w:shd w:val="clear" w:color="auto" w:fill="CFF0FC"/>
          </w:tcPr>
          <w:p>
            <w:pPr>
              <w:jc w:val="center"/>
              <w:spacing w:after="0"/>
              <w:rPr>
                <w:sz w:val="20"/>
                <w:szCs w:val="20"/>
                <w:color w:val="auto"/>
              </w:rPr>
            </w:pPr>
            <w:r>
              <w:rPr>
                <w:rFonts w:ascii="Arial" w:cs="Arial" w:eastAsia="Arial" w:hAnsi="Arial"/>
                <w:sz w:val="14"/>
                <w:szCs w:val="14"/>
                <w:color w:val="auto"/>
                <w:w w:val="83"/>
              </w:rPr>
              <w:t>2012</w:t>
            </w:r>
          </w:p>
        </w:tc>
        <w:tc>
          <w:tcPr>
            <w:tcW w:w="100" w:type="dxa"/>
            <w:vAlign w:val="bottom"/>
            <w:shd w:val="clear" w:color="auto" w:fill="CFF0FC"/>
          </w:tcPr>
          <w:p>
            <w:pPr>
              <w:spacing w:after="0"/>
              <w:rPr>
                <w:sz w:val="14"/>
                <w:szCs w:val="14"/>
                <w:color w:val="auto"/>
              </w:rPr>
            </w:pPr>
          </w:p>
        </w:tc>
        <w:tc>
          <w:tcPr>
            <w:tcW w:w="820" w:type="dxa"/>
            <w:vAlign w:val="bottom"/>
            <w:shd w:val="clear" w:color="auto" w:fill="CFF0FC"/>
          </w:tcPr>
          <w:p>
            <w:pPr>
              <w:jc w:val="right"/>
              <w:spacing w:after="0"/>
              <w:rPr>
                <w:sz w:val="20"/>
                <w:szCs w:val="20"/>
                <w:color w:val="auto"/>
              </w:rPr>
            </w:pPr>
            <w:r>
              <w:rPr>
                <w:rFonts w:ascii="Arial" w:cs="Arial" w:eastAsia="Arial" w:hAnsi="Arial"/>
                <w:sz w:val="14"/>
                <w:szCs w:val="14"/>
                <w:color w:val="auto"/>
              </w:rPr>
              <w:t>68</w:t>
            </w:r>
          </w:p>
        </w:tc>
        <w:tc>
          <w:tcPr>
            <w:tcW w:w="200" w:type="dxa"/>
            <w:vAlign w:val="bottom"/>
            <w:shd w:val="clear" w:color="auto" w:fill="CFF0FC"/>
          </w:tcPr>
          <w:p>
            <w:pPr>
              <w:spacing w:after="0"/>
              <w:rPr>
                <w:sz w:val="14"/>
                <w:szCs w:val="14"/>
                <w:color w:val="auto"/>
              </w:rPr>
            </w:pPr>
          </w:p>
        </w:tc>
        <w:tc>
          <w:tcPr>
            <w:tcW w:w="900" w:type="dxa"/>
            <w:vAlign w:val="bottom"/>
            <w:shd w:val="clear" w:color="auto" w:fill="CFF0FC"/>
          </w:tcPr>
          <w:p>
            <w:pPr>
              <w:jc w:val="right"/>
              <w:spacing w:after="0"/>
              <w:rPr>
                <w:sz w:val="20"/>
                <w:szCs w:val="20"/>
                <w:color w:val="auto"/>
              </w:rPr>
            </w:pPr>
            <w:r>
              <w:rPr>
                <w:rFonts w:ascii="Arial" w:cs="Arial" w:eastAsia="Arial" w:hAnsi="Arial"/>
                <w:sz w:val="14"/>
                <w:szCs w:val="14"/>
                <w:color w:val="auto"/>
              </w:rPr>
              <w:t>63</w:t>
            </w:r>
          </w:p>
        </w:tc>
        <w:tc>
          <w:tcPr>
            <w:tcW w:w="220" w:type="dxa"/>
            <w:vAlign w:val="bottom"/>
            <w:shd w:val="clear" w:color="auto" w:fill="CFF0FC"/>
          </w:tcPr>
          <w:p>
            <w:pPr>
              <w:spacing w:after="0"/>
              <w:rPr>
                <w:sz w:val="14"/>
                <w:szCs w:val="14"/>
                <w:color w:val="auto"/>
              </w:rPr>
            </w:pPr>
          </w:p>
        </w:tc>
        <w:tc>
          <w:tcPr>
            <w:tcW w:w="800" w:type="dxa"/>
            <w:vAlign w:val="bottom"/>
            <w:shd w:val="clear" w:color="auto" w:fill="CFF0FC"/>
          </w:tcPr>
          <w:p>
            <w:pPr>
              <w:jc w:val="right"/>
              <w:spacing w:after="0"/>
              <w:rPr>
                <w:sz w:val="20"/>
                <w:szCs w:val="20"/>
                <w:color w:val="auto"/>
              </w:rPr>
            </w:pPr>
            <w:r>
              <w:rPr>
                <w:rFonts w:ascii="Arial" w:cs="Arial" w:eastAsia="Arial" w:hAnsi="Arial"/>
                <w:sz w:val="14"/>
                <w:szCs w:val="14"/>
                <w:color w:val="auto"/>
              </w:rPr>
              <w:t>5</w:t>
            </w:r>
          </w:p>
        </w:tc>
        <w:tc>
          <w:tcPr>
            <w:tcW w:w="220" w:type="dxa"/>
            <w:vAlign w:val="bottom"/>
            <w:shd w:val="clear" w:color="auto" w:fill="CFF0FC"/>
          </w:tcPr>
          <w:p>
            <w:pPr>
              <w:spacing w:after="0"/>
              <w:rPr>
                <w:sz w:val="14"/>
                <w:szCs w:val="14"/>
                <w:color w:val="auto"/>
              </w:rPr>
            </w:pPr>
          </w:p>
        </w:tc>
        <w:tc>
          <w:tcPr>
            <w:tcW w:w="820" w:type="dxa"/>
            <w:vAlign w:val="bottom"/>
            <w:shd w:val="clear" w:color="auto" w:fill="CFF0FC"/>
          </w:tcPr>
          <w:p>
            <w:pPr>
              <w:jc w:val="right"/>
              <w:spacing w:after="0"/>
              <w:rPr>
                <w:sz w:val="20"/>
                <w:szCs w:val="20"/>
                <w:color w:val="auto"/>
              </w:rPr>
            </w:pPr>
            <w:r>
              <w:rPr>
                <w:rFonts w:ascii="Arial" w:cs="Arial" w:eastAsia="Arial" w:hAnsi="Arial"/>
                <w:sz w:val="14"/>
                <w:szCs w:val="14"/>
                <w:color w:val="auto"/>
              </w:rPr>
              <w:t>-</w:t>
            </w:r>
          </w:p>
        </w:tc>
        <w:tc>
          <w:tcPr>
            <w:tcW w:w="220" w:type="dxa"/>
            <w:vAlign w:val="bottom"/>
            <w:shd w:val="clear" w:color="auto" w:fill="CFF0FC"/>
          </w:tcPr>
          <w:p>
            <w:pPr>
              <w:spacing w:after="0"/>
              <w:rPr>
                <w:sz w:val="14"/>
                <w:szCs w:val="14"/>
                <w:color w:val="auto"/>
              </w:rPr>
            </w:pPr>
          </w:p>
        </w:tc>
        <w:tc>
          <w:tcPr>
            <w:tcW w:w="1040" w:type="dxa"/>
            <w:vAlign w:val="bottom"/>
            <w:shd w:val="clear" w:color="auto" w:fill="CFF0FC"/>
          </w:tcPr>
          <w:p>
            <w:pPr>
              <w:jc w:val="right"/>
              <w:spacing w:after="0"/>
              <w:rPr>
                <w:sz w:val="20"/>
                <w:szCs w:val="20"/>
                <w:color w:val="auto"/>
              </w:rPr>
            </w:pPr>
            <w:r>
              <w:rPr>
                <w:rFonts w:ascii="Arial" w:cs="Arial" w:eastAsia="Arial" w:hAnsi="Arial"/>
                <w:sz w:val="14"/>
                <w:szCs w:val="14"/>
                <w:color w:val="auto"/>
              </w:rPr>
              <w:t>-</w:t>
            </w:r>
          </w:p>
        </w:tc>
        <w:tc>
          <w:tcPr>
            <w:tcW w:w="800" w:type="dxa"/>
            <w:vAlign w:val="bottom"/>
            <w:gridSpan w:val="2"/>
            <w:shd w:val="clear" w:color="auto" w:fill="CFF0FC"/>
          </w:tcPr>
          <w:p>
            <w:pPr>
              <w:jc w:val="right"/>
              <w:spacing w:after="0"/>
              <w:rPr>
                <w:sz w:val="20"/>
                <w:szCs w:val="20"/>
                <w:color w:val="auto"/>
              </w:rPr>
            </w:pPr>
            <w:r>
              <w:rPr>
                <w:rFonts w:ascii="Arial" w:cs="Arial" w:eastAsia="Arial" w:hAnsi="Arial"/>
                <w:sz w:val="14"/>
                <w:szCs w:val="14"/>
                <w:color w:val="auto"/>
              </w:rPr>
              <w:t>$464</w:t>
            </w:r>
          </w:p>
        </w:tc>
        <w:tc>
          <w:tcPr>
            <w:tcW w:w="660" w:type="dxa"/>
            <w:vAlign w:val="bottom"/>
            <w:shd w:val="clear" w:color="auto" w:fill="CFF0FC"/>
          </w:tcPr>
          <w:p>
            <w:pPr>
              <w:spacing w:after="0"/>
              <w:rPr>
                <w:sz w:val="20"/>
                <w:szCs w:val="20"/>
                <w:color w:val="auto"/>
              </w:rPr>
            </w:pPr>
            <w:r>
              <w:rPr>
                <w:rFonts w:ascii="Arial" w:cs="Arial" w:eastAsia="Arial" w:hAnsi="Arial"/>
                <w:sz w:val="14"/>
                <w:szCs w:val="14"/>
                <w:color w:val="auto"/>
              </w:rPr>
              <w:t>- $530</w:t>
            </w:r>
          </w:p>
        </w:tc>
      </w:tr>
      <w:tr>
        <w:trPr>
          <w:trHeight w:val="162"/>
        </w:trPr>
        <w:tc>
          <w:tcPr>
            <w:tcW w:w="3660" w:type="dxa"/>
            <w:vAlign w:val="bottom"/>
            <w:gridSpan w:val="2"/>
          </w:tcPr>
          <w:p>
            <w:pPr>
              <w:ind w:left="380"/>
              <w:spacing w:after="0"/>
              <w:rPr>
                <w:sz w:val="20"/>
                <w:szCs w:val="20"/>
                <w:color w:val="auto"/>
              </w:rPr>
            </w:pPr>
            <w:r>
              <w:rPr>
                <w:rFonts w:ascii="Arial" w:cs="Arial" w:eastAsia="Arial" w:hAnsi="Arial"/>
                <w:sz w:val="14"/>
                <w:szCs w:val="14"/>
                <w:color w:val="auto"/>
              </w:rPr>
              <w:t>Topazridge II, Riverside</w:t>
            </w:r>
          </w:p>
        </w:tc>
        <w:tc>
          <w:tcPr>
            <w:tcW w:w="960" w:type="dxa"/>
            <w:vAlign w:val="bottom"/>
          </w:tcPr>
          <w:p>
            <w:pPr>
              <w:jc w:val="center"/>
              <w:spacing w:after="0"/>
              <w:rPr>
                <w:sz w:val="20"/>
                <w:szCs w:val="20"/>
                <w:color w:val="auto"/>
              </w:rPr>
            </w:pPr>
            <w:r>
              <w:rPr>
                <w:rFonts w:ascii="Arial" w:cs="Arial" w:eastAsia="Arial" w:hAnsi="Arial"/>
                <w:sz w:val="14"/>
                <w:szCs w:val="14"/>
                <w:color w:val="auto"/>
                <w:w w:val="83"/>
              </w:rPr>
              <w:t>2014</w:t>
            </w:r>
          </w:p>
        </w:tc>
        <w:tc>
          <w:tcPr>
            <w:tcW w:w="100" w:type="dxa"/>
            <w:vAlign w:val="bottom"/>
          </w:tcPr>
          <w:p>
            <w:pPr>
              <w:spacing w:after="0"/>
              <w:rPr>
                <w:sz w:val="14"/>
                <w:szCs w:val="14"/>
                <w:color w:val="auto"/>
              </w:rPr>
            </w:pPr>
          </w:p>
        </w:tc>
        <w:tc>
          <w:tcPr>
            <w:tcW w:w="820" w:type="dxa"/>
            <w:vAlign w:val="bottom"/>
          </w:tcPr>
          <w:p>
            <w:pPr>
              <w:jc w:val="right"/>
              <w:spacing w:after="0"/>
              <w:rPr>
                <w:sz w:val="20"/>
                <w:szCs w:val="20"/>
                <w:color w:val="auto"/>
              </w:rPr>
            </w:pPr>
            <w:r>
              <w:rPr>
                <w:rFonts w:ascii="Arial" w:cs="Arial" w:eastAsia="Arial" w:hAnsi="Arial"/>
                <w:sz w:val="14"/>
                <w:szCs w:val="14"/>
                <w:color w:val="auto"/>
              </w:rPr>
              <w:t>49</w:t>
            </w:r>
          </w:p>
        </w:tc>
        <w:tc>
          <w:tcPr>
            <w:tcW w:w="200" w:type="dxa"/>
            <w:vAlign w:val="bottom"/>
          </w:tcPr>
          <w:p>
            <w:pPr>
              <w:spacing w:after="0"/>
              <w:rPr>
                <w:sz w:val="14"/>
                <w:szCs w:val="14"/>
                <w:color w:val="auto"/>
              </w:rPr>
            </w:pPr>
          </w:p>
        </w:tc>
        <w:tc>
          <w:tcPr>
            <w:tcW w:w="900" w:type="dxa"/>
            <w:vAlign w:val="bottom"/>
          </w:tcPr>
          <w:p>
            <w:pPr>
              <w:jc w:val="right"/>
              <w:spacing w:after="0"/>
              <w:rPr>
                <w:sz w:val="20"/>
                <w:szCs w:val="20"/>
                <w:color w:val="auto"/>
              </w:rPr>
            </w:pPr>
            <w:r>
              <w:rPr>
                <w:rFonts w:ascii="Arial" w:cs="Arial" w:eastAsia="Arial" w:hAnsi="Arial"/>
                <w:sz w:val="14"/>
                <w:szCs w:val="14"/>
                <w:color w:val="auto"/>
              </w:rPr>
              <w:t>24</w:t>
            </w:r>
          </w:p>
        </w:tc>
        <w:tc>
          <w:tcPr>
            <w:tcW w:w="220" w:type="dxa"/>
            <w:vAlign w:val="bottom"/>
          </w:tcPr>
          <w:p>
            <w:pPr>
              <w:spacing w:after="0"/>
              <w:rPr>
                <w:sz w:val="14"/>
                <w:szCs w:val="14"/>
                <w:color w:val="auto"/>
              </w:rPr>
            </w:pPr>
          </w:p>
        </w:tc>
        <w:tc>
          <w:tcPr>
            <w:tcW w:w="800" w:type="dxa"/>
            <w:vAlign w:val="bottom"/>
          </w:tcPr>
          <w:p>
            <w:pPr>
              <w:jc w:val="right"/>
              <w:spacing w:after="0"/>
              <w:rPr>
                <w:sz w:val="20"/>
                <w:szCs w:val="20"/>
                <w:color w:val="auto"/>
              </w:rPr>
            </w:pPr>
            <w:r>
              <w:rPr>
                <w:rFonts w:ascii="Arial" w:cs="Arial" w:eastAsia="Arial" w:hAnsi="Arial"/>
                <w:sz w:val="14"/>
                <w:szCs w:val="14"/>
                <w:color w:val="auto"/>
              </w:rPr>
              <w:t>25</w:t>
            </w:r>
          </w:p>
        </w:tc>
        <w:tc>
          <w:tcPr>
            <w:tcW w:w="220" w:type="dxa"/>
            <w:vAlign w:val="bottom"/>
          </w:tcPr>
          <w:p>
            <w:pPr>
              <w:spacing w:after="0"/>
              <w:rPr>
                <w:sz w:val="14"/>
                <w:szCs w:val="14"/>
                <w:color w:val="auto"/>
              </w:rPr>
            </w:pPr>
          </w:p>
        </w:tc>
        <w:tc>
          <w:tcPr>
            <w:tcW w:w="820" w:type="dxa"/>
            <w:vAlign w:val="bottom"/>
          </w:tcPr>
          <w:p>
            <w:pPr>
              <w:jc w:val="right"/>
              <w:spacing w:after="0"/>
              <w:rPr>
                <w:sz w:val="20"/>
                <w:szCs w:val="20"/>
                <w:color w:val="auto"/>
              </w:rPr>
            </w:pPr>
            <w:r>
              <w:rPr>
                <w:rFonts w:ascii="Arial" w:cs="Arial" w:eastAsia="Arial" w:hAnsi="Arial"/>
                <w:sz w:val="14"/>
                <w:szCs w:val="14"/>
                <w:color w:val="auto"/>
              </w:rPr>
              <w:t>5</w:t>
            </w:r>
          </w:p>
        </w:tc>
        <w:tc>
          <w:tcPr>
            <w:tcW w:w="220" w:type="dxa"/>
            <w:vAlign w:val="bottom"/>
          </w:tcPr>
          <w:p>
            <w:pPr>
              <w:spacing w:after="0"/>
              <w:rPr>
                <w:sz w:val="14"/>
                <w:szCs w:val="14"/>
                <w:color w:val="auto"/>
              </w:rPr>
            </w:pPr>
          </w:p>
        </w:tc>
        <w:tc>
          <w:tcPr>
            <w:tcW w:w="1040" w:type="dxa"/>
            <w:vAlign w:val="bottom"/>
          </w:tcPr>
          <w:p>
            <w:pPr>
              <w:jc w:val="right"/>
              <w:spacing w:after="0"/>
              <w:rPr>
                <w:sz w:val="20"/>
                <w:szCs w:val="20"/>
                <w:color w:val="auto"/>
              </w:rPr>
            </w:pPr>
            <w:r>
              <w:rPr>
                <w:rFonts w:ascii="Arial" w:cs="Arial" w:eastAsia="Arial" w:hAnsi="Arial"/>
                <w:sz w:val="14"/>
                <w:szCs w:val="14"/>
                <w:color w:val="auto"/>
              </w:rPr>
              <w:t>1</w:t>
            </w:r>
          </w:p>
        </w:tc>
        <w:tc>
          <w:tcPr>
            <w:tcW w:w="800" w:type="dxa"/>
            <w:vAlign w:val="bottom"/>
            <w:gridSpan w:val="2"/>
          </w:tcPr>
          <w:p>
            <w:pPr>
              <w:jc w:val="right"/>
              <w:spacing w:after="0"/>
              <w:rPr>
                <w:sz w:val="20"/>
                <w:szCs w:val="20"/>
                <w:color w:val="auto"/>
              </w:rPr>
            </w:pPr>
            <w:r>
              <w:rPr>
                <w:rFonts w:ascii="Arial" w:cs="Arial" w:eastAsia="Arial" w:hAnsi="Arial"/>
                <w:sz w:val="14"/>
                <w:szCs w:val="14"/>
                <w:color w:val="auto"/>
              </w:rPr>
              <w:t>$464</w:t>
            </w:r>
          </w:p>
        </w:tc>
        <w:tc>
          <w:tcPr>
            <w:tcW w:w="660" w:type="dxa"/>
            <w:vAlign w:val="bottom"/>
          </w:tcPr>
          <w:p>
            <w:pPr>
              <w:spacing w:after="0"/>
              <w:rPr>
                <w:sz w:val="20"/>
                <w:szCs w:val="20"/>
                <w:color w:val="auto"/>
              </w:rPr>
            </w:pPr>
            <w:r>
              <w:rPr>
                <w:rFonts w:ascii="Arial" w:cs="Arial" w:eastAsia="Arial" w:hAnsi="Arial"/>
                <w:sz w:val="14"/>
                <w:szCs w:val="14"/>
                <w:color w:val="auto"/>
              </w:rPr>
              <w:t>- $525</w:t>
            </w:r>
          </w:p>
        </w:tc>
      </w:tr>
      <w:tr>
        <w:trPr>
          <w:trHeight w:val="162"/>
        </w:trPr>
        <w:tc>
          <w:tcPr>
            <w:tcW w:w="3660" w:type="dxa"/>
            <w:vAlign w:val="bottom"/>
            <w:gridSpan w:val="2"/>
            <w:shd w:val="clear" w:color="auto" w:fill="CFF0FC"/>
          </w:tcPr>
          <w:p>
            <w:pPr>
              <w:ind w:left="380"/>
              <w:spacing w:after="0"/>
              <w:rPr>
                <w:sz w:val="20"/>
                <w:szCs w:val="20"/>
                <w:color w:val="auto"/>
              </w:rPr>
            </w:pPr>
            <w:r>
              <w:rPr>
                <w:rFonts w:ascii="Arial" w:cs="Arial" w:eastAsia="Arial" w:hAnsi="Arial"/>
                <w:sz w:val="14"/>
                <w:szCs w:val="14"/>
                <w:color w:val="auto"/>
              </w:rPr>
              <w:t>Alegre, Temecula</w:t>
            </w:r>
          </w:p>
        </w:tc>
        <w:tc>
          <w:tcPr>
            <w:tcW w:w="960" w:type="dxa"/>
            <w:vAlign w:val="bottom"/>
            <w:shd w:val="clear" w:color="auto" w:fill="CFF0FC"/>
          </w:tcPr>
          <w:p>
            <w:pPr>
              <w:jc w:val="center"/>
              <w:spacing w:after="0"/>
              <w:rPr>
                <w:sz w:val="20"/>
                <w:szCs w:val="20"/>
                <w:color w:val="auto"/>
              </w:rPr>
            </w:pPr>
            <w:r>
              <w:rPr>
                <w:rFonts w:ascii="Arial" w:cs="Arial" w:eastAsia="Arial" w:hAnsi="Arial"/>
                <w:sz w:val="14"/>
                <w:szCs w:val="14"/>
                <w:color w:val="auto"/>
                <w:w w:val="83"/>
              </w:rPr>
              <w:t>2014</w:t>
            </w:r>
          </w:p>
        </w:tc>
        <w:tc>
          <w:tcPr>
            <w:tcW w:w="100" w:type="dxa"/>
            <w:vAlign w:val="bottom"/>
            <w:shd w:val="clear" w:color="auto" w:fill="CFF0FC"/>
          </w:tcPr>
          <w:p>
            <w:pPr>
              <w:spacing w:after="0"/>
              <w:rPr>
                <w:sz w:val="14"/>
                <w:szCs w:val="14"/>
                <w:color w:val="auto"/>
              </w:rPr>
            </w:pPr>
          </w:p>
        </w:tc>
        <w:tc>
          <w:tcPr>
            <w:tcW w:w="820" w:type="dxa"/>
            <w:vAlign w:val="bottom"/>
            <w:shd w:val="clear" w:color="auto" w:fill="CFF0FC"/>
          </w:tcPr>
          <w:p>
            <w:pPr>
              <w:jc w:val="right"/>
              <w:spacing w:after="0"/>
              <w:rPr>
                <w:sz w:val="20"/>
                <w:szCs w:val="20"/>
                <w:color w:val="auto"/>
              </w:rPr>
            </w:pPr>
            <w:r>
              <w:rPr>
                <w:rFonts w:ascii="Arial" w:cs="Arial" w:eastAsia="Arial" w:hAnsi="Arial"/>
                <w:sz w:val="14"/>
                <w:szCs w:val="14"/>
                <w:color w:val="auto"/>
              </w:rPr>
              <w:t>96</w:t>
            </w:r>
          </w:p>
        </w:tc>
        <w:tc>
          <w:tcPr>
            <w:tcW w:w="200" w:type="dxa"/>
            <w:vAlign w:val="bottom"/>
            <w:shd w:val="clear" w:color="auto" w:fill="CFF0FC"/>
          </w:tcPr>
          <w:p>
            <w:pPr>
              <w:spacing w:after="0"/>
              <w:rPr>
                <w:sz w:val="14"/>
                <w:szCs w:val="14"/>
                <w:color w:val="auto"/>
              </w:rPr>
            </w:pPr>
          </w:p>
        </w:tc>
        <w:tc>
          <w:tcPr>
            <w:tcW w:w="900" w:type="dxa"/>
            <w:vAlign w:val="bottom"/>
            <w:shd w:val="clear" w:color="auto" w:fill="CFF0FC"/>
          </w:tcPr>
          <w:p>
            <w:pPr>
              <w:jc w:val="right"/>
              <w:spacing w:after="0"/>
              <w:rPr>
                <w:sz w:val="20"/>
                <w:szCs w:val="20"/>
                <w:color w:val="auto"/>
              </w:rPr>
            </w:pPr>
            <w:r>
              <w:rPr>
                <w:rFonts w:ascii="Arial" w:cs="Arial" w:eastAsia="Arial" w:hAnsi="Arial"/>
                <w:sz w:val="14"/>
                <w:szCs w:val="14"/>
                <w:color w:val="auto"/>
              </w:rPr>
              <w:t>34</w:t>
            </w:r>
          </w:p>
        </w:tc>
        <w:tc>
          <w:tcPr>
            <w:tcW w:w="220" w:type="dxa"/>
            <w:vAlign w:val="bottom"/>
            <w:shd w:val="clear" w:color="auto" w:fill="CFF0FC"/>
          </w:tcPr>
          <w:p>
            <w:pPr>
              <w:spacing w:after="0"/>
              <w:rPr>
                <w:sz w:val="14"/>
                <w:szCs w:val="14"/>
                <w:color w:val="auto"/>
              </w:rPr>
            </w:pPr>
          </w:p>
        </w:tc>
        <w:tc>
          <w:tcPr>
            <w:tcW w:w="800" w:type="dxa"/>
            <w:vAlign w:val="bottom"/>
            <w:shd w:val="clear" w:color="auto" w:fill="CFF0FC"/>
          </w:tcPr>
          <w:p>
            <w:pPr>
              <w:jc w:val="right"/>
              <w:spacing w:after="0"/>
              <w:rPr>
                <w:sz w:val="20"/>
                <w:szCs w:val="20"/>
                <w:color w:val="auto"/>
              </w:rPr>
            </w:pPr>
            <w:r>
              <w:rPr>
                <w:rFonts w:ascii="Arial" w:cs="Arial" w:eastAsia="Arial" w:hAnsi="Arial"/>
                <w:sz w:val="14"/>
                <w:szCs w:val="14"/>
                <w:color w:val="auto"/>
              </w:rPr>
              <w:t>62</w:t>
            </w:r>
          </w:p>
        </w:tc>
        <w:tc>
          <w:tcPr>
            <w:tcW w:w="220" w:type="dxa"/>
            <w:vAlign w:val="bottom"/>
            <w:shd w:val="clear" w:color="auto" w:fill="CFF0FC"/>
          </w:tcPr>
          <w:p>
            <w:pPr>
              <w:spacing w:after="0"/>
              <w:rPr>
                <w:sz w:val="14"/>
                <w:szCs w:val="14"/>
                <w:color w:val="auto"/>
              </w:rPr>
            </w:pPr>
          </w:p>
        </w:tc>
        <w:tc>
          <w:tcPr>
            <w:tcW w:w="820" w:type="dxa"/>
            <w:vAlign w:val="bottom"/>
            <w:shd w:val="clear" w:color="auto" w:fill="CFF0FC"/>
          </w:tcPr>
          <w:p>
            <w:pPr>
              <w:jc w:val="right"/>
              <w:spacing w:after="0"/>
              <w:rPr>
                <w:sz w:val="20"/>
                <w:szCs w:val="20"/>
                <w:color w:val="auto"/>
              </w:rPr>
            </w:pPr>
            <w:r>
              <w:rPr>
                <w:rFonts w:ascii="Arial" w:cs="Arial" w:eastAsia="Arial" w:hAnsi="Arial"/>
                <w:sz w:val="14"/>
                <w:szCs w:val="14"/>
                <w:color w:val="auto"/>
              </w:rPr>
              <w:t>17</w:t>
            </w:r>
          </w:p>
        </w:tc>
        <w:tc>
          <w:tcPr>
            <w:tcW w:w="220" w:type="dxa"/>
            <w:vAlign w:val="bottom"/>
            <w:shd w:val="clear" w:color="auto" w:fill="CFF0FC"/>
          </w:tcPr>
          <w:p>
            <w:pPr>
              <w:spacing w:after="0"/>
              <w:rPr>
                <w:sz w:val="14"/>
                <w:szCs w:val="14"/>
                <w:color w:val="auto"/>
              </w:rPr>
            </w:pPr>
          </w:p>
        </w:tc>
        <w:tc>
          <w:tcPr>
            <w:tcW w:w="1040" w:type="dxa"/>
            <w:vAlign w:val="bottom"/>
            <w:shd w:val="clear" w:color="auto" w:fill="CFF0FC"/>
          </w:tcPr>
          <w:p>
            <w:pPr>
              <w:jc w:val="right"/>
              <w:spacing w:after="0"/>
              <w:rPr>
                <w:sz w:val="20"/>
                <w:szCs w:val="20"/>
                <w:color w:val="auto"/>
              </w:rPr>
            </w:pPr>
            <w:r>
              <w:rPr>
                <w:rFonts w:ascii="Arial" w:cs="Arial" w:eastAsia="Arial" w:hAnsi="Arial"/>
                <w:sz w:val="14"/>
                <w:szCs w:val="14"/>
                <w:color w:val="auto"/>
              </w:rPr>
              <w:t>15</w:t>
            </w:r>
          </w:p>
        </w:tc>
        <w:tc>
          <w:tcPr>
            <w:tcW w:w="800" w:type="dxa"/>
            <w:vAlign w:val="bottom"/>
            <w:gridSpan w:val="2"/>
            <w:shd w:val="clear" w:color="auto" w:fill="CFF0FC"/>
          </w:tcPr>
          <w:p>
            <w:pPr>
              <w:jc w:val="right"/>
              <w:spacing w:after="0"/>
              <w:rPr>
                <w:sz w:val="20"/>
                <w:szCs w:val="20"/>
                <w:color w:val="auto"/>
              </w:rPr>
            </w:pPr>
            <w:r>
              <w:rPr>
                <w:rFonts w:ascii="Arial" w:cs="Arial" w:eastAsia="Arial" w:hAnsi="Arial"/>
                <w:sz w:val="14"/>
                <w:szCs w:val="14"/>
                <w:color w:val="auto"/>
              </w:rPr>
              <w:t>$281</w:t>
            </w:r>
          </w:p>
        </w:tc>
        <w:tc>
          <w:tcPr>
            <w:tcW w:w="660" w:type="dxa"/>
            <w:vAlign w:val="bottom"/>
            <w:shd w:val="clear" w:color="auto" w:fill="CFF0FC"/>
          </w:tcPr>
          <w:p>
            <w:pPr>
              <w:spacing w:after="0"/>
              <w:rPr>
                <w:sz w:val="20"/>
                <w:szCs w:val="20"/>
                <w:color w:val="auto"/>
              </w:rPr>
            </w:pPr>
            <w:r>
              <w:rPr>
                <w:rFonts w:ascii="Arial" w:cs="Arial" w:eastAsia="Arial" w:hAnsi="Arial"/>
                <w:sz w:val="14"/>
                <w:szCs w:val="14"/>
                <w:color w:val="auto"/>
              </w:rPr>
              <w:t>- $312</w:t>
            </w:r>
          </w:p>
        </w:tc>
      </w:tr>
      <w:tr>
        <w:trPr>
          <w:trHeight w:val="162"/>
        </w:trPr>
        <w:tc>
          <w:tcPr>
            <w:tcW w:w="3660" w:type="dxa"/>
            <w:vAlign w:val="bottom"/>
            <w:gridSpan w:val="2"/>
          </w:tcPr>
          <w:p>
            <w:pPr>
              <w:ind w:left="380"/>
              <w:spacing w:after="0"/>
              <w:rPr>
                <w:sz w:val="20"/>
                <w:szCs w:val="20"/>
                <w:color w:val="auto"/>
              </w:rPr>
            </w:pPr>
            <w:r>
              <w:rPr>
                <w:rFonts w:ascii="Arial" w:cs="Arial" w:eastAsia="Arial" w:hAnsi="Arial"/>
                <w:sz w:val="14"/>
                <w:szCs w:val="14"/>
                <w:color w:val="auto"/>
              </w:rPr>
              <w:t>Aldea, Temecula</w:t>
            </w:r>
          </w:p>
        </w:tc>
        <w:tc>
          <w:tcPr>
            <w:tcW w:w="960" w:type="dxa"/>
            <w:vAlign w:val="bottom"/>
          </w:tcPr>
          <w:p>
            <w:pPr>
              <w:jc w:val="center"/>
              <w:spacing w:after="0"/>
              <w:rPr>
                <w:sz w:val="20"/>
                <w:szCs w:val="20"/>
                <w:color w:val="auto"/>
              </w:rPr>
            </w:pPr>
            <w:r>
              <w:rPr>
                <w:rFonts w:ascii="Arial" w:cs="Arial" w:eastAsia="Arial" w:hAnsi="Arial"/>
                <w:sz w:val="14"/>
                <w:szCs w:val="14"/>
                <w:color w:val="auto"/>
                <w:w w:val="83"/>
              </w:rPr>
              <w:t>2014</w:t>
            </w:r>
          </w:p>
        </w:tc>
        <w:tc>
          <w:tcPr>
            <w:tcW w:w="100" w:type="dxa"/>
            <w:vAlign w:val="bottom"/>
          </w:tcPr>
          <w:p>
            <w:pPr>
              <w:spacing w:after="0"/>
              <w:rPr>
                <w:sz w:val="14"/>
                <w:szCs w:val="14"/>
                <w:color w:val="auto"/>
              </w:rPr>
            </w:pPr>
          </w:p>
        </w:tc>
        <w:tc>
          <w:tcPr>
            <w:tcW w:w="820" w:type="dxa"/>
            <w:vAlign w:val="bottom"/>
          </w:tcPr>
          <w:p>
            <w:pPr>
              <w:jc w:val="right"/>
              <w:spacing w:after="0"/>
              <w:rPr>
                <w:sz w:val="20"/>
                <w:szCs w:val="20"/>
                <w:color w:val="auto"/>
              </w:rPr>
            </w:pPr>
            <w:r>
              <w:rPr>
                <w:rFonts w:ascii="Arial" w:cs="Arial" w:eastAsia="Arial" w:hAnsi="Arial"/>
                <w:sz w:val="14"/>
                <w:szCs w:val="14"/>
                <w:color w:val="auto"/>
              </w:rPr>
              <w:t>90</w:t>
            </w:r>
          </w:p>
        </w:tc>
        <w:tc>
          <w:tcPr>
            <w:tcW w:w="200" w:type="dxa"/>
            <w:vAlign w:val="bottom"/>
          </w:tcPr>
          <w:p>
            <w:pPr>
              <w:spacing w:after="0"/>
              <w:rPr>
                <w:sz w:val="14"/>
                <w:szCs w:val="14"/>
                <w:color w:val="auto"/>
              </w:rPr>
            </w:pPr>
          </w:p>
        </w:tc>
        <w:tc>
          <w:tcPr>
            <w:tcW w:w="900" w:type="dxa"/>
            <w:vAlign w:val="bottom"/>
          </w:tcPr>
          <w:p>
            <w:pPr>
              <w:jc w:val="right"/>
              <w:spacing w:after="0"/>
              <w:rPr>
                <w:sz w:val="20"/>
                <w:szCs w:val="20"/>
                <w:color w:val="auto"/>
              </w:rPr>
            </w:pPr>
            <w:r>
              <w:rPr>
                <w:rFonts w:ascii="Arial" w:cs="Arial" w:eastAsia="Arial" w:hAnsi="Arial"/>
                <w:sz w:val="14"/>
                <w:szCs w:val="14"/>
                <w:color w:val="auto"/>
              </w:rPr>
              <w:t>29</w:t>
            </w:r>
          </w:p>
        </w:tc>
        <w:tc>
          <w:tcPr>
            <w:tcW w:w="220" w:type="dxa"/>
            <w:vAlign w:val="bottom"/>
          </w:tcPr>
          <w:p>
            <w:pPr>
              <w:spacing w:after="0"/>
              <w:rPr>
                <w:sz w:val="14"/>
                <w:szCs w:val="14"/>
                <w:color w:val="auto"/>
              </w:rPr>
            </w:pPr>
          </w:p>
        </w:tc>
        <w:tc>
          <w:tcPr>
            <w:tcW w:w="800" w:type="dxa"/>
            <w:vAlign w:val="bottom"/>
          </w:tcPr>
          <w:p>
            <w:pPr>
              <w:jc w:val="right"/>
              <w:spacing w:after="0"/>
              <w:rPr>
                <w:sz w:val="20"/>
                <w:szCs w:val="20"/>
                <w:color w:val="auto"/>
              </w:rPr>
            </w:pPr>
            <w:r>
              <w:rPr>
                <w:rFonts w:ascii="Arial" w:cs="Arial" w:eastAsia="Arial" w:hAnsi="Arial"/>
                <w:sz w:val="14"/>
                <w:szCs w:val="14"/>
                <w:color w:val="auto"/>
              </w:rPr>
              <w:t>61</w:t>
            </w:r>
          </w:p>
        </w:tc>
        <w:tc>
          <w:tcPr>
            <w:tcW w:w="220" w:type="dxa"/>
            <w:vAlign w:val="bottom"/>
          </w:tcPr>
          <w:p>
            <w:pPr>
              <w:spacing w:after="0"/>
              <w:rPr>
                <w:sz w:val="14"/>
                <w:szCs w:val="14"/>
                <w:color w:val="auto"/>
              </w:rPr>
            </w:pPr>
          </w:p>
        </w:tc>
        <w:tc>
          <w:tcPr>
            <w:tcW w:w="820" w:type="dxa"/>
            <w:vAlign w:val="bottom"/>
          </w:tcPr>
          <w:p>
            <w:pPr>
              <w:jc w:val="right"/>
              <w:spacing w:after="0"/>
              <w:rPr>
                <w:sz w:val="20"/>
                <w:szCs w:val="20"/>
                <w:color w:val="auto"/>
              </w:rPr>
            </w:pPr>
            <w:r>
              <w:rPr>
                <w:rFonts w:ascii="Arial" w:cs="Arial" w:eastAsia="Arial" w:hAnsi="Arial"/>
                <w:sz w:val="14"/>
                <w:szCs w:val="14"/>
                <w:color w:val="auto"/>
              </w:rPr>
              <w:t>11</w:t>
            </w:r>
          </w:p>
        </w:tc>
        <w:tc>
          <w:tcPr>
            <w:tcW w:w="220" w:type="dxa"/>
            <w:vAlign w:val="bottom"/>
          </w:tcPr>
          <w:p>
            <w:pPr>
              <w:spacing w:after="0"/>
              <w:rPr>
                <w:sz w:val="14"/>
                <w:szCs w:val="14"/>
                <w:color w:val="auto"/>
              </w:rPr>
            </w:pPr>
          </w:p>
        </w:tc>
        <w:tc>
          <w:tcPr>
            <w:tcW w:w="1040" w:type="dxa"/>
            <w:vAlign w:val="bottom"/>
          </w:tcPr>
          <w:p>
            <w:pPr>
              <w:jc w:val="right"/>
              <w:spacing w:after="0"/>
              <w:rPr>
                <w:sz w:val="20"/>
                <w:szCs w:val="20"/>
                <w:color w:val="auto"/>
              </w:rPr>
            </w:pPr>
            <w:r>
              <w:rPr>
                <w:rFonts w:ascii="Arial" w:cs="Arial" w:eastAsia="Arial" w:hAnsi="Arial"/>
                <w:sz w:val="14"/>
                <w:szCs w:val="14"/>
                <w:color w:val="auto"/>
              </w:rPr>
              <w:t>6</w:t>
            </w:r>
          </w:p>
        </w:tc>
        <w:tc>
          <w:tcPr>
            <w:tcW w:w="800" w:type="dxa"/>
            <w:vAlign w:val="bottom"/>
            <w:gridSpan w:val="2"/>
          </w:tcPr>
          <w:p>
            <w:pPr>
              <w:jc w:val="right"/>
              <w:spacing w:after="0"/>
              <w:rPr>
                <w:sz w:val="20"/>
                <w:szCs w:val="20"/>
                <w:color w:val="auto"/>
              </w:rPr>
            </w:pPr>
            <w:r>
              <w:rPr>
                <w:rFonts w:ascii="Arial" w:cs="Arial" w:eastAsia="Arial" w:hAnsi="Arial"/>
                <w:sz w:val="14"/>
                <w:szCs w:val="14"/>
                <w:color w:val="auto"/>
              </w:rPr>
              <w:t>$260</w:t>
            </w:r>
          </w:p>
        </w:tc>
        <w:tc>
          <w:tcPr>
            <w:tcW w:w="660" w:type="dxa"/>
            <w:vAlign w:val="bottom"/>
          </w:tcPr>
          <w:p>
            <w:pPr>
              <w:spacing w:after="0"/>
              <w:rPr>
                <w:sz w:val="20"/>
                <w:szCs w:val="20"/>
                <w:color w:val="auto"/>
              </w:rPr>
            </w:pPr>
            <w:r>
              <w:rPr>
                <w:rFonts w:ascii="Arial" w:cs="Arial" w:eastAsia="Arial" w:hAnsi="Arial"/>
                <w:sz w:val="14"/>
                <w:szCs w:val="14"/>
                <w:color w:val="auto"/>
              </w:rPr>
              <w:t>- $290</w:t>
            </w:r>
          </w:p>
        </w:tc>
      </w:tr>
      <w:tr>
        <w:trPr>
          <w:trHeight w:val="162"/>
        </w:trPr>
        <w:tc>
          <w:tcPr>
            <w:tcW w:w="3660" w:type="dxa"/>
            <w:vAlign w:val="bottom"/>
            <w:gridSpan w:val="2"/>
            <w:shd w:val="clear" w:color="auto" w:fill="CFF0FC"/>
          </w:tcPr>
          <w:p>
            <w:pPr>
              <w:ind w:left="380"/>
              <w:spacing w:after="0"/>
              <w:rPr>
                <w:sz w:val="20"/>
                <w:szCs w:val="20"/>
                <w:color w:val="auto"/>
              </w:rPr>
            </w:pPr>
            <w:r>
              <w:rPr>
                <w:rFonts w:ascii="Arial" w:cs="Arial" w:eastAsia="Arial" w:hAnsi="Arial"/>
                <w:sz w:val="14"/>
                <w:szCs w:val="14"/>
                <w:color w:val="auto"/>
              </w:rPr>
              <w:t>Kite Ridge, Riverside</w:t>
            </w:r>
          </w:p>
        </w:tc>
        <w:tc>
          <w:tcPr>
            <w:tcW w:w="960" w:type="dxa"/>
            <w:vAlign w:val="bottom"/>
            <w:shd w:val="clear" w:color="auto" w:fill="CFF0FC"/>
          </w:tcPr>
          <w:p>
            <w:pPr>
              <w:jc w:val="center"/>
              <w:spacing w:after="0"/>
              <w:rPr>
                <w:sz w:val="20"/>
                <w:szCs w:val="20"/>
                <w:color w:val="auto"/>
              </w:rPr>
            </w:pPr>
            <w:r>
              <w:rPr>
                <w:rFonts w:ascii="Arial" w:cs="Arial" w:eastAsia="Arial" w:hAnsi="Arial"/>
                <w:sz w:val="14"/>
                <w:szCs w:val="14"/>
                <w:color w:val="auto"/>
                <w:w w:val="83"/>
              </w:rPr>
              <w:t>2015</w:t>
            </w:r>
          </w:p>
        </w:tc>
        <w:tc>
          <w:tcPr>
            <w:tcW w:w="100" w:type="dxa"/>
            <w:vAlign w:val="bottom"/>
            <w:shd w:val="clear" w:color="auto" w:fill="CFF0FC"/>
          </w:tcPr>
          <w:p>
            <w:pPr>
              <w:spacing w:after="0"/>
              <w:rPr>
                <w:sz w:val="14"/>
                <w:szCs w:val="14"/>
                <w:color w:val="auto"/>
              </w:rPr>
            </w:pPr>
          </w:p>
        </w:tc>
        <w:tc>
          <w:tcPr>
            <w:tcW w:w="820" w:type="dxa"/>
            <w:vAlign w:val="bottom"/>
            <w:shd w:val="clear" w:color="auto" w:fill="CFF0FC"/>
          </w:tcPr>
          <w:p>
            <w:pPr>
              <w:jc w:val="right"/>
              <w:spacing w:after="0"/>
              <w:rPr>
                <w:sz w:val="20"/>
                <w:szCs w:val="20"/>
                <w:color w:val="auto"/>
              </w:rPr>
            </w:pPr>
            <w:r>
              <w:rPr>
                <w:rFonts w:ascii="Arial" w:cs="Arial" w:eastAsia="Arial" w:hAnsi="Arial"/>
                <w:sz w:val="14"/>
                <w:szCs w:val="14"/>
                <w:color w:val="auto"/>
              </w:rPr>
              <w:t>87</w:t>
            </w:r>
          </w:p>
        </w:tc>
        <w:tc>
          <w:tcPr>
            <w:tcW w:w="200" w:type="dxa"/>
            <w:vAlign w:val="bottom"/>
            <w:shd w:val="clear" w:color="auto" w:fill="CFF0FC"/>
          </w:tcPr>
          <w:p>
            <w:pPr>
              <w:spacing w:after="0"/>
              <w:rPr>
                <w:sz w:val="14"/>
                <w:szCs w:val="14"/>
                <w:color w:val="auto"/>
              </w:rPr>
            </w:pPr>
          </w:p>
        </w:tc>
        <w:tc>
          <w:tcPr>
            <w:tcW w:w="900" w:type="dxa"/>
            <w:vAlign w:val="bottom"/>
            <w:shd w:val="clear" w:color="auto" w:fill="CFF0FC"/>
          </w:tcPr>
          <w:p>
            <w:pPr>
              <w:jc w:val="right"/>
              <w:spacing w:after="0"/>
              <w:rPr>
                <w:sz w:val="20"/>
                <w:szCs w:val="20"/>
                <w:color w:val="auto"/>
              </w:rPr>
            </w:pPr>
            <w:r>
              <w:rPr>
                <w:rFonts w:ascii="Arial" w:cs="Arial" w:eastAsia="Arial" w:hAnsi="Arial"/>
                <w:sz w:val="14"/>
                <w:szCs w:val="14"/>
                <w:color w:val="auto"/>
              </w:rPr>
              <w:t>-</w:t>
            </w:r>
          </w:p>
        </w:tc>
        <w:tc>
          <w:tcPr>
            <w:tcW w:w="220" w:type="dxa"/>
            <w:vAlign w:val="bottom"/>
            <w:shd w:val="clear" w:color="auto" w:fill="CFF0FC"/>
          </w:tcPr>
          <w:p>
            <w:pPr>
              <w:spacing w:after="0"/>
              <w:rPr>
                <w:sz w:val="14"/>
                <w:szCs w:val="14"/>
                <w:color w:val="auto"/>
              </w:rPr>
            </w:pPr>
          </w:p>
        </w:tc>
        <w:tc>
          <w:tcPr>
            <w:tcW w:w="800" w:type="dxa"/>
            <w:vAlign w:val="bottom"/>
            <w:shd w:val="clear" w:color="auto" w:fill="CFF0FC"/>
          </w:tcPr>
          <w:p>
            <w:pPr>
              <w:jc w:val="right"/>
              <w:spacing w:after="0"/>
              <w:rPr>
                <w:sz w:val="20"/>
                <w:szCs w:val="20"/>
                <w:color w:val="auto"/>
              </w:rPr>
            </w:pPr>
            <w:r>
              <w:rPr>
                <w:rFonts w:ascii="Arial" w:cs="Arial" w:eastAsia="Arial" w:hAnsi="Arial"/>
                <w:sz w:val="14"/>
                <w:szCs w:val="14"/>
                <w:color w:val="auto"/>
              </w:rPr>
              <w:t>87</w:t>
            </w:r>
          </w:p>
        </w:tc>
        <w:tc>
          <w:tcPr>
            <w:tcW w:w="220" w:type="dxa"/>
            <w:vAlign w:val="bottom"/>
            <w:shd w:val="clear" w:color="auto" w:fill="CFF0FC"/>
          </w:tcPr>
          <w:p>
            <w:pPr>
              <w:spacing w:after="0"/>
              <w:rPr>
                <w:sz w:val="14"/>
                <w:szCs w:val="14"/>
                <w:color w:val="auto"/>
              </w:rPr>
            </w:pPr>
          </w:p>
        </w:tc>
        <w:tc>
          <w:tcPr>
            <w:tcW w:w="820" w:type="dxa"/>
            <w:vAlign w:val="bottom"/>
            <w:shd w:val="clear" w:color="auto" w:fill="CFF0FC"/>
          </w:tcPr>
          <w:p>
            <w:pPr>
              <w:jc w:val="right"/>
              <w:spacing w:after="0"/>
              <w:rPr>
                <w:sz w:val="20"/>
                <w:szCs w:val="20"/>
                <w:color w:val="auto"/>
              </w:rPr>
            </w:pPr>
            <w:r>
              <w:rPr>
                <w:rFonts w:ascii="Arial" w:cs="Arial" w:eastAsia="Arial" w:hAnsi="Arial"/>
                <w:sz w:val="14"/>
                <w:szCs w:val="14"/>
                <w:color w:val="auto"/>
              </w:rPr>
              <w:t>5</w:t>
            </w:r>
          </w:p>
        </w:tc>
        <w:tc>
          <w:tcPr>
            <w:tcW w:w="220" w:type="dxa"/>
            <w:vAlign w:val="bottom"/>
            <w:shd w:val="clear" w:color="auto" w:fill="CFF0FC"/>
          </w:tcPr>
          <w:p>
            <w:pPr>
              <w:spacing w:after="0"/>
              <w:rPr>
                <w:sz w:val="14"/>
                <w:szCs w:val="14"/>
                <w:color w:val="auto"/>
              </w:rPr>
            </w:pPr>
          </w:p>
        </w:tc>
        <w:tc>
          <w:tcPr>
            <w:tcW w:w="1040" w:type="dxa"/>
            <w:vAlign w:val="bottom"/>
            <w:shd w:val="clear" w:color="auto" w:fill="CFF0FC"/>
          </w:tcPr>
          <w:p>
            <w:pPr>
              <w:jc w:val="right"/>
              <w:spacing w:after="0"/>
              <w:rPr>
                <w:sz w:val="20"/>
                <w:szCs w:val="20"/>
                <w:color w:val="auto"/>
              </w:rPr>
            </w:pPr>
            <w:r>
              <w:rPr>
                <w:rFonts w:ascii="Arial" w:cs="Arial" w:eastAsia="Arial" w:hAnsi="Arial"/>
                <w:sz w:val="14"/>
                <w:szCs w:val="14"/>
                <w:color w:val="auto"/>
              </w:rPr>
              <w:t>-</w:t>
            </w:r>
          </w:p>
        </w:tc>
        <w:tc>
          <w:tcPr>
            <w:tcW w:w="800" w:type="dxa"/>
            <w:vAlign w:val="bottom"/>
            <w:gridSpan w:val="2"/>
            <w:shd w:val="clear" w:color="auto" w:fill="CFF0FC"/>
          </w:tcPr>
          <w:p>
            <w:pPr>
              <w:jc w:val="right"/>
              <w:spacing w:after="0"/>
              <w:rPr>
                <w:sz w:val="20"/>
                <w:szCs w:val="20"/>
                <w:color w:val="auto"/>
              </w:rPr>
            </w:pPr>
            <w:r>
              <w:rPr>
                <w:rFonts w:ascii="Arial" w:cs="Arial" w:eastAsia="Arial" w:hAnsi="Arial"/>
                <w:sz w:val="14"/>
                <w:szCs w:val="14"/>
                <w:color w:val="auto"/>
              </w:rPr>
              <w:t>$445</w:t>
            </w:r>
          </w:p>
        </w:tc>
        <w:tc>
          <w:tcPr>
            <w:tcW w:w="660" w:type="dxa"/>
            <w:vAlign w:val="bottom"/>
            <w:shd w:val="clear" w:color="auto" w:fill="CFF0FC"/>
          </w:tcPr>
          <w:p>
            <w:pPr>
              <w:spacing w:after="0"/>
              <w:rPr>
                <w:sz w:val="20"/>
                <w:szCs w:val="20"/>
                <w:color w:val="auto"/>
              </w:rPr>
            </w:pPr>
            <w:r>
              <w:rPr>
                <w:rFonts w:ascii="Arial" w:cs="Arial" w:eastAsia="Arial" w:hAnsi="Arial"/>
                <w:sz w:val="14"/>
                <w:szCs w:val="14"/>
                <w:color w:val="auto"/>
              </w:rPr>
              <w:t>- $470</w:t>
            </w:r>
          </w:p>
        </w:tc>
      </w:tr>
      <w:tr>
        <w:trPr>
          <w:trHeight w:val="162"/>
        </w:trPr>
        <w:tc>
          <w:tcPr>
            <w:tcW w:w="3660" w:type="dxa"/>
            <w:vAlign w:val="bottom"/>
            <w:gridSpan w:val="2"/>
          </w:tcPr>
          <w:p>
            <w:pPr>
              <w:ind w:left="380"/>
              <w:spacing w:after="0"/>
              <w:rPr>
                <w:sz w:val="20"/>
                <w:szCs w:val="20"/>
                <w:color w:val="auto"/>
              </w:rPr>
            </w:pPr>
            <w:r>
              <w:rPr>
                <w:rFonts w:ascii="Arial" w:cs="Arial" w:eastAsia="Arial" w:hAnsi="Arial"/>
                <w:sz w:val="14"/>
                <w:szCs w:val="14"/>
                <w:color w:val="auto"/>
              </w:rPr>
              <w:t>Sycamore Creek PA 7, Riverside</w:t>
            </w:r>
          </w:p>
        </w:tc>
        <w:tc>
          <w:tcPr>
            <w:tcW w:w="960" w:type="dxa"/>
            <w:vAlign w:val="bottom"/>
          </w:tcPr>
          <w:p>
            <w:pPr>
              <w:jc w:val="center"/>
              <w:spacing w:after="0"/>
              <w:rPr>
                <w:sz w:val="20"/>
                <w:szCs w:val="20"/>
                <w:color w:val="auto"/>
              </w:rPr>
            </w:pPr>
            <w:r>
              <w:rPr>
                <w:rFonts w:ascii="Arial" w:cs="Arial" w:eastAsia="Arial" w:hAnsi="Arial"/>
                <w:sz w:val="14"/>
                <w:szCs w:val="14"/>
                <w:color w:val="auto"/>
                <w:w w:val="83"/>
              </w:rPr>
              <w:t>2015</w:t>
            </w:r>
          </w:p>
        </w:tc>
        <w:tc>
          <w:tcPr>
            <w:tcW w:w="100" w:type="dxa"/>
            <w:vAlign w:val="bottom"/>
          </w:tcPr>
          <w:p>
            <w:pPr>
              <w:spacing w:after="0"/>
              <w:rPr>
                <w:sz w:val="14"/>
                <w:szCs w:val="14"/>
                <w:color w:val="auto"/>
              </w:rPr>
            </w:pPr>
          </w:p>
        </w:tc>
        <w:tc>
          <w:tcPr>
            <w:tcW w:w="820" w:type="dxa"/>
            <w:vAlign w:val="bottom"/>
          </w:tcPr>
          <w:p>
            <w:pPr>
              <w:jc w:val="right"/>
              <w:spacing w:after="0"/>
              <w:rPr>
                <w:sz w:val="20"/>
                <w:szCs w:val="20"/>
                <w:color w:val="auto"/>
              </w:rPr>
            </w:pPr>
            <w:r>
              <w:rPr>
                <w:rFonts w:ascii="Arial" w:cs="Arial" w:eastAsia="Arial" w:hAnsi="Arial"/>
                <w:sz w:val="14"/>
                <w:szCs w:val="14"/>
                <w:color w:val="auto"/>
              </w:rPr>
              <w:t>87</w:t>
            </w:r>
          </w:p>
        </w:tc>
        <w:tc>
          <w:tcPr>
            <w:tcW w:w="200" w:type="dxa"/>
            <w:vAlign w:val="bottom"/>
          </w:tcPr>
          <w:p>
            <w:pPr>
              <w:spacing w:after="0"/>
              <w:rPr>
                <w:sz w:val="14"/>
                <w:szCs w:val="14"/>
                <w:color w:val="auto"/>
              </w:rPr>
            </w:pPr>
          </w:p>
        </w:tc>
        <w:tc>
          <w:tcPr>
            <w:tcW w:w="900" w:type="dxa"/>
            <w:vAlign w:val="bottom"/>
          </w:tcPr>
          <w:p>
            <w:pPr>
              <w:jc w:val="right"/>
              <w:spacing w:after="0"/>
              <w:rPr>
                <w:sz w:val="20"/>
                <w:szCs w:val="20"/>
                <w:color w:val="auto"/>
              </w:rPr>
            </w:pPr>
            <w:r>
              <w:rPr>
                <w:rFonts w:ascii="Arial" w:cs="Arial" w:eastAsia="Arial" w:hAnsi="Arial"/>
                <w:sz w:val="14"/>
                <w:szCs w:val="14"/>
                <w:color w:val="auto"/>
              </w:rPr>
              <w:t>-</w:t>
            </w:r>
          </w:p>
        </w:tc>
        <w:tc>
          <w:tcPr>
            <w:tcW w:w="220" w:type="dxa"/>
            <w:vAlign w:val="bottom"/>
          </w:tcPr>
          <w:p>
            <w:pPr>
              <w:spacing w:after="0"/>
              <w:rPr>
                <w:sz w:val="14"/>
                <w:szCs w:val="14"/>
                <w:color w:val="auto"/>
              </w:rPr>
            </w:pPr>
          </w:p>
        </w:tc>
        <w:tc>
          <w:tcPr>
            <w:tcW w:w="800" w:type="dxa"/>
            <w:vAlign w:val="bottom"/>
          </w:tcPr>
          <w:p>
            <w:pPr>
              <w:jc w:val="right"/>
              <w:spacing w:after="0"/>
              <w:rPr>
                <w:sz w:val="20"/>
                <w:szCs w:val="20"/>
                <w:color w:val="auto"/>
              </w:rPr>
            </w:pPr>
            <w:r>
              <w:rPr>
                <w:rFonts w:ascii="Arial" w:cs="Arial" w:eastAsia="Arial" w:hAnsi="Arial"/>
                <w:sz w:val="14"/>
                <w:szCs w:val="14"/>
                <w:color w:val="auto"/>
              </w:rPr>
              <w:t>87</w:t>
            </w:r>
          </w:p>
        </w:tc>
        <w:tc>
          <w:tcPr>
            <w:tcW w:w="220" w:type="dxa"/>
            <w:vAlign w:val="bottom"/>
          </w:tcPr>
          <w:p>
            <w:pPr>
              <w:spacing w:after="0"/>
              <w:rPr>
                <w:sz w:val="14"/>
                <w:szCs w:val="14"/>
                <w:color w:val="auto"/>
              </w:rPr>
            </w:pPr>
          </w:p>
        </w:tc>
        <w:tc>
          <w:tcPr>
            <w:tcW w:w="820" w:type="dxa"/>
            <w:vAlign w:val="bottom"/>
          </w:tcPr>
          <w:p>
            <w:pPr>
              <w:jc w:val="right"/>
              <w:spacing w:after="0"/>
              <w:rPr>
                <w:sz w:val="20"/>
                <w:szCs w:val="20"/>
                <w:color w:val="auto"/>
              </w:rPr>
            </w:pPr>
            <w:r>
              <w:rPr>
                <w:rFonts w:ascii="Arial" w:cs="Arial" w:eastAsia="Arial" w:hAnsi="Arial"/>
                <w:sz w:val="14"/>
                <w:szCs w:val="14"/>
                <w:color w:val="auto"/>
              </w:rPr>
              <w:t>-</w:t>
            </w:r>
          </w:p>
        </w:tc>
        <w:tc>
          <w:tcPr>
            <w:tcW w:w="220" w:type="dxa"/>
            <w:vAlign w:val="bottom"/>
          </w:tcPr>
          <w:p>
            <w:pPr>
              <w:spacing w:after="0"/>
              <w:rPr>
                <w:sz w:val="14"/>
                <w:szCs w:val="14"/>
                <w:color w:val="auto"/>
              </w:rPr>
            </w:pPr>
          </w:p>
        </w:tc>
        <w:tc>
          <w:tcPr>
            <w:tcW w:w="1040" w:type="dxa"/>
            <w:vAlign w:val="bottom"/>
          </w:tcPr>
          <w:p>
            <w:pPr>
              <w:jc w:val="right"/>
              <w:spacing w:after="0"/>
              <w:rPr>
                <w:sz w:val="20"/>
                <w:szCs w:val="20"/>
                <w:color w:val="auto"/>
              </w:rPr>
            </w:pPr>
            <w:r>
              <w:rPr>
                <w:rFonts w:ascii="Arial" w:cs="Arial" w:eastAsia="Arial" w:hAnsi="Arial"/>
                <w:sz w:val="14"/>
                <w:szCs w:val="14"/>
                <w:color w:val="auto"/>
              </w:rPr>
              <w:t>-</w:t>
            </w:r>
          </w:p>
        </w:tc>
        <w:tc>
          <w:tcPr>
            <w:tcW w:w="800" w:type="dxa"/>
            <w:vAlign w:val="bottom"/>
            <w:gridSpan w:val="2"/>
          </w:tcPr>
          <w:p>
            <w:pPr>
              <w:jc w:val="right"/>
              <w:spacing w:after="0"/>
              <w:rPr>
                <w:sz w:val="20"/>
                <w:szCs w:val="20"/>
                <w:color w:val="auto"/>
              </w:rPr>
            </w:pPr>
            <w:r>
              <w:rPr>
                <w:rFonts w:ascii="Arial" w:cs="Arial" w:eastAsia="Arial" w:hAnsi="Arial"/>
                <w:sz w:val="14"/>
                <w:szCs w:val="14"/>
                <w:color w:val="auto"/>
              </w:rPr>
              <w:t>$383</w:t>
            </w:r>
          </w:p>
        </w:tc>
        <w:tc>
          <w:tcPr>
            <w:tcW w:w="660" w:type="dxa"/>
            <w:vAlign w:val="bottom"/>
          </w:tcPr>
          <w:p>
            <w:pPr>
              <w:spacing w:after="0"/>
              <w:rPr>
                <w:sz w:val="20"/>
                <w:szCs w:val="20"/>
                <w:color w:val="auto"/>
              </w:rPr>
            </w:pPr>
            <w:r>
              <w:rPr>
                <w:rFonts w:ascii="Arial" w:cs="Arial" w:eastAsia="Arial" w:hAnsi="Arial"/>
                <w:sz w:val="14"/>
                <w:szCs w:val="14"/>
                <w:color w:val="auto"/>
              </w:rPr>
              <w:t>- $400</w:t>
            </w:r>
          </w:p>
        </w:tc>
      </w:tr>
      <w:tr>
        <w:trPr>
          <w:trHeight w:val="162"/>
        </w:trPr>
        <w:tc>
          <w:tcPr>
            <w:tcW w:w="3660" w:type="dxa"/>
            <w:vAlign w:val="bottom"/>
            <w:gridSpan w:val="2"/>
            <w:shd w:val="clear" w:color="auto" w:fill="CFF0FC"/>
          </w:tcPr>
          <w:p>
            <w:pPr>
              <w:ind w:left="380"/>
              <w:spacing w:after="0"/>
              <w:rPr>
                <w:sz w:val="20"/>
                <w:szCs w:val="20"/>
                <w:color w:val="auto"/>
              </w:rPr>
            </w:pPr>
            <w:r>
              <w:rPr>
                <w:rFonts w:ascii="Arial" w:cs="Arial" w:eastAsia="Arial" w:hAnsi="Arial"/>
                <w:sz w:val="14"/>
                <w:szCs w:val="14"/>
                <w:color w:val="auto"/>
              </w:rPr>
              <w:t>Terrassa Cluster, Corona</w:t>
            </w:r>
          </w:p>
        </w:tc>
        <w:tc>
          <w:tcPr>
            <w:tcW w:w="960" w:type="dxa"/>
            <w:vAlign w:val="bottom"/>
            <w:shd w:val="clear" w:color="auto" w:fill="CFF0FC"/>
          </w:tcPr>
          <w:p>
            <w:pPr>
              <w:jc w:val="center"/>
              <w:spacing w:after="0"/>
              <w:rPr>
                <w:sz w:val="20"/>
                <w:szCs w:val="20"/>
                <w:color w:val="auto"/>
              </w:rPr>
            </w:pPr>
            <w:r>
              <w:rPr>
                <w:rFonts w:ascii="Arial" w:cs="Arial" w:eastAsia="Arial" w:hAnsi="Arial"/>
                <w:sz w:val="14"/>
                <w:szCs w:val="14"/>
                <w:color w:val="auto"/>
                <w:w w:val="83"/>
              </w:rPr>
              <w:t>2015</w:t>
            </w:r>
          </w:p>
        </w:tc>
        <w:tc>
          <w:tcPr>
            <w:tcW w:w="100" w:type="dxa"/>
            <w:vAlign w:val="bottom"/>
            <w:shd w:val="clear" w:color="auto" w:fill="CFF0FC"/>
          </w:tcPr>
          <w:p>
            <w:pPr>
              <w:spacing w:after="0"/>
              <w:rPr>
                <w:sz w:val="14"/>
                <w:szCs w:val="14"/>
                <w:color w:val="auto"/>
              </w:rPr>
            </w:pPr>
          </w:p>
        </w:tc>
        <w:tc>
          <w:tcPr>
            <w:tcW w:w="820" w:type="dxa"/>
            <w:vAlign w:val="bottom"/>
            <w:shd w:val="clear" w:color="auto" w:fill="CFF0FC"/>
          </w:tcPr>
          <w:p>
            <w:pPr>
              <w:jc w:val="right"/>
              <w:spacing w:after="0"/>
              <w:rPr>
                <w:sz w:val="20"/>
                <w:szCs w:val="20"/>
                <w:color w:val="auto"/>
              </w:rPr>
            </w:pPr>
            <w:r>
              <w:rPr>
                <w:rFonts w:ascii="Arial" w:cs="Arial" w:eastAsia="Arial" w:hAnsi="Arial"/>
                <w:sz w:val="14"/>
                <w:szCs w:val="14"/>
                <w:color w:val="auto"/>
              </w:rPr>
              <w:t>94</w:t>
            </w:r>
          </w:p>
        </w:tc>
        <w:tc>
          <w:tcPr>
            <w:tcW w:w="200" w:type="dxa"/>
            <w:vAlign w:val="bottom"/>
            <w:shd w:val="clear" w:color="auto" w:fill="CFF0FC"/>
          </w:tcPr>
          <w:p>
            <w:pPr>
              <w:spacing w:after="0"/>
              <w:rPr>
                <w:sz w:val="14"/>
                <w:szCs w:val="14"/>
                <w:color w:val="auto"/>
              </w:rPr>
            </w:pPr>
          </w:p>
        </w:tc>
        <w:tc>
          <w:tcPr>
            <w:tcW w:w="900" w:type="dxa"/>
            <w:vAlign w:val="bottom"/>
            <w:shd w:val="clear" w:color="auto" w:fill="CFF0FC"/>
          </w:tcPr>
          <w:p>
            <w:pPr>
              <w:jc w:val="right"/>
              <w:spacing w:after="0"/>
              <w:rPr>
                <w:sz w:val="20"/>
                <w:szCs w:val="20"/>
                <w:color w:val="auto"/>
              </w:rPr>
            </w:pPr>
            <w:r>
              <w:rPr>
                <w:rFonts w:ascii="Arial" w:cs="Arial" w:eastAsia="Arial" w:hAnsi="Arial"/>
                <w:sz w:val="14"/>
                <w:szCs w:val="14"/>
                <w:color w:val="auto"/>
              </w:rPr>
              <w:t>-</w:t>
            </w:r>
          </w:p>
        </w:tc>
        <w:tc>
          <w:tcPr>
            <w:tcW w:w="220" w:type="dxa"/>
            <w:vAlign w:val="bottom"/>
            <w:shd w:val="clear" w:color="auto" w:fill="CFF0FC"/>
          </w:tcPr>
          <w:p>
            <w:pPr>
              <w:spacing w:after="0"/>
              <w:rPr>
                <w:sz w:val="14"/>
                <w:szCs w:val="14"/>
                <w:color w:val="auto"/>
              </w:rPr>
            </w:pPr>
          </w:p>
        </w:tc>
        <w:tc>
          <w:tcPr>
            <w:tcW w:w="800" w:type="dxa"/>
            <w:vAlign w:val="bottom"/>
            <w:shd w:val="clear" w:color="auto" w:fill="CFF0FC"/>
          </w:tcPr>
          <w:p>
            <w:pPr>
              <w:jc w:val="right"/>
              <w:spacing w:after="0"/>
              <w:rPr>
                <w:sz w:val="20"/>
                <w:szCs w:val="20"/>
                <w:color w:val="auto"/>
              </w:rPr>
            </w:pPr>
            <w:r>
              <w:rPr>
                <w:rFonts w:ascii="Arial" w:cs="Arial" w:eastAsia="Arial" w:hAnsi="Arial"/>
                <w:sz w:val="14"/>
                <w:szCs w:val="14"/>
                <w:color w:val="auto"/>
              </w:rPr>
              <w:t>94</w:t>
            </w:r>
          </w:p>
        </w:tc>
        <w:tc>
          <w:tcPr>
            <w:tcW w:w="220" w:type="dxa"/>
            <w:vAlign w:val="bottom"/>
            <w:shd w:val="clear" w:color="auto" w:fill="CFF0FC"/>
          </w:tcPr>
          <w:p>
            <w:pPr>
              <w:spacing w:after="0"/>
              <w:rPr>
                <w:sz w:val="14"/>
                <w:szCs w:val="14"/>
                <w:color w:val="auto"/>
              </w:rPr>
            </w:pPr>
          </w:p>
        </w:tc>
        <w:tc>
          <w:tcPr>
            <w:tcW w:w="820" w:type="dxa"/>
            <w:vAlign w:val="bottom"/>
            <w:shd w:val="clear" w:color="auto" w:fill="CFF0FC"/>
          </w:tcPr>
          <w:p>
            <w:pPr>
              <w:jc w:val="right"/>
              <w:spacing w:after="0"/>
              <w:rPr>
                <w:sz w:val="20"/>
                <w:szCs w:val="20"/>
                <w:color w:val="auto"/>
              </w:rPr>
            </w:pPr>
            <w:r>
              <w:rPr>
                <w:rFonts w:ascii="Arial" w:cs="Arial" w:eastAsia="Arial" w:hAnsi="Arial"/>
                <w:sz w:val="14"/>
                <w:szCs w:val="14"/>
                <w:color w:val="auto"/>
              </w:rPr>
              <w:t>-</w:t>
            </w:r>
          </w:p>
        </w:tc>
        <w:tc>
          <w:tcPr>
            <w:tcW w:w="220" w:type="dxa"/>
            <w:vAlign w:val="bottom"/>
            <w:shd w:val="clear" w:color="auto" w:fill="CFF0FC"/>
          </w:tcPr>
          <w:p>
            <w:pPr>
              <w:spacing w:after="0"/>
              <w:rPr>
                <w:sz w:val="14"/>
                <w:szCs w:val="14"/>
                <w:color w:val="auto"/>
              </w:rPr>
            </w:pPr>
          </w:p>
        </w:tc>
        <w:tc>
          <w:tcPr>
            <w:tcW w:w="1040" w:type="dxa"/>
            <w:vAlign w:val="bottom"/>
            <w:shd w:val="clear" w:color="auto" w:fill="CFF0FC"/>
          </w:tcPr>
          <w:p>
            <w:pPr>
              <w:jc w:val="right"/>
              <w:spacing w:after="0"/>
              <w:rPr>
                <w:sz w:val="20"/>
                <w:szCs w:val="20"/>
                <w:color w:val="auto"/>
              </w:rPr>
            </w:pPr>
            <w:r>
              <w:rPr>
                <w:rFonts w:ascii="Arial" w:cs="Arial" w:eastAsia="Arial" w:hAnsi="Arial"/>
                <w:sz w:val="14"/>
                <w:szCs w:val="14"/>
                <w:color w:val="auto"/>
              </w:rPr>
              <w:t>-</w:t>
            </w:r>
          </w:p>
        </w:tc>
        <w:tc>
          <w:tcPr>
            <w:tcW w:w="800" w:type="dxa"/>
            <w:vAlign w:val="bottom"/>
            <w:gridSpan w:val="2"/>
            <w:shd w:val="clear" w:color="auto" w:fill="CFF0FC"/>
          </w:tcPr>
          <w:p>
            <w:pPr>
              <w:jc w:val="right"/>
              <w:spacing w:after="0"/>
              <w:rPr>
                <w:sz w:val="20"/>
                <w:szCs w:val="20"/>
                <w:color w:val="auto"/>
              </w:rPr>
            </w:pPr>
            <w:r>
              <w:rPr>
                <w:rFonts w:ascii="Arial" w:cs="Arial" w:eastAsia="Arial" w:hAnsi="Arial"/>
                <w:sz w:val="14"/>
                <w:szCs w:val="14"/>
                <w:color w:val="auto"/>
              </w:rPr>
              <w:t>$435</w:t>
            </w:r>
          </w:p>
        </w:tc>
        <w:tc>
          <w:tcPr>
            <w:tcW w:w="660" w:type="dxa"/>
            <w:vAlign w:val="bottom"/>
            <w:shd w:val="clear" w:color="auto" w:fill="CFF0FC"/>
          </w:tcPr>
          <w:p>
            <w:pPr>
              <w:spacing w:after="0"/>
              <w:rPr>
                <w:sz w:val="20"/>
                <w:szCs w:val="20"/>
                <w:color w:val="auto"/>
              </w:rPr>
            </w:pPr>
            <w:r>
              <w:rPr>
                <w:rFonts w:ascii="Arial" w:cs="Arial" w:eastAsia="Arial" w:hAnsi="Arial"/>
                <w:sz w:val="14"/>
                <w:szCs w:val="14"/>
                <w:color w:val="auto"/>
              </w:rPr>
              <w:t>- $485</w:t>
            </w:r>
          </w:p>
        </w:tc>
      </w:tr>
      <w:tr>
        <w:trPr>
          <w:trHeight w:val="162"/>
        </w:trPr>
        <w:tc>
          <w:tcPr>
            <w:tcW w:w="3660" w:type="dxa"/>
            <w:vAlign w:val="bottom"/>
            <w:gridSpan w:val="2"/>
          </w:tcPr>
          <w:p>
            <w:pPr>
              <w:ind w:left="380"/>
              <w:spacing w:after="0"/>
              <w:rPr>
                <w:sz w:val="20"/>
                <w:szCs w:val="20"/>
                <w:color w:val="auto"/>
              </w:rPr>
            </w:pPr>
            <w:r>
              <w:rPr>
                <w:rFonts w:ascii="Arial" w:cs="Arial" w:eastAsia="Arial" w:hAnsi="Arial"/>
                <w:sz w:val="14"/>
                <w:szCs w:val="14"/>
                <w:color w:val="auto"/>
              </w:rPr>
              <w:t>Terrassa, Corona</w:t>
            </w:r>
          </w:p>
        </w:tc>
        <w:tc>
          <w:tcPr>
            <w:tcW w:w="960" w:type="dxa"/>
            <w:vAlign w:val="bottom"/>
          </w:tcPr>
          <w:p>
            <w:pPr>
              <w:jc w:val="center"/>
              <w:spacing w:after="0"/>
              <w:rPr>
                <w:sz w:val="20"/>
                <w:szCs w:val="20"/>
                <w:color w:val="auto"/>
              </w:rPr>
            </w:pPr>
            <w:r>
              <w:rPr>
                <w:rFonts w:ascii="Arial" w:cs="Arial" w:eastAsia="Arial" w:hAnsi="Arial"/>
                <w:sz w:val="14"/>
                <w:szCs w:val="14"/>
                <w:color w:val="auto"/>
                <w:w w:val="83"/>
              </w:rPr>
              <w:t>2015</w:t>
            </w:r>
          </w:p>
        </w:tc>
        <w:tc>
          <w:tcPr>
            <w:tcW w:w="100" w:type="dxa"/>
            <w:vAlign w:val="bottom"/>
          </w:tcPr>
          <w:p>
            <w:pPr>
              <w:spacing w:after="0"/>
              <w:rPr>
                <w:sz w:val="14"/>
                <w:szCs w:val="14"/>
                <w:color w:val="auto"/>
              </w:rPr>
            </w:pPr>
          </w:p>
        </w:tc>
        <w:tc>
          <w:tcPr>
            <w:tcW w:w="820" w:type="dxa"/>
            <w:vAlign w:val="bottom"/>
          </w:tcPr>
          <w:p>
            <w:pPr>
              <w:jc w:val="right"/>
              <w:spacing w:after="0"/>
              <w:rPr>
                <w:sz w:val="20"/>
                <w:szCs w:val="20"/>
                <w:color w:val="auto"/>
              </w:rPr>
            </w:pPr>
            <w:r>
              <w:rPr>
                <w:rFonts w:ascii="Arial" w:cs="Arial" w:eastAsia="Arial" w:hAnsi="Arial"/>
                <w:sz w:val="14"/>
                <w:szCs w:val="14"/>
                <w:color w:val="auto"/>
              </w:rPr>
              <w:t>52</w:t>
            </w:r>
          </w:p>
        </w:tc>
        <w:tc>
          <w:tcPr>
            <w:tcW w:w="200" w:type="dxa"/>
            <w:vAlign w:val="bottom"/>
          </w:tcPr>
          <w:p>
            <w:pPr>
              <w:spacing w:after="0"/>
              <w:rPr>
                <w:sz w:val="14"/>
                <w:szCs w:val="14"/>
                <w:color w:val="auto"/>
              </w:rPr>
            </w:pPr>
          </w:p>
        </w:tc>
        <w:tc>
          <w:tcPr>
            <w:tcW w:w="900" w:type="dxa"/>
            <w:vAlign w:val="bottom"/>
          </w:tcPr>
          <w:p>
            <w:pPr>
              <w:jc w:val="right"/>
              <w:spacing w:after="0"/>
              <w:rPr>
                <w:sz w:val="20"/>
                <w:szCs w:val="20"/>
                <w:color w:val="auto"/>
              </w:rPr>
            </w:pPr>
            <w:r>
              <w:rPr>
                <w:rFonts w:ascii="Arial" w:cs="Arial" w:eastAsia="Arial" w:hAnsi="Arial"/>
                <w:sz w:val="14"/>
                <w:szCs w:val="14"/>
                <w:color w:val="auto"/>
              </w:rPr>
              <w:t>-</w:t>
            </w:r>
          </w:p>
        </w:tc>
        <w:tc>
          <w:tcPr>
            <w:tcW w:w="220" w:type="dxa"/>
            <w:vAlign w:val="bottom"/>
          </w:tcPr>
          <w:p>
            <w:pPr>
              <w:spacing w:after="0"/>
              <w:rPr>
                <w:sz w:val="14"/>
                <w:szCs w:val="14"/>
                <w:color w:val="auto"/>
              </w:rPr>
            </w:pPr>
          </w:p>
        </w:tc>
        <w:tc>
          <w:tcPr>
            <w:tcW w:w="800" w:type="dxa"/>
            <w:vAlign w:val="bottom"/>
          </w:tcPr>
          <w:p>
            <w:pPr>
              <w:jc w:val="right"/>
              <w:spacing w:after="0"/>
              <w:rPr>
                <w:sz w:val="20"/>
                <w:szCs w:val="20"/>
                <w:color w:val="auto"/>
              </w:rPr>
            </w:pPr>
            <w:r>
              <w:rPr>
                <w:rFonts w:ascii="Arial" w:cs="Arial" w:eastAsia="Arial" w:hAnsi="Arial"/>
                <w:sz w:val="14"/>
                <w:szCs w:val="14"/>
                <w:color w:val="auto"/>
              </w:rPr>
              <w:t>52</w:t>
            </w:r>
          </w:p>
        </w:tc>
        <w:tc>
          <w:tcPr>
            <w:tcW w:w="220" w:type="dxa"/>
            <w:vAlign w:val="bottom"/>
          </w:tcPr>
          <w:p>
            <w:pPr>
              <w:spacing w:after="0"/>
              <w:rPr>
                <w:sz w:val="14"/>
                <w:szCs w:val="14"/>
                <w:color w:val="auto"/>
              </w:rPr>
            </w:pPr>
          </w:p>
        </w:tc>
        <w:tc>
          <w:tcPr>
            <w:tcW w:w="820" w:type="dxa"/>
            <w:vAlign w:val="bottom"/>
          </w:tcPr>
          <w:p>
            <w:pPr>
              <w:jc w:val="right"/>
              <w:spacing w:after="0"/>
              <w:rPr>
                <w:sz w:val="20"/>
                <w:szCs w:val="20"/>
                <w:color w:val="auto"/>
              </w:rPr>
            </w:pPr>
            <w:r>
              <w:rPr>
                <w:rFonts w:ascii="Arial" w:cs="Arial" w:eastAsia="Arial" w:hAnsi="Arial"/>
                <w:sz w:val="14"/>
                <w:szCs w:val="14"/>
                <w:color w:val="auto"/>
              </w:rPr>
              <w:t>-</w:t>
            </w:r>
          </w:p>
        </w:tc>
        <w:tc>
          <w:tcPr>
            <w:tcW w:w="220" w:type="dxa"/>
            <w:vAlign w:val="bottom"/>
          </w:tcPr>
          <w:p>
            <w:pPr>
              <w:spacing w:after="0"/>
              <w:rPr>
                <w:sz w:val="14"/>
                <w:szCs w:val="14"/>
                <w:color w:val="auto"/>
              </w:rPr>
            </w:pPr>
          </w:p>
        </w:tc>
        <w:tc>
          <w:tcPr>
            <w:tcW w:w="1040" w:type="dxa"/>
            <w:vAlign w:val="bottom"/>
          </w:tcPr>
          <w:p>
            <w:pPr>
              <w:jc w:val="right"/>
              <w:spacing w:after="0"/>
              <w:rPr>
                <w:sz w:val="20"/>
                <w:szCs w:val="20"/>
                <w:color w:val="auto"/>
              </w:rPr>
            </w:pPr>
            <w:r>
              <w:rPr>
                <w:rFonts w:ascii="Arial" w:cs="Arial" w:eastAsia="Arial" w:hAnsi="Arial"/>
                <w:sz w:val="14"/>
                <w:szCs w:val="14"/>
                <w:color w:val="auto"/>
              </w:rPr>
              <w:t>-</w:t>
            </w:r>
          </w:p>
        </w:tc>
        <w:tc>
          <w:tcPr>
            <w:tcW w:w="800" w:type="dxa"/>
            <w:vAlign w:val="bottom"/>
            <w:gridSpan w:val="2"/>
          </w:tcPr>
          <w:p>
            <w:pPr>
              <w:jc w:val="right"/>
              <w:spacing w:after="0"/>
              <w:rPr>
                <w:sz w:val="20"/>
                <w:szCs w:val="20"/>
                <w:color w:val="auto"/>
              </w:rPr>
            </w:pPr>
            <w:r>
              <w:rPr>
                <w:rFonts w:ascii="Arial" w:cs="Arial" w:eastAsia="Arial" w:hAnsi="Arial"/>
                <w:sz w:val="14"/>
                <w:szCs w:val="14"/>
                <w:color w:val="auto"/>
              </w:rPr>
              <w:t>$495</w:t>
            </w:r>
          </w:p>
        </w:tc>
        <w:tc>
          <w:tcPr>
            <w:tcW w:w="660" w:type="dxa"/>
            <w:vAlign w:val="bottom"/>
          </w:tcPr>
          <w:p>
            <w:pPr>
              <w:spacing w:after="0"/>
              <w:rPr>
                <w:sz w:val="20"/>
                <w:szCs w:val="20"/>
                <w:color w:val="auto"/>
              </w:rPr>
            </w:pPr>
            <w:r>
              <w:rPr>
                <w:rFonts w:ascii="Arial" w:cs="Arial" w:eastAsia="Arial" w:hAnsi="Arial"/>
                <w:sz w:val="14"/>
                <w:szCs w:val="14"/>
                <w:color w:val="auto"/>
              </w:rPr>
              <w:t>- $545</w:t>
            </w:r>
          </w:p>
        </w:tc>
      </w:tr>
      <w:tr>
        <w:trPr>
          <w:trHeight w:val="162"/>
        </w:trPr>
        <w:tc>
          <w:tcPr>
            <w:tcW w:w="3660" w:type="dxa"/>
            <w:vAlign w:val="bottom"/>
            <w:gridSpan w:val="2"/>
            <w:shd w:val="clear" w:color="auto" w:fill="CFF0FC"/>
          </w:tcPr>
          <w:p>
            <w:pPr>
              <w:spacing w:after="0"/>
              <w:rPr>
                <w:sz w:val="20"/>
                <w:szCs w:val="20"/>
                <w:color w:val="auto"/>
              </w:rPr>
            </w:pPr>
            <w:r>
              <w:rPr>
                <w:rFonts w:ascii="Arial" w:cs="Arial" w:eastAsia="Arial" w:hAnsi="Arial"/>
                <w:sz w:val="14"/>
                <w:szCs w:val="14"/>
                <w:color w:val="auto"/>
              </w:rPr>
              <w:t>Los Angeles County:</w:t>
            </w:r>
          </w:p>
        </w:tc>
        <w:tc>
          <w:tcPr>
            <w:tcW w:w="960" w:type="dxa"/>
            <w:vAlign w:val="bottom"/>
            <w:shd w:val="clear" w:color="auto" w:fill="CFF0FC"/>
          </w:tcPr>
          <w:p>
            <w:pPr>
              <w:spacing w:after="0"/>
              <w:rPr>
                <w:sz w:val="14"/>
                <w:szCs w:val="14"/>
                <w:color w:val="auto"/>
              </w:rPr>
            </w:pPr>
          </w:p>
        </w:tc>
        <w:tc>
          <w:tcPr>
            <w:tcW w:w="100" w:type="dxa"/>
            <w:vAlign w:val="bottom"/>
            <w:shd w:val="clear" w:color="auto" w:fill="CFF0FC"/>
          </w:tcPr>
          <w:p>
            <w:pPr>
              <w:spacing w:after="0"/>
              <w:rPr>
                <w:sz w:val="14"/>
                <w:szCs w:val="14"/>
                <w:color w:val="auto"/>
              </w:rPr>
            </w:pPr>
          </w:p>
        </w:tc>
        <w:tc>
          <w:tcPr>
            <w:tcW w:w="820" w:type="dxa"/>
            <w:vAlign w:val="bottom"/>
            <w:shd w:val="clear" w:color="auto" w:fill="CFF0FC"/>
          </w:tcPr>
          <w:p>
            <w:pPr>
              <w:spacing w:after="0"/>
              <w:rPr>
                <w:sz w:val="14"/>
                <w:szCs w:val="14"/>
                <w:color w:val="auto"/>
              </w:rPr>
            </w:pPr>
          </w:p>
        </w:tc>
        <w:tc>
          <w:tcPr>
            <w:tcW w:w="200" w:type="dxa"/>
            <w:vAlign w:val="bottom"/>
            <w:shd w:val="clear" w:color="auto" w:fill="CFF0FC"/>
          </w:tcPr>
          <w:p>
            <w:pPr>
              <w:spacing w:after="0"/>
              <w:rPr>
                <w:sz w:val="14"/>
                <w:szCs w:val="14"/>
                <w:color w:val="auto"/>
              </w:rPr>
            </w:pPr>
          </w:p>
        </w:tc>
        <w:tc>
          <w:tcPr>
            <w:tcW w:w="900" w:type="dxa"/>
            <w:vAlign w:val="bottom"/>
            <w:shd w:val="clear" w:color="auto" w:fill="CFF0FC"/>
          </w:tcPr>
          <w:p>
            <w:pPr>
              <w:spacing w:after="0"/>
              <w:rPr>
                <w:sz w:val="14"/>
                <w:szCs w:val="14"/>
                <w:color w:val="auto"/>
              </w:rPr>
            </w:pPr>
          </w:p>
        </w:tc>
        <w:tc>
          <w:tcPr>
            <w:tcW w:w="220" w:type="dxa"/>
            <w:vAlign w:val="bottom"/>
            <w:shd w:val="clear" w:color="auto" w:fill="CFF0FC"/>
          </w:tcPr>
          <w:p>
            <w:pPr>
              <w:spacing w:after="0"/>
              <w:rPr>
                <w:sz w:val="14"/>
                <w:szCs w:val="14"/>
                <w:color w:val="auto"/>
              </w:rPr>
            </w:pPr>
          </w:p>
        </w:tc>
        <w:tc>
          <w:tcPr>
            <w:tcW w:w="800" w:type="dxa"/>
            <w:vAlign w:val="bottom"/>
            <w:shd w:val="clear" w:color="auto" w:fill="CFF0FC"/>
          </w:tcPr>
          <w:p>
            <w:pPr>
              <w:spacing w:after="0"/>
              <w:rPr>
                <w:sz w:val="14"/>
                <w:szCs w:val="14"/>
                <w:color w:val="auto"/>
              </w:rPr>
            </w:pPr>
          </w:p>
        </w:tc>
        <w:tc>
          <w:tcPr>
            <w:tcW w:w="220" w:type="dxa"/>
            <w:vAlign w:val="bottom"/>
            <w:shd w:val="clear" w:color="auto" w:fill="CFF0FC"/>
          </w:tcPr>
          <w:p>
            <w:pPr>
              <w:spacing w:after="0"/>
              <w:rPr>
                <w:sz w:val="14"/>
                <w:szCs w:val="14"/>
                <w:color w:val="auto"/>
              </w:rPr>
            </w:pPr>
          </w:p>
        </w:tc>
        <w:tc>
          <w:tcPr>
            <w:tcW w:w="820" w:type="dxa"/>
            <w:vAlign w:val="bottom"/>
            <w:shd w:val="clear" w:color="auto" w:fill="CFF0FC"/>
          </w:tcPr>
          <w:p>
            <w:pPr>
              <w:spacing w:after="0"/>
              <w:rPr>
                <w:sz w:val="14"/>
                <w:szCs w:val="14"/>
                <w:color w:val="auto"/>
              </w:rPr>
            </w:pPr>
          </w:p>
        </w:tc>
        <w:tc>
          <w:tcPr>
            <w:tcW w:w="220" w:type="dxa"/>
            <w:vAlign w:val="bottom"/>
            <w:shd w:val="clear" w:color="auto" w:fill="CFF0FC"/>
          </w:tcPr>
          <w:p>
            <w:pPr>
              <w:spacing w:after="0"/>
              <w:rPr>
                <w:sz w:val="14"/>
                <w:szCs w:val="14"/>
                <w:color w:val="auto"/>
              </w:rPr>
            </w:pPr>
          </w:p>
        </w:tc>
        <w:tc>
          <w:tcPr>
            <w:tcW w:w="1040" w:type="dxa"/>
            <w:vAlign w:val="bottom"/>
            <w:shd w:val="clear" w:color="auto" w:fill="CFF0FC"/>
          </w:tcPr>
          <w:p>
            <w:pPr>
              <w:spacing w:after="0"/>
              <w:rPr>
                <w:sz w:val="14"/>
                <w:szCs w:val="14"/>
                <w:color w:val="auto"/>
              </w:rPr>
            </w:pPr>
          </w:p>
        </w:tc>
        <w:tc>
          <w:tcPr>
            <w:tcW w:w="220" w:type="dxa"/>
            <w:vAlign w:val="bottom"/>
            <w:shd w:val="clear" w:color="auto" w:fill="CFF0FC"/>
          </w:tcPr>
          <w:p>
            <w:pPr>
              <w:spacing w:after="0"/>
              <w:rPr>
                <w:sz w:val="14"/>
                <w:szCs w:val="14"/>
                <w:color w:val="auto"/>
              </w:rPr>
            </w:pPr>
          </w:p>
        </w:tc>
        <w:tc>
          <w:tcPr>
            <w:tcW w:w="580" w:type="dxa"/>
            <w:vAlign w:val="bottom"/>
            <w:shd w:val="clear" w:color="auto" w:fill="CFF0FC"/>
          </w:tcPr>
          <w:p>
            <w:pPr>
              <w:spacing w:after="0"/>
              <w:rPr>
                <w:sz w:val="14"/>
                <w:szCs w:val="14"/>
                <w:color w:val="auto"/>
              </w:rPr>
            </w:pPr>
          </w:p>
        </w:tc>
        <w:tc>
          <w:tcPr>
            <w:tcW w:w="660" w:type="dxa"/>
            <w:vAlign w:val="bottom"/>
            <w:shd w:val="clear" w:color="auto" w:fill="CFF0FC"/>
          </w:tcPr>
          <w:p>
            <w:pPr>
              <w:spacing w:after="0"/>
              <w:rPr>
                <w:sz w:val="14"/>
                <w:szCs w:val="14"/>
                <w:color w:val="auto"/>
              </w:rPr>
            </w:pPr>
          </w:p>
        </w:tc>
      </w:tr>
      <w:tr>
        <w:trPr>
          <w:trHeight w:val="162"/>
        </w:trPr>
        <w:tc>
          <w:tcPr>
            <w:tcW w:w="3660" w:type="dxa"/>
            <w:vAlign w:val="bottom"/>
            <w:gridSpan w:val="2"/>
          </w:tcPr>
          <w:p>
            <w:pPr>
              <w:ind w:left="380"/>
              <w:spacing w:after="0"/>
              <w:rPr>
                <w:sz w:val="20"/>
                <w:szCs w:val="20"/>
                <w:color w:val="auto"/>
              </w:rPr>
            </w:pPr>
            <w:r>
              <w:rPr>
                <w:rFonts w:ascii="Arial" w:cs="Arial" w:eastAsia="Arial" w:hAnsi="Arial"/>
                <w:sz w:val="14"/>
                <w:szCs w:val="14"/>
                <w:color w:val="auto"/>
              </w:rPr>
              <w:t>Avenswood, Azusa</w:t>
            </w:r>
          </w:p>
        </w:tc>
        <w:tc>
          <w:tcPr>
            <w:tcW w:w="960" w:type="dxa"/>
            <w:vAlign w:val="bottom"/>
          </w:tcPr>
          <w:p>
            <w:pPr>
              <w:jc w:val="center"/>
              <w:spacing w:after="0"/>
              <w:rPr>
                <w:sz w:val="20"/>
                <w:szCs w:val="20"/>
                <w:color w:val="auto"/>
              </w:rPr>
            </w:pPr>
            <w:r>
              <w:rPr>
                <w:rFonts w:ascii="Arial" w:cs="Arial" w:eastAsia="Arial" w:hAnsi="Arial"/>
                <w:sz w:val="14"/>
                <w:szCs w:val="14"/>
                <w:color w:val="auto"/>
                <w:w w:val="83"/>
              </w:rPr>
              <w:t>2013</w:t>
            </w:r>
          </w:p>
        </w:tc>
        <w:tc>
          <w:tcPr>
            <w:tcW w:w="100" w:type="dxa"/>
            <w:vAlign w:val="bottom"/>
          </w:tcPr>
          <w:p>
            <w:pPr>
              <w:spacing w:after="0"/>
              <w:rPr>
                <w:sz w:val="14"/>
                <w:szCs w:val="14"/>
                <w:color w:val="auto"/>
              </w:rPr>
            </w:pPr>
          </w:p>
        </w:tc>
        <w:tc>
          <w:tcPr>
            <w:tcW w:w="820" w:type="dxa"/>
            <w:vAlign w:val="bottom"/>
          </w:tcPr>
          <w:p>
            <w:pPr>
              <w:jc w:val="right"/>
              <w:spacing w:after="0"/>
              <w:rPr>
                <w:sz w:val="20"/>
                <w:szCs w:val="20"/>
                <w:color w:val="auto"/>
              </w:rPr>
            </w:pPr>
            <w:r>
              <w:rPr>
                <w:rFonts w:ascii="Arial" w:cs="Arial" w:eastAsia="Arial" w:hAnsi="Arial"/>
                <w:sz w:val="14"/>
                <w:szCs w:val="14"/>
                <w:color w:val="auto"/>
              </w:rPr>
              <w:t>66</w:t>
            </w:r>
          </w:p>
        </w:tc>
        <w:tc>
          <w:tcPr>
            <w:tcW w:w="200" w:type="dxa"/>
            <w:vAlign w:val="bottom"/>
          </w:tcPr>
          <w:p>
            <w:pPr>
              <w:spacing w:after="0"/>
              <w:rPr>
                <w:sz w:val="14"/>
                <w:szCs w:val="14"/>
                <w:color w:val="auto"/>
              </w:rPr>
            </w:pPr>
          </w:p>
        </w:tc>
        <w:tc>
          <w:tcPr>
            <w:tcW w:w="900" w:type="dxa"/>
            <w:vAlign w:val="bottom"/>
          </w:tcPr>
          <w:p>
            <w:pPr>
              <w:jc w:val="right"/>
              <w:spacing w:after="0"/>
              <w:rPr>
                <w:sz w:val="20"/>
                <w:szCs w:val="20"/>
                <w:color w:val="auto"/>
              </w:rPr>
            </w:pPr>
            <w:r>
              <w:rPr>
                <w:rFonts w:ascii="Arial" w:cs="Arial" w:eastAsia="Arial" w:hAnsi="Arial"/>
                <w:sz w:val="14"/>
                <w:szCs w:val="14"/>
                <w:color w:val="auto"/>
              </w:rPr>
              <w:t>65</w:t>
            </w:r>
          </w:p>
        </w:tc>
        <w:tc>
          <w:tcPr>
            <w:tcW w:w="220" w:type="dxa"/>
            <w:vAlign w:val="bottom"/>
          </w:tcPr>
          <w:p>
            <w:pPr>
              <w:spacing w:after="0"/>
              <w:rPr>
                <w:sz w:val="14"/>
                <w:szCs w:val="14"/>
                <w:color w:val="auto"/>
              </w:rPr>
            </w:pPr>
          </w:p>
        </w:tc>
        <w:tc>
          <w:tcPr>
            <w:tcW w:w="800" w:type="dxa"/>
            <w:vAlign w:val="bottom"/>
          </w:tcPr>
          <w:p>
            <w:pPr>
              <w:jc w:val="right"/>
              <w:spacing w:after="0"/>
              <w:rPr>
                <w:sz w:val="20"/>
                <w:szCs w:val="20"/>
                <w:color w:val="auto"/>
              </w:rPr>
            </w:pPr>
            <w:r>
              <w:rPr>
                <w:rFonts w:ascii="Arial" w:cs="Arial" w:eastAsia="Arial" w:hAnsi="Arial"/>
                <w:sz w:val="14"/>
                <w:szCs w:val="14"/>
                <w:color w:val="auto"/>
              </w:rPr>
              <w:t>1</w:t>
            </w:r>
          </w:p>
        </w:tc>
        <w:tc>
          <w:tcPr>
            <w:tcW w:w="220" w:type="dxa"/>
            <w:vAlign w:val="bottom"/>
          </w:tcPr>
          <w:p>
            <w:pPr>
              <w:spacing w:after="0"/>
              <w:rPr>
                <w:sz w:val="14"/>
                <w:szCs w:val="14"/>
                <w:color w:val="auto"/>
              </w:rPr>
            </w:pPr>
          </w:p>
        </w:tc>
        <w:tc>
          <w:tcPr>
            <w:tcW w:w="820" w:type="dxa"/>
            <w:vAlign w:val="bottom"/>
          </w:tcPr>
          <w:p>
            <w:pPr>
              <w:jc w:val="right"/>
              <w:spacing w:after="0"/>
              <w:rPr>
                <w:sz w:val="20"/>
                <w:szCs w:val="20"/>
                <w:color w:val="auto"/>
              </w:rPr>
            </w:pPr>
            <w:r>
              <w:rPr>
                <w:rFonts w:ascii="Arial" w:cs="Arial" w:eastAsia="Arial" w:hAnsi="Arial"/>
                <w:sz w:val="14"/>
                <w:szCs w:val="14"/>
                <w:color w:val="auto"/>
              </w:rPr>
              <w:t>1</w:t>
            </w:r>
          </w:p>
        </w:tc>
        <w:tc>
          <w:tcPr>
            <w:tcW w:w="220" w:type="dxa"/>
            <w:vAlign w:val="bottom"/>
          </w:tcPr>
          <w:p>
            <w:pPr>
              <w:spacing w:after="0"/>
              <w:rPr>
                <w:sz w:val="14"/>
                <w:szCs w:val="14"/>
                <w:color w:val="auto"/>
              </w:rPr>
            </w:pPr>
          </w:p>
        </w:tc>
        <w:tc>
          <w:tcPr>
            <w:tcW w:w="1040" w:type="dxa"/>
            <w:vAlign w:val="bottom"/>
          </w:tcPr>
          <w:p>
            <w:pPr>
              <w:jc w:val="right"/>
              <w:spacing w:after="0"/>
              <w:rPr>
                <w:sz w:val="20"/>
                <w:szCs w:val="20"/>
                <w:color w:val="auto"/>
              </w:rPr>
            </w:pPr>
            <w:r>
              <w:rPr>
                <w:rFonts w:ascii="Arial" w:cs="Arial" w:eastAsia="Arial" w:hAnsi="Arial"/>
                <w:sz w:val="14"/>
                <w:szCs w:val="14"/>
                <w:color w:val="auto"/>
              </w:rPr>
              <w:t>11</w:t>
            </w:r>
          </w:p>
        </w:tc>
        <w:tc>
          <w:tcPr>
            <w:tcW w:w="800" w:type="dxa"/>
            <w:vAlign w:val="bottom"/>
            <w:gridSpan w:val="2"/>
          </w:tcPr>
          <w:p>
            <w:pPr>
              <w:jc w:val="right"/>
              <w:spacing w:after="0"/>
              <w:rPr>
                <w:sz w:val="20"/>
                <w:szCs w:val="20"/>
                <w:color w:val="auto"/>
              </w:rPr>
            </w:pPr>
            <w:r>
              <w:rPr>
                <w:rFonts w:ascii="Arial" w:cs="Arial" w:eastAsia="Arial" w:hAnsi="Arial"/>
                <w:sz w:val="14"/>
                <w:szCs w:val="14"/>
                <w:color w:val="auto"/>
              </w:rPr>
              <w:t>$673</w:t>
            </w:r>
          </w:p>
        </w:tc>
        <w:tc>
          <w:tcPr>
            <w:tcW w:w="660" w:type="dxa"/>
            <w:vAlign w:val="bottom"/>
          </w:tcPr>
          <w:p>
            <w:pPr>
              <w:spacing w:after="0"/>
              <w:rPr>
                <w:sz w:val="20"/>
                <w:szCs w:val="20"/>
                <w:color w:val="auto"/>
              </w:rPr>
            </w:pPr>
            <w:r>
              <w:rPr>
                <w:rFonts w:ascii="Arial" w:cs="Arial" w:eastAsia="Arial" w:hAnsi="Arial"/>
                <w:sz w:val="14"/>
                <w:szCs w:val="14"/>
                <w:color w:val="auto"/>
              </w:rPr>
              <w:t>- $738</w:t>
            </w:r>
          </w:p>
        </w:tc>
      </w:tr>
      <w:tr>
        <w:trPr>
          <w:trHeight w:val="162"/>
        </w:trPr>
        <w:tc>
          <w:tcPr>
            <w:tcW w:w="3660" w:type="dxa"/>
            <w:vAlign w:val="bottom"/>
            <w:gridSpan w:val="2"/>
            <w:shd w:val="clear" w:color="auto" w:fill="CFF0FC"/>
          </w:tcPr>
          <w:p>
            <w:pPr>
              <w:ind w:left="380"/>
              <w:spacing w:after="0"/>
              <w:rPr>
                <w:sz w:val="20"/>
                <w:szCs w:val="20"/>
                <w:color w:val="auto"/>
              </w:rPr>
            </w:pPr>
            <w:r>
              <w:rPr>
                <w:rFonts w:ascii="Arial" w:cs="Arial" w:eastAsia="Arial" w:hAnsi="Arial"/>
                <w:sz w:val="14"/>
                <w:szCs w:val="14"/>
                <w:color w:val="auto"/>
              </w:rPr>
              <w:t>Woodson, Playa Vista</w:t>
            </w:r>
          </w:p>
        </w:tc>
        <w:tc>
          <w:tcPr>
            <w:tcW w:w="960" w:type="dxa"/>
            <w:vAlign w:val="bottom"/>
            <w:shd w:val="clear" w:color="auto" w:fill="CFF0FC"/>
          </w:tcPr>
          <w:p>
            <w:pPr>
              <w:jc w:val="center"/>
              <w:spacing w:after="0"/>
              <w:rPr>
                <w:sz w:val="20"/>
                <w:szCs w:val="20"/>
                <w:color w:val="auto"/>
              </w:rPr>
            </w:pPr>
            <w:r>
              <w:rPr>
                <w:rFonts w:ascii="Arial" w:cs="Arial" w:eastAsia="Arial" w:hAnsi="Arial"/>
                <w:sz w:val="14"/>
                <w:szCs w:val="14"/>
                <w:color w:val="auto"/>
                <w:w w:val="83"/>
              </w:rPr>
              <w:t>2014</w:t>
            </w:r>
          </w:p>
        </w:tc>
        <w:tc>
          <w:tcPr>
            <w:tcW w:w="100" w:type="dxa"/>
            <w:vAlign w:val="bottom"/>
            <w:shd w:val="clear" w:color="auto" w:fill="CFF0FC"/>
          </w:tcPr>
          <w:p>
            <w:pPr>
              <w:spacing w:after="0"/>
              <w:rPr>
                <w:sz w:val="14"/>
                <w:szCs w:val="14"/>
                <w:color w:val="auto"/>
              </w:rPr>
            </w:pPr>
          </w:p>
        </w:tc>
        <w:tc>
          <w:tcPr>
            <w:tcW w:w="820" w:type="dxa"/>
            <w:vAlign w:val="bottom"/>
            <w:shd w:val="clear" w:color="auto" w:fill="CFF0FC"/>
          </w:tcPr>
          <w:p>
            <w:pPr>
              <w:jc w:val="right"/>
              <w:spacing w:after="0"/>
              <w:rPr>
                <w:sz w:val="20"/>
                <w:szCs w:val="20"/>
                <w:color w:val="auto"/>
              </w:rPr>
            </w:pPr>
            <w:r>
              <w:rPr>
                <w:rFonts w:ascii="Arial" w:cs="Arial" w:eastAsia="Arial" w:hAnsi="Arial"/>
                <w:sz w:val="14"/>
                <w:szCs w:val="14"/>
                <w:color w:val="auto"/>
              </w:rPr>
              <w:t>66</w:t>
            </w:r>
          </w:p>
        </w:tc>
        <w:tc>
          <w:tcPr>
            <w:tcW w:w="200" w:type="dxa"/>
            <w:vAlign w:val="bottom"/>
            <w:shd w:val="clear" w:color="auto" w:fill="CFF0FC"/>
          </w:tcPr>
          <w:p>
            <w:pPr>
              <w:spacing w:after="0"/>
              <w:rPr>
                <w:sz w:val="14"/>
                <w:szCs w:val="14"/>
                <w:color w:val="auto"/>
              </w:rPr>
            </w:pPr>
          </w:p>
        </w:tc>
        <w:tc>
          <w:tcPr>
            <w:tcW w:w="900" w:type="dxa"/>
            <w:vAlign w:val="bottom"/>
            <w:shd w:val="clear" w:color="auto" w:fill="CFF0FC"/>
          </w:tcPr>
          <w:p>
            <w:pPr>
              <w:jc w:val="right"/>
              <w:spacing w:after="0"/>
              <w:rPr>
                <w:sz w:val="20"/>
                <w:szCs w:val="20"/>
                <w:color w:val="auto"/>
              </w:rPr>
            </w:pPr>
            <w:r>
              <w:rPr>
                <w:rFonts w:ascii="Arial" w:cs="Arial" w:eastAsia="Arial" w:hAnsi="Arial"/>
                <w:sz w:val="14"/>
                <w:szCs w:val="14"/>
                <w:color w:val="auto"/>
              </w:rPr>
              <w:t>46</w:t>
            </w:r>
          </w:p>
        </w:tc>
        <w:tc>
          <w:tcPr>
            <w:tcW w:w="220" w:type="dxa"/>
            <w:vAlign w:val="bottom"/>
            <w:shd w:val="clear" w:color="auto" w:fill="CFF0FC"/>
          </w:tcPr>
          <w:p>
            <w:pPr>
              <w:spacing w:after="0"/>
              <w:rPr>
                <w:sz w:val="14"/>
                <w:szCs w:val="14"/>
                <w:color w:val="auto"/>
              </w:rPr>
            </w:pPr>
          </w:p>
        </w:tc>
        <w:tc>
          <w:tcPr>
            <w:tcW w:w="800" w:type="dxa"/>
            <w:vAlign w:val="bottom"/>
            <w:shd w:val="clear" w:color="auto" w:fill="CFF0FC"/>
          </w:tcPr>
          <w:p>
            <w:pPr>
              <w:jc w:val="right"/>
              <w:spacing w:after="0"/>
              <w:rPr>
                <w:sz w:val="20"/>
                <w:szCs w:val="20"/>
                <w:color w:val="auto"/>
              </w:rPr>
            </w:pPr>
            <w:r>
              <w:rPr>
                <w:rFonts w:ascii="Arial" w:cs="Arial" w:eastAsia="Arial" w:hAnsi="Arial"/>
                <w:sz w:val="14"/>
                <w:szCs w:val="14"/>
                <w:color w:val="auto"/>
              </w:rPr>
              <w:t>20</w:t>
            </w:r>
          </w:p>
        </w:tc>
        <w:tc>
          <w:tcPr>
            <w:tcW w:w="220" w:type="dxa"/>
            <w:vAlign w:val="bottom"/>
            <w:shd w:val="clear" w:color="auto" w:fill="CFF0FC"/>
          </w:tcPr>
          <w:p>
            <w:pPr>
              <w:spacing w:after="0"/>
              <w:rPr>
                <w:sz w:val="14"/>
                <w:szCs w:val="14"/>
                <w:color w:val="auto"/>
              </w:rPr>
            </w:pPr>
          </w:p>
        </w:tc>
        <w:tc>
          <w:tcPr>
            <w:tcW w:w="820" w:type="dxa"/>
            <w:vAlign w:val="bottom"/>
            <w:shd w:val="clear" w:color="auto" w:fill="CFF0FC"/>
          </w:tcPr>
          <w:p>
            <w:pPr>
              <w:jc w:val="right"/>
              <w:spacing w:after="0"/>
              <w:rPr>
                <w:sz w:val="20"/>
                <w:szCs w:val="20"/>
                <w:color w:val="auto"/>
              </w:rPr>
            </w:pPr>
            <w:r>
              <w:rPr>
                <w:rFonts w:ascii="Arial" w:cs="Arial" w:eastAsia="Arial" w:hAnsi="Arial"/>
                <w:sz w:val="14"/>
                <w:szCs w:val="14"/>
                <w:color w:val="auto"/>
              </w:rPr>
              <w:t>20</w:t>
            </w:r>
          </w:p>
        </w:tc>
        <w:tc>
          <w:tcPr>
            <w:tcW w:w="220" w:type="dxa"/>
            <w:vAlign w:val="bottom"/>
            <w:shd w:val="clear" w:color="auto" w:fill="CFF0FC"/>
          </w:tcPr>
          <w:p>
            <w:pPr>
              <w:spacing w:after="0"/>
              <w:rPr>
                <w:sz w:val="14"/>
                <w:szCs w:val="14"/>
                <w:color w:val="auto"/>
              </w:rPr>
            </w:pPr>
          </w:p>
        </w:tc>
        <w:tc>
          <w:tcPr>
            <w:tcW w:w="1040" w:type="dxa"/>
            <w:vAlign w:val="bottom"/>
            <w:shd w:val="clear" w:color="auto" w:fill="CFF0FC"/>
          </w:tcPr>
          <w:p>
            <w:pPr>
              <w:jc w:val="right"/>
              <w:spacing w:after="0"/>
              <w:rPr>
                <w:sz w:val="20"/>
                <w:szCs w:val="20"/>
                <w:color w:val="auto"/>
              </w:rPr>
            </w:pPr>
            <w:r>
              <w:rPr>
                <w:rFonts w:ascii="Arial" w:cs="Arial" w:eastAsia="Arial" w:hAnsi="Arial"/>
                <w:sz w:val="14"/>
                <w:szCs w:val="14"/>
                <w:color w:val="auto"/>
              </w:rPr>
              <w:t>6</w:t>
            </w:r>
          </w:p>
        </w:tc>
        <w:tc>
          <w:tcPr>
            <w:tcW w:w="800" w:type="dxa"/>
            <w:vAlign w:val="bottom"/>
            <w:gridSpan w:val="2"/>
            <w:shd w:val="clear" w:color="auto" w:fill="CFF0FC"/>
          </w:tcPr>
          <w:p>
            <w:pPr>
              <w:jc w:val="right"/>
              <w:spacing w:after="0"/>
              <w:rPr>
                <w:sz w:val="20"/>
                <w:szCs w:val="20"/>
                <w:color w:val="auto"/>
              </w:rPr>
            </w:pPr>
            <w:r>
              <w:rPr>
                <w:rFonts w:ascii="Arial" w:cs="Arial" w:eastAsia="Arial" w:hAnsi="Arial"/>
                <w:sz w:val="14"/>
                <w:szCs w:val="14"/>
                <w:color w:val="auto"/>
              </w:rPr>
              <w:t>$1,260</w:t>
            </w:r>
          </w:p>
        </w:tc>
        <w:tc>
          <w:tcPr>
            <w:tcW w:w="660" w:type="dxa"/>
            <w:vAlign w:val="bottom"/>
            <w:shd w:val="clear" w:color="auto" w:fill="CFF0FC"/>
          </w:tcPr>
          <w:p>
            <w:pPr>
              <w:spacing w:after="0"/>
              <w:rPr>
                <w:sz w:val="20"/>
                <w:szCs w:val="20"/>
                <w:color w:val="auto"/>
              </w:rPr>
            </w:pPr>
            <w:r>
              <w:rPr>
                <w:rFonts w:ascii="Arial" w:cs="Arial" w:eastAsia="Arial" w:hAnsi="Arial"/>
                <w:sz w:val="14"/>
                <w:szCs w:val="14"/>
                <w:color w:val="auto"/>
              </w:rPr>
              <w:t>- $1,370</w:t>
            </w:r>
          </w:p>
        </w:tc>
      </w:tr>
      <w:tr>
        <w:trPr>
          <w:trHeight w:val="162"/>
        </w:trPr>
        <w:tc>
          <w:tcPr>
            <w:tcW w:w="3660" w:type="dxa"/>
            <w:vAlign w:val="bottom"/>
            <w:gridSpan w:val="2"/>
          </w:tcPr>
          <w:p>
            <w:pPr>
              <w:ind w:left="380"/>
              <w:spacing w:after="0"/>
              <w:rPr>
                <w:sz w:val="20"/>
                <w:szCs w:val="20"/>
                <w:color w:val="auto"/>
              </w:rPr>
            </w:pPr>
            <w:r>
              <w:rPr>
                <w:rFonts w:ascii="Arial" w:cs="Arial" w:eastAsia="Arial" w:hAnsi="Arial"/>
                <w:sz w:val="14"/>
                <w:szCs w:val="14"/>
                <w:color w:val="auto"/>
              </w:rPr>
              <w:t>Grayson, Santa Clarita</w:t>
            </w:r>
          </w:p>
        </w:tc>
        <w:tc>
          <w:tcPr>
            <w:tcW w:w="960" w:type="dxa"/>
            <w:vAlign w:val="bottom"/>
          </w:tcPr>
          <w:p>
            <w:pPr>
              <w:jc w:val="center"/>
              <w:spacing w:after="0"/>
              <w:rPr>
                <w:sz w:val="20"/>
                <w:szCs w:val="20"/>
                <w:color w:val="auto"/>
              </w:rPr>
            </w:pPr>
            <w:r>
              <w:rPr>
                <w:rFonts w:ascii="Arial" w:cs="Arial" w:eastAsia="Arial" w:hAnsi="Arial"/>
                <w:sz w:val="14"/>
                <w:szCs w:val="14"/>
                <w:color w:val="auto"/>
                <w:w w:val="83"/>
              </w:rPr>
              <w:t>2015</w:t>
            </w:r>
          </w:p>
        </w:tc>
        <w:tc>
          <w:tcPr>
            <w:tcW w:w="100" w:type="dxa"/>
            <w:vAlign w:val="bottom"/>
          </w:tcPr>
          <w:p>
            <w:pPr>
              <w:spacing w:after="0"/>
              <w:rPr>
                <w:sz w:val="14"/>
                <w:szCs w:val="14"/>
                <w:color w:val="auto"/>
              </w:rPr>
            </w:pPr>
          </w:p>
        </w:tc>
        <w:tc>
          <w:tcPr>
            <w:tcW w:w="820" w:type="dxa"/>
            <w:vAlign w:val="bottom"/>
          </w:tcPr>
          <w:p>
            <w:pPr>
              <w:jc w:val="right"/>
              <w:spacing w:after="0"/>
              <w:rPr>
                <w:sz w:val="20"/>
                <w:szCs w:val="20"/>
                <w:color w:val="auto"/>
              </w:rPr>
            </w:pPr>
            <w:r>
              <w:rPr>
                <w:rFonts w:ascii="Arial" w:cs="Arial" w:eastAsia="Arial" w:hAnsi="Arial"/>
                <w:sz w:val="14"/>
                <w:szCs w:val="14"/>
                <w:color w:val="auto"/>
              </w:rPr>
              <w:t>119</w:t>
            </w:r>
          </w:p>
        </w:tc>
        <w:tc>
          <w:tcPr>
            <w:tcW w:w="200" w:type="dxa"/>
            <w:vAlign w:val="bottom"/>
          </w:tcPr>
          <w:p>
            <w:pPr>
              <w:spacing w:after="0"/>
              <w:rPr>
                <w:sz w:val="14"/>
                <w:szCs w:val="14"/>
                <w:color w:val="auto"/>
              </w:rPr>
            </w:pPr>
          </w:p>
        </w:tc>
        <w:tc>
          <w:tcPr>
            <w:tcW w:w="900" w:type="dxa"/>
            <w:vAlign w:val="bottom"/>
          </w:tcPr>
          <w:p>
            <w:pPr>
              <w:jc w:val="right"/>
              <w:spacing w:after="0"/>
              <w:rPr>
                <w:sz w:val="20"/>
                <w:szCs w:val="20"/>
                <w:color w:val="auto"/>
              </w:rPr>
            </w:pPr>
            <w:r>
              <w:rPr>
                <w:rFonts w:ascii="Arial" w:cs="Arial" w:eastAsia="Arial" w:hAnsi="Arial"/>
                <w:sz w:val="14"/>
                <w:szCs w:val="14"/>
                <w:color w:val="auto"/>
              </w:rPr>
              <w:t>-</w:t>
            </w:r>
          </w:p>
        </w:tc>
        <w:tc>
          <w:tcPr>
            <w:tcW w:w="220" w:type="dxa"/>
            <w:vAlign w:val="bottom"/>
          </w:tcPr>
          <w:p>
            <w:pPr>
              <w:spacing w:after="0"/>
              <w:rPr>
                <w:sz w:val="14"/>
                <w:szCs w:val="14"/>
                <w:color w:val="auto"/>
              </w:rPr>
            </w:pPr>
          </w:p>
        </w:tc>
        <w:tc>
          <w:tcPr>
            <w:tcW w:w="800" w:type="dxa"/>
            <w:vAlign w:val="bottom"/>
          </w:tcPr>
          <w:p>
            <w:pPr>
              <w:jc w:val="right"/>
              <w:spacing w:after="0"/>
              <w:rPr>
                <w:sz w:val="20"/>
                <w:szCs w:val="20"/>
                <w:color w:val="auto"/>
              </w:rPr>
            </w:pPr>
            <w:r>
              <w:rPr>
                <w:rFonts w:ascii="Arial" w:cs="Arial" w:eastAsia="Arial" w:hAnsi="Arial"/>
                <w:sz w:val="14"/>
                <w:szCs w:val="14"/>
                <w:color w:val="auto"/>
              </w:rPr>
              <w:t>119</w:t>
            </w:r>
          </w:p>
        </w:tc>
        <w:tc>
          <w:tcPr>
            <w:tcW w:w="220" w:type="dxa"/>
            <w:vAlign w:val="bottom"/>
          </w:tcPr>
          <w:p>
            <w:pPr>
              <w:spacing w:after="0"/>
              <w:rPr>
                <w:sz w:val="14"/>
                <w:szCs w:val="14"/>
                <w:color w:val="auto"/>
              </w:rPr>
            </w:pPr>
          </w:p>
        </w:tc>
        <w:tc>
          <w:tcPr>
            <w:tcW w:w="820" w:type="dxa"/>
            <w:vAlign w:val="bottom"/>
          </w:tcPr>
          <w:p>
            <w:pPr>
              <w:jc w:val="right"/>
              <w:spacing w:after="0"/>
              <w:rPr>
                <w:sz w:val="20"/>
                <w:szCs w:val="20"/>
                <w:color w:val="auto"/>
              </w:rPr>
            </w:pPr>
            <w:r>
              <w:rPr>
                <w:rFonts w:ascii="Arial" w:cs="Arial" w:eastAsia="Arial" w:hAnsi="Arial"/>
                <w:sz w:val="14"/>
                <w:szCs w:val="14"/>
                <w:color w:val="auto"/>
              </w:rPr>
              <w:t>-</w:t>
            </w:r>
          </w:p>
        </w:tc>
        <w:tc>
          <w:tcPr>
            <w:tcW w:w="220" w:type="dxa"/>
            <w:vAlign w:val="bottom"/>
          </w:tcPr>
          <w:p>
            <w:pPr>
              <w:spacing w:after="0"/>
              <w:rPr>
                <w:sz w:val="14"/>
                <w:szCs w:val="14"/>
                <w:color w:val="auto"/>
              </w:rPr>
            </w:pPr>
          </w:p>
        </w:tc>
        <w:tc>
          <w:tcPr>
            <w:tcW w:w="1040" w:type="dxa"/>
            <w:vAlign w:val="bottom"/>
          </w:tcPr>
          <w:p>
            <w:pPr>
              <w:jc w:val="right"/>
              <w:spacing w:after="0"/>
              <w:rPr>
                <w:sz w:val="20"/>
                <w:szCs w:val="20"/>
                <w:color w:val="auto"/>
              </w:rPr>
            </w:pPr>
            <w:r>
              <w:rPr>
                <w:rFonts w:ascii="Arial" w:cs="Arial" w:eastAsia="Arial" w:hAnsi="Arial"/>
                <w:sz w:val="14"/>
                <w:szCs w:val="14"/>
                <w:color w:val="auto"/>
              </w:rPr>
              <w:t>-</w:t>
            </w:r>
          </w:p>
        </w:tc>
        <w:tc>
          <w:tcPr>
            <w:tcW w:w="800" w:type="dxa"/>
            <w:vAlign w:val="bottom"/>
            <w:gridSpan w:val="2"/>
          </w:tcPr>
          <w:p>
            <w:pPr>
              <w:jc w:val="right"/>
              <w:spacing w:after="0"/>
              <w:rPr>
                <w:sz w:val="20"/>
                <w:szCs w:val="20"/>
                <w:color w:val="auto"/>
              </w:rPr>
            </w:pPr>
            <w:r>
              <w:rPr>
                <w:rFonts w:ascii="Arial" w:cs="Arial" w:eastAsia="Arial" w:hAnsi="Arial"/>
                <w:sz w:val="14"/>
                <w:szCs w:val="14"/>
                <w:color w:val="auto"/>
              </w:rPr>
              <w:t>$510</w:t>
            </w:r>
          </w:p>
        </w:tc>
        <w:tc>
          <w:tcPr>
            <w:tcW w:w="660" w:type="dxa"/>
            <w:vAlign w:val="bottom"/>
          </w:tcPr>
          <w:p>
            <w:pPr>
              <w:spacing w:after="0"/>
              <w:rPr>
                <w:sz w:val="20"/>
                <w:szCs w:val="20"/>
                <w:color w:val="auto"/>
              </w:rPr>
            </w:pPr>
            <w:r>
              <w:rPr>
                <w:rFonts w:ascii="Arial" w:cs="Arial" w:eastAsia="Arial" w:hAnsi="Arial"/>
                <w:sz w:val="14"/>
                <w:szCs w:val="14"/>
                <w:color w:val="auto"/>
              </w:rPr>
              <w:t>- $540</w:t>
            </w:r>
          </w:p>
        </w:tc>
      </w:tr>
      <w:tr>
        <w:trPr>
          <w:trHeight w:val="162"/>
        </w:trPr>
        <w:tc>
          <w:tcPr>
            <w:tcW w:w="3660" w:type="dxa"/>
            <w:vAlign w:val="bottom"/>
            <w:gridSpan w:val="2"/>
            <w:shd w:val="clear" w:color="auto" w:fill="CFF0FC"/>
          </w:tcPr>
          <w:p>
            <w:pPr>
              <w:spacing w:after="0"/>
              <w:rPr>
                <w:sz w:val="20"/>
                <w:szCs w:val="20"/>
                <w:color w:val="auto"/>
              </w:rPr>
            </w:pPr>
            <w:r>
              <w:rPr>
                <w:rFonts w:ascii="Arial" w:cs="Arial" w:eastAsia="Arial" w:hAnsi="Arial"/>
                <w:sz w:val="14"/>
                <w:szCs w:val="14"/>
                <w:color w:val="auto"/>
              </w:rPr>
              <w:t>San Bernardino County:</w:t>
            </w:r>
          </w:p>
        </w:tc>
        <w:tc>
          <w:tcPr>
            <w:tcW w:w="960" w:type="dxa"/>
            <w:vAlign w:val="bottom"/>
            <w:shd w:val="clear" w:color="auto" w:fill="CFF0FC"/>
          </w:tcPr>
          <w:p>
            <w:pPr>
              <w:spacing w:after="0"/>
              <w:rPr>
                <w:sz w:val="14"/>
                <w:szCs w:val="14"/>
                <w:color w:val="auto"/>
              </w:rPr>
            </w:pPr>
          </w:p>
        </w:tc>
        <w:tc>
          <w:tcPr>
            <w:tcW w:w="100" w:type="dxa"/>
            <w:vAlign w:val="bottom"/>
            <w:shd w:val="clear" w:color="auto" w:fill="CFF0FC"/>
          </w:tcPr>
          <w:p>
            <w:pPr>
              <w:spacing w:after="0"/>
              <w:rPr>
                <w:sz w:val="14"/>
                <w:szCs w:val="14"/>
                <w:color w:val="auto"/>
              </w:rPr>
            </w:pPr>
          </w:p>
        </w:tc>
        <w:tc>
          <w:tcPr>
            <w:tcW w:w="820" w:type="dxa"/>
            <w:vAlign w:val="bottom"/>
            <w:shd w:val="clear" w:color="auto" w:fill="CFF0FC"/>
          </w:tcPr>
          <w:p>
            <w:pPr>
              <w:spacing w:after="0"/>
              <w:rPr>
                <w:sz w:val="14"/>
                <w:szCs w:val="14"/>
                <w:color w:val="auto"/>
              </w:rPr>
            </w:pPr>
          </w:p>
        </w:tc>
        <w:tc>
          <w:tcPr>
            <w:tcW w:w="200" w:type="dxa"/>
            <w:vAlign w:val="bottom"/>
            <w:shd w:val="clear" w:color="auto" w:fill="CFF0FC"/>
          </w:tcPr>
          <w:p>
            <w:pPr>
              <w:spacing w:after="0"/>
              <w:rPr>
                <w:sz w:val="14"/>
                <w:szCs w:val="14"/>
                <w:color w:val="auto"/>
              </w:rPr>
            </w:pPr>
          </w:p>
        </w:tc>
        <w:tc>
          <w:tcPr>
            <w:tcW w:w="900" w:type="dxa"/>
            <w:vAlign w:val="bottom"/>
            <w:shd w:val="clear" w:color="auto" w:fill="CFF0FC"/>
          </w:tcPr>
          <w:p>
            <w:pPr>
              <w:spacing w:after="0"/>
              <w:rPr>
                <w:sz w:val="14"/>
                <w:szCs w:val="14"/>
                <w:color w:val="auto"/>
              </w:rPr>
            </w:pPr>
          </w:p>
        </w:tc>
        <w:tc>
          <w:tcPr>
            <w:tcW w:w="220" w:type="dxa"/>
            <w:vAlign w:val="bottom"/>
            <w:shd w:val="clear" w:color="auto" w:fill="CFF0FC"/>
          </w:tcPr>
          <w:p>
            <w:pPr>
              <w:spacing w:after="0"/>
              <w:rPr>
                <w:sz w:val="14"/>
                <w:szCs w:val="14"/>
                <w:color w:val="auto"/>
              </w:rPr>
            </w:pPr>
          </w:p>
        </w:tc>
        <w:tc>
          <w:tcPr>
            <w:tcW w:w="800" w:type="dxa"/>
            <w:vAlign w:val="bottom"/>
            <w:shd w:val="clear" w:color="auto" w:fill="CFF0FC"/>
          </w:tcPr>
          <w:p>
            <w:pPr>
              <w:spacing w:after="0"/>
              <w:rPr>
                <w:sz w:val="14"/>
                <w:szCs w:val="14"/>
                <w:color w:val="auto"/>
              </w:rPr>
            </w:pPr>
          </w:p>
        </w:tc>
        <w:tc>
          <w:tcPr>
            <w:tcW w:w="220" w:type="dxa"/>
            <w:vAlign w:val="bottom"/>
            <w:shd w:val="clear" w:color="auto" w:fill="CFF0FC"/>
          </w:tcPr>
          <w:p>
            <w:pPr>
              <w:spacing w:after="0"/>
              <w:rPr>
                <w:sz w:val="14"/>
                <w:szCs w:val="14"/>
                <w:color w:val="auto"/>
              </w:rPr>
            </w:pPr>
          </w:p>
        </w:tc>
        <w:tc>
          <w:tcPr>
            <w:tcW w:w="820" w:type="dxa"/>
            <w:vAlign w:val="bottom"/>
            <w:shd w:val="clear" w:color="auto" w:fill="CFF0FC"/>
          </w:tcPr>
          <w:p>
            <w:pPr>
              <w:spacing w:after="0"/>
              <w:rPr>
                <w:sz w:val="14"/>
                <w:szCs w:val="14"/>
                <w:color w:val="auto"/>
              </w:rPr>
            </w:pPr>
          </w:p>
        </w:tc>
        <w:tc>
          <w:tcPr>
            <w:tcW w:w="220" w:type="dxa"/>
            <w:vAlign w:val="bottom"/>
            <w:shd w:val="clear" w:color="auto" w:fill="CFF0FC"/>
          </w:tcPr>
          <w:p>
            <w:pPr>
              <w:spacing w:after="0"/>
              <w:rPr>
                <w:sz w:val="14"/>
                <w:szCs w:val="14"/>
                <w:color w:val="auto"/>
              </w:rPr>
            </w:pPr>
          </w:p>
        </w:tc>
        <w:tc>
          <w:tcPr>
            <w:tcW w:w="1040" w:type="dxa"/>
            <w:vAlign w:val="bottom"/>
            <w:shd w:val="clear" w:color="auto" w:fill="CFF0FC"/>
          </w:tcPr>
          <w:p>
            <w:pPr>
              <w:spacing w:after="0"/>
              <w:rPr>
                <w:sz w:val="14"/>
                <w:szCs w:val="14"/>
                <w:color w:val="auto"/>
              </w:rPr>
            </w:pPr>
          </w:p>
        </w:tc>
        <w:tc>
          <w:tcPr>
            <w:tcW w:w="220" w:type="dxa"/>
            <w:vAlign w:val="bottom"/>
            <w:shd w:val="clear" w:color="auto" w:fill="CFF0FC"/>
          </w:tcPr>
          <w:p>
            <w:pPr>
              <w:spacing w:after="0"/>
              <w:rPr>
                <w:sz w:val="14"/>
                <w:szCs w:val="14"/>
                <w:color w:val="auto"/>
              </w:rPr>
            </w:pPr>
          </w:p>
        </w:tc>
        <w:tc>
          <w:tcPr>
            <w:tcW w:w="580" w:type="dxa"/>
            <w:vAlign w:val="bottom"/>
            <w:shd w:val="clear" w:color="auto" w:fill="CFF0FC"/>
          </w:tcPr>
          <w:p>
            <w:pPr>
              <w:spacing w:after="0"/>
              <w:rPr>
                <w:sz w:val="14"/>
                <w:szCs w:val="14"/>
                <w:color w:val="auto"/>
              </w:rPr>
            </w:pPr>
          </w:p>
        </w:tc>
        <w:tc>
          <w:tcPr>
            <w:tcW w:w="660" w:type="dxa"/>
            <w:vAlign w:val="bottom"/>
            <w:shd w:val="clear" w:color="auto" w:fill="CFF0FC"/>
          </w:tcPr>
          <w:p>
            <w:pPr>
              <w:spacing w:after="0"/>
              <w:rPr>
                <w:sz w:val="14"/>
                <w:szCs w:val="14"/>
                <w:color w:val="auto"/>
              </w:rPr>
            </w:pPr>
          </w:p>
        </w:tc>
      </w:tr>
      <w:tr>
        <w:trPr>
          <w:trHeight w:val="162"/>
        </w:trPr>
        <w:tc>
          <w:tcPr>
            <w:tcW w:w="3660" w:type="dxa"/>
            <w:vAlign w:val="bottom"/>
            <w:gridSpan w:val="2"/>
          </w:tcPr>
          <w:p>
            <w:pPr>
              <w:ind w:left="360"/>
              <w:spacing w:after="0"/>
              <w:rPr>
                <w:sz w:val="20"/>
                <w:szCs w:val="20"/>
                <w:color w:val="auto"/>
              </w:rPr>
            </w:pPr>
            <w:r>
              <w:rPr>
                <w:rFonts w:ascii="Arial" w:cs="Arial" w:eastAsia="Arial" w:hAnsi="Arial"/>
                <w:sz w:val="14"/>
                <w:szCs w:val="14"/>
                <w:color w:val="auto"/>
              </w:rPr>
              <w:t>Sedona at Parkside, Ontario</w:t>
            </w:r>
          </w:p>
        </w:tc>
        <w:tc>
          <w:tcPr>
            <w:tcW w:w="960" w:type="dxa"/>
            <w:vAlign w:val="bottom"/>
          </w:tcPr>
          <w:p>
            <w:pPr>
              <w:jc w:val="center"/>
              <w:spacing w:after="0"/>
              <w:rPr>
                <w:sz w:val="20"/>
                <w:szCs w:val="20"/>
                <w:color w:val="auto"/>
              </w:rPr>
            </w:pPr>
            <w:r>
              <w:rPr>
                <w:rFonts w:ascii="Arial" w:cs="Arial" w:eastAsia="Arial" w:hAnsi="Arial"/>
                <w:sz w:val="14"/>
                <w:szCs w:val="14"/>
                <w:color w:val="auto"/>
                <w:w w:val="83"/>
              </w:rPr>
              <w:t>2015</w:t>
            </w:r>
          </w:p>
        </w:tc>
        <w:tc>
          <w:tcPr>
            <w:tcW w:w="100" w:type="dxa"/>
            <w:vAlign w:val="bottom"/>
          </w:tcPr>
          <w:p>
            <w:pPr>
              <w:spacing w:after="0"/>
              <w:rPr>
                <w:sz w:val="14"/>
                <w:szCs w:val="14"/>
                <w:color w:val="auto"/>
              </w:rPr>
            </w:pPr>
          </w:p>
        </w:tc>
        <w:tc>
          <w:tcPr>
            <w:tcW w:w="820" w:type="dxa"/>
            <w:vAlign w:val="bottom"/>
          </w:tcPr>
          <w:p>
            <w:pPr>
              <w:jc w:val="right"/>
              <w:spacing w:after="0"/>
              <w:rPr>
                <w:sz w:val="20"/>
                <w:szCs w:val="20"/>
                <w:color w:val="auto"/>
              </w:rPr>
            </w:pPr>
            <w:r>
              <w:rPr>
                <w:rFonts w:ascii="Arial" w:cs="Arial" w:eastAsia="Arial" w:hAnsi="Arial"/>
                <w:sz w:val="14"/>
                <w:szCs w:val="14"/>
                <w:color w:val="auto"/>
              </w:rPr>
              <w:t>152</w:t>
            </w:r>
          </w:p>
        </w:tc>
        <w:tc>
          <w:tcPr>
            <w:tcW w:w="200" w:type="dxa"/>
            <w:vAlign w:val="bottom"/>
          </w:tcPr>
          <w:p>
            <w:pPr>
              <w:spacing w:after="0"/>
              <w:rPr>
                <w:sz w:val="14"/>
                <w:szCs w:val="14"/>
                <w:color w:val="auto"/>
              </w:rPr>
            </w:pPr>
          </w:p>
        </w:tc>
        <w:tc>
          <w:tcPr>
            <w:tcW w:w="900" w:type="dxa"/>
            <w:vAlign w:val="bottom"/>
          </w:tcPr>
          <w:p>
            <w:pPr>
              <w:jc w:val="right"/>
              <w:spacing w:after="0"/>
              <w:rPr>
                <w:sz w:val="20"/>
                <w:szCs w:val="20"/>
                <w:color w:val="auto"/>
              </w:rPr>
            </w:pPr>
            <w:r>
              <w:rPr>
                <w:rFonts w:ascii="Arial" w:cs="Arial" w:eastAsia="Arial" w:hAnsi="Arial"/>
                <w:sz w:val="14"/>
                <w:szCs w:val="14"/>
                <w:color w:val="auto"/>
              </w:rPr>
              <w:t>-</w:t>
            </w:r>
          </w:p>
        </w:tc>
        <w:tc>
          <w:tcPr>
            <w:tcW w:w="220" w:type="dxa"/>
            <w:vAlign w:val="bottom"/>
          </w:tcPr>
          <w:p>
            <w:pPr>
              <w:spacing w:after="0"/>
              <w:rPr>
                <w:sz w:val="14"/>
                <w:szCs w:val="14"/>
                <w:color w:val="auto"/>
              </w:rPr>
            </w:pPr>
          </w:p>
        </w:tc>
        <w:tc>
          <w:tcPr>
            <w:tcW w:w="800" w:type="dxa"/>
            <w:vAlign w:val="bottom"/>
          </w:tcPr>
          <w:p>
            <w:pPr>
              <w:jc w:val="right"/>
              <w:spacing w:after="0"/>
              <w:rPr>
                <w:sz w:val="20"/>
                <w:szCs w:val="20"/>
                <w:color w:val="auto"/>
              </w:rPr>
            </w:pPr>
            <w:r>
              <w:rPr>
                <w:rFonts w:ascii="Arial" w:cs="Arial" w:eastAsia="Arial" w:hAnsi="Arial"/>
                <w:sz w:val="14"/>
                <w:szCs w:val="14"/>
                <w:color w:val="auto"/>
              </w:rPr>
              <w:t>152</w:t>
            </w:r>
          </w:p>
        </w:tc>
        <w:tc>
          <w:tcPr>
            <w:tcW w:w="220" w:type="dxa"/>
            <w:vAlign w:val="bottom"/>
          </w:tcPr>
          <w:p>
            <w:pPr>
              <w:spacing w:after="0"/>
              <w:rPr>
                <w:sz w:val="14"/>
                <w:szCs w:val="14"/>
                <w:color w:val="auto"/>
              </w:rPr>
            </w:pPr>
          </w:p>
        </w:tc>
        <w:tc>
          <w:tcPr>
            <w:tcW w:w="820" w:type="dxa"/>
            <w:vAlign w:val="bottom"/>
          </w:tcPr>
          <w:p>
            <w:pPr>
              <w:jc w:val="right"/>
              <w:spacing w:after="0"/>
              <w:rPr>
                <w:sz w:val="20"/>
                <w:szCs w:val="20"/>
                <w:color w:val="auto"/>
              </w:rPr>
            </w:pPr>
            <w:r>
              <w:rPr>
                <w:rFonts w:ascii="Arial" w:cs="Arial" w:eastAsia="Arial" w:hAnsi="Arial"/>
                <w:sz w:val="14"/>
                <w:szCs w:val="14"/>
                <w:color w:val="auto"/>
              </w:rPr>
              <w:t>-</w:t>
            </w:r>
          </w:p>
        </w:tc>
        <w:tc>
          <w:tcPr>
            <w:tcW w:w="220" w:type="dxa"/>
            <w:vAlign w:val="bottom"/>
          </w:tcPr>
          <w:p>
            <w:pPr>
              <w:spacing w:after="0"/>
              <w:rPr>
                <w:sz w:val="14"/>
                <w:szCs w:val="14"/>
                <w:color w:val="auto"/>
              </w:rPr>
            </w:pPr>
          </w:p>
        </w:tc>
        <w:tc>
          <w:tcPr>
            <w:tcW w:w="1040" w:type="dxa"/>
            <w:vAlign w:val="bottom"/>
          </w:tcPr>
          <w:p>
            <w:pPr>
              <w:jc w:val="right"/>
              <w:spacing w:after="0"/>
              <w:rPr>
                <w:sz w:val="20"/>
                <w:szCs w:val="20"/>
                <w:color w:val="auto"/>
              </w:rPr>
            </w:pPr>
            <w:r>
              <w:rPr>
                <w:rFonts w:ascii="Arial" w:cs="Arial" w:eastAsia="Arial" w:hAnsi="Arial"/>
                <w:sz w:val="14"/>
                <w:szCs w:val="14"/>
                <w:color w:val="auto"/>
              </w:rPr>
              <w:t>-</w:t>
            </w:r>
          </w:p>
        </w:tc>
        <w:tc>
          <w:tcPr>
            <w:tcW w:w="800" w:type="dxa"/>
            <w:vAlign w:val="bottom"/>
            <w:gridSpan w:val="2"/>
          </w:tcPr>
          <w:p>
            <w:pPr>
              <w:jc w:val="right"/>
              <w:spacing w:after="0"/>
              <w:rPr>
                <w:sz w:val="20"/>
                <w:szCs w:val="20"/>
                <w:color w:val="auto"/>
              </w:rPr>
            </w:pPr>
            <w:r>
              <w:rPr>
                <w:rFonts w:ascii="Arial" w:cs="Arial" w:eastAsia="Arial" w:hAnsi="Arial"/>
                <w:sz w:val="14"/>
                <w:szCs w:val="14"/>
                <w:color w:val="auto"/>
              </w:rPr>
              <w:t>$379</w:t>
            </w:r>
          </w:p>
        </w:tc>
        <w:tc>
          <w:tcPr>
            <w:tcW w:w="660" w:type="dxa"/>
            <w:vAlign w:val="bottom"/>
          </w:tcPr>
          <w:p>
            <w:pPr>
              <w:spacing w:after="0"/>
              <w:rPr>
                <w:sz w:val="20"/>
                <w:szCs w:val="20"/>
                <w:color w:val="auto"/>
              </w:rPr>
            </w:pPr>
            <w:r>
              <w:rPr>
                <w:rFonts w:ascii="Arial" w:cs="Arial" w:eastAsia="Arial" w:hAnsi="Arial"/>
                <w:sz w:val="14"/>
                <w:szCs w:val="14"/>
                <w:color w:val="auto"/>
              </w:rPr>
              <w:t>- $425</w:t>
            </w:r>
          </w:p>
        </w:tc>
      </w:tr>
      <w:tr>
        <w:trPr>
          <w:trHeight w:val="162"/>
        </w:trPr>
        <w:tc>
          <w:tcPr>
            <w:tcW w:w="3660" w:type="dxa"/>
            <w:vAlign w:val="bottom"/>
            <w:gridSpan w:val="2"/>
            <w:shd w:val="clear" w:color="auto" w:fill="CFF0FC"/>
          </w:tcPr>
          <w:p>
            <w:pPr>
              <w:ind w:left="360"/>
              <w:spacing w:after="0"/>
              <w:rPr>
                <w:sz w:val="20"/>
                <w:szCs w:val="20"/>
                <w:color w:val="auto"/>
              </w:rPr>
            </w:pPr>
            <w:r>
              <w:rPr>
                <w:rFonts w:ascii="Arial" w:cs="Arial" w:eastAsia="Arial" w:hAnsi="Arial"/>
                <w:sz w:val="14"/>
                <w:szCs w:val="14"/>
                <w:color w:val="auto"/>
              </w:rPr>
              <w:t>Kensington at Park Place, Ontario</w:t>
            </w:r>
          </w:p>
        </w:tc>
        <w:tc>
          <w:tcPr>
            <w:tcW w:w="960" w:type="dxa"/>
            <w:vAlign w:val="bottom"/>
            <w:shd w:val="clear" w:color="auto" w:fill="CFF0FC"/>
          </w:tcPr>
          <w:p>
            <w:pPr>
              <w:jc w:val="center"/>
              <w:spacing w:after="0"/>
              <w:rPr>
                <w:sz w:val="20"/>
                <w:szCs w:val="20"/>
                <w:color w:val="auto"/>
              </w:rPr>
            </w:pPr>
            <w:r>
              <w:rPr>
                <w:rFonts w:ascii="Arial" w:cs="Arial" w:eastAsia="Arial" w:hAnsi="Arial"/>
                <w:sz w:val="14"/>
                <w:szCs w:val="14"/>
                <w:color w:val="auto"/>
                <w:w w:val="83"/>
              </w:rPr>
              <w:t>2015</w:t>
            </w:r>
          </w:p>
        </w:tc>
        <w:tc>
          <w:tcPr>
            <w:tcW w:w="100" w:type="dxa"/>
            <w:vAlign w:val="bottom"/>
            <w:shd w:val="clear" w:color="auto" w:fill="CFF0FC"/>
          </w:tcPr>
          <w:p>
            <w:pPr>
              <w:spacing w:after="0"/>
              <w:rPr>
                <w:sz w:val="14"/>
                <w:szCs w:val="14"/>
                <w:color w:val="auto"/>
              </w:rPr>
            </w:pPr>
          </w:p>
        </w:tc>
        <w:tc>
          <w:tcPr>
            <w:tcW w:w="820" w:type="dxa"/>
            <w:vAlign w:val="bottom"/>
            <w:shd w:val="clear" w:color="auto" w:fill="CFF0FC"/>
          </w:tcPr>
          <w:p>
            <w:pPr>
              <w:jc w:val="right"/>
              <w:spacing w:after="0"/>
              <w:rPr>
                <w:sz w:val="20"/>
                <w:szCs w:val="20"/>
                <w:color w:val="auto"/>
              </w:rPr>
            </w:pPr>
            <w:r>
              <w:rPr>
                <w:rFonts w:ascii="Arial" w:cs="Arial" w:eastAsia="Arial" w:hAnsi="Arial"/>
                <w:sz w:val="14"/>
                <w:szCs w:val="14"/>
                <w:color w:val="auto"/>
              </w:rPr>
              <w:t>67</w:t>
            </w:r>
          </w:p>
        </w:tc>
        <w:tc>
          <w:tcPr>
            <w:tcW w:w="200" w:type="dxa"/>
            <w:vAlign w:val="bottom"/>
            <w:shd w:val="clear" w:color="auto" w:fill="CFF0FC"/>
          </w:tcPr>
          <w:p>
            <w:pPr>
              <w:spacing w:after="0"/>
              <w:rPr>
                <w:sz w:val="14"/>
                <w:szCs w:val="14"/>
                <w:color w:val="auto"/>
              </w:rPr>
            </w:pPr>
          </w:p>
        </w:tc>
        <w:tc>
          <w:tcPr>
            <w:tcW w:w="900" w:type="dxa"/>
            <w:vAlign w:val="bottom"/>
            <w:shd w:val="clear" w:color="auto" w:fill="CFF0FC"/>
          </w:tcPr>
          <w:p>
            <w:pPr>
              <w:jc w:val="right"/>
              <w:spacing w:after="0"/>
              <w:rPr>
                <w:sz w:val="20"/>
                <w:szCs w:val="20"/>
                <w:color w:val="auto"/>
              </w:rPr>
            </w:pPr>
            <w:r>
              <w:rPr>
                <w:rFonts w:ascii="Arial" w:cs="Arial" w:eastAsia="Arial" w:hAnsi="Arial"/>
                <w:sz w:val="14"/>
                <w:szCs w:val="14"/>
                <w:color w:val="auto"/>
              </w:rPr>
              <w:t>-</w:t>
            </w:r>
          </w:p>
        </w:tc>
        <w:tc>
          <w:tcPr>
            <w:tcW w:w="220" w:type="dxa"/>
            <w:vAlign w:val="bottom"/>
            <w:shd w:val="clear" w:color="auto" w:fill="CFF0FC"/>
          </w:tcPr>
          <w:p>
            <w:pPr>
              <w:spacing w:after="0"/>
              <w:rPr>
                <w:sz w:val="14"/>
                <w:szCs w:val="14"/>
                <w:color w:val="auto"/>
              </w:rPr>
            </w:pPr>
          </w:p>
        </w:tc>
        <w:tc>
          <w:tcPr>
            <w:tcW w:w="800" w:type="dxa"/>
            <w:vAlign w:val="bottom"/>
            <w:shd w:val="clear" w:color="auto" w:fill="CFF0FC"/>
          </w:tcPr>
          <w:p>
            <w:pPr>
              <w:jc w:val="right"/>
              <w:spacing w:after="0"/>
              <w:rPr>
                <w:sz w:val="20"/>
                <w:szCs w:val="20"/>
                <w:color w:val="auto"/>
              </w:rPr>
            </w:pPr>
            <w:r>
              <w:rPr>
                <w:rFonts w:ascii="Arial" w:cs="Arial" w:eastAsia="Arial" w:hAnsi="Arial"/>
                <w:sz w:val="14"/>
                <w:szCs w:val="14"/>
                <w:color w:val="auto"/>
              </w:rPr>
              <w:t>67</w:t>
            </w:r>
          </w:p>
        </w:tc>
        <w:tc>
          <w:tcPr>
            <w:tcW w:w="220" w:type="dxa"/>
            <w:vAlign w:val="bottom"/>
            <w:shd w:val="clear" w:color="auto" w:fill="CFF0FC"/>
          </w:tcPr>
          <w:p>
            <w:pPr>
              <w:spacing w:after="0"/>
              <w:rPr>
                <w:sz w:val="14"/>
                <w:szCs w:val="14"/>
                <w:color w:val="auto"/>
              </w:rPr>
            </w:pPr>
          </w:p>
        </w:tc>
        <w:tc>
          <w:tcPr>
            <w:tcW w:w="820" w:type="dxa"/>
            <w:vAlign w:val="bottom"/>
            <w:shd w:val="clear" w:color="auto" w:fill="CFF0FC"/>
          </w:tcPr>
          <w:p>
            <w:pPr>
              <w:jc w:val="right"/>
              <w:spacing w:after="0"/>
              <w:rPr>
                <w:sz w:val="20"/>
                <w:szCs w:val="20"/>
                <w:color w:val="auto"/>
              </w:rPr>
            </w:pPr>
            <w:r>
              <w:rPr>
                <w:rFonts w:ascii="Arial" w:cs="Arial" w:eastAsia="Arial" w:hAnsi="Arial"/>
                <w:sz w:val="14"/>
                <w:szCs w:val="14"/>
                <w:color w:val="auto"/>
              </w:rPr>
              <w:t>4</w:t>
            </w:r>
          </w:p>
        </w:tc>
        <w:tc>
          <w:tcPr>
            <w:tcW w:w="220" w:type="dxa"/>
            <w:vAlign w:val="bottom"/>
            <w:shd w:val="clear" w:color="auto" w:fill="CFF0FC"/>
          </w:tcPr>
          <w:p>
            <w:pPr>
              <w:spacing w:after="0"/>
              <w:rPr>
                <w:sz w:val="14"/>
                <w:szCs w:val="14"/>
                <w:color w:val="auto"/>
              </w:rPr>
            </w:pPr>
          </w:p>
        </w:tc>
        <w:tc>
          <w:tcPr>
            <w:tcW w:w="1040" w:type="dxa"/>
            <w:vAlign w:val="bottom"/>
            <w:shd w:val="clear" w:color="auto" w:fill="CFF0FC"/>
          </w:tcPr>
          <w:p>
            <w:pPr>
              <w:jc w:val="right"/>
              <w:spacing w:after="0"/>
              <w:rPr>
                <w:sz w:val="20"/>
                <w:szCs w:val="20"/>
                <w:color w:val="auto"/>
              </w:rPr>
            </w:pPr>
            <w:r>
              <w:rPr>
                <w:rFonts w:ascii="Arial" w:cs="Arial" w:eastAsia="Arial" w:hAnsi="Arial"/>
                <w:sz w:val="14"/>
                <w:szCs w:val="14"/>
                <w:color w:val="auto"/>
              </w:rPr>
              <w:t>-</w:t>
            </w:r>
          </w:p>
        </w:tc>
        <w:tc>
          <w:tcPr>
            <w:tcW w:w="800" w:type="dxa"/>
            <w:vAlign w:val="bottom"/>
            <w:gridSpan w:val="2"/>
            <w:shd w:val="clear" w:color="auto" w:fill="CFF0FC"/>
          </w:tcPr>
          <w:p>
            <w:pPr>
              <w:jc w:val="right"/>
              <w:spacing w:after="0"/>
              <w:rPr>
                <w:sz w:val="20"/>
                <w:szCs w:val="20"/>
                <w:color w:val="auto"/>
              </w:rPr>
            </w:pPr>
            <w:r>
              <w:rPr>
                <w:rFonts w:ascii="Arial" w:cs="Arial" w:eastAsia="Arial" w:hAnsi="Arial"/>
                <w:sz w:val="14"/>
                <w:szCs w:val="14"/>
                <w:color w:val="auto"/>
              </w:rPr>
              <w:t>$526</w:t>
            </w:r>
          </w:p>
        </w:tc>
        <w:tc>
          <w:tcPr>
            <w:tcW w:w="660" w:type="dxa"/>
            <w:vAlign w:val="bottom"/>
            <w:shd w:val="clear" w:color="auto" w:fill="CFF0FC"/>
          </w:tcPr>
          <w:p>
            <w:pPr>
              <w:spacing w:after="0"/>
              <w:rPr>
                <w:sz w:val="20"/>
                <w:szCs w:val="20"/>
                <w:color w:val="auto"/>
              </w:rPr>
            </w:pPr>
            <w:r>
              <w:rPr>
                <w:rFonts w:ascii="Arial" w:cs="Arial" w:eastAsia="Arial" w:hAnsi="Arial"/>
                <w:sz w:val="14"/>
                <w:szCs w:val="14"/>
                <w:color w:val="auto"/>
              </w:rPr>
              <w:t>- $557</w:t>
            </w:r>
          </w:p>
        </w:tc>
      </w:tr>
      <w:tr>
        <w:trPr>
          <w:trHeight w:val="162"/>
        </w:trPr>
        <w:tc>
          <w:tcPr>
            <w:tcW w:w="3660" w:type="dxa"/>
            <w:vAlign w:val="bottom"/>
            <w:gridSpan w:val="2"/>
          </w:tcPr>
          <w:p>
            <w:pPr>
              <w:ind w:left="360"/>
              <w:spacing w:after="0"/>
              <w:rPr>
                <w:sz w:val="20"/>
                <w:szCs w:val="20"/>
                <w:color w:val="auto"/>
              </w:rPr>
            </w:pPr>
            <w:r>
              <w:rPr>
                <w:rFonts w:ascii="Arial" w:cs="Arial" w:eastAsia="Arial" w:hAnsi="Arial"/>
                <w:sz w:val="14"/>
                <w:szCs w:val="14"/>
                <w:color w:val="auto"/>
              </w:rPr>
              <w:t>St. James at Park Place, Ontario</w:t>
            </w:r>
          </w:p>
        </w:tc>
        <w:tc>
          <w:tcPr>
            <w:tcW w:w="960" w:type="dxa"/>
            <w:vAlign w:val="bottom"/>
          </w:tcPr>
          <w:p>
            <w:pPr>
              <w:jc w:val="center"/>
              <w:spacing w:after="0"/>
              <w:rPr>
                <w:sz w:val="20"/>
                <w:szCs w:val="20"/>
                <w:color w:val="auto"/>
              </w:rPr>
            </w:pPr>
            <w:r>
              <w:rPr>
                <w:rFonts w:ascii="Arial" w:cs="Arial" w:eastAsia="Arial" w:hAnsi="Arial"/>
                <w:sz w:val="14"/>
                <w:szCs w:val="14"/>
                <w:color w:val="auto"/>
                <w:w w:val="83"/>
              </w:rPr>
              <w:t>2015</w:t>
            </w:r>
          </w:p>
        </w:tc>
        <w:tc>
          <w:tcPr>
            <w:tcW w:w="100" w:type="dxa"/>
            <w:vAlign w:val="bottom"/>
          </w:tcPr>
          <w:p>
            <w:pPr>
              <w:spacing w:after="0"/>
              <w:rPr>
                <w:sz w:val="14"/>
                <w:szCs w:val="14"/>
                <w:color w:val="auto"/>
              </w:rPr>
            </w:pPr>
          </w:p>
        </w:tc>
        <w:tc>
          <w:tcPr>
            <w:tcW w:w="820" w:type="dxa"/>
            <w:vAlign w:val="bottom"/>
          </w:tcPr>
          <w:p>
            <w:pPr>
              <w:jc w:val="right"/>
              <w:spacing w:after="0"/>
              <w:rPr>
                <w:sz w:val="20"/>
                <w:szCs w:val="20"/>
                <w:color w:val="auto"/>
              </w:rPr>
            </w:pPr>
            <w:r>
              <w:rPr>
                <w:rFonts w:ascii="Arial" w:cs="Arial" w:eastAsia="Arial" w:hAnsi="Arial"/>
                <w:sz w:val="14"/>
                <w:szCs w:val="14"/>
                <w:color w:val="auto"/>
              </w:rPr>
              <w:t>57</w:t>
            </w:r>
          </w:p>
        </w:tc>
        <w:tc>
          <w:tcPr>
            <w:tcW w:w="200" w:type="dxa"/>
            <w:vAlign w:val="bottom"/>
          </w:tcPr>
          <w:p>
            <w:pPr>
              <w:spacing w:after="0"/>
              <w:rPr>
                <w:sz w:val="14"/>
                <w:szCs w:val="14"/>
                <w:color w:val="auto"/>
              </w:rPr>
            </w:pPr>
          </w:p>
        </w:tc>
        <w:tc>
          <w:tcPr>
            <w:tcW w:w="900" w:type="dxa"/>
            <w:vAlign w:val="bottom"/>
          </w:tcPr>
          <w:p>
            <w:pPr>
              <w:jc w:val="right"/>
              <w:spacing w:after="0"/>
              <w:rPr>
                <w:sz w:val="20"/>
                <w:szCs w:val="20"/>
                <w:color w:val="auto"/>
              </w:rPr>
            </w:pPr>
            <w:r>
              <w:rPr>
                <w:rFonts w:ascii="Arial" w:cs="Arial" w:eastAsia="Arial" w:hAnsi="Arial"/>
                <w:sz w:val="14"/>
                <w:szCs w:val="14"/>
                <w:color w:val="auto"/>
              </w:rPr>
              <w:t>-</w:t>
            </w:r>
          </w:p>
        </w:tc>
        <w:tc>
          <w:tcPr>
            <w:tcW w:w="220" w:type="dxa"/>
            <w:vAlign w:val="bottom"/>
          </w:tcPr>
          <w:p>
            <w:pPr>
              <w:spacing w:after="0"/>
              <w:rPr>
                <w:sz w:val="14"/>
                <w:szCs w:val="14"/>
                <w:color w:val="auto"/>
              </w:rPr>
            </w:pPr>
          </w:p>
        </w:tc>
        <w:tc>
          <w:tcPr>
            <w:tcW w:w="800" w:type="dxa"/>
            <w:vAlign w:val="bottom"/>
          </w:tcPr>
          <w:p>
            <w:pPr>
              <w:jc w:val="right"/>
              <w:spacing w:after="0"/>
              <w:rPr>
                <w:sz w:val="20"/>
                <w:szCs w:val="20"/>
                <w:color w:val="auto"/>
              </w:rPr>
            </w:pPr>
            <w:r>
              <w:rPr>
                <w:rFonts w:ascii="Arial" w:cs="Arial" w:eastAsia="Arial" w:hAnsi="Arial"/>
                <w:sz w:val="14"/>
                <w:szCs w:val="14"/>
                <w:color w:val="auto"/>
              </w:rPr>
              <w:t>57</w:t>
            </w:r>
          </w:p>
        </w:tc>
        <w:tc>
          <w:tcPr>
            <w:tcW w:w="220" w:type="dxa"/>
            <w:vAlign w:val="bottom"/>
          </w:tcPr>
          <w:p>
            <w:pPr>
              <w:spacing w:after="0"/>
              <w:rPr>
                <w:sz w:val="14"/>
                <w:szCs w:val="14"/>
                <w:color w:val="auto"/>
              </w:rPr>
            </w:pPr>
          </w:p>
        </w:tc>
        <w:tc>
          <w:tcPr>
            <w:tcW w:w="820" w:type="dxa"/>
            <w:vAlign w:val="bottom"/>
          </w:tcPr>
          <w:p>
            <w:pPr>
              <w:jc w:val="right"/>
              <w:spacing w:after="0"/>
              <w:rPr>
                <w:sz w:val="20"/>
                <w:szCs w:val="20"/>
                <w:color w:val="auto"/>
              </w:rPr>
            </w:pPr>
            <w:r>
              <w:rPr>
                <w:rFonts w:ascii="Arial" w:cs="Arial" w:eastAsia="Arial" w:hAnsi="Arial"/>
                <w:sz w:val="14"/>
                <w:szCs w:val="14"/>
                <w:color w:val="auto"/>
              </w:rPr>
              <w:t>3</w:t>
            </w:r>
          </w:p>
        </w:tc>
        <w:tc>
          <w:tcPr>
            <w:tcW w:w="220" w:type="dxa"/>
            <w:vAlign w:val="bottom"/>
          </w:tcPr>
          <w:p>
            <w:pPr>
              <w:spacing w:after="0"/>
              <w:rPr>
                <w:sz w:val="14"/>
                <w:szCs w:val="14"/>
                <w:color w:val="auto"/>
              </w:rPr>
            </w:pPr>
          </w:p>
        </w:tc>
        <w:tc>
          <w:tcPr>
            <w:tcW w:w="1040" w:type="dxa"/>
            <w:vAlign w:val="bottom"/>
          </w:tcPr>
          <w:p>
            <w:pPr>
              <w:jc w:val="right"/>
              <w:spacing w:after="0"/>
              <w:rPr>
                <w:sz w:val="20"/>
                <w:szCs w:val="20"/>
                <w:color w:val="auto"/>
              </w:rPr>
            </w:pPr>
            <w:r>
              <w:rPr>
                <w:rFonts w:ascii="Arial" w:cs="Arial" w:eastAsia="Arial" w:hAnsi="Arial"/>
                <w:sz w:val="14"/>
                <w:szCs w:val="14"/>
                <w:color w:val="auto"/>
              </w:rPr>
              <w:t>-</w:t>
            </w:r>
          </w:p>
        </w:tc>
        <w:tc>
          <w:tcPr>
            <w:tcW w:w="800" w:type="dxa"/>
            <w:vAlign w:val="bottom"/>
            <w:gridSpan w:val="2"/>
          </w:tcPr>
          <w:p>
            <w:pPr>
              <w:jc w:val="right"/>
              <w:spacing w:after="0"/>
              <w:rPr>
                <w:sz w:val="20"/>
                <w:szCs w:val="20"/>
                <w:color w:val="auto"/>
              </w:rPr>
            </w:pPr>
            <w:r>
              <w:rPr>
                <w:rFonts w:ascii="Arial" w:cs="Arial" w:eastAsia="Arial" w:hAnsi="Arial"/>
                <w:sz w:val="14"/>
                <w:szCs w:val="14"/>
                <w:color w:val="auto"/>
              </w:rPr>
              <w:t>$453</w:t>
            </w:r>
          </w:p>
        </w:tc>
        <w:tc>
          <w:tcPr>
            <w:tcW w:w="660" w:type="dxa"/>
            <w:vAlign w:val="bottom"/>
          </w:tcPr>
          <w:p>
            <w:pPr>
              <w:spacing w:after="0"/>
              <w:rPr>
                <w:sz w:val="20"/>
                <w:szCs w:val="20"/>
                <w:color w:val="auto"/>
              </w:rPr>
            </w:pPr>
            <w:r>
              <w:rPr>
                <w:rFonts w:ascii="Arial" w:cs="Arial" w:eastAsia="Arial" w:hAnsi="Arial"/>
                <w:sz w:val="14"/>
                <w:szCs w:val="14"/>
                <w:color w:val="auto"/>
              </w:rPr>
              <w:t>- $484</w:t>
            </w:r>
          </w:p>
        </w:tc>
      </w:tr>
      <w:tr>
        <w:trPr>
          <w:trHeight w:val="162"/>
        </w:trPr>
        <w:tc>
          <w:tcPr>
            <w:tcW w:w="3660" w:type="dxa"/>
            <w:vAlign w:val="bottom"/>
            <w:gridSpan w:val="2"/>
            <w:shd w:val="clear" w:color="auto" w:fill="CFF0FC"/>
          </w:tcPr>
          <w:p>
            <w:pPr>
              <w:spacing w:after="0"/>
              <w:rPr>
                <w:sz w:val="20"/>
                <w:szCs w:val="20"/>
                <w:color w:val="auto"/>
              </w:rPr>
            </w:pPr>
            <w:r>
              <w:rPr>
                <w:rFonts w:ascii="Arial" w:cs="Arial" w:eastAsia="Arial" w:hAnsi="Arial"/>
                <w:sz w:val="14"/>
                <w:szCs w:val="14"/>
                <w:color w:val="auto"/>
              </w:rPr>
              <w:t>Ventura County:</w:t>
            </w:r>
          </w:p>
        </w:tc>
        <w:tc>
          <w:tcPr>
            <w:tcW w:w="960" w:type="dxa"/>
            <w:vAlign w:val="bottom"/>
            <w:shd w:val="clear" w:color="auto" w:fill="CFF0FC"/>
          </w:tcPr>
          <w:p>
            <w:pPr>
              <w:spacing w:after="0"/>
              <w:rPr>
                <w:sz w:val="14"/>
                <w:szCs w:val="14"/>
                <w:color w:val="auto"/>
              </w:rPr>
            </w:pPr>
          </w:p>
        </w:tc>
        <w:tc>
          <w:tcPr>
            <w:tcW w:w="100" w:type="dxa"/>
            <w:vAlign w:val="bottom"/>
            <w:shd w:val="clear" w:color="auto" w:fill="CFF0FC"/>
          </w:tcPr>
          <w:p>
            <w:pPr>
              <w:spacing w:after="0"/>
              <w:rPr>
                <w:sz w:val="14"/>
                <w:szCs w:val="14"/>
                <w:color w:val="auto"/>
              </w:rPr>
            </w:pPr>
          </w:p>
        </w:tc>
        <w:tc>
          <w:tcPr>
            <w:tcW w:w="820" w:type="dxa"/>
            <w:vAlign w:val="bottom"/>
            <w:shd w:val="clear" w:color="auto" w:fill="CFF0FC"/>
          </w:tcPr>
          <w:p>
            <w:pPr>
              <w:spacing w:after="0"/>
              <w:rPr>
                <w:sz w:val="14"/>
                <w:szCs w:val="14"/>
                <w:color w:val="auto"/>
              </w:rPr>
            </w:pPr>
          </w:p>
        </w:tc>
        <w:tc>
          <w:tcPr>
            <w:tcW w:w="200" w:type="dxa"/>
            <w:vAlign w:val="bottom"/>
            <w:shd w:val="clear" w:color="auto" w:fill="CFF0FC"/>
          </w:tcPr>
          <w:p>
            <w:pPr>
              <w:spacing w:after="0"/>
              <w:rPr>
                <w:sz w:val="14"/>
                <w:szCs w:val="14"/>
                <w:color w:val="auto"/>
              </w:rPr>
            </w:pPr>
          </w:p>
        </w:tc>
        <w:tc>
          <w:tcPr>
            <w:tcW w:w="900" w:type="dxa"/>
            <w:vAlign w:val="bottom"/>
            <w:shd w:val="clear" w:color="auto" w:fill="CFF0FC"/>
          </w:tcPr>
          <w:p>
            <w:pPr>
              <w:spacing w:after="0"/>
              <w:rPr>
                <w:sz w:val="14"/>
                <w:szCs w:val="14"/>
                <w:color w:val="auto"/>
              </w:rPr>
            </w:pPr>
          </w:p>
        </w:tc>
        <w:tc>
          <w:tcPr>
            <w:tcW w:w="220" w:type="dxa"/>
            <w:vAlign w:val="bottom"/>
            <w:shd w:val="clear" w:color="auto" w:fill="CFF0FC"/>
          </w:tcPr>
          <w:p>
            <w:pPr>
              <w:spacing w:after="0"/>
              <w:rPr>
                <w:sz w:val="14"/>
                <w:szCs w:val="14"/>
                <w:color w:val="auto"/>
              </w:rPr>
            </w:pPr>
          </w:p>
        </w:tc>
        <w:tc>
          <w:tcPr>
            <w:tcW w:w="800" w:type="dxa"/>
            <w:vAlign w:val="bottom"/>
            <w:shd w:val="clear" w:color="auto" w:fill="CFF0FC"/>
          </w:tcPr>
          <w:p>
            <w:pPr>
              <w:spacing w:after="0"/>
              <w:rPr>
                <w:sz w:val="14"/>
                <w:szCs w:val="14"/>
                <w:color w:val="auto"/>
              </w:rPr>
            </w:pPr>
          </w:p>
        </w:tc>
        <w:tc>
          <w:tcPr>
            <w:tcW w:w="220" w:type="dxa"/>
            <w:vAlign w:val="bottom"/>
            <w:shd w:val="clear" w:color="auto" w:fill="CFF0FC"/>
          </w:tcPr>
          <w:p>
            <w:pPr>
              <w:spacing w:after="0"/>
              <w:rPr>
                <w:sz w:val="14"/>
                <w:szCs w:val="14"/>
                <w:color w:val="auto"/>
              </w:rPr>
            </w:pPr>
          </w:p>
        </w:tc>
        <w:tc>
          <w:tcPr>
            <w:tcW w:w="820" w:type="dxa"/>
            <w:vAlign w:val="bottom"/>
            <w:shd w:val="clear" w:color="auto" w:fill="CFF0FC"/>
          </w:tcPr>
          <w:p>
            <w:pPr>
              <w:spacing w:after="0"/>
              <w:rPr>
                <w:sz w:val="14"/>
                <w:szCs w:val="14"/>
                <w:color w:val="auto"/>
              </w:rPr>
            </w:pPr>
          </w:p>
        </w:tc>
        <w:tc>
          <w:tcPr>
            <w:tcW w:w="220" w:type="dxa"/>
            <w:vAlign w:val="bottom"/>
            <w:shd w:val="clear" w:color="auto" w:fill="CFF0FC"/>
          </w:tcPr>
          <w:p>
            <w:pPr>
              <w:spacing w:after="0"/>
              <w:rPr>
                <w:sz w:val="14"/>
                <w:szCs w:val="14"/>
                <w:color w:val="auto"/>
              </w:rPr>
            </w:pPr>
          </w:p>
        </w:tc>
        <w:tc>
          <w:tcPr>
            <w:tcW w:w="1040" w:type="dxa"/>
            <w:vAlign w:val="bottom"/>
            <w:shd w:val="clear" w:color="auto" w:fill="CFF0FC"/>
          </w:tcPr>
          <w:p>
            <w:pPr>
              <w:spacing w:after="0"/>
              <w:rPr>
                <w:sz w:val="14"/>
                <w:szCs w:val="14"/>
                <w:color w:val="auto"/>
              </w:rPr>
            </w:pPr>
          </w:p>
        </w:tc>
        <w:tc>
          <w:tcPr>
            <w:tcW w:w="220" w:type="dxa"/>
            <w:vAlign w:val="bottom"/>
            <w:shd w:val="clear" w:color="auto" w:fill="CFF0FC"/>
          </w:tcPr>
          <w:p>
            <w:pPr>
              <w:spacing w:after="0"/>
              <w:rPr>
                <w:sz w:val="14"/>
                <w:szCs w:val="14"/>
                <w:color w:val="auto"/>
              </w:rPr>
            </w:pPr>
          </w:p>
        </w:tc>
        <w:tc>
          <w:tcPr>
            <w:tcW w:w="580" w:type="dxa"/>
            <w:vAlign w:val="bottom"/>
            <w:shd w:val="clear" w:color="auto" w:fill="CFF0FC"/>
          </w:tcPr>
          <w:p>
            <w:pPr>
              <w:spacing w:after="0"/>
              <w:rPr>
                <w:sz w:val="14"/>
                <w:szCs w:val="14"/>
                <w:color w:val="auto"/>
              </w:rPr>
            </w:pPr>
          </w:p>
        </w:tc>
        <w:tc>
          <w:tcPr>
            <w:tcW w:w="660" w:type="dxa"/>
            <w:vAlign w:val="bottom"/>
            <w:shd w:val="clear" w:color="auto" w:fill="CFF0FC"/>
          </w:tcPr>
          <w:p>
            <w:pPr>
              <w:spacing w:after="0"/>
              <w:rPr>
                <w:sz w:val="14"/>
                <w:szCs w:val="14"/>
                <w:color w:val="auto"/>
              </w:rPr>
            </w:pPr>
          </w:p>
        </w:tc>
      </w:tr>
      <w:tr>
        <w:trPr>
          <w:trHeight w:val="162"/>
        </w:trPr>
        <w:tc>
          <w:tcPr>
            <w:tcW w:w="3660" w:type="dxa"/>
            <w:vAlign w:val="bottom"/>
            <w:tcBorders>
              <w:bottom w:val="single" w:sz="8" w:color="CFF0FC"/>
            </w:tcBorders>
            <w:gridSpan w:val="2"/>
          </w:tcPr>
          <w:p>
            <w:pPr>
              <w:ind w:left="380"/>
              <w:spacing w:after="0"/>
              <w:rPr>
                <w:sz w:val="20"/>
                <w:szCs w:val="20"/>
                <w:color w:val="auto"/>
              </w:rPr>
            </w:pPr>
            <w:r>
              <w:rPr>
                <w:rFonts w:ascii="Arial" w:cs="Arial" w:eastAsia="Arial" w:hAnsi="Arial"/>
                <w:sz w:val="14"/>
                <w:szCs w:val="14"/>
                <w:color w:val="auto"/>
              </w:rPr>
              <w:t>The Westerlies, Oxnard</w:t>
            </w:r>
          </w:p>
        </w:tc>
        <w:tc>
          <w:tcPr>
            <w:tcW w:w="960" w:type="dxa"/>
            <w:vAlign w:val="bottom"/>
            <w:tcBorders>
              <w:bottom w:val="single" w:sz="8" w:color="CFF0FC"/>
            </w:tcBorders>
          </w:tcPr>
          <w:p>
            <w:pPr>
              <w:jc w:val="center"/>
              <w:spacing w:after="0"/>
              <w:rPr>
                <w:sz w:val="20"/>
                <w:szCs w:val="20"/>
                <w:color w:val="auto"/>
              </w:rPr>
            </w:pPr>
            <w:r>
              <w:rPr>
                <w:rFonts w:ascii="Arial" w:cs="Arial" w:eastAsia="Arial" w:hAnsi="Arial"/>
                <w:sz w:val="14"/>
                <w:szCs w:val="14"/>
                <w:color w:val="auto"/>
                <w:w w:val="83"/>
              </w:rPr>
              <w:t>2015</w:t>
            </w:r>
          </w:p>
        </w:tc>
        <w:tc>
          <w:tcPr>
            <w:tcW w:w="100" w:type="dxa"/>
            <w:vAlign w:val="bottom"/>
            <w:tcBorders>
              <w:bottom w:val="single" w:sz="8" w:color="CFF0FC"/>
            </w:tcBorders>
          </w:tcPr>
          <w:p>
            <w:pPr>
              <w:spacing w:after="0"/>
              <w:rPr>
                <w:sz w:val="14"/>
                <w:szCs w:val="14"/>
                <w:color w:val="auto"/>
              </w:rPr>
            </w:pPr>
          </w:p>
        </w:tc>
        <w:tc>
          <w:tcPr>
            <w:tcW w:w="8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116</w:t>
            </w:r>
          </w:p>
        </w:tc>
        <w:tc>
          <w:tcPr>
            <w:tcW w:w="200" w:type="dxa"/>
            <w:vAlign w:val="bottom"/>
            <w:tcBorders>
              <w:bottom w:val="single" w:sz="8" w:color="CFF0FC"/>
            </w:tcBorders>
          </w:tcPr>
          <w:p>
            <w:pPr>
              <w:spacing w:after="0"/>
              <w:rPr>
                <w:sz w:val="14"/>
                <w:szCs w:val="14"/>
                <w:color w:val="auto"/>
              </w:rPr>
            </w:pP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220" w:type="dxa"/>
            <w:vAlign w:val="bottom"/>
            <w:tcBorders>
              <w:bottom w:val="single" w:sz="8" w:color="CFF0FC"/>
            </w:tcBorders>
          </w:tcPr>
          <w:p>
            <w:pPr>
              <w:spacing w:after="0"/>
              <w:rPr>
                <w:sz w:val="14"/>
                <w:szCs w:val="14"/>
                <w:color w:val="auto"/>
              </w:rPr>
            </w:pP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116</w:t>
            </w:r>
          </w:p>
        </w:tc>
        <w:tc>
          <w:tcPr>
            <w:tcW w:w="220" w:type="dxa"/>
            <w:vAlign w:val="bottom"/>
            <w:tcBorders>
              <w:bottom w:val="single" w:sz="8" w:color="CFF0FC"/>
            </w:tcBorders>
          </w:tcPr>
          <w:p>
            <w:pPr>
              <w:spacing w:after="0"/>
              <w:rPr>
                <w:sz w:val="14"/>
                <w:szCs w:val="14"/>
                <w:color w:val="auto"/>
              </w:rPr>
            </w:pPr>
          </w:p>
        </w:tc>
        <w:tc>
          <w:tcPr>
            <w:tcW w:w="8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220" w:type="dxa"/>
            <w:vAlign w:val="bottom"/>
            <w:tcBorders>
              <w:bottom w:val="single" w:sz="8" w:color="CFF0FC"/>
            </w:tcBorders>
          </w:tcPr>
          <w:p>
            <w:pPr>
              <w:spacing w:after="0"/>
              <w:rPr>
                <w:sz w:val="14"/>
                <w:szCs w:val="14"/>
                <w:color w:val="auto"/>
              </w:rPr>
            </w:pPr>
          </w:p>
        </w:tc>
        <w:tc>
          <w:tcPr>
            <w:tcW w:w="10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800" w:type="dxa"/>
            <w:vAlign w:val="bottom"/>
            <w:tcBorders>
              <w:bottom w:val="single" w:sz="8" w:color="CFF0FC"/>
            </w:tcBorders>
            <w:gridSpan w:val="2"/>
          </w:tcPr>
          <w:p>
            <w:pPr>
              <w:jc w:val="right"/>
              <w:spacing w:after="0"/>
              <w:rPr>
                <w:sz w:val="20"/>
                <w:szCs w:val="20"/>
                <w:color w:val="auto"/>
              </w:rPr>
            </w:pPr>
            <w:r>
              <w:rPr>
                <w:rFonts w:ascii="Arial" w:cs="Arial" w:eastAsia="Arial" w:hAnsi="Arial"/>
                <w:sz w:val="14"/>
                <w:szCs w:val="14"/>
                <w:color w:val="auto"/>
              </w:rPr>
              <w:t>$326</w:t>
            </w:r>
          </w:p>
        </w:tc>
        <w:tc>
          <w:tcPr>
            <w:tcW w:w="660" w:type="dxa"/>
            <w:vAlign w:val="bottom"/>
            <w:tcBorders>
              <w:bottom w:val="single" w:sz="8" w:color="CFF0FC"/>
            </w:tcBorders>
          </w:tcPr>
          <w:p>
            <w:pPr>
              <w:spacing w:after="0"/>
              <w:rPr>
                <w:sz w:val="20"/>
                <w:szCs w:val="20"/>
                <w:color w:val="auto"/>
              </w:rPr>
            </w:pPr>
            <w:r>
              <w:rPr>
                <w:rFonts w:ascii="Arial" w:cs="Arial" w:eastAsia="Arial" w:hAnsi="Arial"/>
                <w:sz w:val="14"/>
                <w:szCs w:val="14"/>
                <w:color w:val="auto"/>
              </w:rPr>
              <w:t>- $499</w:t>
            </w:r>
          </w:p>
        </w:tc>
      </w:tr>
      <w:tr>
        <w:trPr>
          <w:trHeight w:val="156"/>
        </w:trPr>
        <w:tc>
          <w:tcPr>
            <w:tcW w:w="3660" w:type="dxa"/>
            <w:vAlign w:val="bottom"/>
            <w:gridSpan w:val="2"/>
            <w:shd w:val="clear" w:color="auto" w:fill="CFF0FC"/>
          </w:tcPr>
          <w:p>
            <w:pPr>
              <w:spacing w:after="0" w:line="155" w:lineRule="exact"/>
              <w:rPr>
                <w:sz w:val="20"/>
                <w:szCs w:val="20"/>
                <w:color w:val="auto"/>
              </w:rPr>
            </w:pPr>
            <w:r>
              <w:rPr>
                <w:rFonts w:ascii="Arial" w:cs="Arial" w:eastAsia="Arial" w:hAnsi="Arial"/>
                <w:sz w:val="14"/>
                <w:szCs w:val="14"/>
                <w:b w:val="1"/>
                <w:bCs w:val="1"/>
                <w:color w:val="auto"/>
              </w:rPr>
              <w:t>Southern California Total</w:t>
            </w:r>
          </w:p>
        </w:tc>
        <w:tc>
          <w:tcPr>
            <w:tcW w:w="960" w:type="dxa"/>
            <w:vAlign w:val="bottom"/>
            <w:shd w:val="clear" w:color="auto" w:fill="CFF0FC"/>
          </w:tcPr>
          <w:p>
            <w:pPr>
              <w:spacing w:after="0"/>
              <w:rPr>
                <w:sz w:val="13"/>
                <w:szCs w:val="13"/>
                <w:color w:val="auto"/>
              </w:rPr>
            </w:pPr>
          </w:p>
        </w:tc>
        <w:tc>
          <w:tcPr>
            <w:tcW w:w="100" w:type="dxa"/>
            <w:vAlign w:val="bottom"/>
            <w:shd w:val="clear" w:color="auto" w:fill="CFF0FC"/>
          </w:tcPr>
          <w:p>
            <w:pPr>
              <w:spacing w:after="0"/>
              <w:rPr>
                <w:sz w:val="13"/>
                <w:szCs w:val="13"/>
                <w:color w:val="auto"/>
              </w:rPr>
            </w:pPr>
          </w:p>
        </w:tc>
        <w:tc>
          <w:tcPr>
            <w:tcW w:w="820" w:type="dxa"/>
            <w:vAlign w:val="bottom"/>
            <w:tcBorders>
              <w:bottom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b w:val="1"/>
                <w:bCs w:val="1"/>
                <w:color w:val="auto"/>
              </w:rPr>
              <w:t>1,996</w:t>
            </w:r>
          </w:p>
        </w:tc>
        <w:tc>
          <w:tcPr>
            <w:tcW w:w="200" w:type="dxa"/>
            <w:vAlign w:val="bottom"/>
            <w:shd w:val="clear" w:color="auto" w:fill="CFF0FC"/>
          </w:tcPr>
          <w:p>
            <w:pPr>
              <w:spacing w:after="0"/>
              <w:rPr>
                <w:sz w:val="13"/>
                <w:szCs w:val="13"/>
                <w:color w:val="auto"/>
              </w:rPr>
            </w:pPr>
          </w:p>
        </w:tc>
        <w:tc>
          <w:tcPr>
            <w:tcW w:w="900" w:type="dxa"/>
            <w:vAlign w:val="bottom"/>
            <w:tcBorders>
              <w:bottom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b w:val="1"/>
                <w:bCs w:val="1"/>
                <w:color w:val="auto"/>
              </w:rPr>
              <w:t>516</w:t>
            </w:r>
          </w:p>
        </w:tc>
        <w:tc>
          <w:tcPr>
            <w:tcW w:w="220" w:type="dxa"/>
            <w:vAlign w:val="bottom"/>
            <w:shd w:val="clear" w:color="auto" w:fill="CFF0FC"/>
          </w:tcPr>
          <w:p>
            <w:pPr>
              <w:spacing w:after="0"/>
              <w:rPr>
                <w:sz w:val="13"/>
                <w:szCs w:val="13"/>
                <w:color w:val="auto"/>
              </w:rPr>
            </w:pPr>
          </w:p>
        </w:tc>
        <w:tc>
          <w:tcPr>
            <w:tcW w:w="800" w:type="dxa"/>
            <w:vAlign w:val="bottom"/>
            <w:tcBorders>
              <w:bottom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b w:val="1"/>
                <w:bCs w:val="1"/>
                <w:color w:val="auto"/>
              </w:rPr>
              <w:t>1,396</w:t>
            </w:r>
          </w:p>
        </w:tc>
        <w:tc>
          <w:tcPr>
            <w:tcW w:w="220" w:type="dxa"/>
            <w:vAlign w:val="bottom"/>
            <w:shd w:val="clear" w:color="auto" w:fill="CFF0FC"/>
          </w:tcPr>
          <w:p>
            <w:pPr>
              <w:spacing w:after="0"/>
              <w:rPr>
                <w:sz w:val="13"/>
                <w:szCs w:val="13"/>
                <w:color w:val="auto"/>
              </w:rPr>
            </w:pPr>
          </w:p>
        </w:tc>
        <w:tc>
          <w:tcPr>
            <w:tcW w:w="820" w:type="dxa"/>
            <w:vAlign w:val="bottom"/>
            <w:tcBorders>
              <w:bottom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b w:val="1"/>
                <w:bCs w:val="1"/>
                <w:color w:val="auto"/>
              </w:rPr>
              <w:t>181</w:t>
            </w:r>
          </w:p>
        </w:tc>
        <w:tc>
          <w:tcPr>
            <w:tcW w:w="220" w:type="dxa"/>
            <w:vAlign w:val="bottom"/>
            <w:shd w:val="clear" w:color="auto" w:fill="CFF0FC"/>
          </w:tcPr>
          <w:p>
            <w:pPr>
              <w:spacing w:after="0"/>
              <w:rPr>
                <w:sz w:val="13"/>
                <w:szCs w:val="13"/>
                <w:color w:val="auto"/>
              </w:rPr>
            </w:pPr>
          </w:p>
        </w:tc>
        <w:tc>
          <w:tcPr>
            <w:tcW w:w="1040" w:type="dxa"/>
            <w:vAlign w:val="bottom"/>
            <w:tcBorders>
              <w:bottom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b w:val="1"/>
                <w:bCs w:val="1"/>
                <w:color w:val="auto"/>
              </w:rPr>
              <w:t>77</w:t>
            </w:r>
          </w:p>
        </w:tc>
        <w:tc>
          <w:tcPr>
            <w:tcW w:w="220" w:type="dxa"/>
            <w:vAlign w:val="bottom"/>
            <w:shd w:val="clear" w:color="auto" w:fill="CFF0FC"/>
          </w:tcPr>
          <w:p>
            <w:pPr>
              <w:spacing w:after="0"/>
              <w:rPr>
                <w:sz w:val="13"/>
                <w:szCs w:val="13"/>
                <w:color w:val="auto"/>
              </w:rPr>
            </w:pPr>
          </w:p>
        </w:tc>
        <w:tc>
          <w:tcPr>
            <w:tcW w:w="580" w:type="dxa"/>
            <w:vAlign w:val="bottom"/>
            <w:shd w:val="clear" w:color="auto" w:fill="CFF0FC"/>
          </w:tcPr>
          <w:p>
            <w:pPr>
              <w:spacing w:after="0"/>
              <w:rPr>
                <w:sz w:val="13"/>
                <w:szCs w:val="13"/>
                <w:color w:val="auto"/>
              </w:rPr>
            </w:pPr>
          </w:p>
        </w:tc>
        <w:tc>
          <w:tcPr>
            <w:tcW w:w="660" w:type="dxa"/>
            <w:vAlign w:val="bottom"/>
            <w:shd w:val="clear" w:color="auto" w:fill="CFF0FC"/>
          </w:tcPr>
          <w:p>
            <w:pPr>
              <w:spacing w:after="0"/>
              <w:rPr>
                <w:sz w:val="13"/>
                <w:szCs w:val="13"/>
                <w:color w:val="auto"/>
              </w:rPr>
            </w:pPr>
          </w:p>
        </w:tc>
      </w:tr>
      <w:tr>
        <w:trPr>
          <w:trHeight w:val="156"/>
        </w:trPr>
        <w:tc>
          <w:tcPr>
            <w:tcW w:w="3660" w:type="dxa"/>
            <w:vAlign w:val="bottom"/>
            <w:gridSpan w:val="2"/>
          </w:tcPr>
          <w:p>
            <w:pPr>
              <w:spacing w:after="0" w:line="155" w:lineRule="exact"/>
              <w:rPr>
                <w:sz w:val="20"/>
                <w:szCs w:val="20"/>
                <w:color w:val="auto"/>
              </w:rPr>
            </w:pPr>
            <w:r>
              <w:rPr>
                <w:rFonts w:ascii="Arial" w:cs="Arial" w:eastAsia="Arial" w:hAnsi="Arial"/>
                <w:sz w:val="14"/>
                <w:szCs w:val="14"/>
                <w:b w:val="1"/>
                <w:bCs w:val="1"/>
                <w:color w:val="auto"/>
              </w:rPr>
              <w:t>Northern California</w:t>
            </w:r>
          </w:p>
        </w:tc>
        <w:tc>
          <w:tcPr>
            <w:tcW w:w="9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90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04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660" w:type="dxa"/>
            <w:vAlign w:val="bottom"/>
          </w:tcPr>
          <w:p>
            <w:pPr>
              <w:spacing w:after="0"/>
              <w:rPr>
                <w:sz w:val="13"/>
                <w:szCs w:val="13"/>
                <w:color w:val="auto"/>
              </w:rPr>
            </w:pPr>
          </w:p>
        </w:tc>
      </w:tr>
      <w:tr>
        <w:trPr>
          <w:trHeight w:val="162"/>
        </w:trPr>
        <w:tc>
          <w:tcPr>
            <w:tcW w:w="3660" w:type="dxa"/>
            <w:vAlign w:val="bottom"/>
            <w:gridSpan w:val="2"/>
            <w:shd w:val="clear" w:color="auto" w:fill="CFF0FC"/>
          </w:tcPr>
          <w:p>
            <w:pPr>
              <w:spacing w:after="0"/>
              <w:rPr>
                <w:sz w:val="20"/>
                <w:szCs w:val="20"/>
                <w:color w:val="auto"/>
              </w:rPr>
            </w:pPr>
            <w:r>
              <w:rPr>
                <w:rFonts w:ascii="Arial" w:cs="Arial" w:eastAsia="Arial" w:hAnsi="Arial"/>
                <w:sz w:val="14"/>
                <w:szCs w:val="14"/>
                <w:color w:val="auto"/>
              </w:rPr>
              <w:t>Contra Costa County:</w:t>
            </w:r>
          </w:p>
        </w:tc>
        <w:tc>
          <w:tcPr>
            <w:tcW w:w="960" w:type="dxa"/>
            <w:vAlign w:val="bottom"/>
            <w:shd w:val="clear" w:color="auto" w:fill="CFF0FC"/>
          </w:tcPr>
          <w:p>
            <w:pPr>
              <w:spacing w:after="0"/>
              <w:rPr>
                <w:sz w:val="14"/>
                <w:szCs w:val="14"/>
                <w:color w:val="auto"/>
              </w:rPr>
            </w:pPr>
          </w:p>
        </w:tc>
        <w:tc>
          <w:tcPr>
            <w:tcW w:w="100" w:type="dxa"/>
            <w:vAlign w:val="bottom"/>
            <w:shd w:val="clear" w:color="auto" w:fill="CFF0FC"/>
          </w:tcPr>
          <w:p>
            <w:pPr>
              <w:spacing w:after="0"/>
              <w:rPr>
                <w:sz w:val="14"/>
                <w:szCs w:val="14"/>
                <w:color w:val="auto"/>
              </w:rPr>
            </w:pPr>
          </w:p>
        </w:tc>
        <w:tc>
          <w:tcPr>
            <w:tcW w:w="820" w:type="dxa"/>
            <w:vAlign w:val="bottom"/>
            <w:shd w:val="clear" w:color="auto" w:fill="CFF0FC"/>
          </w:tcPr>
          <w:p>
            <w:pPr>
              <w:spacing w:after="0"/>
              <w:rPr>
                <w:sz w:val="14"/>
                <w:szCs w:val="14"/>
                <w:color w:val="auto"/>
              </w:rPr>
            </w:pPr>
          </w:p>
        </w:tc>
        <w:tc>
          <w:tcPr>
            <w:tcW w:w="200" w:type="dxa"/>
            <w:vAlign w:val="bottom"/>
            <w:shd w:val="clear" w:color="auto" w:fill="CFF0FC"/>
          </w:tcPr>
          <w:p>
            <w:pPr>
              <w:spacing w:after="0"/>
              <w:rPr>
                <w:sz w:val="14"/>
                <w:szCs w:val="14"/>
                <w:color w:val="auto"/>
              </w:rPr>
            </w:pPr>
          </w:p>
        </w:tc>
        <w:tc>
          <w:tcPr>
            <w:tcW w:w="900" w:type="dxa"/>
            <w:vAlign w:val="bottom"/>
            <w:shd w:val="clear" w:color="auto" w:fill="CFF0FC"/>
          </w:tcPr>
          <w:p>
            <w:pPr>
              <w:spacing w:after="0"/>
              <w:rPr>
                <w:sz w:val="14"/>
                <w:szCs w:val="14"/>
                <w:color w:val="auto"/>
              </w:rPr>
            </w:pPr>
          </w:p>
        </w:tc>
        <w:tc>
          <w:tcPr>
            <w:tcW w:w="220" w:type="dxa"/>
            <w:vAlign w:val="bottom"/>
            <w:shd w:val="clear" w:color="auto" w:fill="CFF0FC"/>
          </w:tcPr>
          <w:p>
            <w:pPr>
              <w:spacing w:after="0"/>
              <w:rPr>
                <w:sz w:val="14"/>
                <w:szCs w:val="14"/>
                <w:color w:val="auto"/>
              </w:rPr>
            </w:pPr>
          </w:p>
        </w:tc>
        <w:tc>
          <w:tcPr>
            <w:tcW w:w="800" w:type="dxa"/>
            <w:vAlign w:val="bottom"/>
            <w:shd w:val="clear" w:color="auto" w:fill="CFF0FC"/>
          </w:tcPr>
          <w:p>
            <w:pPr>
              <w:spacing w:after="0"/>
              <w:rPr>
                <w:sz w:val="14"/>
                <w:szCs w:val="14"/>
                <w:color w:val="auto"/>
              </w:rPr>
            </w:pPr>
          </w:p>
        </w:tc>
        <w:tc>
          <w:tcPr>
            <w:tcW w:w="220" w:type="dxa"/>
            <w:vAlign w:val="bottom"/>
            <w:shd w:val="clear" w:color="auto" w:fill="CFF0FC"/>
          </w:tcPr>
          <w:p>
            <w:pPr>
              <w:spacing w:after="0"/>
              <w:rPr>
                <w:sz w:val="14"/>
                <w:szCs w:val="14"/>
                <w:color w:val="auto"/>
              </w:rPr>
            </w:pPr>
          </w:p>
        </w:tc>
        <w:tc>
          <w:tcPr>
            <w:tcW w:w="820" w:type="dxa"/>
            <w:vAlign w:val="bottom"/>
            <w:shd w:val="clear" w:color="auto" w:fill="CFF0FC"/>
          </w:tcPr>
          <w:p>
            <w:pPr>
              <w:spacing w:after="0"/>
              <w:rPr>
                <w:sz w:val="14"/>
                <w:szCs w:val="14"/>
                <w:color w:val="auto"/>
              </w:rPr>
            </w:pPr>
          </w:p>
        </w:tc>
        <w:tc>
          <w:tcPr>
            <w:tcW w:w="220" w:type="dxa"/>
            <w:vAlign w:val="bottom"/>
            <w:shd w:val="clear" w:color="auto" w:fill="CFF0FC"/>
          </w:tcPr>
          <w:p>
            <w:pPr>
              <w:spacing w:after="0"/>
              <w:rPr>
                <w:sz w:val="14"/>
                <w:szCs w:val="14"/>
                <w:color w:val="auto"/>
              </w:rPr>
            </w:pPr>
          </w:p>
        </w:tc>
        <w:tc>
          <w:tcPr>
            <w:tcW w:w="1040" w:type="dxa"/>
            <w:vAlign w:val="bottom"/>
            <w:shd w:val="clear" w:color="auto" w:fill="CFF0FC"/>
          </w:tcPr>
          <w:p>
            <w:pPr>
              <w:spacing w:after="0"/>
              <w:rPr>
                <w:sz w:val="14"/>
                <w:szCs w:val="14"/>
                <w:color w:val="auto"/>
              </w:rPr>
            </w:pPr>
          </w:p>
        </w:tc>
        <w:tc>
          <w:tcPr>
            <w:tcW w:w="220" w:type="dxa"/>
            <w:vAlign w:val="bottom"/>
            <w:shd w:val="clear" w:color="auto" w:fill="CFF0FC"/>
          </w:tcPr>
          <w:p>
            <w:pPr>
              <w:spacing w:after="0"/>
              <w:rPr>
                <w:sz w:val="14"/>
                <w:szCs w:val="14"/>
                <w:color w:val="auto"/>
              </w:rPr>
            </w:pPr>
          </w:p>
        </w:tc>
        <w:tc>
          <w:tcPr>
            <w:tcW w:w="580" w:type="dxa"/>
            <w:vAlign w:val="bottom"/>
            <w:shd w:val="clear" w:color="auto" w:fill="CFF0FC"/>
          </w:tcPr>
          <w:p>
            <w:pPr>
              <w:spacing w:after="0"/>
              <w:rPr>
                <w:sz w:val="14"/>
                <w:szCs w:val="14"/>
                <w:color w:val="auto"/>
              </w:rPr>
            </w:pPr>
          </w:p>
        </w:tc>
        <w:tc>
          <w:tcPr>
            <w:tcW w:w="660" w:type="dxa"/>
            <w:vAlign w:val="bottom"/>
            <w:shd w:val="clear" w:color="auto" w:fill="CFF0FC"/>
          </w:tcPr>
          <w:p>
            <w:pPr>
              <w:spacing w:after="0"/>
              <w:rPr>
                <w:sz w:val="14"/>
                <w:szCs w:val="14"/>
                <w:color w:val="auto"/>
              </w:rPr>
            </w:pPr>
          </w:p>
        </w:tc>
      </w:tr>
      <w:tr>
        <w:trPr>
          <w:trHeight w:val="162"/>
        </w:trPr>
        <w:tc>
          <w:tcPr>
            <w:tcW w:w="3660" w:type="dxa"/>
            <w:vAlign w:val="bottom"/>
            <w:gridSpan w:val="2"/>
          </w:tcPr>
          <w:p>
            <w:pPr>
              <w:ind w:left="380"/>
              <w:spacing w:after="0"/>
              <w:rPr>
                <w:sz w:val="20"/>
                <w:szCs w:val="20"/>
                <w:color w:val="auto"/>
              </w:rPr>
            </w:pPr>
            <w:r>
              <w:rPr>
                <w:rFonts w:ascii="Arial" w:cs="Arial" w:eastAsia="Arial" w:hAnsi="Arial"/>
                <w:sz w:val="14"/>
                <w:szCs w:val="14"/>
                <w:color w:val="auto"/>
              </w:rPr>
              <w:t>Berkshire at Barrington, Brentwood</w:t>
            </w:r>
          </w:p>
        </w:tc>
        <w:tc>
          <w:tcPr>
            <w:tcW w:w="960" w:type="dxa"/>
            <w:vAlign w:val="bottom"/>
          </w:tcPr>
          <w:p>
            <w:pPr>
              <w:jc w:val="center"/>
              <w:spacing w:after="0"/>
              <w:rPr>
                <w:sz w:val="20"/>
                <w:szCs w:val="20"/>
                <w:color w:val="auto"/>
              </w:rPr>
            </w:pPr>
            <w:r>
              <w:rPr>
                <w:rFonts w:ascii="Arial" w:cs="Arial" w:eastAsia="Arial" w:hAnsi="Arial"/>
                <w:sz w:val="14"/>
                <w:szCs w:val="14"/>
                <w:color w:val="auto"/>
                <w:w w:val="83"/>
              </w:rPr>
              <w:t>2014</w:t>
            </w:r>
          </w:p>
        </w:tc>
        <w:tc>
          <w:tcPr>
            <w:tcW w:w="100" w:type="dxa"/>
            <w:vAlign w:val="bottom"/>
          </w:tcPr>
          <w:p>
            <w:pPr>
              <w:spacing w:after="0"/>
              <w:rPr>
                <w:sz w:val="14"/>
                <w:szCs w:val="14"/>
                <w:color w:val="auto"/>
              </w:rPr>
            </w:pPr>
          </w:p>
        </w:tc>
        <w:tc>
          <w:tcPr>
            <w:tcW w:w="820" w:type="dxa"/>
            <w:vAlign w:val="bottom"/>
          </w:tcPr>
          <w:p>
            <w:pPr>
              <w:jc w:val="right"/>
              <w:spacing w:after="0"/>
              <w:rPr>
                <w:sz w:val="20"/>
                <w:szCs w:val="20"/>
                <w:color w:val="auto"/>
              </w:rPr>
            </w:pPr>
            <w:r>
              <w:rPr>
                <w:rFonts w:ascii="Arial" w:cs="Arial" w:eastAsia="Arial" w:hAnsi="Arial"/>
                <w:sz w:val="14"/>
                <w:szCs w:val="14"/>
                <w:color w:val="auto"/>
              </w:rPr>
              <w:t>89</w:t>
            </w:r>
          </w:p>
        </w:tc>
        <w:tc>
          <w:tcPr>
            <w:tcW w:w="200" w:type="dxa"/>
            <w:vAlign w:val="bottom"/>
          </w:tcPr>
          <w:p>
            <w:pPr>
              <w:spacing w:after="0"/>
              <w:rPr>
                <w:sz w:val="14"/>
                <w:szCs w:val="14"/>
                <w:color w:val="auto"/>
              </w:rPr>
            </w:pPr>
          </w:p>
        </w:tc>
        <w:tc>
          <w:tcPr>
            <w:tcW w:w="900" w:type="dxa"/>
            <w:vAlign w:val="bottom"/>
          </w:tcPr>
          <w:p>
            <w:pPr>
              <w:jc w:val="right"/>
              <w:spacing w:after="0"/>
              <w:rPr>
                <w:sz w:val="20"/>
                <w:szCs w:val="20"/>
                <w:color w:val="auto"/>
              </w:rPr>
            </w:pPr>
            <w:r>
              <w:rPr>
                <w:rFonts w:ascii="Arial" w:cs="Arial" w:eastAsia="Arial" w:hAnsi="Arial"/>
                <w:sz w:val="14"/>
                <w:szCs w:val="14"/>
                <w:color w:val="auto"/>
              </w:rPr>
              <w:t>25</w:t>
            </w:r>
          </w:p>
        </w:tc>
        <w:tc>
          <w:tcPr>
            <w:tcW w:w="220" w:type="dxa"/>
            <w:vAlign w:val="bottom"/>
          </w:tcPr>
          <w:p>
            <w:pPr>
              <w:spacing w:after="0"/>
              <w:rPr>
                <w:sz w:val="14"/>
                <w:szCs w:val="14"/>
                <w:color w:val="auto"/>
              </w:rPr>
            </w:pPr>
          </w:p>
        </w:tc>
        <w:tc>
          <w:tcPr>
            <w:tcW w:w="800" w:type="dxa"/>
            <w:vAlign w:val="bottom"/>
          </w:tcPr>
          <w:p>
            <w:pPr>
              <w:jc w:val="right"/>
              <w:spacing w:after="0"/>
              <w:rPr>
                <w:sz w:val="20"/>
                <w:szCs w:val="20"/>
                <w:color w:val="auto"/>
              </w:rPr>
            </w:pPr>
            <w:r>
              <w:rPr>
                <w:rFonts w:ascii="Arial" w:cs="Arial" w:eastAsia="Arial" w:hAnsi="Arial"/>
                <w:sz w:val="14"/>
                <w:szCs w:val="14"/>
                <w:color w:val="auto"/>
              </w:rPr>
              <w:t>64</w:t>
            </w:r>
          </w:p>
        </w:tc>
        <w:tc>
          <w:tcPr>
            <w:tcW w:w="220" w:type="dxa"/>
            <w:vAlign w:val="bottom"/>
          </w:tcPr>
          <w:p>
            <w:pPr>
              <w:spacing w:after="0"/>
              <w:rPr>
                <w:sz w:val="14"/>
                <w:szCs w:val="14"/>
                <w:color w:val="auto"/>
              </w:rPr>
            </w:pPr>
          </w:p>
        </w:tc>
        <w:tc>
          <w:tcPr>
            <w:tcW w:w="820" w:type="dxa"/>
            <w:vAlign w:val="bottom"/>
          </w:tcPr>
          <w:p>
            <w:pPr>
              <w:jc w:val="right"/>
              <w:spacing w:after="0"/>
              <w:rPr>
                <w:sz w:val="20"/>
                <w:szCs w:val="20"/>
                <w:color w:val="auto"/>
              </w:rPr>
            </w:pPr>
            <w:r>
              <w:rPr>
                <w:rFonts w:ascii="Arial" w:cs="Arial" w:eastAsia="Arial" w:hAnsi="Arial"/>
                <w:sz w:val="14"/>
                <w:szCs w:val="14"/>
                <w:color w:val="auto"/>
              </w:rPr>
              <w:t>13</w:t>
            </w:r>
          </w:p>
        </w:tc>
        <w:tc>
          <w:tcPr>
            <w:tcW w:w="220" w:type="dxa"/>
            <w:vAlign w:val="bottom"/>
          </w:tcPr>
          <w:p>
            <w:pPr>
              <w:spacing w:after="0"/>
              <w:rPr>
                <w:sz w:val="14"/>
                <w:szCs w:val="14"/>
                <w:color w:val="auto"/>
              </w:rPr>
            </w:pPr>
          </w:p>
        </w:tc>
        <w:tc>
          <w:tcPr>
            <w:tcW w:w="1040" w:type="dxa"/>
            <w:vAlign w:val="bottom"/>
          </w:tcPr>
          <w:p>
            <w:pPr>
              <w:jc w:val="right"/>
              <w:spacing w:after="0"/>
              <w:rPr>
                <w:sz w:val="20"/>
                <w:szCs w:val="20"/>
                <w:color w:val="auto"/>
              </w:rPr>
            </w:pPr>
            <w:r>
              <w:rPr>
                <w:rFonts w:ascii="Arial" w:cs="Arial" w:eastAsia="Arial" w:hAnsi="Arial"/>
                <w:sz w:val="14"/>
                <w:szCs w:val="14"/>
                <w:color w:val="auto"/>
              </w:rPr>
              <w:t>8</w:t>
            </w:r>
          </w:p>
        </w:tc>
        <w:tc>
          <w:tcPr>
            <w:tcW w:w="1460" w:type="dxa"/>
            <w:vAlign w:val="bottom"/>
            <w:gridSpan w:val="3"/>
          </w:tcPr>
          <w:p>
            <w:pPr>
              <w:jc w:val="center"/>
              <w:ind w:left="132"/>
              <w:spacing w:after="0"/>
              <w:rPr>
                <w:sz w:val="20"/>
                <w:szCs w:val="20"/>
                <w:color w:val="auto"/>
              </w:rPr>
            </w:pPr>
            <w:r>
              <w:rPr>
                <w:rFonts w:ascii="Arial" w:cs="Arial" w:eastAsia="Arial" w:hAnsi="Arial"/>
                <w:sz w:val="14"/>
                <w:szCs w:val="14"/>
                <w:color w:val="auto"/>
                <w:w w:val="87"/>
              </w:rPr>
              <w:t>$618 -$918</w:t>
            </w:r>
          </w:p>
        </w:tc>
      </w:tr>
      <w:tr>
        <w:trPr>
          <w:trHeight w:val="162"/>
        </w:trPr>
        <w:tc>
          <w:tcPr>
            <w:tcW w:w="3660" w:type="dxa"/>
            <w:vAlign w:val="bottom"/>
            <w:gridSpan w:val="2"/>
            <w:shd w:val="clear" w:color="auto" w:fill="CFF0FC"/>
          </w:tcPr>
          <w:p>
            <w:pPr>
              <w:ind w:left="380"/>
              <w:spacing w:after="0"/>
              <w:rPr>
                <w:sz w:val="20"/>
                <w:szCs w:val="20"/>
                <w:color w:val="auto"/>
              </w:rPr>
            </w:pPr>
            <w:r>
              <w:rPr>
                <w:rFonts w:ascii="Arial" w:cs="Arial" w:eastAsia="Arial" w:hAnsi="Arial"/>
                <w:sz w:val="14"/>
                <w:szCs w:val="14"/>
                <w:color w:val="auto"/>
              </w:rPr>
              <w:t>Hawthorne at Barrington, Brentwood</w:t>
            </w:r>
          </w:p>
        </w:tc>
        <w:tc>
          <w:tcPr>
            <w:tcW w:w="960" w:type="dxa"/>
            <w:vAlign w:val="bottom"/>
            <w:shd w:val="clear" w:color="auto" w:fill="CFF0FC"/>
          </w:tcPr>
          <w:p>
            <w:pPr>
              <w:jc w:val="center"/>
              <w:spacing w:after="0"/>
              <w:rPr>
                <w:sz w:val="20"/>
                <w:szCs w:val="20"/>
                <w:color w:val="auto"/>
              </w:rPr>
            </w:pPr>
            <w:r>
              <w:rPr>
                <w:rFonts w:ascii="Arial" w:cs="Arial" w:eastAsia="Arial" w:hAnsi="Arial"/>
                <w:sz w:val="14"/>
                <w:szCs w:val="14"/>
                <w:color w:val="auto"/>
                <w:w w:val="83"/>
              </w:rPr>
              <w:t>2014</w:t>
            </w:r>
          </w:p>
        </w:tc>
        <w:tc>
          <w:tcPr>
            <w:tcW w:w="100" w:type="dxa"/>
            <w:vAlign w:val="bottom"/>
            <w:shd w:val="clear" w:color="auto" w:fill="CFF0FC"/>
          </w:tcPr>
          <w:p>
            <w:pPr>
              <w:spacing w:after="0"/>
              <w:rPr>
                <w:sz w:val="14"/>
                <w:szCs w:val="14"/>
                <w:color w:val="auto"/>
              </w:rPr>
            </w:pPr>
          </w:p>
        </w:tc>
        <w:tc>
          <w:tcPr>
            <w:tcW w:w="820" w:type="dxa"/>
            <w:vAlign w:val="bottom"/>
            <w:shd w:val="clear" w:color="auto" w:fill="CFF0FC"/>
          </w:tcPr>
          <w:p>
            <w:pPr>
              <w:jc w:val="right"/>
              <w:spacing w:after="0"/>
              <w:rPr>
                <w:sz w:val="20"/>
                <w:szCs w:val="20"/>
                <w:color w:val="auto"/>
              </w:rPr>
            </w:pPr>
            <w:r>
              <w:rPr>
                <w:rFonts w:ascii="Arial" w:cs="Arial" w:eastAsia="Arial" w:hAnsi="Arial"/>
                <w:sz w:val="14"/>
                <w:szCs w:val="14"/>
                <w:color w:val="auto"/>
              </w:rPr>
              <w:t>105</w:t>
            </w:r>
          </w:p>
        </w:tc>
        <w:tc>
          <w:tcPr>
            <w:tcW w:w="200" w:type="dxa"/>
            <w:vAlign w:val="bottom"/>
            <w:shd w:val="clear" w:color="auto" w:fill="CFF0FC"/>
          </w:tcPr>
          <w:p>
            <w:pPr>
              <w:spacing w:after="0"/>
              <w:rPr>
                <w:sz w:val="14"/>
                <w:szCs w:val="14"/>
                <w:color w:val="auto"/>
              </w:rPr>
            </w:pPr>
          </w:p>
        </w:tc>
        <w:tc>
          <w:tcPr>
            <w:tcW w:w="900" w:type="dxa"/>
            <w:vAlign w:val="bottom"/>
            <w:shd w:val="clear" w:color="auto" w:fill="CFF0FC"/>
          </w:tcPr>
          <w:p>
            <w:pPr>
              <w:jc w:val="right"/>
              <w:spacing w:after="0"/>
              <w:rPr>
                <w:sz w:val="20"/>
                <w:szCs w:val="20"/>
                <w:color w:val="auto"/>
              </w:rPr>
            </w:pPr>
            <w:r>
              <w:rPr>
                <w:rFonts w:ascii="Arial" w:cs="Arial" w:eastAsia="Arial" w:hAnsi="Arial"/>
                <w:sz w:val="14"/>
                <w:szCs w:val="14"/>
                <w:color w:val="auto"/>
              </w:rPr>
              <w:t>24</w:t>
            </w:r>
          </w:p>
        </w:tc>
        <w:tc>
          <w:tcPr>
            <w:tcW w:w="220" w:type="dxa"/>
            <w:vAlign w:val="bottom"/>
            <w:shd w:val="clear" w:color="auto" w:fill="CFF0FC"/>
          </w:tcPr>
          <w:p>
            <w:pPr>
              <w:spacing w:after="0"/>
              <w:rPr>
                <w:sz w:val="14"/>
                <w:szCs w:val="14"/>
                <w:color w:val="auto"/>
              </w:rPr>
            </w:pPr>
          </w:p>
        </w:tc>
        <w:tc>
          <w:tcPr>
            <w:tcW w:w="800" w:type="dxa"/>
            <w:vAlign w:val="bottom"/>
            <w:shd w:val="clear" w:color="auto" w:fill="CFF0FC"/>
          </w:tcPr>
          <w:p>
            <w:pPr>
              <w:jc w:val="right"/>
              <w:spacing w:after="0"/>
              <w:rPr>
                <w:sz w:val="20"/>
                <w:szCs w:val="20"/>
                <w:color w:val="auto"/>
              </w:rPr>
            </w:pPr>
            <w:r>
              <w:rPr>
                <w:rFonts w:ascii="Arial" w:cs="Arial" w:eastAsia="Arial" w:hAnsi="Arial"/>
                <w:sz w:val="14"/>
                <w:szCs w:val="14"/>
                <w:color w:val="auto"/>
              </w:rPr>
              <w:t>81</w:t>
            </w:r>
          </w:p>
        </w:tc>
        <w:tc>
          <w:tcPr>
            <w:tcW w:w="220" w:type="dxa"/>
            <w:vAlign w:val="bottom"/>
            <w:shd w:val="clear" w:color="auto" w:fill="CFF0FC"/>
          </w:tcPr>
          <w:p>
            <w:pPr>
              <w:spacing w:after="0"/>
              <w:rPr>
                <w:sz w:val="14"/>
                <w:szCs w:val="14"/>
                <w:color w:val="auto"/>
              </w:rPr>
            </w:pPr>
          </w:p>
        </w:tc>
        <w:tc>
          <w:tcPr>
            <w:tcW w:w="820" w:type="dxa"/>
            <w:vAlign w:val="bottom"/>
            <w:shd w:val="clear" w:color="auto" w:fill="CFF0FC"/>
          </w:tcPr>
          <w:p>
            <w:pPr>
              <w:jc w:val="right"/>
              <w:spacing w:after="0"/>
              <w:rPr>
                <w:sz w:val="20"/>
                <w:szCs w:val="20"/>
                <w:color w:val="auto"/>
              </w:rPr>
            </w:pPr>
            <w:r>
              <w:rPr>
                <w:rFonts w:ascii="Arial" w:cs="Arial" w:eastAsia="Arial" w:hAnsi="Arial"/>
                <w:sz w:val="14"/>
                <w:szCs w:val="14"/>
                <w:color w:val="auto"/>
              </w:rPr>
              <w:t>12</w:t>
            </w:r>
          </w:p>
        </w:tc>
        <w:tc>
          <w:tcPr>
            <w:tcW w:w="220" w:type="dxa"/>
            <w:vAlign w:val="bottom"/>
            <w:shd w:val="clear" w:color="auto" w:fill="CFF0FC"/>
          </w:tcPr>
          <w:p>
            <w:pPr>
              <w:spacing w:after="0"/>
              <w:rPr>
                <w:sz w:val="14"/>
                <w:szCs w:val="14"/>
                <w:color w:val="auto"/>
              </w:rPr>
            </w:pPr>
          </w:p>
        </w:tc>
        <w:tc>
          <w:tcPr>
            <w:tcW w:w="1040" w:type="dxa"/>
            <w:vAlign w:val="bottom"/>
            <w:shd w:val="clear" w:color="auto" w:fill="CFF0FC"/>
          </w:tcPr>
          <w:p>
            <w:pPr>
              <w:jc w:val="right"/>
              <w:spacing w:after="0"/>
              <w:rPr>
                <w:sz w:val="20"/>
                <w:szCs w:val="20"/>
                <w:color w:val="auto"/>
              </w:rPr>
            </w:pPr>
            <w:r>
              <w:rPr>
                <w:rFonts w:ascii="Arial" w:cs="Arial" w:eastAsia="Arial" w:hAnsi="Arial"/>
                <w:sz w:val="14"/>
                <w:szCs w:val="14"/>
                <w:color w:val="auto"/>
              </w:rPr>
              <w:t>5</w:t>
            </w:r>
          </w:p>
        </w:tc>
        <w:tc>
          <w:tcPr>
            <w:tcW w:w="800" w:type="dxa"/>
            <w:vAlign w:val="bottom"/>
            <w:gridSpan w:val="2"/>
            <w:shd w:val="clear" w:color="auto" w:fill="CFF0FC"/>
          </w:tcPr>
          <w:p>
            <w:pPr>
              <w:jc w:val="right"/>
              <w:spacing w:after="0"/>
              <w:rPr>
                <w:sz w:val="20"/>
                <w:szCs w:val="20"/>
                <w:color w:val="auto"/>
              </w:rPr>
            </w:pPr>
            <w:r>
              <w:rPr>
                <w:rFonts w:ascii="Arial" w:cs="Arial" w:eastAsia="Arial" w:hAnsi="Arial"/>
                <w:sz w:val="14"/>
                <w:szCs w:val="14"/>
                <w:color w:val="auto"/>
              </w:rPr>
              <w:t>$515</w:t>
            </w:r>
          </w:p>
        </w:tc>
        <w:tc>
          <w:tcPr>
            <w:tcW w:w="660" w:type="dxa"/>
            <w:vAlign w:val="bottom"/>
            <w:shd w:val="clear" w:color="auto" w:fill="CFF0FC"/>
          </w:tcPr>
          <w:p>
            <w:pPr>
              <w:spacing w:after="0"/>
              <w:rPr>
                <w:sz w:val="20"/>
                <w:szCs w:val="20"/>
                <w:color w:val="auto"/>
              </w:rPr>
            </w:pPr>
            <w:r>
              <w:rPr>
                <w:rFonts w:ascii="Arial" w:cs="Arial" w:eastAsia="Arial" w:hAnsi="Arial"/>
                <w:sz w:val="14"/>
                <w:szCs w:val="14"/>
                <w:color w:val="auto"/>
              </w:rPr>
              <w:t>- $575</w:t>
            </w:r>
          </w:p>
        </w:tc>
      </w:tr>
      <w:tr>
        <w:trPr>
          <w:trHeight w:val="162"/>
        </w:trPr>
        <w:tc>
          <w:tcPr>
            <w:tcW w:w="3660" w:type="dxa"/>
            <w:vAlign w:val="bottom"/>
            <w:gridSpan w:val="2"/>
          </w:tcPr>
          <w:p>
            <w:pPr>
              <w:ind w:left="380"/>
              <w:spacing w:after="0"/>
              <w:rPr>
                <w:sz w:val="20"/>
                <w:szCs w:val="20"/>
                <w:color w:val="auto"/>
              </w:rPr>
            </w:pPr>
            <w:r>
              <w:rPr>
                <w:rFonts w:ascii="Arial" w:cs="Arial" w:eastAsia="Arial" w:hAnsi="Arial"/>
                <w:sz w:val="14"/>
                <w:szCs w:val="14"/>
                <w:color w:val="auto"/>
              </w:rPr>
              <w:t>Marquette at Barrington, Brentwood</w:t>
            </w:r>
          </w:p>
        </w:tc>
        <w:tc>
          <w:tcPr>
            <w:tcW w:w="960" w:type="dxa"/>
            <w:vAlign w:val="bottom"/>
          </w:tcPr>
          <w:p>
            <w:pPr>
              <w:jc w:val="center"/>
              <w:spacing w:after="0"/>
              <w:rPr>
                <w:sz w:val="20"/>
                <w:szCs w:val="20"/>
                <w:color w:val="auto"/>
              </w:rPr>
            </w:pPr>
            <w:r>
              <w:rPr>
                <w:rFonts w:ascii="Arial" w:cs="Arial" w:eastAsia="Arial" w:hAnsi="Arial"/>
                <w:sz w:val="14"/>
                <w:szCs w:val="14"/>
                <w:color w:val="auto"/>
                <w:w w:val="83"/>
              </w:rPr>
              <w:t>2015</w:t>
            </w:r>
          </w:p>
        </w:tc>
        <w:tc>
          <w:tcPr>
            <w:tcW w:w="100" w:type="dxa"/>
            <w:vAlign w:val="bottom"/>
          </w:tcPr>
          <w:p>
            <w:pPr>
              <w:spacing w:after="0"/>
              <w:rPr>
                <w:sz w:val="14"/>
                <w:szCs w:val="14"/>
                <w:color w:val="auto"/>
              </w:rPr>
            </w:pPr>
          </w:p>
        </w:tc>
        <w:tc>
          <w:tcPr>
            <w:tcW w:w="820" w:type="dxa"/>
            <w:vAlign w:val="bottom"/>
          </w:tcPr>
          <w:p>
            <w:pPr>
              <w:jc w:val="right"/>
              <w:spacing w:after="0"/>
              <w:rPr>
                <w:sz w:val="20"/>
                <w:szCs w:val="20"/>
                <w:color w:val="auto"/>
              </w:rPr>
            </w:pPr>
            <w:r>
              <w:rPr>
                <w:rFonts w:ascii="Arial" w:cs="Arial" w:eastAsia="Arial" w:hAnsi="Arial"/>
                <w:sz w:val="14"/>
                <w:szCs w:val="14"/>
                <w:color w:val="auto"/>
              </w:rPr>
              <w:t>90</w:t>
            </w:r>
          </w:p>
        </w:tc>
        <w:tc>
          <w:tcPr>
            <w:tcW w:w="200" w:type="dxa"/>
            <w:vAlign w:val="bottom"/>
          </w:tcPr>
          <w:p>
            <w:pPr>
              <w:spacing w:after="0"/>
              <w:rPr>
                <w:sz w:val="14"/>
                <w:szCs w:val="14"/>
                <w:color w:val="auto"/>
              </w:rPr>
            </w:pPr>
          </w:p>
        </w:tc>
        <w:tc>
          <w:tcPr>
            <w:tcW w:w="900" w:type="dxa"/>
            <w:vAlign w:val="bottom"/>
          </w:tcPr>
          <w:p>
            <w:pPr>
              <w:jc w:val="right"/>
              <w:spacing w:after="0"/>
              <w:rPr>
                <w:sz w:val="20"/>
                <w:szCs w:val="20"/>
                <w:color w:val="auto"/>
              </w:rPr>
            </w:pPr>
            <w:r>
              <w:rPr>
                <w:rFonts w:ascii="Arial" w:cs="Arial" w:eastAsia="Arial" w:hAnsi="Arial"/>
                <w:sz w:val="14"/>
                <w:szCs w:val="14"/>
                <w:color w:val="auto"/>
              </w:rPr>
              <w:t>-</w:t>
            </w:r>
          </w:p>
        </w:tc>
        <w:tc>
          <w:tcPr>
            <w:tcW w:w="220" w:type="dxa"/>
            <w:vAlign w:val="bottom"/>
          </w:tcPr>
          <w:p>
            <w:pPr>
              <w:spacing w:after="0"/>
              <w:rPr>
                <w:sz w:val="14"/>
                <w:szCs w:val="14"/>
                <w:color w:val="auto"/>
              </w:rPr>
            </w:pPr>
          </w:p>
        </w:tc>
        <w:tc>
          <w:tcPr>
            <w:tcW w:w="800" w:type="dxa"/>
            <w:vAlign w:val="bottom"/>
          </w:tcPr>
          <w:p>
            <w:pPr>
              <w:jc w:val="right"/>
              <w:spacing w:after="0"/>
              <w:rPr>
                <w:sz w:val="20"/>
                <w:szCs w:val="20"/>
                <w:color w:val="auto"/>
              </w:rPr>
            </w:pPr>
            <w:r>
              <w:rPr>
                <w:rFonts w:ascii="Arial" w:cs="Arial" w:eastAsia="Arial" w:hAnsi="Arial"/>
                <w:sz w:val="14"/>
                <w:szCs w:val="14"/>
                <w:color w:val="auto"/>
              </w:rPr>
              <w:t>90</w:t>
            </w:r>
          </w:p>
        </w:tc>
        <w:tc>
          <w:tcPr>
            <w:tcW w:w="220" w:type="dxa"/>
            <w:vAlign w:val="bottom"/>
          </w:tcPr>
          <w:p>
            <w:pPr>
              <w:spacing w:after="0"/>
              <w:rPr>
                <w:sz w:val="14"/>
                <w:szCs w:val="14"/>
                <w:color w:val="auto"/>
              </w:rPr>
            </w:pPr>
          </w:p>
        </w:tc>
        <w:tc>
          <w:tcPr>
            <w:tcW w:w="820" w:type="dxa"/>
            <w:vAlign w:val="bottom"/>
          </w:tcPr>
          <w:p>
            <w:pPr>
              <w:jc w:val="right"/>
              <w:spacing w:after="0"/>
              <w:rPr>
                <w:sz w:val="20"/>
                <w:szCs w:val="20"/>
                <w:color w:val="auto"/>
              </w:rPr>
            </w:pPr>
            <w:r>
              <w:rPr>
                <w:rFonts w:ascii="Arial" w:cs="Arial" w:eastAsia="Arial" w:hAnsi="Arial"/>
                <w:sz w:val="14"/>
                <w:szCs w:val="14"/>
                <w:color w:val="auto"/>
              </w:rPr>
              <w:t>4</w:t>
            </w:r>
          </w:p>
        </w:tc>
        <w:tc>
          <w:tcPr>
            <w:tcW w:w="220" w:type="dxa"/>
            <w:vAlign w:val="bottom"/>
          </w:tcPr>
          <w:p>
            <w:pPr>
              <w:spacing w:after="0"/>
              <w:rPr>
                <w:sz w:val="14"/>
                <w:szCs w:val="14"/>
                <w:color w:val="auto"/>
              </w:rPr>
            </w:pPr>
          </w:p>
        </w:tc>
        <w:tc>
          <w:tcPr>
            <w:tcW w:w="1040" w:type="dxa"/>
            <w:vAlign w:val="bottom"/>
          </w:tcPr>
          <w:p>
            <w:pPr>
              <w:jc w:val="right"/>
              <w:spacing w:after="0"/>
              <w:rPr>
                <w:sz w:val="20"/>
                <w:szCs w:val="20"/>
                <w:color w:val="auto"/>
              </w:rPr>
            </w:pPr>
            <w:r>
              <w:rPr>
                <w:rFonts w:ascii="Arial" w:cs="Arial" w:eastAsia="Arial" w:hAnsi="Arial"/>
                <w:sz w:val="14"/>
                <w:szCs w:val="14"/>
                <w:color w:val="auto"/>
              </w:rPr>
              <w:t>-</w:t>
            </w:r>
          </w:p>
        </w:tc>
        <w:tc>
          <w:tcPr>
            <w:tcW w:w="800" w:type="dxa"/>
            <w:vAlign w:val="bottom"/>
            <w:gridSpan w:val="2"/>
          </w:tcPr>
          <w:p>
            <w:pPr>
              <w:jc w:val="right"/>
              <w:spacing w:after="0"/>
              <w:rPr>
                <w:sz w:val="20"/>
                <w:szCs w:val="20"/>
                <w:color w:val="auto"/>
              </w:rPr>
            </w:pPr>
            <w:r>
              <w:rPr>
                <w:rFonts w:ascii="Arial" w:cs="Arial" w:eastAsia="Arial" w:hAnsi="Arial"/>
                <w:sz w:val="14"/>
                <w:szCs w:val="14"/>
                <w:color w:val="auto"/>
              </w:rPr>
              <w:t>$475</w:t>
            </w:r>
          </w:p>
        </w:tc>
        <w:tc>
          <w:tcPr>
            <w:tcW w:w="660" w:type="dxa"/>
            <w:vAlign w:val="bottom"/>
          </w:tcPr>
          <w:p>
            <w:pPr>
              <w:spacing w:after="0"/>
              <w:rPr>
                <w:sz w:val="20"/>
                <w:szCs w:val="20"/>
                <w:color w:val="auto"/>
              </w:rPr>
            </w:pPr>
            <w:r>
              <w:rPr>
                <w:rFonts w:ascii="Arial" w:cs="Arial" w:eastAsia="Arial" w:hAnsi="Arial"/>
                <w:sz w:val="14"/>
                <w:szCs w:val="14"/>
                <w:color w:val="auto"/>
              </w:rPr>
              <w:t>- $675</w:t>
            </w:r>
          </w:p>
        </w:tc>
      </w:tr>
      <w:tr>
        <w:trPr>
          <w:trHeight w:val="162"/>
        </w:trPr>
        <w:tc>
          <w:tcPr>
            <w:tcW w:w="3660" w:type="dxa"/>
            <w:vAlign w:val="bottom"/>
            <w:gridSpan w:val="2"/>
            <w:shd w:val="clear" w:color="auto" w:fill="CFF0FC"/>
          </w:tcPr>
          <w:p>
            <w:pPr>
              <w:ind w:left="380"/>
              <w:spacing w:after="0"/>
              <w:rPr>
                <w:sz w:val="20"/>
                <w:szCs w:val="20"/>
                <w:color w:val="auto"/>
              </w:rPr>
            </w:pPr>
            <w:r>
              <w:rPr>
                <w:rFonts w:ascii="Arial" w:cs="Arial" w:eastAsia="Arial" w:hAnsi="Arial"/>
                <w:sz w:val="14"/>
                <w:szCs w:val="14"/>
                <w:color w:val="auto"/>
              </w:rPr>
              <w:t>Wynstone at Barrington, Brentwood</w:t>
            </w:r>
          </w:p>
        </w:tc>
        <w:tc>
          <w:tcPr>
            <w:tcW w:w="960" w:type="dxa"/>
            <w:vAlign w:val="bottom"/>
            <w:shd w:val="clear" w:color="auto" w:fill="CFF0FC"/>
          </w:tcPr>
          <w:p>
            <w:pPr>
              <w:jc w:val="center"/>
              <w:spacing w:after="0"/>
              <w:rPr>
                <w:sz w:val="20"/>
                <w:szCs w:val="20"/>
                <w:color w:val="auto"/>
              </w:rPr>
            </w:pPr>
            <w:r>
              <w:rPr>
                <w:rFonts w:ascii="Arial" w:cs="Arial" w:eastAsia="Arial" w:hAnsi="Arial"/>
                <w:sz w:val="14"/>
                <w:szCs w:val="14"/>
                <w:color w:val="auto"/>
                <w:w w:val="83"/>
              </w:rPr>
              <w:t>2016</w:t>
            </w:r>
          </w:p>
        </w:tc>
        <w:tc>
          <w:tcPr>
            <w:tcW w:w="100" w:type="dxa"/>
            <w:vAlign w:val="bottom"/>
            <w:shd w:val="clear" w:color="auto" w:fill="CFF0FC"/>
          </w:tcPr>
          <w:p>
            <w:pPr>
              <w:spacing w:after="0"/>
              <w:rPr>
                <w:sz w:val="14"/>
                <w:szCs w:val="14"/>
                <w:color w:val="auto"/>
              </w:rPr>
            </w:pPr>
          </w:p>
        </w:tc>
        <w:tc>
          <w:tcPr>
            <w:tcW w:w="820" w:type="dxa"/>
            <w:vAlign w:val="bottom"/>
            <w:shd w:val="clear" w:color="auto" w:fill="CFF0FC"/>
          </w:tcPr>
          <w:p>
            <w:pPr>
              <w:jc w:val="right"/>
              <w:spacing w:after="0"/>
              <w:rPr>
                <w:sz w:val="20"/>
                <w:szCs w:val="20"/>
                <w:color w:val="auto"/>
              </w:rPr>
            </w:pPr>
            <w:r>
              <w:rPr>
                <w:rFonts w:ascii="Arial" w:cs="Arial" w:eastAsia="Arial" w:hAnsi="Arial"/>
                <w:sz w:val="14"/>
                <w:szCs w:val="14"/>
                <w:color w:val="auto"/>
              </w:rPr>
              <w:t>92</w:t>
            </w:r>
          </w:p>
        </w:tc>
        <w:tc>
          <w:tcPr>
            <w:tcW w:w="200" w:type="dxa"/>
            <w:vAlign w:val="bottom"/>
            <w:shd w:val="clear" w:color="auto" w:fill="CFF0FC"/>
          </w:tcPr>
          <w:p>
            <w:pPr>
              <w:spacing w:after="0"/>
              <w:rPr>
                <w:sz w:val="14"/>
                <w:szCs w:val="14"/>
                <w:color w:val="auto"/>
              </w:rPr>
            </w:pPr>
          </w:p>
        </w:tc>
        <w:tc>
          <w:tcPr>
            <w:tcW w:w="900" w:type="dxa"/>
            <w:vAlign w:val="bottom"/>
            <w:shd w:val="clear" w:color="auto" w:fill="CFF0FC"/>
          </w:tcPr>
          <w:p>
            <w:pPr>
              <w:jc w:val="right"/>
              <w:spacing w:after="0"/>
              <w:rPr>
                <w:sz w:val="20"/>
                <w:szCs w:val="20"/>
                <w:color w:val="auto"/>
              </w:rPr>
            </w:pPr>
            <w:r>
              <w:rPr>
                <w:rFonts w:ascii="Arial" w:cs="Arial" w:eastAsia="Arial" w:hAnsi="Arial"/>
                <w:sz w:val="14"/>
                <w:szCs w:val="14"/>
                <w:color w:val="auto"/>
              </w:rPr>
              <w:t>-</w:t>
            </w:r>
          </w:p>
        </w:tc>
        <w:tc>
          <w:tcPr>
            <w:tcW w:w="220" w:type="dxa"/>
            <w:vAlign w:val="bottom"/>
            <w:shd w:val="clear" w:color="auto" w:fill="CFF0FC"/>
          </w:tcPr>
          <w:p>
            <w:pPr>
              <w:spacing w:after="0"/>
              <w:rPr>
                <w:sz w:val="14"/>
                <w:szCs w:val="14"/>
                <w:color w:val="auto"/>
              </w:rPr>
            </w:pPr>
          </w:p>
        </w:tc>
        <w:tc>
          <w:tcPr>
            <w:tcW w:w="800" w:type="dxa"/>
            <w:vAlign w:val="bottom"/>
            <w:shd w:val="clear" w:color="auto" w:fill="CFF0FC"/>
          </w:tcPr>
          <w:p>
            <w:pPr>
              <w:jc w:val="right"/>
              <w:spacing w:after="0"/>
              <w:rPr>
                <w:sz w:val="20"/>
                <w:szCs w:val="20"/>
                <w:color w:val="auto"/>
              </w:rPr>
            </w:pPr>
            <w:r>
              <w:rPr>
                <w:rFonts w:ascii="Arial" w:cs="Arial" w:eastAsia="Arial" w:hAnsi="Arial"/>
                <w:sz w:val="14"/>
                <w:szCs w:val="14"/>
                <w:color w:val="auto"/>
              </w:rPr>
              <w:t>92</w:t>
            </w:r>
          </w:p>
        </w:tc>
        <w:tc>
          <w:tcPr>
            <w:tcW w:w="220" w:type="dxa"/>
            <w:vAlign w:val="bottom"/>
            <w:shd w:val="clear" w:color="auto" w:fill="CFF0FC"/>
          </w:tcPr>
          <w:p>
            <w:pPr>
              <w:spacing w:after="0"/>
              <w:rPr>
                <w:sz w:val="14"/>
                <w:szCs w:val="14"/>
                <w:color w:val="auto"/>
              </w:rPr>
            </w:pPr>
          </w:p>
        </w:tc>
        <w:tc>
          <w:tcPr>
            <w:tcW w:w="820" w:type="dxa"/>
            <w:vAlign w:val="bottom"/>
            <w:shd w:val="clear" w:color="auto" w:fill="CFF0FC"/>
          </w:tcPr>
          <w:p>
            <w:pPr>
              <w:jc w:val="right"/>
              <w:spacing w:after="0"/>
              <w:rPr>
                <w:sz w:val="20"/>
                <w:szCs w:val="20"/>
                <w:color w:val="auto"/>
              </w:rPr>
            </w:pPr>
            <w:r>
              <w:rPr>
                <w:rFonts w:ascii="Arial" w:cs="Arial" w:eastAsia="Arial" w:hAnsi="Arial"/>
                <w:sz w:val="14"/>
                <w:szCs w:val="14"/>
                <w:color w:val="auto"/>
              </w:rPr>
              <w:t>-</w:t>
            </w:r>
          </w:p>
        </w:tc>
        <w:tc>
          <w:tcPr>
            <w:tcW w:w="220" w:type="dxa"/>
            <w:vAlign w:val="bottom"/>
            <w:shd w:val="clear" w:color="auto" w:fill="CFF0FC"/>
          </w:tcPr>
          <w:p>
            <w:pPr>
              <w:spacing w:after="0"/>
              <w:rPr>
                <w:sz w:val="14"/>
                <w:szCs w:val="14"/>
                <w:color w:val="auto"/>
              </w:rPr>
            </w:pPr>
          </w:p>
        </w:tc>
        <w:tc>
          <w:tcPr>
            <w:tcW w:w="1040" w:type="dxa"/>
            <w:vAlign w:val="bottom"/>
            <w:shd w:val="clear" w:color="auto" w:fill="CFF0FC"/>
          </w:tcPr>
          <w:p>
            <w:pPr>
              <w:jc w:val="right"/>
              <w:spacing w:after="0"/>
              <w:rPr>
                <w:sz w:val="20"/>
                <w:szCs w:val="20"/>
                <w:color w:val="auto"/>
              </w:rPr>
            </w:pPr>
            <w:r>
              <w:rPr>
                <w:rFonts w:ascii="Arial" w:cs="Arial" w:eastAsia="Arial" w:hAnsi="Arial"/>
                <w:sz w:val="14"/>
                <w:szCs w:val="14"/>
                <w:color w:val="auto"/>
              </w:rPr>
              <w:t>-</w:t>
            </w:r>
          </w:p>
        </w:tc>
        <w:tc>
          <w:tcPr>
            <w:tcW w:w="800" w:type="dxa"/>
            <w:vAlign w:val="bottom"/>
            <w:gridSpan w:val="2"/>
            <w:shd w:val="clear" w:color="auto" w:fill="CFF0FC"/>
          </w:tcPr>
          <w:p>
            <w:pPr>
              <w:jc w:val="right"/>
              <w:spacing w:after="0"/>
              <w:rPr>
                <w:sz w:val="20"/>
                <w:szCs w:val="20"/>
                <w:color w:val="auto"/>
              </w:rPr>
            </w:pPr>
            <w:r>
              <w:rPr>
                <w:rFonts w:ascii="Arial" w:cs="Arial" w:eastAsia="Arial" w:hAnsi="Arial"/>
                <w:sz w:val="14"/>
                <w:szCs w:val="14"/>
                <w:color w:val="auto"/>
              </w:rPr>
              <w:t>$450</w:t>
            </w:r>
          </w:p>
        </w:tc>
        <w:tc>
          <w:tcPr>
            <w:tcW w:w="660" w:type="dxa"/>
            <w:vAlign w:val="bottom"/>
            <w:shd w:val="clear" w:color="auto" w:fill="CFF0FC"/>
          </w:tcPr>
          <w:p>
            <w:pPr>
              <w:spacing w:after="0"/>
              <w:rPr>
                <w:sz w:val="20"/>
                <w:szCs w:val="20"/>
                <w:color w:val="auto"/>
              </w:rPr>
            </w:pPr>
            <w:r>
              <w:rPr>
                <w:rFonts w:ascii="Arial" w:cs="Arial" w:eastAsia="Arial" w:hAnsi="Arial"/>
                <w:sz w:val="14"/>
                <w:szCs w:val="14"/>
                <w:color w:val="auto"/>
              </w:rPr>
              <w:t>- $525</w:t>
            </w:r>
          </w:p>
        </w:tc>
      </w:tr>
      <w:tr>
        <w:trPr>
          <w:trHeight w:val="162"/>
        </w:trPr>
        <w:tc>
          <w:tcPr>
            <w:tcW w:w="3660" w:type="dxa"/>
            <w:vAlign w:val="bottom"/>
            <w:gridSpan w:val="2"/>
          </w:tcPr>
          <w:p>
            <w:pPr>
              <w:ind w:left="380"/>
              <w:spacing w:after="0"/>
              <w:rPr>
                <w:sz w:val="20"/>
                <w:szCs w:val="20"/>
                <w:color w:val="auto"/>
              </w:rPr>
            </w:pPr>
            <w:r>
              <w:rPr>
                <w:rFonts w:ascii="Arial" w:cs="Arial" w:eastAsia="Arial" w:hAnsi="Arial"/>
                <w:sz w:val="14"/>
                <w:szCs w:val="14"/>
                <w:color w:val="auto"/>
              </w:rPr>
              <w:t>Penrose at Barrington, Brentwood</w:t>
            </w:r>
          </w:p>
        </w:tc>
        <w:tc>
          <w:tcPr>
            <w:tcW w:w="960" w:type="dxa"/>
            <w:vAlign w:val="bottom"/>
          </w:tcPr>
          <w:p>
            <w:pPr>
              <w:jc w:val="center"/>
              <w:spacing w:after="0"/>
              <w:rPr>
                <w:sz w:val="20"/>
                <w:szCs w:val="20"/>
                <w:color w:val="auto"/>
              </w:rPr>
            </w:pPr>
            <w:r>
              <w:rPr>
                <w:rFonts w:ascii="Arial" w:cs="Arial" w:eastAsia="Arial" w:hAnsi="Arial"/>
                <w:sz w:val="14"/>
                <w:szCs w:val="14"/>
                <w:color w:val="auto"/>
                <w:w w:val="83"/>
              </w:rPr>
              <w:t>2016</w:t>
            </w:r>
          </w:p>
        </w:tc>
        <w:tc>
          <w:tcPr>
            <w:tcW w:w="100" w:type="dxa"/>
            <w:vAlign w:val="bottom"/>
          </w:tcPr>
          <w:p>
            <w:pPr>
              <w:spacing w:after="0"/>
              <w:rPr>
                <w:sz w:val="14"/>
                <w:szCs w:val="14"/>
                <w:color w:val="auto"/>
              </w:rPr>
            </w:pPr>
          </w:p>
        </w:tc>
        <w:tc>
          <w:tcPr>
            <w:tcW w:w="820" w:type="dxa"/>
            <w:vAlign w:val="bottom"/>
          </w:tcPr>
          <w:p>
            <w:pPr>
              <w:jc w:val="right"/>
              <w:spacing w:after="0"/>
              <w:rPr>
                <w:sz w:val="20"/>
                <w:szCs w:val="20"/>
                <w:color w:val="auto"/>
              </w:rPr>
            </w:pPr>
            <w:r>
              <w:rPr>
                <w:rFonts w:ascii="Arial" w:cs="Arial" w:eastAsia="Arial" w:hAnsi="Arial"/>
                <w:sz w:val="14"/>
                <w:szCs w:val="14"/>
                <w:color w:val="auto"/>
              </w:rPr>
              <w:t>34</w:t>
            </w:r>
          </w:p>
        </w:tc>
        <w:tc>
          <w:tcPr>
            <w:tcW w:w="200" w:type="dxa"/>
            <w:vAlign w:val="bottom"/>
          </w:tcPr>
          <w:p>
            <w:pPr>
              <w:spacing w:after="0"/>
              <w:rPr>
                <w:sz w:val="14"/>
                <w:szCs w:val="14"/>
                <w:color w:val="auto"/>
              </w:rPr>
            </w:pPr>
          </w:p>
        </w:tc>
        <w:tc>
          <w:tcPr>
            <w:tcW w:w="900" w:type="dxa"/>
            <w:vAlign w:val="bottom"/>
          </w:tcPr>
          <w:p>
            <w:pPr>
              <w:jc w:val="right"/>
              <w:spacing w:after="0"/>
              <w:rPr>
                <w:sz w:val="20"/>
                <w:szCs w:val="20"/>
                <w:color w:val="auto"/>
              </w:rPr>
            </w:pPr>
            <w:r>
              <w:rPr>
                <w:rFonts w:ascii="Arial" w:cs="Arial" w:eastAsia="Arial" w:hAnsi="Arial"/>
                <w:sz w:val="14"/>
                <w:szCs w:val="14"/>
                <w:color w:val="auto"/>
              </w:rPr>
              <w:t>-</w:t>
            </w:r>
          </w:p>
        </w:tc>
        <w:tc>
          <w:tcPr>
            <w:tcW w:w="220" w:type="dxa"/>
            <w:vAlign w:val="bottom"/>
          </w:tcPr>
          <w:p>
            <w:pPr>
              <w:spacing w:after="0"/>
              <w:rPr>
                <w:sz w:val="14"/>
                <w:szCs w:val="14"/>
                <w:color w:val="auto"/>
              </w:rPr>
            </w:pPr>
          </w:p>
        </w:tc>
        <w:tc>
          <w:tcPr>
            <w:tcW w:w="800" w:type="dxa"/>
            <w:vAlign w:val="bottom"/>
          </w:tcPr>
          <w:p>
            <w:pPr>
              <w:jc w:val="right"/>
              <w:spacing w:after="0"/>
              <w:rPr>
                <w:sz w:val="20"/>
                <w:szCs w:val="20"/>
                <w:color w:val="auto"/>
              </w:rPr>
            </w:pPr>
            <w:r>
              <w:rPr>
                <w:rFonts w:ascii="Arial" w:cs="Arial" w:eastAsia="Arial" w:hAnsi="Arial"/>
                <w:sz w:val="14"/>
                <w:szCs w:val="14"/>
                <w:color w:val="auto"/>
              </w:rPr>
              <w:t>34</w:t>
            </w:r>
          </w:p>
        </w:tc>
        <w:tc>
          <w:tcPr>
            <w:tcW w:w="220" w:type="dxa"/>
            <w:vAlign w:val="bottom"/>
          </w:tcPr>
          <w:p>
            <w:pPr>
              <w:spacing w:after="0"/>
              <w:rPr>
                <w:sz w:val="14"/>
                <w:szCs w:val="14"/>
                <w:color w:val="auto"/>
              </w:rPr>
            </w:pPr>
          </w:p>
        </w:tc>
        <w:tc>
          <w:tcPr>
            <w:tcW w:w="820" w:type="dxa"/>
            <w:vAlign w:val="bottom"/>
          </w:tcPr>
          <w:p>
            <w:pPr>
              <w:jc w:val="right"/>
              <w:spacing w:after="0"/>
              <w:rPr>
                <w:sz w:val="20"/>
                <w:szCs w:val="20"/>
                <w:color w:val="auto"/>
              </w:rPr>
            </w:pPr>
            <w:r>
              <w:rPr>
                <w:rFonts w:ascii="Arial" w:cs="Arial" w:eastAsia="Arial" w:hAnsi="Arial"/>
                <w:sz w:val="14"/>
                <w:szCs w:val="14"/>
                <w:color w:val="auto"/>
              </w:rPr>
              <w:t>-</w:t>
            </w:r>
          </w:p>
        </w:tc>
        <w:tc>
          <w:tcPr>
            <w:tcW w:w="220" w:type="dxa"/>
            <w:vAlign w:val="bottom"/>
          </w:tcPr>
          <w:p>
            <w:pPr>
              <w:spacing w:after="0"/>
              <w:rPr>
                <w:sz w:val="14"/>
                <w:szCs w:val="14"/>
                <w:color w:val="auto"/>
              </w:rPr>
            </w:pPr>
          </w:p>
        </w:tc>
        <w:tc>
          <w:tcPr>
            <w:tcW w:w="1040" w:type="dxa"/>
            <w:vAlign w:val="bottom"/>
          </w:tcPr>
          <w:p>
            <w:pPr>
              <w:jc w:val="right"/>
              <w:spacing w:after="0"/>
              <w:rPr>
                <w:sz w:val="20"/>
                <w:szCs w:val="20"/>
                <w:color w:val="auto"/>
              </w:rPr>
            </w:pPr>
            <w:r>
              <w:rPr>
                <w:rFonts w:ascii="Arial" w:cs="Arial" w:eastAsia="Arial" w:hAnsi="Arial"/>
                <w:sz w:val="14"/>
                <w:szCs w:val="14"/>
                <w:color w:val="auto"/>
              </w:rPr>
              <w:t>-</w:t>
            </w:r>
          </w:p>
        </w:tc>
        <w:tc>
          <w:tcPr>
            <w:tcW w:w="800" w:type="dxa"/>
            <w:vAlign w:val="bottom"/>
            <w:gridSpan w:val="2"/>
          </w:tcPr>
          <w:p>
            <w:pPr>
              <w:jc w:val="right"/>
              <w:spacing w:after="0"/>
              <w:rPr>
                <w:sz w:val="20"/>
                <w:szCs w:val="20"/>
                <w:color w:val="auto"/>
              </w:rPr>
            </w:pPr>
            <w:r>
              <w:rPr>
                <w:rFonts w:ascii="Arial" w:cs="Arial" w:eastAsia="Arial" w:hAnsi="Arial"/>
                <w:sz w:val="14"/>
                <w:szCs w:val="14"/>
                <w:color w:val="auto"/>
              </w:rPr>
              <w:t>$483</w:t>
            </w:r>
          </w:p>
        </w:tc>
        <w:tc>
          <w:tcPr>
            <w:tcW w:w="660" w:type="dxa"/>
            <w:vAlign w:val="bottom"/>
          </w:tcPr>
          <w:p>
            <w:pPr>
              <w:spacing w:after="0"/>
              <w:rPr>
                <w:sz w:val="20"/>
                <w:szCs w:val="20"/>
                <w:color w:val="auto"/>
              </w:rPr>
            </w:pPr>
            <w:r>
              <w:rPr>
                <w:rFonts w:ascii="Arial" w:cs="Arial" w:eastAsia="Arial" w:hAnsi="Arial"/>
                <w:sz w:val="14"/>
                <w:szCs w:val="14"/>
                <w:color w:val="auto"/>
              </w:rPr>
              <w:t>- $515</w:t>
            </w:r>
          </w:p>
        </w:tc>
      </w:tr>
      <w:tr>
        <w:trPr>
          <w:trHeight w:val="162"/>
        </w:trPr>
        <w:tc>
          <w:tcPr>
            <w:tcW w:w="3660" w:type="dxa"/>
            <w:vAlign w:val="bottom"/>
            <w:gridSpan w:val="2"/>
            <w:shd w:val="clear" w:color="auto" w:fill="CFF0FC"/>
          </w:tcPr>
          <w:p>
            <w:pPr>
              <w:spacing w:after="0"/>
              <w:rPr>
                <w:sz w:val="20"/>
                <w:szCs w:val="20"/>
                <w:color w:val="auto"/>
              </w:rPr>
            </w:pPr>
            <w:r>
              <w:rPr>
                <w:rFonts w:ascii="Arial" w:cs="Arial" w:eastAsia="Arial" w:hAnsi="Arial"/>
                <w:sz w:val="14"/>
                <w:szCs w:val="14"/>
                <w:color w:val="auto"/>
              </w:rPr>
              <w:t>Santa Clara County:</w:t>
            </w:r>
          </w:p>
        </w:tc>
        <w:tc>
          <w:tcPr>
            <w:tcW w:w="960" w:type="dxa"/>
            <w:vAlign w:val="bottom"/>
            <w:shd w:val="clear" w:color="auto" w:fill="CFF0FC"/>
          </w:tcPr>
          <w:p>
            <w:pPr>
              <w:spacing w:after="0"/>
              <w:rPr>
                <w:sz w:val="14"/>
                <w:szCs w:val="14"/>
                <w:color w:val="auto"/>
              </w:rPr>
            </w:pPr>
          </w:p>
        </w:tc>
        <w:tc>
          <w:tcPr>
            <w:tcW w:w="100" w:type="dxa"/>
            <w:vAlign w:val="bottom"/>
            <w:shd w:val="clear" w:color="auto" w:fill="CFF0FC"/>
          </w:tcPr>
          <w:p>
            <w:pPr>
              <w:spacing w:after="0"/>
              <w:rPr>
                <w:sz w:val="14"/>
                <w:szCs w:val="14"/>
                <w:color w:val="auto"/>
              </w:rPr>
            </w:pPr>
          </w:p>
        </w:tc>
        <w:tc>
          <w:tcPr>
            <w:tcW w:w="820" w:type="dxa"/>
            <w:vAlign w:val="bottom"/>
            <w:shd w:val="clear" w:color="auto" w:fill="CFF0FC"/>
          </w:tcPr>
          <w:p>
            <w:pPr>
              <w:spacing w:after="0"/>
              <w:rPr>
                <w:sz w:val="14"/>
                <w:szCs w:val="14"/>
                <w:color w:val="auto"/>
              </w:rPr>
            </w:pPr>
          </w:p>
        </w:tc>
        <w:tc>
          <w:tcPr>
            <w:tcW w:w="200" w:type="dxa"/>
            <w:vAlign w:val="bottom"/>
            <w:shd w:val="clear" w:color="auto" w:fill="CFF0FC"/>
          </w:tcPr>
          <w:p>
            <w:pPr>
              <w:spacing w:after="0"/>
              <w:rPr>
                <w:sz w:val="14"/>
                <w:szCs w:val="14"/>
                <w:color w:val="auto"/>
              </w:rPr>
            </w:pPr>
          </w:p>
        </w:tc>
        <w:tc>
          <w:tcPr>
            <w:tcW w:w="900" w:type="dxa"/>
            <w:vAlign w:val="bottom"/>
            <w:shd w:val="clear" w:color="auto" w:fill="CFF0FC"/>
          </w:tcPr>
          <w:p>
            <w:pPr>
              <w:spacing w:after="0"/>
              <w:rPr>
                <w:sz w:val="14"/>
                <w:szCs w:val="14"/>
                <w:color w:val="auto"/>
              </w:rPr>
            </w:pPr>
          </w:p>
        </w:tc>
        <w:tc>
          <w:tcPr>
            <w:tcW w:w="220" w:type="dxa"/>
            <w:vAlign w:val="bottom"/>
            <w:shd w:val="clear" w:color="auto" w:fill="CFF0FC"/>
          </w:tcPr>
          <w:p>
            <w:pPr>
              <w:spacing w:after="0"/>
              <w:rPr>
                <w:sz w:val="14"/>
                <w:szCs w:val="14"/>
                <w:color w:val="auto"/>
              </w:rPr>
            </w:pPr>
          </w:p>
        </w:tc>
        <w:tc>
          <w:tcPr>
            <w:tcW w:w="800" w:type="dxa"/>
            <w:vAlign w:val="bottom"/>
            <w:shd w:val="clear" w:color="auto" w:fill="CFF0FC"/>
          </w:tcPr>
          <w:p>
            <w:pPr>
              <w:spacing w:after="0"/>
              <w:rPr>
                <w:sz w:val="14"/>
                <w:szCs w:val="14"/>
                <w:color w:val="auto"/>
              </w:rPr>
            </w:pPr>
          </w:p>
        </w:tc>
        <w:tc>
          <w:tcPr>
            <w:tcW w:w="220" w:type="dxa"/>
            <w:vAlign w:val="bottom"/>
            <w:shd w:val="clear" w:color="auto" w:fill="CFF0FC"/>
          </w:tcPr>
          <w:p>
            <w:pPr>
              <w:spacing w:after="0"/>
              <w:rPr>
                <w:sz w:val="14"/>
                <w:szCs w:val="14"/>
                <w:color w:val="auto"/>
              </w:rPr>
            </w:pPr>
          </w:p>
        </w:tc>
        <w:tc>
          <w:tcPr>
            <w:tcW w:w="820" w:type="dxa"/>
            <w:vAlign w:val="bottom"/>
            <w:shd w:val="clear" w:color="auto" w:fill="CFF0FC"/>
          </w:tcPr>
          <w:p>
            <w:pPr>
              <w:spacing w:after="0"/>
              <w:rPr>
                <w:sz w:val="14"/>
                <w:szCs w:val="14"/>
                <w:color w:val="auto"/>
              </w:rPr>
            </w:pPr>
          </w:p>
        </w:tc>
        <w:tc>
          <w:tcPr>
            <w:tcW w:w="220" w:type="dxa"/>
            <w:vAlign w:val="bottom"/>
            <w:shd w:val="clear" w:color="auto" w:fill="CFF0FC"/>
          </w:tcPr>
          <w:p>
            <w:pPr>
              <w:spacing w:after="0"/>
              <w:rPr>
                <w:sz w:val="14"/>
                <w:szCs w:val="14"/>
                <w:color w:val="auto"/>
              </w:rPr>
            </w:pPr>
          </w:p>
        </w:tc>
        <w:tc>
          <w:tcPr>
            <w:tcW w:w="1040" w:type="dxa"/>
            <w:vAlign w:val="bottom"/>
            <w:shd w:val="clear" w:color="auto" w:fill="CFF0FC"/>
          </w:tcPr>
          <w:p>
            <w:pPr>
              <w:spacing w:after="0"/>
              <w:rPr>
                <w:sz w:val="14"/>
                <w:szCs w:val="14"/>
                <w:color w:val="auto"/>
              </w:rPr>
            </w:pPr>
          </w:p>
        </w:tc>
        <w:tc>
          <w:tcPr>
            <w:tcW w:w="220" w:type="dxa"/>
            <w:vAlign w:val="bottom"/>
            <w:shd w:val="clear" w:color="auto" w:fill="CFF0FC"/>
          </w:tcPr>
          <w:p>
            <w:pPr>
              <w:spacing w:after="0"/>
              <w:rPr>
                <w:sz w:val="14"/>
                <w:szCs w:val="14"/>
                <w:color w:val="auto"/>
              </w:rPr>
            </w:pPr>
          </w:p>
        </w:tc>
        <w:tc>
          <w:tcPr>
            <w:tcW w:w="580" w:type="dxa"/>
            <w:vAlign w:val="bottom"/>
            <w:shd w:val="clear" w:color="auto" w:fill="CFF0FC"/>
          </w:tcPr>
          <w:p>
            <w:pPr>
              <w:spacing w:after="0"/>
              <w:rPr>
                <w:sz w:val="14"/>
                <w:szCs w:val="14"/>
                <w:color w:val="auto"/>
              </w:rPr>
            </w:pPr>
          </w:p>
        </w:tc>
        <w:tc>
          <w:tcPr>
            <w:tcW w:w="660" w:type="dxa"/>
            <w:vAlign w:val="bottom"/>
            <w:shd w:val="clear" w:color="auto" w:fill="CFF0FC"/>
          </w:tcPr>
          <w:p>
            <w:pPr>
              <w:spacing w:after="0"/>
              <w:rPr>
                <w:sz w:val="14"/>
                <w:szCs w:val="14"/>
                <w:color w:val="auto"/>
              </w:rPr>
            </w:pPr>
          </w:p>
        </w:tc>
      </w:tr>
      <w:tr>
        <w:trPr>
          <w:trHeight w:val="162"/>
        </w:trPr>
        <w:tc>
          <w:tcPr>
            <w:tcW w:w="3660" w:type="dxa"/>
            <w:vAlign w:val="bottom"/>
            <w:gridSpan w:val="2"/>
          </w:tcPr>
          <w:p>
            <w:pPr>
              <w:ind w:left="380"/>
              <w:spacing w:after="0"/>
              <w:rPr>
                <w:sz w:val="20"/>
                <w:szCs w:val="20"/>
                <w:color w:val="auto"/>
              </w:rPr>
            </w:pPr>
            <w:r>
              <w:rPr>
                <w:rFonts w:ascii="Arial" w:cs="Arial" w:eastAsia="Arial" w:hAnsi="Arial"/>
                <w:sz w:val="14"/>
                <w:szCs w:val="14"/>
                <w:color w:val="auto"/>
              </w:rPr>
              <w:t>Avellino, Mountain View</w:t>
            </w:r>
          </w:p>
        </w:tc>
        <w:tc>
          <w:tcPr>
            <w:tcW w:w="960" w:type="dxa"/>
            <w:vAlign w:val="bottom"/>
          </w:tcPr>
          <w:p>
            <w:pPr>
              <w:jc w:val="center"/>
              <w:spacing w:after="0"/>
              <w:rPr>
                <w:sz w:val="20"/>
                <w:szCs w:val="20"/>
                <w:color w:val="auto"/>
              </w:rPr>
            </w:pPr>
            <w:r>
              <w:rPr>
                <w:rFonts w:ascii="Arial" w:cs="Arial" w:eastAsia="Arial" w:hAnsi="Arial"/>
                <w:sz w:val="14"/>
                <w:szCs w:val="14"/>
                <w:color w:val="auto"/>
                <w:w w:val="83"/>
              </w:rPr>
              <w:t>2013</w:t>
            </w:r>
          </w:p>
        </w:tc>
        <w:tc>
          <w:tcPr>
            <w:tcW w:w="100" w:type="dxa"/>
            <w:vAlign w:val="bottom"/>
          </w:tcPr>
          <w:p>
            <w:pPr>
              <w:spacing w:after="0"/>
              <w:rPr>
                <w:sz w:val="14"/>
                <w:szCs w:val="14"/>
                <w:color w:val="auto"/>
              </w:rPr>
            </w:pPr>
          </w:p>
        </w:tc>
        <w:tc>
          <w:tcPr>
            <w:tcW w:w="820" w:type="dxa"/>
            <w:vAlign w:val="bottom"/>
          </w:tcPr>
          <w:p>
            <w:pPr>
              <w:jc w:val="right"/>
              <w:spacing w:after="0"/>
              <w:rPr>
                <w:sz w:val="20"/>
                <w:szCs w:val="20"/>
                <w:color w:val="auto"/>
              </w:rPr>
            </w:pPr>
            <w:r>
              <w:rPr>
                <w:rFonts w:ascii="Arial" w:cs="Arial" w:eastAsia="Arial" w:hAnsi="Arial"/>
                <w:sz w:val="14"/>
                <w:szCs w:val="14"/>
                <w:color w:val="auto"/>
              </w:rPr>
              <w:t>63</w:t>
            </w:r>
          </w:p>
        </w:tc>
        <w:tc>
          <w:tcPr>
            <w:tcW w:w="200" w:type="dxa"/>
            <w:vAlign w:val="bottom"/>
          </w:tcPr>
          <w:p>
            <w:pPr>
              <w:spacing w:after="0"/>
              <w:rPr>
                <w:sz w:val="14"/>
                <w:szCs w:val="14"/>
                <w:color w:val="auto"/>
              </w:rPr>
            </w:pPr>
          </w:p>
        </w:tc>
        <w:tc>
          <w:tcPr>
            <w:tcW w:w="900" w:type="dxa"/>
            <w:vAlign w:val="bottom"/>
          </w:tcPr>
          <w:p>
            <w:pPr>
              <w:jc w:val="right"/>
              <w:spacing w:after="0"/>
              <w:rPr>
                <w:sz w:val="20"/>
                <w:szCs w:val="20"/>
                <w:color w:val="auto"/>
              </w:rPr>
            </w:pPr>
            <w:r>
              <w:rPr>
                <w:rFonts w:ascii="Arial" w:cs="Arial" w:eastAsia="Arial" w:hAnsi="Arial"/>
                <w:sz w:val="14"/>
                <w:szCs w:val="14"/>
                <w:color w:val="auto"/>
              </w:rPr>
              <w:t>55</w:t>
            </w:r>
          </w:p>
        </w:tc>
        <w:tc>
          <w:tcPr>
            <w:tcW w:w="220" w:type="dxa"/>
            <w:vAlign w:val="bottom"/>
          </w:tcPr>
          <w:p>
            <w:pPr>
              <w:spacing w:after="0"/>
              <w:rPr>
                <w:sz w:val="14"/>
                <w:szCs w:val="14"/>
                <w:color w:val="auto"/>
              </w:rPr>
            </w:pPr>
          </w:p>
        </w:tc>
        <w:tc>
          <w:tcPr>
            <w:tcW w:w="800" w:type="dxa"/>
            <w:vAlign w:val="bottom"/>
          </w:tcPr>
          <w:p>
            <w:pPr>
              <w:jc w:val="right"/>
              <w:spacing w:after="0"/>
              <w:rPr>
                <w:sz w:val="20"/>
                <w:szCs w:val="20"/>
                <w:color w:val="auto"/>
              </w:rPr>
            </w:pPr>
            <w:r>
              <w:rPr>
                <w:rFonts w:ascii="Arial" w:cs="Arial" w:eastAsia="Arial" w:hAnsi="Arial"/>
                <w:sz w:val="14"/>
                <w:szCs w:val="14"/>
                <w:color w:val="auto"/>
              </w:rPr>
              <w:t>8</w:t>
            </w:r>
          </w:p>
        </w:tc>
        <w:tc>
          <w:tcPr>
            <w:tcW w:w="220" w:type="dxa"/>
            <w:vAlign w:val="bottom"/>
          </w:tcPr>
          <w:p>
            <w:pPr>
              <w:spacing w:after="0"/>
              <w:rPr>
                <w:sz w:val="14"/>
                <w:szCs w:val="14"/>
                <w:color w:val="auto"/>
              </w:rPr>
            </w:pPr>
          </w:p>
        </w:tc>
        <w:tc>
          <w:tcPr>
            <w:tcW w:w="820" w:type="dxa"/>
            <w:vAlign w:val="bottom"/>
          </w:tcPr>
          <w:p>
            <w:pPr>
              <w:jc w:val="right"/>
              <w:spacing w:after="0"/>
              <w:rPr>
                <w:sz w:val="20"/>
                <w:szCs w:val="20"/>
                <w:color w:val="auto"/>
              </w:rPr>
            </w:pPr>
            <w:r>
              <w:rPr>
                <w:rFonts w:ascii="Arial" w:cs="Arial" w:eastAsia="Arial" w:hAnsi="Arial"/>
                <w:sz w:val="14"/>
                <w:szCs w:val="14"/>
                <w:color w:val="auto"/>
              </w:rPr>
              <w:t>8</w:t>
            </w:r>
          </w:p>
        </w:tc>
        <w:tc>
          <w:tcPr>
            <w:tcW w:w="220" w:type="dxa"/>
            <w:vAlign w:val="bottom"/>
          </w:tcPr>
          <w:p>
            <w:pPr>
              <w:spacing w:after="0"/>
              <w:rPr>
                <w:sz w:val="14"/>
                <w:szCs w:val="14"/>
                <w:color w:val="auto"/>
              </w:rPr>
            </w:pPr>
          </w:p>
        </w:tc>
        <w:tc>
          <w:tcPr>
            <w:tcW w:w="1040" w:type="dxa"/>
            <w:vAlign w:val="bottom"/>
          </w:tcPr>
          <w:p>
            <w:pPr>
              <w:jc w:val="right"/>
              <w:spacing w:after="0"/>
              <w:rPr>
                <w:sz w:val="20"/>
                <w:szCs w:val="20"/>
                <w:color w:val="auto"/>
              </w:rPr>
            </w:pPr>
            <w:r>
              <w:rPr>
                <w:rFonts w:ascii="Arial" w:cs="Arial" w:eastAsia="Arial" w:hAnsi="Arial"/>
                <w:sz w:val="14"/>
                <w:szCs w:val="14"/>
                <w:color w:val="auto"/>
              </w:rPr>
              <w:t>-</w:t>
            </w:r>
          </w:p>
        </w:tc>
        <w:tc>
          <w:tcPr>
            <w:tcW w:w="800" w:type="dxa"/>
            <w:vAlign w:val="bottom"/>
            <w:gridSpan w:val="2"/>
          </w:tcPr>
          <w:p>
            <w:pPr>
              <w:jc w:val="right"/>
              <w:spacing w:after="0"/>
              <w:rPr>
                <w:sz w:val="20"/>
                <w:szCs w:val="20"/>
                <w:color w:val="auto"/>
              </w:rPr>
            </w:pPr>
            <w:r>
              <w:rPr>
                <w:rFonts w:ascii="Arial" w:cs="Arial" w:eastAsia="Arial" w:hAnsi="Arial"/>
                <w:sz w:val="14"/>
                <w:szCs w:val="14"/>
                <w:color w:val="auto"/>
              </w:rPr>
              <w:t>$1,205</w:t>
            </w:r>
          </w:p>
        </w:tc>
        <w:tc>
          <w:tcPr>
            <w:tcW w:w="660" w:type="dxa"/>
            <w:vAlign w:val="bottom"/>
          </w:tcPr>
          <w:p>
            <w:pPr>
              <w:spacing w:after="0"/>
              <w:rPr>
                <w:sz w:val="20"/>
                <w:szCs w:val="20"/>
                <w:color w:val="auto"/>
              </w:rPr>
            </w:pPr>
            <w:r>
              <w:rPr>
                <w:rFonts w:ascii="Arial" w:cs="Arial" w:eastAsia="Arial" w:hAnsi="Arial"/>
                <w:sz w:val="14"/>
                <w:szCs w:val="14"/>
                <w:color w:val="auto"/>
              </w:rPr>
              <w:t>- $1,498</w:t>
            </w:r>
          </w:p>
        </w:tc>
      </w:tr>
      <w:tr>
        <w:trPr>
          <w:trHeight w:val="162"/>
        </w:trPr>
        <w:tc>
          <w:tcPr>
            <w:tcW w:w="3660" w:type="dxa"/>
            <w:vAlign w:val="bottom"/>
            <w:gridSpan w:val="2"/>
            <w:shd w:val="clear" w:color="auto" w:fill="CFF0FC"/>
          </w:tcPr>
          <w:p>
            <w:pPr>
              <w:ind w:left="380"/>
              <w:spacing w:after="0"/>
              <w:rPr>
                <w:sz w:val="20"/>
                <w:szCs w:val="20"/>
                <w:color w:val="auto"/>
              </w:rPr>
            </w:pPr>
            <w:r>
              <w:rPr>
                <w:rFonts w:ascii="Arial" w:cs="Arial" w:eastAsia="Arial" w:hAnsi="Arial"/>
                <w:sz w:val="14"/>
                <w:szCs w:val="14"/>
                <w:color w:val="auto"/>
              </w:rPr>
              <w:t>Cobblestone, Milpitas</w:t>
            </w:r>
          </w:p>
        </w:tc>
        <w:tc>
          <w:tcPr>
            <w:tcW w:w="960" w:type="dxa"/>
            <w:vAlign w:val="bottom"/>
            <w:shd w:val="clear" w:color="auto" w:fill="CFF0FC"/>
          </w:tcPr>
          <w:p>
            <w:pPr>
              <w:jc w:val="center"/>
              <w:spacing w:after="0"/>
              <w:rPr>
                <w:sz w:val="20"/>
                <w:szCs w:val="20"/>
                <w:color w:val="auto"/>
              </w:rPr>
            </w:pPr>
            <w:r>
              <w:rPr>
                <w:rFonts w:ascii="Arial" w:cs="Arial" w:eastAsia="Arial" w:hAnsi="Arial"/>
                <w:sz w:val="14"/>
                <w:szCs w:val="14"/>
                <w:color w:val="auto"/>
                <w:w w:val="83"/>
              </w:rPr>
              <w:t>2015</w:t>
            </w:r>
          </w:p>
        </w:tc>
        <w:tc>
          <w:tcPr>
            <w:tcW w:w="100" w:type="dxa"/>
            <w:vAlign w:val="bottom"/>
            <w:shd w:val="clear" w:color="auto" w:fill="CFF0FC"/>
          </w:tcPr>
          <w:p>
            <w:pPr>
              <w:spacing w:after="0"/>
              <w:rPr>
                <w:sz w:val="14"/>
                <w:szCs w:val="14"/>
                <w:color w:val="auto"/>
              </w:rPr>
            </w:pPr>
          </w:p>
        </w:tc>
        <w:tc>
          <w:tcPr>
            <w:tcW w:w="820" w:type="dxa"/>
            <w:vAlign w:val="bottom"/>
            <w:shd w:val="clear" w:color="auto" w:fill="CFF0FC"/>
          </w:tcPr>
          <w:p>
            <w:pPr>
              <w:jc w:val="right"/>
              <w:spacing w:after="0"/>
              <w:rPr>
                <w:sz w:val="20"/>
                <w:szCs w:val="20"/>
                <w:color w:val="auto"/>
              </w:rPr>
            </w:pPr>
            <w:r>
              <w:rPr>
                <w:rFonts w:ascii="Arial" w:cs="Arial" w:eastAsia="Arial" w:hAnsi="Arial"/>
                <w:sz w:val="14"/>
                <w:szCs w:val="14"/>
                <w:color w:val="auto"/>
              </w:rPr>
              <w:t>32</w:t>
            </w:r>
          </w:p>
        </w:tc>
        <w:tc>
          <w:tcPr>
            <w:tcW w:w="200" w:type="dxa"/>
            <w:vAlign w:val="bottom"/>
            <w:shd w:val="clear" w:color="auto" w:fill="CFF0FC"/>
          </w:tcPr>
          <w:p>
            <w:pPr>
              <w:spacing w:after="0"/>
              <w:rPr>
                <w:sz w:val="14"/>
                <w:szCs w:val="14"/>
                <w:color w:val="auto"/>
              </w:rPr>
            </w:pPr>
          </w:p>
        </w:tc>
        <w:tc>
          <w:tcPr>
            <w:tcW w:w="900" w:type="dxa"/>
            <w:vAlign w:val="bottom"/>
            <w:shd w:val="clear" w:color="auto" w:fill="CFF0FC"/>
          </w:tcPr>
          <w:p>
            <w:pPr>
              <w:jc w:val="right"/>
              <w:spacing w:after="0"/>
              <w:rPr>
                <w:sz w:val="20"/>
                <w:szCs w:val="20"/>
                <w:color w:val="auto"/>
              </w:rPr>
            </w:pPr>
            <w:r>
              <w:rPr>
                <w:rFonts w:ascii="Arial" w:cs="Arial" w:eastAsia="Arial" w:hAnsi="Arial"/>
                <w:sz w:val="14"/>
                <w:szCs w:val="14"/>
                <w:color w:val="auto"/>
              </w:rPr>
              <w:t>-</w:t>
            </w:r>
          </w:p>
        </w:tc>
        <w:tc>
          <w:tcPr>
            <w:tcW w:w="220" w:type="dxa"/>
            <w:vAlign w:val="bottom"/>
            <w:shd w:val="clear" w:color="auto" w:fill="CFF0FC"/>
          </w:tcPr>
          <w:p>
            <w:pPr>
              <w:spacing w:after="0"/>
              <w:rPr>
                <w:sz w:val="14"/>
                <w:szCs w:val="14"/>
                <w:color w:val="auto"/>
              </w:rPr>
            </w:pPr>
          </w:p>
        </w:tc>
        <w:tc>
          <w:tcPr>
            <w:tcW w:w="800" w:type="dxa"/>
            <w:vAlign w:val="bottom"/>
            <w:shd w:val="clear" w:color="auto" w:fill="CFF0FC"/>
          </w:tcPr>
          <w:p>
            <w:pPr>
              <w:jc w:val="right"/>
              <w:spacing w:after="0"/>
              <w:rPr>
                <w:sz w:val="20"/>
                <w:szCs w:val="20"/>
                <w:color w:val="auto"/>
              </w:rPr>
            </w:pPr>
            <w:r>
              <w:rPr>
                <w:rFonts w:ascii="Arial" w:cs="Arial" w:eastAsia="Arial" w:hAnsi="Arial"/>
                <w:sz w:val="14"/>
                <w:szCs w:val="14"/>
                <w:color w:val="auto"/>
              </w:rPr>
              <w:t>32</w:t>
            </w:r>
          </w:p>
        </w:tc>
        <w:tc>
          <w:tcPr>
            <w:tcW w:w="220" w:type="dxa"/>
            <w:vAlign w:val="bottom"/>
            <w:shd w:val="clear" w:color="auto" w:fill="CFF0FC"/>
          </w:tcPr>
          <w:p>
            <w:pPr>
              <w:spacing w:after="0"/>
              <w:rPr>
                <w:sz w:val="14"/>
                <w:szCs w:val="14"/>
                <w:color w:val="auto"/>
              </w:rPr>
            </w:pPr>
          </w:p>
        </w:tc>
        <w:tc>
          <w:tcPr>
            <w:tcW w:w="820" w:type="dxa"/>
            <w:vAlign w:val="bottom"/>
            <w:shd w:val="clear" w:color="auto" w:fill="CFF0FC"/>
          </w:tcPr>
          <w:p>
            <w:pPr>
              <w:jc w:val="right"/>
              <w:spacing w:after="0"/>
              <w:rPr>
                <w:sz w:val="20"/>
                <w:szCs w:val="20"/>
                <w:color w:val="auto"/>
              </w:rPr>
            </w:pPr>
            <w:r>
              <w:rPr>
                <w:rFonts w:ascii="Arial" w:cs="Arial" w:eastAsia="Arial" w:hAnsi="Arial"/>
                <w:sz w:val="14"/>
                <w:szCs w:val="14"/>
                <w:color w:val="auto"/>
              </w:rPr>
              <w:t>5</w:t>
            </w:r>
          </w:p>
        </w:tc>
        <w:tc>
          <w:tcPr>
            <w:tcW w:w="220" w:type="dxa"/>
            <w:vAlign w:val="bottom"/>
            <w:shd w:val="clear" w:color="auto" w:fill="CFF0FC"/>
          </w:tcPr>
          <w:p>
            <w:pPr>
              <w:spacing w:after="0"/>
              <w:rPr>
                <w:sz w:val="14"/>
                <w:szCs w:val="14"/>
                <w:color w:val="auto"/>
              </w:rPr>
            </w:pPr>
          </w:p>
        </w:tc>
        <w:tc>
          <w:tcPr>
            <w:tcW w:w="1040" w:type="dxa"/>
            <w:vAlign w:val="bottom"/>
            <w:shd w:val="clear" w:color="auto" w:fill="CFF0FC"/>
          </w:tcPr>
          <w:p>
            <w:pPr>
              <w:jc w:val="right"/>
              <w:spacing w:after="0"/>
              <w:rPr>
                <w:sz w:val="20"/>
                <w:szCs w:val="20"/>
                <w:color w:val="auto"/>
              </w:rPr>
            </w:pPr>
            <w:r>
              <w:rPr>
                <w:rFonts w:ascii="Arial" w:cs="Arial" w:eastAsia="Arial" w:hAnsi="Arial"/>
                <w:sz w:val="14"/>
                <w:szCs w:val="14"/>
                <w:color w:val="auto"/>
              </w:rPr>
              <w:t>-</w:t>
            </w:r>
          </w:p>
        </w:tc>
        <w:tc>
          <w:tcPr>
            <w:tcW w:w="800" w:type="dxa"/>
            <w:vAlign w:val="bottom"/>
            <w:gridSpan w:val="2"/>
            <w:shd w:val="clear" w:color="auto" w:fill="CFF0FC"/>
          </w:tcPr>
          <w:p>
            <w:pPr>
              <w:jc w:val="right"/>
              <w:spacing w:after="0"/>
              <w:rPr>
                <w:sz w:val="20"/>
                <w:szCs w:val="20"/>
                <w:color w:val="auto"/>
              </w:rPr>
            </w:pPr>
            <w:r>
              <w:rPr>
                <w:rFonts w:ascii="Arial" w:cs="Arial" w:eastAsia="Arial" w:hAnsi="Arial"/>
                <w:sz w:val="14"/>
                <w:szCs w:val="14"/>
                <w:color w:val="auto"/>
              </w:rPr>
              <w:t>$835</w:t>
            </w:r>
          </w:p>
        </w:tc>
        <w:tc>
          <w:tcPr>
            <w:tcW w:w="660" w:type="dxa"/>
            <w:vAlign w:val="bottom"/>
            <w:shd w:val="clear" w:color="auto" w:fill="CFF0FC"/>
          </w:tcPr>
          <w:p>
            <w:pPr>
              <w:spacing w:after="0"/>
              <w:rPr>
                <w:sz w:val="20"/>
                <w:szCs w:val="20"/>
                <w:color w:val="auto"/>
              </w:rPr>
            </w:pPr>
            <w:r>
              <w:rPr>
                <w:rFonts w:ascii="Arial" w:cs="Arial" w:eastAsia="Arial" w:hAnsi="Arial"/>
                <w:sz w:val="14"/>
                <w:szCs w:val="14"/>
                <w:color w:val="auto"/>
              </w:rPr>
              <w:t>- $995</w:t>
            </w:r>
          </w:p>
        </w:tc>
      </w:tr>
      <w:tr>
        <w:trPr>
          <w:trHeight w:val="162"/>
        </w:trPr>
        <w:tc>
          <w:tcPr>
            <w:tcW w:w="3660" w:type="dxa"/>
            <w:vAlign w:val="bottom"/>
            <w:gridSpan w:val="2"/>
          </w:tcPr>
          <w:p>
            <w:pPr>
              <w:spacing w:after="0"/>
              <w:rPr>
                <w:sz w:val="20"/>
                <w:szCs w:val="20"/>
                <w:color w:val="auto"/>
              </w:rPr>
            </w:pPr>
            <w:r>
              <w:rPr>
                <w:rFonts w:ascii="Arial" w:cs="Arial" w:eastAsia="Arial" w:hAnsi="Arial"/>
                <w:sz w:val="14"/>
                <w:szCs w:val="14"/>
                <w:color w:val="auto"/>
              </w:rPr>
              <w:t>San Mateo County:</w:t>
            </w:r>
          </w:p>
        </w:tc>
        <w:tc>
          <w:tcPr>
            <w:tcW w:w="9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04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660" w:type="dxa"/>
            <w:vAlign w:val="bottom"/>
          </w:tcPr>
          <w:p>
            <w:pPr>
              <w:spacing w:after="0"/>
              <w:rPr>
                <w:sz w:val="14"/>
                <w:szCs w:val="14"/>
                <w:color w:val="auto"/>
              </w:rPr>
            </w:pPr>
          </w:p>
        </w:tc>
      </w:tr>
      <w:tr>
        <w:trPr>
          <w:trHeight w:val="162"/>
        </w:trPr>
        <w:tc>
          <w:tcPr>
            <w:tcW w:w="3660" w:type="dxa"/>
            <w:vAlign w:val="bottom"/>
            <w:gridSpan w:val="2"/>
            <w:shd w:val="clear" w:color="auto" w:fill="CFF0FC"/>
          </w:tcPr>
          <w:p>
            <w:pPr>
              <w:ind w:left="380"/>
              <w:spacing w:after="0"/>
              <w:rPr>
                <w:sz w:val="20"/>
                <w:szCs w:val="20"/>
                <w:color w:val="auto"/>
              </w:rPr>
            </w:pPr>
            <w:r>
              <w:rPr>
                <w:rFonts w:ascii="Arial" w:cs="Arial" w:eastAsia="Arial" w:hAnsi="Arial"/>
                <w:sz w:val="14"/>
                <w:szCs w:val="14"/>
                <w:color w:val="auto"/>
              </w:rPr>
              <w:t>Canterbury, San Mateo</w:t>
            </w:r>
          </w:p>
        </w:tc>
        <w:tc>
          <w:tcPr>
            <w:tcW w:w="960" w:type="dxa"/>
            <w:vAlign w:val="bottom"/>
            <w:shd w:val="clear" w:color="auto" w:fill="CFF0FC"/>
          </w:tcPr>
          <w:p>
            <w:pPr>
              <w:jc w:val="center"/>
              <w:spacing w:after="0"/>
              <w:rPr>
                <w:sz w:val="20"/>
                <w:szCs w:val="20"/>
                <w:color w:val="auto"/>
              </w:rPr>
            </w:pPr>
            <w:r>
              <w:rPr>
                <w:rFonts w:ascii="Arial" w:cs="Arial" w:eastAsia="Arial" w:hAnsi="Arial"/>
                <w:sz w:val="14"/>
                <w:szCs w:val="14"/>
                <w:color w:val="auto"/>
                <w:w w:val="83"/>
              </w:rPr>
              <w:t>2014</w:t>
            </w:r>
          </w:p>
        </w:tc>
        <w:tc>
          <w:tcPr>
            <w:tcW w:w="100" w:type="dxa"/>
            <w:vAlign w:val="bottom"/>
            <w:shd w:val="clear" w:color="auto" w:fill="CFF0FC"/>
          </w:tcPr>
          <w:p>
            <w:pPr>
              <w:spacing w:after="0"/>
              <w:rPr>
                <w:sz w:val="14"/>
                <w:szCs w:val="14"/>
                <w:color w:val="auto"/>
              </w:rPr>
            </w:pPr>
          </w:p>
        </w:tc>
        <w:tc>
          <w:tcPr>
            <w:tcW w:w="820" w:type="dxa"/>
            <w:vAlign w:val="bottom"/>
            <w:shd w:val="clear" w:color="auto" w:fill="CFF0FC"/>
          </w:tcPr>
          <w:p>
            <w:pPr>
              <w:jc w:val="right"/>
              <w:spacing w:after="0"/>
              <w:rPr>
                <w:sz w:val="20"/>
                <w:szCs w:val="20"/>
                <w:color w:val="auto"/>
              </w:rPr>
            </w:pPr>
            <w:r>
              <w:rPr>
                <w:rFonts w:ascii="Arial" w:cs="Arial" w:eastAsia="Arial" w:hAnsi="Arial"/>
                <w:sz w:val="14"/>
                <w:szCs w:val="14"/>
                <w:color w:val="auto"/>
              </w:rPr>
              <w:t>76</w:t>
            </w:r>
          </w:p>
        </w:tc>
        <w:tc>
          <w:tcPr>
            <w:tcW w:w="200" w:type="dxa"/>
            <w:vAlign w:val="bottom"/>
            <w:shd w:val="clear" w:color="auto" w:fill="CFF0FC"/>
          </w:tcPr>
          <w:p>
            <w:pPr>
              <w:spacing w:after="0"/>
              <w:rPr>
                <w:sz w:val="14"/>
                <w:szCs w:val="14"/>
                <w:color w:val="auto"/>
              </w:rPr>
            </w:pPr>
          </w:p>
        </w:tc>
        <w:tc>
          <w:tcPr>
            <w:tcW w:w="900" w:type="dxa"/>
            <w:vAlign w:val="bottom"/>
            <w:shd w:val="clear" w:color="auto" w:fill="CFF0FC"/>
          </w:tcPr>
          <w:p>
            <w:pPr>
              <w:jc w:val="right"/>
              <w:spacing w:after="0"/>
              <w:rPr>
                <w:sz w:val="20"/>
                <w:szCs w:val="20"/>
                <w:color w:val="auto"/>
              </w:rPr>
            </w:pPr>
            <w:r>
              <w:rPr>
                <w:rFonts w:ascii="Arial" w:cs="Arial" w:eastAsia="Arial" w:hAnsi="Arial"/>
                <w:sz w:val="14"/>
                <w:szCs w:val="14"/>
                <w:color w:val="auto"/>
              </w:rPr>
              <w:t>42</w:t>
            </w:r>
          </w:p>
        </w:tc>
        <w:tc>
          <w:tcPr>
            <w:tcW w:w="220" w:type="dxa"/>
            <w:vAlign w:val="bottom"/>
            <w:shd w:val="clear" w:color="auto" w:fill="CFF0FC"/>
          </w:tcPr>
          <w:p>
            <w:pPr>
              <w:spacing w:after="0"/>
              <w:rPr>
                <w:sz w:val="14"/>
                <w:szCs w:val="14"/>
                <w:color w:val="auto"/>
              </w:rPr>
            </w:pPr>
          </w:p>
        </w:tc>
        <w:tc>
          <w:tcPr>
            <w:tcW w:w="800" w:type="dxa"/>
            <w:vAlign w:val="bottom"/>
            <w:shd w:val="clear" w:color="auto" w:fill="CFF0FC"/>
          </w:tcPr>
          <w:p>
            <w:pPr>
              <w:jc w:val="right"/>
              <w:spacing w:after="0"/>
              <w:rPr>
                <w:sz w:val="20"/>
                <w:szCs w:val="20"/>
                <w:color w:val="auto"/>
              </w:rPr>
            </w:pPr>
            <w:r>
              <w:rPr>
                <w:rFonts w:ascii="Arial" w:cs="Arial" w:eastAsia="Arial" w:hAnsi="Arial"/>
                <w:sz w:val="14"/>
                <w:szCs w:val="14"/>
                <w:color w:val="auto"/>
              </w:rPr>
              <w:t>34</w:t>
            </w:r>
          </w:p>
        </w:tc>
        <w:tc>
          <w:tcPr>
            <w:tcW w:w="220" w:type="dxa"/>
            <w:vAlign w:val="bottom"/>
            <w:shd w:val="clear" w:color="auto" w:fill="CFF0FC"/>
          </w:tcPr>
          <w:p>
            <w:pPr>
              <w:spacing w:after="0"/>
              <w:rPr>
                <w:sz w:val="14"/>
                <w:szCs w:val="14"/>
                <w:color w:val="auto"/>
              </w:rPr>
            </w:pPr>
          </w:p>
        </w:tc>
        <w:tc>
          <w:tcPr>
            <w:tcW w:w="820" w:type="dxa"/>
            <w:vAlign w:val="bottom"/>
            <w:shd w:val="clear" w:color="auto" w:fill="CFF0FC"/>
          </w:tcPr>
          <w:p>
            <w:pPr>
              <w:jc w:val="right"/>
              <w:spacing w:after="0"/>
              <w:rPr>
                <w:sz w:val="20"/>
                <w:szCs w:val="20"/>
                <w:color w:val="auto"/>
              </w:rPr>
            </w:pPr>
            <w:r>
              <w:rPr>
                <w:rFonts w:ascii="Arial" w:cs="Arial" w:eastAsia="Arial" w:hAnsi="Arial"/>
                <w:sz w:val="14"/>
                <w:szCs w:val="14"/>
                <w:color w:val="auto"/>
              </w:rPr>
              <w:t>30</w:t>
            </w:r>
          </w:p>
        </w:tc>
        <w:tc>
          <w:tcPr>
            <w:tcW w:w="220" w:type="dxa"/>
            <w:vAlign w:val="bottom"/>
            <w:shd w:val="clear" w:color="auto" w:fill="CFF0FC"/>
          </w:tcPr>
          <w:p>
            <w:pPr>
              <w:spacing w:after="0"/>
              <w:rPr>
                <w:sz w:val="14"/>
                <w:szCs w:val="14"/>
                <w:color w:val="auto"/>
              </w:rPr>
            </w:pPr>
          </w:p>
        </w:tc>
        <w:tc>
          <w:tcPr>
            <w:tcW w:w="1040" w:type="dxa"/>
            <w:vAlign w:val="bottom"/>
            <w:shd w:val="clear" w:color="auto" w:fill="CFF0FC"/>
          </w:tcPr>
          <w:p>
            <w:pPr>
              <w:jc w:val="right"/>
              <w:spacing w:after="0"/>
              <w:rPr>
                <w:sz w:val="20"/>
                <w:szCs w:val="20"/>
                <w:color w:val="auto"/>
              </w:rPr>
            </w:pPr>
            <w:r>
              <w:rPr>
                <w:rFonts w:ascii="Arial" w:cs="Arial" w:eastAsia="Arial" w:hAnsi="Arial"/>
                <w:sz w:val="14"/>
                <w:szCs w:val="14"/>
                <w:color w:val="auto"/>
              </w:rPr>
              <w:t>16</w:t>
            </w:r>
          </w:p>
        </w:tc>
        <w:tc>
          <w:tcPr>
            <w:tcW w:w="1460" w:type="dxa"/>
            <w:vAlign w:val="bottom"/>
            <w:gridSpan w:val="3"/>
            <w:shd w:val="clear" w:color="auto" w:fill="CFF0FC"/>
          </w:tcPr>
          <w:p>
            <w:pPr>
              <w:jc w:val="center"/>
              <w:ind w:left="132"/>
              <w:spacing w:after="0"/>
              <w:rPr>
                <w:sz w:val="20"/>
                <w:szCs w:val="20"/>
                <w:color w:val="auto"/>
              </w:rPr>
            </w:pPr>
            <w:r>
              <w:rPr>
                <w:rFonts w:ascii="Arial" w:cs="Arial" w:eastAsia="Arial" w:hAnsi="Arial"/>
                <w:sz w:val="14"/>
                <w:szCs w:val="14"/>
                <w:color w:val="auto"/>
                <w:w w:val="85"/>
              </w:rPr>
              <w:t>$940 - $1,230</w:t>
            </w:r>
          </w:p>
        </w:tc>
      </w:tr>
      <w:tr>
        <w:trPr>
          <w:trHeight w:val="162"/>
        </w:trPr>
        <w:tc>
          <w:tcPr>
            <w:tcW w:w="3660" w:type="dxa"/>
            <w:vAlign w:val="bottom"/>
            <w:gridSpan w:val="2"/>
          </w:tcPr>
          <w:p>
            <w:pPr>
              <w:spacing w:after="0"/>
              <w:rPr>
                <w:sz w:val="20"/>
                <w:szCs w:val="20"/>
                <w:color w:val="auto"/>
              </w:rPr>
            </w:pPr>
            <w:r>
              <w:rPr>
                <w:rFonts w:ascii="Arial" w:cs="Arial" w:eastAsia="Arial" w:hAnsi="Arial"/>
                <w:sz w:val="14"/>
                <w:szCs w:val="14"/>
                <w:color w:val="auto"/>
              </w:rPr>
              <w:t>Solano County:</w:t>
            </w:r>
          </w:p>
        </w:tc>
        <w:tc>
          <w:tcPr>
            <w:tcW w:w="9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04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660" w:type="dxa"/>
            <w:vAlign w:val="bottom"/>
          </w:tcPr>
          <w:p>
            <w:pPr>
              <w:spacing w:after="0"/>
              <w:rPr>
                <w:sz w:val="14"/>
                <w:szCs w:val="14"/>
                <w:color w:val="auto"/>
              </w:rPr>
            </w:pPr>
          </w:p>
        </w:tc>
      </w:tr>
      <w:tr>
        <w:trPr>
          <w:trHeight w:val="162"/>
        </w:trPr>
        <w:tc>
          <w:tcPr>
            <w:tcW w:w="3660" w:type="dxa"/>
            <w:vAlign w:val="bottom"/>
            <w:gridSpan w:val="2"/>
            <w:shd w:val="clear" w:color="auto" w:fill="CFF0FC"/>
          </w:tcPr>
          <w:p>
            <w:pPr>
              <w:ind w:left="380"/>
              <w:spacing w:after="0"/>
              <w:rPr>
                <w:sz w:val="20"/>
                <w:szCs w:val="20"/>
                <w:color w:val="auto"/>
              </w:rPr>
            </w:pPr>
            <w:r>
              <w:rPr>
                <w:rFonts w:ascii="Arial" w:cs="Arial" w:eastAsia="Arial" w:hAnsi="Arial"/>
                <w:sz w:val="14"/>
                <w:szCs w:val="14"/>
                <w:color w:val="auto"/>
              </w:rPr>
              <w:t>Redstone, Vacaville</w:t>
            </w:r>
          </w:p>
        </w:tc>
        <w:tc>
          <w:tcPr>
            <w:tcW w:w="960" w:type="dxa"/>
            <w:vAlign w:val="bottom"/>
            <w:shd w:val="clear" w:color="auto" w:fill="CFF0FC"/>
          </w:tcPr>
          <w:p>
            <w:pPr>
              <w:jc w:val="center"/>
              <w:spacing w:after="0"/>
              <w:rPr>
                <w:sz w:val="20"/>
                <w:szCs w:val="20"/>
                <w:color w:val="auto"/>
              </w:rPr>
            </w:pPr>
            <w:r>
              <w:rPr>
                <w:rFonts w:ascii="Arial" w:cs="Arial" w:eastAsia="Arial" w:hAnsi="Arial"/>
                <w:sz w:val="14"/>
                <w:szCs w:val="14"/>
                <w:color w:val="auto"/>
                <w:w w:val="83"/>
              </w:rPr>
              <w:t>2015</w:t>
            </w:r>
          </w:p>
        </w:tc>
        <w:tc>
          <w:tcPr>
            <w:tcW w:w="100" w:type="dxa"/>
            <w:vAlign w:val="bottom"/>
            <w:shd w:val="clear" w:color="auto" w:fill="CFF0FC"/>
          </w:tcPr>
          <w:p>
            <w:pPr>
              <w:spacing w:after="0"/>
              <w:rPr>
                <w:sz w:val="14"/>
                <w:szCs w:val="14"/>
                <w:color w:val="auto"/>
              </w:rPr>
            </w:pPr>
          </w:p>
        </w:tc>
        <w:tc>
          <w:tcPr>
            <w:tcW w:w="820" w:type="dxa"/>
            <w:vAlign w:val="bottom"/>
            <w:shd w:val="clear" w:color="auto" w:fill="CFF0FC"/>
          </w:tcPr>
          <w:p>
            <w:pPr>
              <w:jc w:val="right"/>
              <w:spacing w:after="0"/>
              <w:rPr>
                <w:sz w:val="20"/>
                <w:szCs w:val="20"/>
                <w:color w:val="auto"/>
              </w:rPr>
            </w:pPr>
            <w:r>
              <w:rPr>
                <w:rFonts w:ascii="Arial" w:cs="Arial" w:eastAsia="Arial" w:hAnsi="Arial"/>
                <w:sz w:val="14"/>
                <w:szCs w:val="14"/>
                <w:color w:val="auto"/>
              </w:rPr>
              <w:t>141</w:t>
            </w:r>
          </w:p>
        </w:tc>
        <w:tc>
          <w:tcPr>
            <w:tcW w:w="200" w:type="dxa"/>
            <w:vAlign w:val="bottom"/>
            <w:shd w:val="clear" w:color="auto" w:fill="CFF0FC"/>
          </w:tcPr>
          <w:p>
            <w:pPr>
              <w:spacing w:after="0"/>
              <w:rPr>
                <w:sz w:val="14"/>
                <w:szCs w:val="14"/>
                <w:color w:val="auto"/>
              </w:rPr>
            </w:pPr>
          </w:p>
        </w:tc>
        <w:tc>
          <w:tcPr>
            <w:tcW w:w="900" w:type="dxa"/>
            <w:vAlign w:val="bottom"/>
            <w:shd w:val="clear" w:color="auto" w:fill="CFF0FC"/>
          </w:tcPr>
          <w:p>
            <w:pPr>
              <w:jc w:val="right"/>
              <w:spacing w:after="0"/>
              <w:rPr>
                <w:sz w:val="20"/>
                <w:szCs w:val="20"/>
                <w:color w:val="auto"/>
              </w:rPr>
            </w:pPr>
            <w:r>
              <w:rPr>
                <w:rFonts w:ascii="Arial" w:cs="Arial" w:eastAsia="Arial" w:hAnsi="Arial"/>
                <w:sz w:val="14"/>
                <w:szCs w:val="14"/>
                <w:color w:val="auto"/>
              </w:rPr>
              <w:t>-</w:t>
            </w:r>
          </w:p>
        </w:tc>
        <w:tc>
          <w:tcPr>
            <w:tcW w:w="220" w:type="dxa"/>
            <w:vAlign w:val="bottom"/>
            <w:shd w:val="clear" w:color="auto" w:fill="CFF0FC"/>
          </w:tcPr>
          <w:p>
            <w:pPr>
              <w:spacing w:after="0"/>
              <w:rPr>
                <w:sz w:val="14"/>
                <w:szCs w:val="14"/>
                <w:color w:val="auto"/>
              </w:rPr>
            </w:pPr>
          </w:p>
        </w:tc>
        <w:tc>
          <w:tcPr>
            <w:tcW w:w="800" w:type="dxa"/>
            <w:vAlign w:val="bottom"/>
            <w:shd w:val="clear" w:color="auto" w:fill="CFF0FC"/>
          </w:tcPr>
          <w:p>
            <w:pPr>
              <w:jc w:val="right"/>
              <w:spacing w:after="0"/>
              <w:rPr>
                <w:sz w:val="20"/>
                <w:szCs w:val="20"/>
                <w:color w:val="auto"/>
              </w:rPr>
            </w:pPr>
            <w:r>
              <w:rPr>
                <w:rFonts w:ascii="Arial" w:cs="Arial" w:eastAsia="Arial" w:hAnsi="Arial"/>
                <w:sz w:val="14"/>
                <w:szCs w:val="14"/>
                <w:color w:val="auto"/>
              </w:rPr>
              <w:t>141</w:t>
            </w:r>
          </w:p>
        </w:tc>
        <w:tc>
          <w:tcPr>
            <w:tcW w:w="220" w:type="dxa"/>
            <w:vAlign w:val="bottom"/>
            <w:shd w:val="clear" w:color="auto" w:fill="CFF0FC"/>
          </w:tcPr>
          <w:p>
            <w:pPr>
              <w:spacing w:after="0"/>
              <w:rPr>
                <w:sz w:val="14"/>
                <w:szCs w:val="14"/>
                <w:color w:val="auto"/>
              </w:rPr>
            </w:pPr>
          </w:p>
        </w:tc>
        <w:tc>
          <w:tcPr>
            <w:tcW w:w="820" w:type="dxa"/>
            <w:vAlign w:val="bottom"/>
            <w:shd w:val="clear" w:color="auto" w:fill="CFF0FC"/>
          </w:tcPr>
          <w:p>
            <w:pPr>
              <w:jc w:val="right"/>
              <w:spacing w:after="0"/>
              <w:rPr>
                <w:sz w:val="20"/>
                <w:szCs w:val="20"/>
                <w:color w:val="auto"/>
              </w:rPr>
            </w:pPr>
            <w:r>
              <w:rPr>
                <w:rFonts w:ascii="Arial" w:cs="Arial" w:eastAsia="Arial" w:hAnsi="Arial"/>
                <w:sz w:val="14"/>
                <w:szCs w:val="14"/>
                <w:color w:val="auto"/>
              </w:rPr>
              <w:t>9</w:t>
            </w:r>
          </w:p>
        </w:tc>
        <w:tc>
          <w:tcPr>
            <w:tcW w:w="220" w:type="dxa"/>
            <w:vAlign w:val="bottom"/>
            <w:shd w:val="clear" w:color="auto" w:fill="CFF0FC"/>
          </w:tcPr>
          <w:p>
            <w:pPr>
              <w:spacing w:after="0"/>
              <w:rPr>
                <w:sz w:val="14"/>
                <w:szCs w:val="14"/>
                <w:color w:val="auto"/>
              </w:rPr>
            </w:pPr>
          </w:p>
        </w:tc>
        <w:tc>
          <w:tcPr>
            <w:tcW w:w="1040" w:type="dxa"/>
            <w:vAlign w:val="bottom"/>
            <w:shd w:val="clear" w:color="auto" w:fill="CFF0FC"/>
          </w:tcPr>
          <w:p>
            <w:pPr>
              <w:jc w:val="right"/>
              <w:spacing w:after="0"/>
              <w:rPr>
                <w:sz w:val="20"/>
                <w:szCs w:val="20"/>
                <w:color w:val="auto"/>
              </w:rPr>
            </w:pPr>
            <w:r>
              <w:rPr>
                <w:rFonts w:ascii="Arial" w:cs="Arial" w:eastAsia="Arial" w:hAnsi="Arial"/>
                <w:sz w:val="14"/>
                <w:szCs w:val="14"/>
                <w:color w:val="auto"/>
              </w:rPr>
              <w:t>-</w:t>
            </w:r>
          </w:p>
        </w:tc>
        <w:tc>
          <w:tcPr>
            <w:tcW w:w="800" w:type="dxa"/>
            <w:vAlign w:val="bottom"/>
            <w:gridSpan w:val="2"/>
            <w:shd w:val="clear" w:color="auto" w:fill="CFF0FC"/>
          </w:tcPr>
          <w:p>
            <w:pPr>
              <w:jc w:val="right"/>
              <w:spacing w:after="0"/>
              <w:rPr>
                <w:sz w:val="20"/>
                <w:szCs w:val="20"/>
                <w:color w:val="auto"/>
              </w:rPr>
            </w:pPr>
            <w:r>
              <w:rPr>
                <w:rFonts w:ascii="Arial" w:cs="Arial" w:eastAsia="Arial" w:hAnsi="Arial"/>
                <w:sz w:val="14"/>
                <w:szCs w:val="14"/>
                <w:color w:val="auto"/>
              </w:rPr>
              <w:t>$435</w:t>
            </w:r>
          </w:p>
        </w:tc>
        <w:tc>
          <w:tcPr>
            <w:tcW w:w="660" w:type="dxa"/>
            <w:vAlign w:val="bottom"/>
            <w:shd w:val="clear" w:color="auto" w:fill="CFF0FC"/>
          </w:tcPr>
          <w:p>
            <w:pPr>
              <w:spacing w:after="0"/>
              <w:rPr>
                <w:sz w:val="20"/>
                <w:szCs w:val="20"/>
                <w:color w:val="auto"/>
              </w:rPr>
            </w:pPr>
            <w:r>
              <w:rPr>
                <w:rFonts w:ascii="Arial" w:cs="Arial" w:eastAsia="Arial" w:hAnsi="Arial"/>
                <w:sz w:val="14"/>
                <w:szCs w:val="14"/>
                <w:color w:val="auto"/>
              </w:rPr>
              <w:t>- $510</w:t>
            </w:r>
          </w:p>
        </w:tc>
      </w:tr>
      <w:tr>
        <w:trPr>
          <w:trHeight w:val="162"/>
        </w:trPr>
        <w:tc>
          <w:tcPr>
            <w:tcW w:w="3660" w:type="dxa"/>
            <w:vAlign w:val="bottom"/>
            <w:gridSpan w:val="2"/>
          </w:tcPr>
          <w:p>
            <w:pPr>
              <w:spacing w:after="0"/>
              <w:rPr>
                <w:sz w:val="20"/>
                <w:szCs w:val="20"/>
                <w:color w:val="auto"/>
              </w:rPr>
            </w:pPr>
            <w:r>
              <w:rPr>
                <w:rFonts w:ascii="Arial" w:cs="Arial" w:eastAsia="Arial" w:hAnsi="Arial"/>
                <w:sz w:val="14"/>
                <w:szCs w:val="14"/>
                <w:color w:val="auto"/>
              </w:rPr>
              <w:t>San Joaquin County:</w:t>
            </w:r>
          </w:p>
        </w:tc>
        <w:tc>
          <w:tcPr>
            <w:tcW w:w="9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04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660" w:type="dxa"/>
            <w:vAlign w:val="bottom"/>
          </w:tcPr>
          <w:p>
            <w:pPr>
              <w:spacing w:after="0"/>
              <w:rPr>
                <w:sz w:val="14"/>
                <w:szCs w:val="14"/>
                <w:color w:val="auto"/>
              </w:rPr>
            </w:pPr>
          </w:p>
        </w:tc>
      </w:tr>
      <w:tr>
        <w:trPr>
          <w:trHeight w:val="162"/>
        </w:trPr>
        <w:tc>
          <w:tcPr>
            <w:tcW w:w="3660" w:type="dxa"/>
            <w:vAlign w:val="bottom"/>
            <w:gridSpan w:val="2"/>
            <w:shd w:val="clear" w:color="auto" w:fill="CFF0FC"/>
          </w:tcPr>
          <w:p>
            <w:pPr>
              <w:ind w:left="380"/>
              <w:spacing w:after="0"/>
              <w:rPr>
                <w:sz w:val="20"/>
                <w:szCs w:val="20"/>
                <w:color w:val="auto"/>
              </w:rPr>
            </w:pPr>
            <w:r>
              <w:rPr>
                <w:rFonts w:ascii="Arial" w:cs="Arial" w:eastAsia="Arial" w:hAnsi="Arial"/>
                <w:sz w:val="14"/>
                <w:szCs w:val="14"/>
                <w:color w:val="auto"/>
              </w:rPr>
              <w:t>Ventana, Tracy</w:t>
            </w:r>
          </w:p>
        </w:tc>
        <w:tc>
          <w:tcPr>
            <w:tcW w:w="960" w:type="dxa"/>
            <w:vAlign w:val="bottom"/>
            <w:shd w:val="clear" w:color="auto" w:fill="CFF0FC"/>
          </w:tcPr>
          <w:p>
            <w:pPr>
              <w:jc w:val="center"/>
              <w:spacing w:after="0"/>
              <w:rPr>
                <w:sz w:val="20"/>
                <w:szCs w:val="20"/>
                <w:color w:val="auto"/>
              </w:rPr>
            </w:pPr>
            <w:r>
              <w:rPr>
                <w:rFonts w:ascii="Arial" w:cs="Arial" w:eastAsia="Arial" w:hAnsi="Arial"/>
                <w:sz w:val="14"/>
                <w:szCs w:val="14"/>
                <w:color w:val="auto"/>
                <w:w w:val="83"/>
              </w:rPr>
              <w:t>2015</w:t>
            </w:r>
          </w:p>
        </w:tc>
        <w:tc>
          <w:tcPr>
            <w:tcW w:w="100" w:type="dxa"/>
            <w:vAlign w:val="bottom"/>
            <w:shd w:val="clear" w:color="auto" w:fill="CFF0FC"/>
          </w:tcPr>
          <w:p>
            <w:pPr>
              <w:spacing w:after="0"/>
              <w:rPr>
                <w:sz w:val="14"/>
                <w:szCs w:val="14"/>
                <w:color w:val="auto"/>
              </w:rPr>
            </w:pPr>
          </w:p>
        </w:tc>
        <w:tc>
          <w:tcPr>
            <w:tcW w:w="820" w:type="dxa"/>
            <w:vAlign w:val="bottom"/>
            <w:shd w:val="clear" w:color="auto" w:fill="CFF0FC"/>
          </w:tcPr>
          <w:p>
            <w:pPr>
              <w:jc w:val="right"/>
              <w:spacing w:after="0"/>
              <w:rPr>
                <w:sz w:val="20"/>
                <w:szCs w:val="20"/>
                <w:color w:val="auto"/>
              </w:rPr>
            </w:pPr>
            <w:r>
              <w:rPr>
                <w:rFonts w:ascii="Arial" w:cs="Arial" w:eastAsia="Arial" w:hAnsi="Arial"/>
                <w:sz w:val="14"/>
                <w:szCs w:val="14"/>
                <w:color w:val="auto"/>
              </w:rPr>
              <w:t>93</w:t>
            </w:r>
          </w:p>
        </w:tc>
        <w:tc>
          <w:tcPr>
            <w:tcW w:w="200" w:type="dxa"/>
            <w:vAlign w:val="bottom"/>
            <w:shd w:val="clear" w:color="auto" w:fill="CFF0FC"/>
          </w:tcPr>
          <w:p>
            <w:pPr>
              <w:spacing w:after="0"/>
              <w:rPr>
                <w:sz w:val="14"/>
                <w:szCs w:val="14"/>
                <w:color w:val="auto"/>
              </w:rPr>
            </w:pPr>
          </w:p>
        </w:tc>
        <w:tc>
          <w:tcPr>
            <w:tcW w:w="900" w:type="dxa"/>
            <w:vAlign w:val="bottom"/>
            <w:shd w:val="clear" w:color="auto" w:fill="CFF0FC"/>
          </w:tcPr>
          <w:p>
            <w:pPr>
              <w:jc w:val="right"/>
              <w:spacing w:after="0"/>
              <w:rPr>
                <w:sz w:val="20"/>
                <w:szCs w:val="20"/>
                <w:color w:val="auto"/>
              </w:rPr>
            </w:pPr>
            <w:r>
              <w:rPr>
                <w:rFonts w:ascii="Arial" w:cs="Arial" w:eastAsia="Arial" w:hAnsi="Arial"/>
                <w:sz w:val="14"/>
                <w:szCs w:val="14"/>
                <w:color w:val="auto"/>
              </w:rPr>
              <w:t>-</w:t>
            </w:r>
          </w:p>
        </w:tc>
        <w:tc>
          <w:tcPr>
            <w:tcW w:w="220" w:type="dxa"/>
            <w:vAlign w:val="bottom"/>
            <w:shd w:val="clear" w:color="auto" w:fill="CFF0FC"/>
          </w:tcPr>
          <w:p>
            <w:pPr>
              <w:spacing w:after="0"/>
              <w:rPr>
                <w:sz w:val="14"/>
                <w:szCs w:val="14"/>
                <w:color w:val="auto"/>
              </w:rPr>
            </w:pPr>
          </w:p>
        </w:tc>
        <w:tc>
          <w:tcPr>
            <w:tcW w:w="800" w:type="dxa"/>
            <w:vAlign w:val="bottom"/>
            <w:shd w:val="clear" w:color="auto" w:fill="CFF0FC"/>
          </w:tcPr>
          <w:p>
            <w:pPr>
              <w:jc w:val="right"/>
              <w:spacing w:after="0"/>
              <w:rPr>
                <w:sz w:val="20"/>
                <w:szCs w:val="20"/>
                <w:color w:val="auto"/>
              </w:rPr>
            </w:pPr>
            <w:r>
              <w:rPr>
                <w:rFonts w:ascii="Arial" w:cs="Arial" w:eastAsia="Arial" w:hAnsi="Arial"/>
                <w:sz w:val="14"/>
                <w:szCs w:val="14"/>
                <w:color w:val="auto"/>
              </w:rPr>
              <w:t>93</w:t>
            </w:r>
          </w:p>
        </w:tc>
        <w:tc>
          <w:tcPr>
            <w:tcW w:w="220" w:type="dxa"/>
            <w:vAlign w:val="bottom"/>
            <w:shd w:val="clear" w:color="auto" w:fill="CFF0FC"/>
          </w:tcPr>
          <w:p>
            <w:pPr>
              <w:spacing w:after="0"/>
              <w:rPr>
                <w:sz w:val="14"/>
                <w:szCs w:val="14"/>
                <w:color w:val="auto"/>
              </w:rPr>
            </w:pPr>
          </w:p>
        </w:tc>
        <w:tc>
          <w:tcPr>
            <w:tcW w:w="820" w:type="dxa"/>
            <w:vAlign w:val="bottom"/>
            <w:shd w:val="clear" w:color="auto" w:fill="CFF0FC"/>
          </w:tcPr>
          <w:p>
            <w:pPr>
              <w:jc w:val="right"/>
              <w:spacing w:after="0"/>
              <w:rPr>
                <w:sz w:val="20"/>
                <w:szCs w:val="20"/>
                <w:color w:val="auto"/>
              </w:rPr>
            </w:pPr>
            <w:r>
              <w:rPr>
                <w:rFonts w:ascii="Arial" w:cs="Arial" w:eastAsia="Arial" w:hAnsi="Arial"/>
                <w:sz w:val="14"/>
                <w:szCs w:val="14"/>
                <w:color w:val="auto"/>
              </w:rPr>
              <w:t>8</w:t>
            </w:r>
          </w:p>
        </w:tc>
        <w:tc>
          <w:tcPr>
            <w:tcW w:w="220" w:type="dxa"/>
            <w:vAlign w:val="bottom"/>
            <w:shd w:val="clear" w:color="auto" w:fill="CFF0FC"/>
          </w:tcPr>
          <w:p>
            <w:pPr>
              <w:spacing w:after="0"/>
              <w:rPr>
                <w:sz w:val="14"/>
                <w:szCs w:val="14"/>
                <w:color w:val="auto"/>
              </w:rPr>
            </w:pPr>
          </w:p>
        </w:tc>
        <w:tc>
          <w:tcPr>
            <w:tcW w:w="1040" w:type="dxa"/>
            <w:vAlign w:val="bottom"/>
            <w:shd w:val="clear" w:color="auto" w:fill="CFF0FC"/>
          </w:tcPr>
          <w:p>
            <w:pPr>
              <w:jc w:val="right"/>
              <w:spacing w:after="0"/>
              <w:rPr>
                <w:sz w:val="20"/>
                <w:szCs w:val="20"/>
                <w:color w:val="auto"/>
              </w:rPr>
            </w:pPr>
            <w:r>
              <w:rPr>
                <w:rFonts w:ascii="Arial" w:cs="Arial" w:eastAsia="Arial" w:hAnsi="Arial"/>
                <w:sz w:val="14"/>
                <w:szCs w:val="14"/>
                <w:color w:val="auto"/>
              </w:rPr>
              <w:t>-</w:t>
            </w:r>
          </w:p>
        </w:tc>
        <w:tc>
          <w:tcPr>
            <w:tcW w:w="800" w:type="dxa"/>
            <w:vAlign w:val="bottom"/>
            <w:gridSpan w:val="2"/>
            <w:shd w:val="clear" w:color="auto" w:fill="CFF0FC"/>
          </w:tcPr>
          <w:p>
            <w:pPr>
              <w:jc w:val="right"/>
              <w:spacing w:after="0"/>
              <w:rPr>
                <w:sz w:val="20"/>
                <w:szCs w:val="20"/>
                <w:color w:val="auto"/>
              </w:rPr>
            </w:pPr>
            <w:r>
              <w:rPr>
                <w:rFonts w:ascii="Arial" w:cs="Arial" w:eastAsia="Arial" w:hAnsi="Arial"/>
                <w:sz w:val="14"/>
                <w:szCs w:val="14"/>
                <w:color w:val="auto"/>
              </w:rPr>
              <w:t>$435</w:t>
            </w:r>
          </w:p>
        </w:tc>
        <w:tc>
          <w:tcPr>
            <w:tcW w:w="660" w:type="dxa"/>
            <w:vAlign w:val="bottom"/>
            <w:shd w:val="clear" w:color="auto" w:fill="CFF0FC"/>
          </w:tcPr>
          <w:p>
            <w:pPr>
              <w:spacing w:after="0"/>
              <w:rPr>
                <w:sz w:val="20"/>
                <w:szCs w:val="20"/>
                <w:color w:val="auto"/>
              </w:rPr>
            </w:pPr>
            <w:r>
              <w:rPr>
                <w:rFonts w:ascii="Arial" w:cs="Arial" w:eastAsia="Arial" w:hAnsi="Arial"/>
                <w:sz w:val="14"/>
                <w:szCs w:val="14"/>
                <w:color w:val="auto"/>
              </w:rPr>
              <w:t>- $535</w:t>
            </w:r>
          </w:p>
        </w:tc>
      </w:tr>
      <w:tr>
        <w:trPr>
          <w:trHeight w:val="162"/>
        </w:trPr>
        <w:tc>
          <w:tcPr>
            <w:tcW w:w="3660" w:type="dxa"/>
            <w:vAlign w:val="bottom"/>
            <w:gridSpan w:val="2"/>
          </w:tcPr>
          <w:p>
            <w:pPr>
              <w:ind w:left="380"/>
              <w:spacing w:after="0"/>
              <w:rPr>
                <w:sz w:val="20"/>
                <w:szCs w:val="20"/>
                <w:color w:val="auto"/>
              </w:rPr>
            </w:pPr>
            <w:r>
              <w:rPr>
                <w:rFonts w:ascii="Arial" w:cs="Arial" w:eastAsia="Arial" w:hAnsi="Arial"/>
                <w:sz w:val="14"/>
                <w:szCs w:val="14"/>
                <w:color w:val="auto"/>
              </w:rPr>
              <w:t>Hansen Village, Mountain House</w:t>
            </w:r>
          </w:p>
        </w:tc>
        <w:tc>
          <w:tcPr>
            <w:tcW w:w="960" w:type="dxa"/>
            <w:vAlign w:val="bottom"/>
          </w:tcPr>
          <w:p>
            <w:pPr>
              <w:jc w:val="center"/>
              <w:spacing w:after="0"/>
              <w:rPr>
                <w:sz w:val="20"/>
                <w:szCs w:val="20"/>
                <w:color w:val="auto"/>
              </w:rPr>
            </w:pPr>
            <w:r>
              <w:rPr>
                <w:rFonts w:ascii="Arial" w:cs="Arial" w:eastAsia="Arial" w:hAnsi="Arial"/>
                <w:sz w:val="14"/>
                <w:szCs w:val="14"/>
                <w:color w:val="auto"/>
                <w:w w:val="83"/>
              </w:rPr>
              <w:t>2015</w:t>
            </w:r>
          </w:p>
        </w:tc>
        <w:tc>
          <w:tcPr>
            <w:tcW w:w="100" w:type="dxa"/>
            <w:vAlign w:val="bottom"/>
          </w:tcPr>
          <w:p>
            <w:pPr>
              <w:spacing w:after="0"/>
              <w:rPr>
                <w:sz w:val="14"/>
                <w:szCs w:val="14"/>
                <w:color w:val="auto"/>
              </w:rPr>
            </w:pPr>
          </w:p>
        </w:tc>
        <w:tc>
          <w:tcPr>
            <w:tcW w:w="820" w:type="dxa"/>
            <w:vAlign w:val="bottom"/>
          </w:tcPr>
          <w:p>
            <w:pPr>
              <w:jc w:val="right"/>
              <w:spacing w:after="0"/>
              <w:rPr>
                <w:sz w:val="20"/>
                <w:szCs w:val="20"/>
                <w:color w:val="auto"/>
              </w:rPr>
            </w:pPr>
            <w:r>
              <w:rPr>
                <w:rFonts w:ascii="Arial" w:cs="Arial" w:eastAsia="Arial" w:hAnsi="Arial"/>
                <w:sz w:val="14"/>
                <w:szCs w:val="14"/>
                <w:color w:val="auto"/>
              </w:rPr>
              <w:t>113</w:t>
            </w:r>
          </w:p>
        </w:tc>
        <w:tc>
          <w:tcPr>
            <w:tcW w:w="200" w:type="dxa"/>
            <w:vAlign w:val="bottom"/>
          </w:tcPr>
          <w:p>
            <w:pPr>
              <w:spacing w:after="0"/>
              <w:rPr>
                <w:sz w:val="14"/>
                <w:szCs w:val="14"/>
                <w:color w:val="auto"/>
              </w:rPr>
            </w:pPr>
          </w:p>
        </w:tc>
        <w:tc>
          <w:tcPr>
            <w:tcW w:w="900" w:type="dxa"/>
            <w:vAlign w:val="bottom"/>
          </w:tcPr>
          <w:p>
            <w:pPr>
              <w:jc w:val="right"/>
              <w:spacing w:after="0"/>
              <w:rPr>
                <w:sz w:val="20"/>
                <w:szCs w:val="20"/>
                <w:color w:val="auto"/>
              </w:rPr>
            </w:pPr>
            <w:r>
              <w:rPr>
                <w:rFonts w:ascii="Arial" w:cs="Arial" w:eastAsia="Arial" w:hAnsi="Arial"/>
                <w:sz w:val="14"/>
                <w:szCs w:val="14"/>
                <w:color w:val="auto"/>
              </w:rPr>
              <w:t>-</w:t>
            </w:r>
          </w:p>
        </w:tc>
        <w:tc>
          <w:tcPr>
            <w:tcW w:w="220" w:type="dxa"/>
            <w:vAlign w:val="bottom"/>
          </w:tcPr>
          <w:p>
            <w:pPr>
              <w:spacing w:after="0"/>
              <w:rPr>
                <w:sz w:val="14"/>
                <w:szCs w:val="14"/>
                <w:color w:val="auto"/>
              </w:rPr>
            </w:pPr>
          </w:p>
        </w:tc>
        <w:tc>
          <w:tcPr>
            <w:tcW w:w="800" w:type="dxa"/>
            <w:vAlign w:val="bottom"/>
          </w:tcPr>
          <w:p>
            <w:pPr>
              <w:jc w:val="right"/>
              <w:spacing w:after="0"/>
              <w:rPr>
                <w:sz w:val="20"/>
                <w:szCs w:val="20"/>
                <w:color w:val="auto"/>
              </w:rPr>
            </w:pPr>
            <w:r>
              <w:rPr>
                <w:rFonts w:ascii="Arial" w:cs="Arial" w:eastAsia="Arial" w:hAnsi="Arial"/>
                <w:sz w:val="14"/>
                <w:szCs w:val="14"/>
                <w:color w:val="auto"/>
              </w:rPr>
              <w:t>113</w:t>
            </w:r>
          </w:p>
        </w:tc>
        <w:tc>
          <w:tcPr>
            <w:tcW w:w="220" w:type="dxa"/>
            <w:vAlign w:val="bottom"/>
          </w:tcPr>
          <w:p>
            <w:pPr>
              <w:spacing w:after="0"/>
              <w:rPr>
                <w:sz w:val="14"/>
                <w:szCs w:val="14"/>
                <w:color w:val="auto"/>
              </w:rPr>
            </w:pPr>
          </w:p>
        </w:tc>
        <w:tc>
          <w:tcPr>
            <w:tcW w:w="820" w:type="dxa"/>
            <w:vAlign w:val="bottom"/>
          </w:tcPr>
          <w:p>
            <w:pPr>
              <w:jc w:val="right"/>
              <w:spacing w:after="0"/>
              <w:rPr>
                <w:sz w:val="20"/>
                <w:szCs w:val="20"/>
                <w:color w:val="auto"/>
              </w:rPr>
            </w:pPr>
            <w:r>
              <w:rPr>
                <w:rFonts w:ascii="Arial" w:cs="Arial" w:eastAsia="Arial" w:hAnsi="Arial"/>
                <w:sz w:val="14"/>
                <w:szCs w:val="14"/>
                <w:color w:val="auto"/>
              </w:rPr>
              <w:t>-</w:t>
            </w:r>
          </w:p>
        </w:tc>
        <w:tc>
          <w:tcPr>
            <w:tcW w:w="220" w:type="dxa"/>
            <w:vAlign w:val="bottom"/>
          </w:tcPr>
          <w:p>
            <w:pPr>
              <w:spacing w:after="0"/>
              <w:rPr>
                <w:sz w:val="14"/>
                <w:szCs w:val="14"/>
                <w:color w:val="auto"/>
              </w:rPr>
            </w:pPr>
          </w:p>
        </w:tc>
        <w:tc>
          <w:tcPr>
            <w:tcW w:w="1040" w:type="dxa"/>
            <w:vAlign w:val="bottom"/>
          </w:tcPr>
          <w:p>
            <w:pPr>
              <w:jc w:val="right"/>
              <w:spacing w:after="0"/>
              <w:rPr>
                <w:sz w:val="20"/>
                <w:szCs w:val="20"/>
                <w:color w:val="auto"/>
              </w:rPr>
            </w:pPr>
            <w:r>
              <w:rPr>
                <w:rFonts w:ascii="Arial" w:cs="Arial" w:eastAsia="Arial" w:hAnsi="Arial"/>
                <w:sz w:val="14"/>
                <w:szCs w:val="14"/>
                <w:color w:val="auto"/>
              </w:rPr>
              <w:t>-</w:t>
            </w:r>
          </w:p>
        </w:tc>
        <w:tc>
          <w:tcPr>
            <w:tcW w:w="800" w:type="dxa"/>
            <w:vAlign w:val="bottom"/>
            <w:gridSpan w:val="2"/>
          </w:tcPr>
          <w:p>
            <w:pPr>
              <w:jc w:val="right"/>
              <w:spacing w:after="0"/>
              <w:rPr>
                <w:sz w:val="20"/>
                <w:szCs w:val="20"/>
                <w:color w:val="auto"/>
              </w:rPr>
            </w:pPr>
            <w:r>
              <w:rPr>
                <w:rFonts w:ascii="Arial" w:cs="Arial" w:eastAsia="Arial" w:hAnsi="Arial"/>
                <w:sz w:val="14"/>
                <w:szCs w:val="14"/>
                <w:color w:val="auto"/>
              </w:rPr>
              <w:t>$534</w:t>
            </w:r>
          </w:p>
        </w:tc>
        <w:tc>
          <w:tcPr>
            <w:tcW w:w="660" w:type="dxa"/>
            <w:vAlign w:val="bottom"/>
          </w:tcPr>
          <w:p>
            <w:pPr>
              <w:spacing w:after="0"/>
              <w:rPr>
                <w:sz w:val="20"/>
                <w:szCs w:val="20"/>
                <w:color w:val="auto"/>
              </w:rPr>
            </w:pPr>
            <w:r>
              <w:rPr>
                <w:rFonts w:ascii="Arial" w:cs="Arial" w:eastAsia="Arial" w:hAnsi="Arial"/>
                <w:sz w:val="14"/>
                <w:szCs w:val="14"/>
                <w:color w:val="auto"/>
              </w:rPr>
              <w:t>- $582</w:t>
            </w:r>
          </w:p>
        </w:tc>
      </w:tr>
      <w:tr>
        <w:trPr>
          <w:trHeight w:val="162"/>
        </w:trPr>
        <w:tc>
          <w:tcPr>
            <w:tcW w:w="3660" w:type="dxa"/>
            <w:vAlign w:val="bottom"/>
            <w:gridSpan w:val="2"/>
            <w:shd w:val="clear" w:color="auto" w:fill="CFF0FC"/>
          </w:tcPr>
          <w:p>
            <w:pPr>
              <w:spacing w:after="0"/>
              <w:rPr>
                <w:sz w:val="20"/>
                <w:szCs w:val="20"/>
                <w:color w:val="auto"/>
              </w:rPr>
            </w:pPr>
            <w:r>
              <w:rPr>
                <w:rFonts w:ascii="Arial" w:cs="Arial" w:eastAsia="Arial" w:hAnsi="Arial"/>
                <w:sz w:val="14"/>
                <w:szCs w:val="14"/>
                <w:color w:val="auto"/>
              </w:rPr>
              <w:t>Alameda County:</w:t>
            </w:r>
          </w:p>
        </w:tc>
        <w:tc>
          <w:tcPr>
            <w:tcW w:w="960" w:type="dxa"/>
            <w:vAlign w:val="bottom"/>
            <w:shd w:val="clear" w:color="auto" w:fill="CFF0FC"/>
          </w:tcPr>
          <w:p>
            <w:pPr>
              <w:spacing w:after="0"/>
              <w:rPr>
                <w:sz w:val="14"/>
                <w:szCs w:val="14"/>
                <w:color w:val="auto"/>
              </w:rPr>
            </w:pPr>
          </w:p>
        </w:tc>
        <w:tc>
          <w:tcPr>
            <w:tcW w:w="100" w:type="dxa"/>
            <w:vAlign w:val="bottom"/>
            <w:shd w:val="clear" w:color="auto" w:fill="CFF0FC"/>
          </w:tcPr>
          <w:p>
            <w:pPr>
              <w:spacing w:after="0"/>
              <w:rPr>
                <w:sz w:val="14"/>
                <w:szCs w:val="14"/>
                <w:color w:val="auto"/>
              </w:rPr>
            </w:pPr>
          </w:p>
        </w:tc>
        <w:tc>
          <w:tcPr>
            <w:tcW w:w="820" w:type="dxa"/>
            <w:vAlign w:val="bottom"/>
            <w:shd w:val="clear" w:color="auto" w:fill="CFF0FC"/>
          </w:tcPr>
          <w:p>
            <w:pPr>
              <w:spacing w:after="0"/>
              <w:rPr>
                <w:sz w:val="14"/>
                <w:szCs w:val="14"/>
                <w:color w:val="auto"/>
              </w:rPr>
            </w:pPr>
          </w:p>
        </w:tc>
        <w:tc>
          <w:tcPr>
            <w:tcW w:w="200" w:type="dxa"/>
            <w:vAlign w:val="bottom"/>
            <w:shd w:val="clear" w:color="auto" w:fill="CFF0FC"/>
          </w:tcPr>
          <w:p>
            <w:pPr>
              <w:spacing w:after="0"/>
              <w:rPr>
                <w:sz w:val="14"/>
                <w:szCs w:val="14"/>
                <w:color w:val="auto"/>
              </w:rPr>
            </w:pPr>
          </w:p>
        </w:tc>
        <w:tc>
          <w:tcPr>
            <w:tcW w:w="900" w:type="dxa"/>
            <w:vAlign w:val="bottom"/>
            <w:shd w:val="clear" w:color="auto" w:fill="CFF0FC"/>
          </w:tcPr>
          <w:p>
            <w:pPr>
              <w:spacing w:after="0"/>
              <w:rPr>
                <w:sz w:val="14"/>
                <w:szCs w:val="14"/>
                <w:color w:val="auto"/>
              </w:rPr>
            </w:pPr>
          </w:p>
        </w:tc>
        <w:tc>
          <w:tcPr>
            <w:tcW w:w="220" w:type="dxa"/>
            <w:vAlign w:val="bottom"/>
            <w:shd w:val="clear" w:color="auto" w:fill="CFF0FC"/>
          </w:tcPr>
          <w:p>
            <w:pPr>
              <w:spacing w:after="0"/>
              <w:rPr>
                <w:sz w:val="14"/>
                <w:szCs w:val="14"/>
                <w:color w:val="auto"/>
              </w:rPr>
            </w:pPr>
          </w:p>
        </w:tc>
        <w:tc>
          <w:tcPr>
            <w:tcW w:w="800" w:type="dxa"/>
            <w:vAlign w:val="bottom"/>
            <w:shd w:val="clear" w:color="auto" w:fill="CFF0FC"/>
          </w:tcPr>
          <w:p>
            <w:pPr>
              <w:spacing w:after="0"/>
              <w:rPr>
                <w:sz w:val="14"/>
                <w:szCs w:val="14"/>
                <w:color w:val="auto"/>
              </w:rPr>
            </w:pPr>
          </w:p>
        </w:tc>
        <w:tc>
          <w:tcPr>
            <w:tcW w:w="220" w:type="dxa"/>
            <w:vAlign w:val="bottom"/>
            <w:shd w:val="clear" w:color="auto" w:fill="CFF0FC"/>
          </w:tcPr>
          <w:p>
            <w:pPr>
              <w:spacing w:after="0"/>
              <w:rPr>
                <w:sz w:val="14"/>
                <w:szCs w:val="14"/>
                <w:color w:val="auto"/>
              </w:rPr>
            </w:pPr>
          </w:p>
        </w:tc>
        <w:tc>
          <w:tcPr>
            <w:tcW w:w="820" w:type="dxa"/>
            <w:vAlign w:val="bottom"/>
            <w:shd w:val="clear" w:color="auto" w:fill="CFF0FC"/>
          </w:tcPr>
          <w:p>
            <w:pPr>
              <w:spacing w:after="0"/>
              <w:rPr>
                <w:sz w:val="14"/>
                <w:szCs w:val="14"/>
                <w:color w:val="auto"/>
              </w:rPr>
            </w:pPr>
          </w:p>
        </w:tc>
        <w:tc>
          <w:tcPr>
            <w:tcW w:w="220" w:type="dxa"/>
            <w:vAlign w:val="bottom"/>
            <w:shd w:val="clear" w:color="auto" w:fill="CFF0FC"/>
          </w:tcPr>
          <w:p>
            <w:pPr>
              <w:spacing w:after="0"/>
              <w:rPr>
                <w:sz w:val="14"/>
                <w:szCs w:val="14"/>
                <w:color w:val="auto"/>
              </w:rPr>
            </w:pPr>
          </w:p>
        </w:tc>
        <w:tc>
          <w:tcPr>
            <w:tcW w:w="1040" w:type="dxa"/>
            <w:vAlign w:val="bottom"/>
            <w:shd w:val="clear" w:color="auto" w:fill="CFF0FC"/>
          </w:tcPr>
          <w:p>
            <w:pPr>
              <w:spacing w:after="0"/>
              <w:rPr>
                <w:sz w:val="14"/>
                <w:szCs w:val="14"/>
                <w:color w:val="auto"/>
              </w:rPr>
            </w:pPr>
          </w:p>
        </w:tc>
        <w:tc>
          <w:tcPr>
            <w:tcW w:w="220" w:type="dxa"/>
            <w:vAlign w:val="bottom"/>
            <w:shd w:val="clear" w:color="auto" w:fill="CFF0FC"/>
          </w:tcPr>
          <w:p>
            <w:pPr>
              <w:spacing w:after="0"/>
              <w:rPr>
                <w:sz w:val="14"/>
                <w:szCs w:val="14"/>
                <w:color w:val="auto"/>
              </w:rPr>
            </w:pPr>
          </w:p>
        </w:tc>
        <w:tc>
          <w:tcPr>
            <w:tcW w:w="580" w:type="dxa"/>
            <w:vAlign w:val="bottom"/>
            <w:shd w:val="clear" w:color="auto" w:fill="CFF0FC"/>
          </w:tcPr>
          <w:p>
            <w:pPr>
              <w:spacing w:after="0"/>
              <w:rPr>
                <w:sz w:val="14"/>
                <w:szCs w:val="14"/>
                <w:color w:val="auto"/>
              </w:rPr>
            </w:pPr>
          </w:p>
        </w:tc>
        <w:tc>
          <w:tcPr>
            <w:tcW w:w="660" w:type="dxa"/>
            <w:vAlign w:val="bottom"/>
            <w:shd w:val="clear" w:color="auto" w:fill="CFF0FC"/>
          </w:tcPr>
          <w:p>
            <w:pPr>
              <w:spacing w:after="0"/>
              <w:rPr>
                <w:sz w:val="14"/>
                <w:szCs w:val="14"/>
                <w:color w:val="auto"/>
              </w:rPr>
            </w:pPr>
          </w:p>
        </w:tc>
      </w:tr>
      <w:tr>
        <w:trPr>
          <w:trHeight w:val="162"/>
        </w:trPr>
        <w:tc>
          <w:tcPr>
            <w:tcW w:w="3660" w:type="dxa"/>
            <w:vAlign w:val="bottom"/>
            <w:gridSpan w:val="2"/>
          </w:tcPr>
          <w:p>
            <w:pPr>
              <w:ind w:left="380"/>
              <w:spacing w:after="0"/>
              <w:rPr>
                <w:sz w:val="20"/>
                <w:szCs w:val="20"/>
                <w:color w:val="auto"/>
              </w:rPr>
            </w:pPr>
            <w:r>
              <w:rPr>
                <w:rFonts w:ascii="Arial" w:cs="Arial" w:eastAsia="Arial" w:hAnsi="Arial"/>
                <w:sz w:val="14"/>
                <w:szCs w:val="14"/>
                <w:color w:val="auto"/>
              </w:rPr>
              <w:t>Cadence, Alameda Landing</w:t>
            </w:r>
          </w:p>
        </w:tc>
        <w:tc>
          <w:tcPr>
            <w:tcW w:w="960" w:type="dxa"/>
            <w:vAlign w:val="bottom"/>
          </w:tcPr>
          <w:p>
            <w:pPr>
              <w:jc w:val="center"/>
              <w:spacing w:after="0"/>
              <w:rPr>
                <w:sz w:val="20"/>
                <w:szCs w:val="20"/>
                <w:color w:val="auto"/>
              </w:rPr>
            </w:pPr>
            <w:r>
              <w:rPr>
                <w:rFonts w:ascii="Arial" w:cs="Arial" w:eastAsia="Arial" w:hAnsi="Arial"/>
                <w:sz w:val="14"/>
                <w:szCs w:val="14"/>
                <w:color w:val="auto"/>
                <w:w w:val="83"/>
              </w:rPr>
              <w:t>2015</w:t>
            </w:r>
          </w:p>
        </w:tc>
        <w:tc>
          <w:tcPr>
            <w:tcW w:w="100" w:type="dxa"/>
            <w:vAlign w:val="bottom"/>
          </w:tcPr>
          <w:p>
            <w:pPr>
              <w:spacing w:after="0"/>
              <w:rPr>
                <w:sz w:val="14"/>
                <w:szCs w:val="14"/>
                <w:color w:val="auto"/>
              </w:rPr>
            </w:pPr>
          </w:p>
        </w:tc>
        <w:tc>
          <w:tcPr>
            <w:tcW w:w="820" w:type="dxa"/>
            <w:vAlign w:val="bottom"/>
          </w:tcPr>
          <w:p>
            <w:pPr>
              <w:jc w:val="right"/>
              <w:spacing w:after="0"/>
              <w:rPr>
                <w:sz w:val="20"/>
                <w:szCs w:val="20"/>
                <w:color w:val="auto"/>
              </w:rPr>
            </w:pPr>
            <w:r>
              <w:rPr>
                <w:rFonts w:ascii="Arial" w:cs="Arial" w:eastAsia="Arial" w:hAnsi="Arial"/>
                <w:sz w:val="14"/>
                <w:szCs w:val="14"/>
                <w:color w:val="auto"/>
              </w:rPr>
              <w:t>91</w:t>
            </w:r>
          </w:p>
        </w:tc>
        <w:tc>
          <w:tcPr>
            <w:tcW w:w="200" w:type="dxa"/>
            <w:vAlign w:val="bottom"/>
          </w:tcPr>
          <w:p>
            <w:pPr>
              <w:spacing w:after="0"/>
              <w:rPr>
                <w:sz w:val="14"/>
                <w:szCs w:val="14"/>
                <w:color w:val="auto"/>
              </w:rPr>
            </w:pPr>
          </w:p>
        </w:tc>
        <w:tc>
          <w:tcPr>
            <w:tcW w:w="900" w:type="dxa"/>
            <w:vAlign w:val="bottom"/>
          </w:tcPr>
          <w:p>
            <w:pPr>
              <w:jc w:val="right"/>
              <w:spacing w:after="0"/>
              <w:rPr>
                <w:sz w:val="20"/>
                <w:szCs w:val="20"/>
                <w:color w:val="auto"/>
              </w:rPr>
            </w:pPr>
            <w:r>
              <w:rPr>
                <w:rFonts w:ascii="Arial" w:cs="Arial" w:eastAsia="Arial" w:hAnsi="Arial"/>
                <w:sz w:val="14"/>
                <w:szCs w:val="14"/>
                <w:color w:val="auto"/>
              </w:rPr>
              <w:t>-</w:t>
            </w:r>
          </w:p>
        </w:tc>
        <w:tc>
          <w:tcPr>
            <w:tcW w:w="220" w:type="dxa"/>
            <w:vAlign w:val="bottom"/>
          </w:tcPr>
          <w:p>
            <w:pPr>
              <w:spacing w:after="0"/>
              <w:rPr>
                <w:sz w:val="14"/>
                <w:szCs w:val="14"/>
                <w:color w:val="auto"/>
              </w:rPr>
            </w:pPr>
          </w:p>
        </w:tc>
        <w:tc>
          <w:tcPr>
            <w:tcW w:w="800" w:type="dxa"/>
            <w:vAlign w:val="bottom"/>
          </w:tcPr>
          <w:p>
            <w:pPr>
              <w:jc w:val="right"/>
              <w:spacing w:after="0"/>
              <w:rPr>
                <w:sz w:val="20"/>
                <w:szCs w:val="20"/>
                <w:color w:val="auto"/>
              </w:rPr>
            </w:pPr>
            <w:r>
              <w:rPr>
                <w:rFonts w:ascii="Arial" w:cs="Arial" w:eastAsia="Arial" w:hAnsi="Arial"/>
                <w:sz w:val="14"/>
                <w:szCs w:val="14"/>
                <w:color w:val="auto"/>
              </w:rPr>
              <w:t>67</w:t>
            </w:r>
          </w:p>
        </w:tc>
        <w:tc>
          <w:tcPr>
            <w:tcW w:w="220" w:type="dxa"/>
            <w:vAlign w:val="bottom"/>
          </w:tcPr>
          <w:p>
            <w:pPr>
              <w:spacing w:after="0"/>
              <w:rPr>
                <w:sz w:val="14"/>
                <w:szCs w:val="14"/>
                <w:color w:val="auto"/>
              </w:rPr>
            </w:pPr>
          </w:p>
        </w:tc>
        <w:tc>
          <w:tcPr>
            <w:tcW w:w="820" w:type="dxa"/>
            <w:vAlign w:val="bottom"/>
          </w:tcPr>
          <w:p>
            <w:pPr>
              <w:jc w:val="right"/>
              <w:spacing w:after="0"/>
              <w:rPr>
                <w:sz w:val="20"/>
                <w:szCs w:val="20"/>
                <w:color w:val="auto"/>
              </w:rPr>
            </w:pPr>
            <w:r>
              <w:rPr>
                <w:rFonts w:ascii="Arial" w:cs="Arial" w:eastAsia="Arial" w:hAnsi="Arial"/>
                <w:sz w:val="14"/>
                <w:szCs w:val="14"/>
                <w:color w:val="auto"/>
              </w:rPr>
              <w:t>19</w:t>
            </w:r>
          </w:p>
        </w:tc>
        <w:tc>
          <w:tcPr>
            <w:tcW w:w="220" w:type="dxa"/>
            <w:vAlign w:val="bottom"/>
          </w:tcPr>
          <w:p>
            <w:pPr>
              <w:spacing w:after="0"/>
              <w:rPr>
                <w:sz w:val="14"/>
                <w:szCs w:val="14"/>
                <w:color w:val="auto"/>
              </w:rPr>
            </w:pPr>
          </w:p>
        </w:tc>
        <w:tc>
          <w:tcPr>
            <w:tcW w:w="1040" w:type="dxa"/>
            <w:vAlign w:val="bottom"/>
          </w:tcPr>
          <w:p>
            <w:pPr>
              <w:jc w:val="right"/>
              <w:spacing w:after="0"/>
              <w:rPr>
                <w:sz w:val="20"/>
                <w:szCs w:val="20"/>
                <w:color w:val="auto"/>
              </w:rPr>
            </w:pPr>
            <w:r>
              <w:rPr>
                <w:rFonts w:ascii="Arial" w:cs="Arial" w:eastAsia="Arial" w:hAnsi="Arial"/>
                <w:sz w:val="14"/>
                <w:szCs w:val="14"/>
                <w:color w:val="auto"/>
              </w:rPr>
              <w:t>-</w:t>
            </w:r>
          </w:p>
        </w:tc>
        <w:tc>
          <w:tcPr>
            <w:tcW w:w="1460" w:type="dxa"/>
            <w:vAlign w:val="bottom"/>
            <w:gridSpan w:val="3"/>
          </w:tcPr>
          <w:p>
            <w:pPr>
              <w:jc w:val="center"/>
              <w:ind w:left="132"/>
              <w:spacing w:after="0"/>
              <w:rPr>
                <w:sz w:val="20"/>
                <w:szCs w:val="20"/>
                <w:color w:val="auto"/>
              </w:rPr>
            </w:pPr>
            <w:r>
              <w:rPr>
                <w:rFonts w:ascii="Arial" w:cs="Arial" w:eastAsia="Arial" w:hAnsi="Arial"/>
                <w:sz w:val="14"/>
                <w:szCs w:val="14"/>
                <w:color w:val="auto"/>
                <w:w w:val="85"/>
              </w:rPr>
              <w:t>$880 - $1,050</w:t>
            </w:r>
          </w:p>
        </w:tc>
      </w:tr>
      <w:tr>
        <w:trPr>
          <w:trHeight w:val="162"/>
        </w:trPr>
        <w:tc>
          <w:tcPr>
            <w:tcW w:w="3660" w:type="dxa"/>
            <w:vAlign w:val="bottom"/>
            <w:gridSpan w:val="2"/>
            <w:shd w:val="clear" w:color="auto" w:fill="CFF0FC"/>
          </w:tcPr>
          <w:p>
            <w:pPr>
              <w:ind w:left="380"/>
              <w:spacing w:after="0"/>
              <w:rPr>
                <w:sz w:val="20"/>
                <w:szCs w:val="20"/>
                <w:color w:val="auto"/>
              </w:rPr>
            </w:pPr>
            <w:r>
              <w:rPr>
                <w:rFonts w:ascii="Arial" w:cs="Arial" w:eastAsia="Arial" w:hAnsi="Arial"/>
                <w:sz w:val="14"/>
                <w:szCs w:val="14"/>
                <w:color w:val="auto"/>
              </w:rPr>
              <w:t>Linear, Alameda Landing</w:t>
            </w:r>
          </w:p>
        </w:tc>
        <w:tc>
          <w:tcPr>
            <w:tcW w:w="960" w:type="dxa"/>
            <w:vAlign w:val="bottom"/>
            <w:shd w:val="clear" w:color="auto" w:fill="CFF0FC"/>
          </w:tcPr>
          <w:p>
            <w:pPr>
              <w:jc w:val="center"/>
              <w:spacing w:after="0"/>
              <w:rPr>
                <w:sz w:val="20"/>
                <w:szCs w:val="20"/>
                <w:color w:val="auto"/>
              </w:rPr>
            </w:pPr>
            <w:r>
              <w:rPr>
                <w:rFonts w:ascii="Arial" w:cs="Arial" w:eastAsia="Arial" w:hAnsi="Arial"/>
                <w:sz w:val="14"/>
                <w:szCs w:val="14"/>
                <w:color w:val="auto"/>
                <w:w w:val="83"/>
              </w:rPr>
              <w:t>2015</w:t>
            </w:r>
          </w:p>
        </w:tc>
        <w:tc>
          <w:tcPr>
            <w:tcW w:w="100" w:type="dxa"/>
            <w:vAlign w:val="bottom"/>
            <w:shd w:val="clear" w:color="auto" w:fill="CFF0FC"/>
          </w:tcPr>
          <w:p>
            <w:pPr>
              <w:spacing w:after="0"/>
              <w:rPr>
                <w:sz w:val="14"/>
                <w:szCs w:val="14"/>
                <w:color w:val="auto"/>
              </w:rPr>
            </w:pPr>
          </w:p>
        </w:tc>
        <w:tc>
          <w:tcPr>
            <w:tcW w:w="820" w:type="dxa"/>
            <w:vAlign w:val="bottom"/>
            <w:shd w:val="clear" w:color="auto" w:fill="CFF0FC"/>
          </w:tcPr>
          <w:p>
            <w:pPr>
              <w:jc w:val="right"/>
              <w:spacing w:after="0"/>
              <w:rPr>
                <w:sz w:val="20"/>
                <w:szCs w:val="20"/>
                <w:color w:val="auto"/>
              </w:rPr>
            </w:pPr>
            <w:r>
              <w:rPr>
                <w:rFonts w:ascii="Arial" w:cs="Arial" w:eastAsia="Arial" w:hAnsi="Arial"/>
                <w:sz w:val="14"/>
                <w:szCs w:val="14"/>
                <w:color w:val="auto"/>
              </w:rPr>
              <w:t>108</w:t>
            </w:r>
          </w:p>
        </w:tc>
        <w:tc>
          <w:tcPr>
            <w:tcW w:w="200" w:type="dxa"/>
            <w:vAlign w:val="bottom"/>
            <w:shd w:val="clear" w:color="auto" w:fill="CFF0FC"/>
          </w:tcPr>
          <w:p>
            <w:pPr>
              <w:spacing w:after="0"/>
              <w:rPr>
                <w:sz w:val="14"/>
                <w:szCs w:val="14"/>
                <w:color w:val="auto"/>
              </w:rPr>
            </w:pPr>
          </w:p>
        </w:tc>
        <w:tc>
          <w:tcPr>
            <w:tcW w:w="900" w:type="dxa"/>
            <w:vAlign w:val="bottom"/>
            <w:shd w:val="clear" w:color="auto" w:fill="CFF0FC"/>
          </w:tcPr>
          <w:p>
            <w:pPr>
              <w:jc w:val="right"/>
              <w:spacing w:after="0"/>
              <w:rPr>
                <w:sz w:val="20"/>
                <w:szCs w:val="20"/>
                <w:color w:val="auto"/>
              </w:rPr>
            </w:pPr>
            <w:r>
              <w:rPr>
                <w:rFonts w:ascii="Arial" w:cs="Arial" w:eastAsia="Arial" w:hAnsi="Arial"/>
                <w:sz w:val="14"/>
                <w:szCs w:val="14"/>
                <w:color w:val="auto"/>
              </w:rPr>
              <w:t>-</w:t>
            </w:r>
          </w:p>
        </w:tc>
        <w:tc>
          <w:tcPr>
            <w:tcW w:w="220" w:type="dxa"/>
            <w:vAlign w:val="bottom"/>
            <w:shd w:val="clear" w:color="auto" w:fill="CFF0FC"/>
          </w:tcPr>
          <w:p>
            <w:pPr>
              <w:spacing w:after="0"/>
              <w:rPr>
                <w:sz w:val="14"/>
                <w:szCs w:val="14"/>
                <w:color w:val="auto"/>
              </w:rPr>
            </w:pPr>
          </w:p>
        </w:tc>
        <w:tc>
          <w:tcPr>
            <w:tcW w:w="800" w:type="dxa"/>
            <w:vAlign w:val="bottom"/>
            <w:shd w:val="clear" w:color="auto" w:fill="CFF0FC"/>
          </w:tcPr>
          <w:p>
            <w:pPr>
              <w:jc w:val="right"/>
              <w:spacing w:after="0"/>
              <w:rPr>
                <w:sz w:val="20"/>
                <w:szCs w:val="20"/>
                <w:color w:val="auto"/>
              </w:rPr>
            </w:pPr>
            <w:r>
              <w:rPr>
                <w:rFonts w:ascii="Arial" w:cs="Arial" w:eastAsia="Arial" w:hAnsi="Arial"/>
                <w:sz w:val="14"/>
                <w:szCs w:val="14"/>
                <w:color w:val="auto"/>
              </w:rPr>
              <w:t>74</w:t>
            </w:r>
          </w:p>
        </w:tc>
        <w:tc>
          <w:tcPr>
            <w:tcW w:w="220" w:type="dxa"/>
            <w:vAlign w:val="bottom"/>
            <w:shd w:val="clear" w:color="auto" w:fill="CFF0FC"/>
          </w:tcPr>
          <w:p>
            <w:pPr>
              <w:spacing w:after="0"/>
              <w:rPr>
                <w:sz w:val="14"/>
                <w:szCs w:val="14"/>
                <w:color w:val="auto"/>
              </w:rPr>
            </w:pPr>
          </w:p>
        </w:tc>
        <w:tc>
          <w:tcPr>
            <w:tcW w:w="820" w:type="dxa"/>
            <w:vAlign w:val="bottom"/>
            <w:shd w:val="clear" w:color="auto" w:fill="CFF0FC"/>
          </w:tcPr>
          <w:p>
            <w:pPr>
              <w:jc w:val="right"/>
              <w:spacing w:after="0"/>
              <w:rPr>
                <w:sz w:val="20"/>
                <w:szCs w:val="20"/>
                <w:color w:val="auto"/>
              </w:rPr>
            </w:pPr>
            <w:r>
              <w:rPr>
                <w:rFonts w:ascii="Arial" w:cs="Arial" w:eastAsia="Arial" w:hAnsi="Arial"/>
                <w:sz w:val="14"/>
                <w:szCs w:val="14"/>
                <w:color w:val="auto"/>
              </w:rPr>
              <w:t>26</w:t>
            </w:r>
          </w:p>
        </w:tc>
        <w:tc>
          <w:tcPr>
            <w:tcW w:w="220" w:type="dxa"/>
            <w:vAlign w:val="bottom"/>
            <w:shd w:val="clear" w:color="auto" w:fill="CFF0FC"/>
          </w:tcPr>
          <w:p>
            <w:pPr>
              <w:spacing w:after="0"/>
              <w:rPr>
                <w:sz w:val="14"/>
                <w:szCs w:val="14"/>
                <w:color w:val="auto"/>
              </w:rPr>
            </w:pPr>
          </w:p>
        </w:tc>
        <w:tc>
          <w:tcPr>
            <w:tcW w:w="1040" w:type="dxa"/>
            <w:vAlign w:val="bottom"/>
            <w:shd w:val="clear" w:color="auto" w:fill="CFF0FC"/>
          </w:tcPr>
          <w:p>
            <w:pPr>
              <w:jc w:val="right"/>
              <w:spacing w:after="0"/>
              <w:rPr>
                <w:sz w:val="20"/>
                <w:szCs w:val="20"/>
                <w:color w:val="auto"/>
              </w:rPr>
            </w:pPr>
            <w:r>
              <w:rPr>
                <w:rFonts w:ascii="Arial" w:cs="Arial" w:eastAsia="Arial" w:hAnsi="Arial"/>
                <w:sz w:val="14"/>
                <w:szCs w:val="14"/>
                <w:color w:val="auto"/>
              </w:rPr>
              <w:t>-</w:t>
            </w:r>
          </w:p>
        </w:tc>
        <w:tc>
          <w:tcPr>
            <w:tcW w:w="800" w:type="dxa"/>
            <w:vAlign w:val="bottom"/>
            <w:gridSpan w:val="2"/>
            <w:shd w:val="clear" w:color="auto" w:fill="CFF0FC"/>
          </w:tcPr>
          <w:p>
            <w:pPr>
              <w:jc w:val="right"/>
              <w:spacing w:after="0"/>
              <w:rPr>
                <w:sz w:val="20"/>
                <w:szCs w:val="20"/>
                <w:color w:val="auto"/>
              </w:rPr>
            </w:pPr>
            <w:r>
              <w:rPr>
                <w:rFonts w:ascii="Arial" w:cs="Arial" w:eastAsia="Arial" w:hAnsi="Arial"/>
                <w:sz w:val="14"/>
                <w:szCs w:val="14"/>
                <w:color w:val="auto"/>
              </w:rPr>
              <w:t>$565</w:t>
            </w:r>
          </w:p>
        </w:tc>
        <w:tc>
          <w:tcPr>
            <w:tcW w:w="660" w:type="dxa"/>
            <w:vAlign w:val="bottom"/>
            <w:shd w:val="clear" w:color="auto" w:fill="CFF0FC"/>
          </w:tcPr>
          <w:p>
            <w:pPr>
              <w:spacing w:after="0"/>
              <w:rPr>
                <w:sz w:val="20"/>
                <w:szCs w:val="20"/>
                <w:color w:val="auto"/>
              </w:rPr>
            </w:pPr>
            <w:r>
              <w:rPr>
                <w:rFonts w:ascii="Arial" w:cs="Arial" w:eastAsia="Arial" w:hAnsi="Arial"/>
                <w:sz w:val="14"/>
                <w:szCs w:val="14"/>
                <w:color w:val="auto"/>
              </w:rPr>
              <w:t>- $800</w:t>
            </w:r>
          </w:p>
        </w:tc>
      </w:tr>
      <w:tr>
        <w:trPr>
          <w:trHeight w:val="162"/>
        </w:trPr>
        <w:tc>
          <w:tcPr>
            <w:tcW w:w="3660" w:type="dxa"/>
            <w:vAlign w:val="bottom"/>
            <w:gridSpan w:val="2"/>
          </w:tcPr>
          <w:p>
            <w:pPr>
              <w:ind w:left="380"/>
              <w:spacing w:after="0"/>
              <w:rPr>
                <w:sz w:val="20"/>
                <w:szCs w:val="20"/>
                <w:color w:val="auto"/>
              </w:rPr>
            </w:pPr>
            <w:r>
              <w:rPr>
                <w:rFonts w:ascii="Arial" w:cs="Arial" w:eastAsia="Arial" w:hAnsi="Arial"/>
                <w:sz w:val="14"/>
                <w:szCs w:val="14"/>
                <w:color w:val="auto"/>
              </w:rPr>
              <w:t>Symmetry, Alameda Landing</w:t>
            </w:r>
          </w:p>
        </w:tc>
        <w:tc>
          <w:tcPr>
            <w:tcW w:w="960" w:type="dxa"/>
            <w:vAlign w:val="bottom"/>
          </w:tcPr>
          <w:p>
            <w:pPr>
              <w:jc w:val="center"/>
              <w:spacing w:after="0"/>
              <w:rPr>
                <w:sz w:val="20"/>
                <w:szCs w:val="20"/>
                <w:color w:val="auto"/>
              </w:rPr>
            </w:pPr>
            <w:r>
              <w:rPr>
                <w:rFonts w:ascii="Arial" w:cs="Arial" w:eastAsia="Arial" w:hAnsi="Arial"/>
                <w:sz w:val="14"/>
                <w:szCs w:val="14"/>
                <w:color w:val="auto"/>
                <w:w w:val="83"/>
              </w:rPr>
              <w:t>2016</w:t>
            </w:r>
          </w:p>
        </w:tc>
        <w:tc>
          <w:tcPr>
            <w:tcW w:w="100" w:type="dxa"/>
            <w:vAlign w:val="bottom"/>
          </w:tcPr>
          <w:p>
            <w:pPr>
              <w:spacing w:after="0"/>
              <w:rPr>
                <w:sz w:val="14"/>
                <w:szCs w:val="14"/>
                <w:color w:val="auto"/>
              </w:rPr>
            </w:pPr>
          </w:p>
        </w:tc>
        <w:tc>
          <w:tcPr>
            <w:tcW w:w="820" w:type="dxa"/>
            <w:vAlign w:val="bottom"/>
          </w:tcPr>
          <w:p>
            <w:pPr>
              <w:jc w:val="right"/>
              <w:spacing w:after="0"/>
              <w:rPr>
                <w:sz w:val="20"/>
                <w:szCs w:val="20"/>
                <w:color w:val="auto"/>
              </w:rPr>
            </w:pPr>
            <w:r>
              <w:rPr>
                <w:rFonts w:ascii="Arial" w:cs="Arial" w:eastAsia="Arial" w:hAnsi="Arial"/>
                <w:sz w:val="14"/>
                <w:szCs w:val="14"/>
                <w:color w:val="auto"/>
              </w:rPr>
              <w:t>56</w:t>
            </w:r>
          </w:p>
        </w:tc>
        <w:tc>
          <w:tcPr>
            <w:tcW w:w="200" w:type="dxa"/>
            <w:vAlign w:val="bottom"/>
          </w:tcPr>
          <w:p>
            <w:pPr>
              <w:spacing w:after="0"/>
              <w:rPr>
                <w:sz w:val="14"/>
                <w:szCs w:val="14"/>
                <w:color w:val="auto"/>
              </w:rPr>
            </w:pPr>
          </w:p>
        </w:tc>
        <w:tc>
          <w:tcPr>
            <w:tcW w:w="900" w:type="dxa"/>
            <w:vAlign w:val="bottom"/>
          </w:tcPr>
          <w:p>
            <w:pPr>
              <w:jc w:val="right"/>
              <w:spacing w:after="0"/>
              <w:rPr>
                <w:sz w:val="20"/>
                <w:szCs w:val="20"/>
                <w:color w:val="auto"/>
              </w:rPr>
            </w:pPr>
            <w:r>
              <w:rPr>
                <w:rFonts w:ascii="Arial" w:cs="Arial" w:eastAsia="Arial" w:hAnsi="Arial"/>
                <w:sz w:val="14"/>
                <w:szCs w:val="14"/>
                <w:color w:val="auto"/>
              </w:rPr>
              <w:t>-</w:t>
            </w:r>
          </w:p>
        </w:tc>
        <w:tc>
          <w:tcPr>
            <w:tcW w:w="220" w:type="dxa"/>
            <w:vAlign w:val="bottom"/>
          </w:tcPr>
          <w:p>
            <w:pPr>
              <w:spacing w:after="0"/>
              <w:rPr>
                <w:sz w:val="14"/>
                <w:szCs w:val="14"/>
                <w:color w:val="auto"/>
              </w:rPr>
            </w:pPr>
          </w:p>
        </w:tc>
        <w:tc>
          <w:tcPr>
            <w:tcW w:w="800" w:type="dxa"/>
            <w:vAlign w:val="bottom"/>
          </w:tcPr>
          <w:p>
            <w:pPr>
              <w:jc w:val="right"/>
              <w:spacing w:after="0"/>
              <w:rPr>
                <w:sz w:val="20"/>
                <w:szCs w:val="20"/>
                <w:color w:val="auto"/>
              </w:rPr>
            </w:pPr>
            <w:r>
              <w:rPr>
                <w:rFonts w:ascii="Arial" w:cs="Arial" w:eastAsia="Arial" w:hAnsi="Arial"/>
                <w:sz w:val="14"/>
                <w:szCs w:val="14"/>
                <w:color w:val="auto"/>
              </w:rPr>
              <w:t>56</w:t>
            </w:r>
          </w:p>
        </w:tc>
        <w:tc>
          <w:tcPr>
            <w:tcW w:w="220" w:type="dxa"/>
            <w:vAlign w:val="bottom"/>
          </w:tcPr>
          <w:p>
            <w:pPr>
              <w:spacing w:after="0"/>
              <w:rPr>
                <w:sz w:val="14"/>
                <w:szCs w:val="14"/>
                <w:color w:val="auto"/>
              </w:rPr>
            </w:pPr>
          </w:p>
        </w:tc>
        <w:tc>
          <w:tcPr>
            <w:tcW w:w="820" w:type="dxa"/>
            <w:vAlign w:val="bottom"/>
          </w:tcPr>
          <w:p>
            <w:pPr>
              <w:jc w:val="right"/>
              <w:spacing w:after="0"/>
              <w:rPr>
                <w:sz w:val="20"/>
                <w:szCs w:val="20"/>
                <w:color w:val="auto"/>
              </w:rPr>
            </w:pPr>
            <w:r>
              <w:rPr>
                <w:rFonts w:ascii="Arial" w:cs="Arial" w:eastAsia="Arial" w:hAnsi="Arial"/>
                <w:sz w:val="14"/>
                <w:szCs w:val="14"/>
                <w:color w:val="auto"/>
              </w:rPr>
              <w:t>-</w:t>
            </w:r>
          </w:p>
        </w:tc>
        <w:tc>
          <w:tcPr>
            <w:tcW w:w="220" w:type="dxa"/>
            <w:vAlign w:val="bottom"/>
          </w:tcPr>
          <w:p>
            <w:pPr>
              <w:spacing w:after="0"/>
              <w:rPr>
                <w:sz w:val="14"/>
                <w:szCs w:val="14"/>
                <w:color w:val="auto"/>
              </w:rPr>
            </w:pPr>
          </w:p>
        </w:tc>
        <w:tc>
          <w:tcPr>
            <w:tcW w:w="1040" w:type="dxa"/>
            <w:vAlign w:val="bottom"/>
          </w:tcPr>
          <w:p>
            <w:pPr>
              <w:jc w:val="right"/>
              <w:spacing w:after="0"/>
              <w:rPr>
                <w:sz w:val="20"/>
                <w:szCs w:val="20"/>
                <w:color w:val="auto"/>
              </w:rPr>
            </w:pPr>
            <w:r>
              <w:rPr>
                <w:rFonts w:ascii="Arial" w:cs="Arial" w:eastAsia="Arial" w:hAnsi="Arial"/>
                <w:sz w:val="14"/>
                <w:szCs w:val="14"/>
                <w:color w:val="auto"/>
              </w:rPr>
              <w:t>-</w:t>
            </w:r>
          </w:p>
        </w:tc>
        <w:tc>
          <w:tcPr>
            <w:tcW w:w="800" w:type="dxa"/>
            <w:vAlign w:val="bottom"/>
            <w:gridSpan w:val="2"/>
          </w:tcPr>
          <w:p>
            <w:pPr>
              <w:jc w:val="right"/>
              <w:spacing w:after="0"/>
              <w:rPr>
                <w:sz w:val="20"/>
                <w:szCs w:val="20"/>
                <w:color w:val="auto"/>
              </w:rPr>
            </w:pPr>
            <w:r>
              <w:rPr>
                <w:rFonts w:ascii="Arial" w:cs="Arial" w:eastAsia="Arial" w:hAnsi="Arial"/>
                <w:sz w:val="14"/>
                <w:szCs w:val="14"/>
                <w:color w:val="auto"/>
              </w:rPr>
              <w:t>$700</w:t>
            </w:r>
          </w:p>
        </w:tc>
        <w:tc>
          <w:tcPr>
            <w:tcW w:w="660" w:type="dxa"/>
            <w:vAlign w:val="bottom"/>
          </w:tcPr>
          <w:p>
            <w:pPr>
              <w:spacing w:after="0"/>
              <w:rPr>
                <w:sz w:val="20"/>
                <w:szCs w:val="20"/>
                <w:color w:val="auto"/>
              </w:rPr>
            </w:pPr>
            <w:r>
              <w:rPr>
                <w:rFonts w:ascii="Arial" w:cs="Arial" w:eastAsia="Arial" w:hAnsi="Arial"/>
                <w:sz w:val="14"/>
                <w:szCs w:val="14"/>
                <w:color w:val="auto"/>
              </w:rPr>
              <w:t>- $785</w:t>
            </w:r>
          </w:p>
        </w:tc>
      </w:tr>
      <w:tr>
        <w:trPr>
          <w:trHeight w:val="162"/>
        </w:trPr>
        <w:tc>
          <w:tcPr>
            <w:tcW w:w="3660" w:type="dxa"/>
            <w:vAlign w:val="bottom"/>
            <w:gridSpan w:val="2"/>
            <w:shd w:val="clear" w:color="auto" w:fill="CFF0FC"/>
          </w:tcPr>
          <w:p>
            <w:pPr>
              <w:ind w:left="380"/>
              <w:spacing w:after="0"/>
              <w:rPr>
                <w:sz w:val="20"/>
                <w:szCs w:val="20"/>
                <w:color w:val="auto"/>
              </w:rPr>
            </w:pPr>
            <w:r>
              <w:rPr>
                <w:rFonts w:ascii="Arial" w:cs="Arial" w:eastAsia="Arial" w:hAnsi="Arial"/>
                <w:sz w:val="14"/>
                <w:szCs w:val="14"/>
                <w:color w:val="auto"/>
              </w:rPr>
              <w:t>Parasol, Fremont</w:t>
            </w:r>
          </w:p>
        </w:tc>
        <w:tc>
          <w:tcPr>
            <w:tcW w:w="960" w:type="dxa"/>
            <w:vAlign w:val="bottom"/>
            <w:shd w:val="clear" w:color="auto" w:fill="CFF0FC"/>
          </w:tcPr>
          <w:p>
            <w:pPr>
              <w:jc w:val="center"/>
              <w:spacing w:after="0"/>
              <w:rPr>
                <w:sz w:val="20"/>
                <w:szCs w:val="20"/>
                <w:color w:val="auto"/>
              </w:rPr>
            </w:pPr>
            <w:r>
              <w:rPr>
                <w:rFonts w:ascii="Arial" w:cs="Arial" w:eastAsia="Arial" w:hAnsi="Arial"/>
                <w:sz w:val="14"/>
                <w:szCs w:val="14"/>
                <w:color w:val="auto"/>
                <w:w w:val="83"/>
              </w:rPr>
              <w:t>2016</w:t>
            </w:r>
          </w:p>
        </w:tc>
        <w:tc>
          <w:tcPr>
            <w:tcW w:w="100" w:type="dxa"/>
            <w:vAlign w:val="bottom"/>
            <w:shd w:val="clear" w:color="auto" w:fill="CFF0FC"/>
          </w:tcPr>
          <w:p>
            <w:pPr>
              <w:spacing w:after="0"/>
              <w:rPr>
                <w:sz w:val="14"/>
                <w:szCs w:val="14"/>
                <w:color w:val="auto"/>
              </w:rPr>
            </w:pPr>
          </w:p>
        </w:tc>
        <w:tc>
          <w:tcPr>
            <w:tcW w:w="820" w:type="dxa"/>
            <w:vAlign w:val="bottom"/>
            <w:shd w:val="clear" w:color="auto" w:fill="CFF0FC"/>
          </w:tcPr>
          <w:p>
            <w:pPr>
              <w:jc w:val="right"/>
              <w:spacing w:after="0"/>
              <w:rPr>
                <w:sz w:val="20"/>
                <w:szCs w:val="20"/>
                <w:color w:val="auto"/>
              </w:rPr>
            </w:pPr>
            <w:r>
              <w:rPr>
                <w:rFonts w:ascii="Arial" w:cs="Arial" w:eastAsia="Arial" w:hAnsi="Arial"/>
                <w:sz w:val="14"/>
                <w:szCs w:val="14"/>
                <w:color w:val="auto"/>
              </w:rPr>
              <w:t>39</w:t>
            </w:r>
          </w:p>
        </w:tc>
        <w:tc>
          <w:tcPr>
            <w:tcW w:w="200" w:type="dxa"/>
            <w:vAlign w:val="bottom"/>
            <w:shd w:val="clear" w:color="auto" w:fill="CFF0FC"/>
          </w:tcPr>
          <w:p>
            <w:pPr>
              <w:spacing w:after="0"/>
              <w:rPr>
                <w:sz w:val="14"/>
                <w:szCs w:val="14"/>
                <w:color w:val="auto"/>
              </w:rPr>
            </w:pPr>
          </w:p>
        </w:tc>
        <w:tc>
          <w:tcPr>
            <w:tcW w:w="900" w:type="dxa"/>
            <w:vAlign w:val="bottom"/>
            <w:shd w:val="clear" w:color="auto" w:fill="CFF0FC"/>
          </w:tcPr>
          <w:p>
            <w:pPr>
              <w:jc w:val="right"/>
              <w:spacing w:after="0"/>
              <w:rPr>
                <w:sz w:val="20"/>
                <w:szCs w:val="20"/>
                <w:color w:val="auto"/>
              </w:rPr>
            </w:pPr>
            <w:r>
              <w:rPr>
                <w:rFonts w:ascii="Arial" w:cs="Arial" w:eastAsia="Arial" w:hAnsi="Arial"/>
                <w:sz w:val="14"/>
                <w:szCs w:val="14"/>
                <w:color w:val="auto"/>
              </w:rPr>
              <w:t>-</w:t>
            </w:r>
          </w:p>
        </w:tc>
        <w:tc>
          <w:tcPr>
            <w:tcW w:w="220" w:type="dxa"/>
            <w:vAlign w:val="bottom"/>
            <w:shd w:val="clear" w:color="auto" w:fill="CFF0FC"/>
          </w:tcPr>
          <w:p>
            <w:pPr>
              <w:spacing w:after="0"/>
              <w:rPr>
                <w:sz w:val="14"/>
                <w:szCs w:val="14"/>
                <w:color w:val="auto"/>
              </w:rPr>
            </w:pPr>
          </w:p>
        </w:tc>
        <w:tc>
          <w:tcPr>
            <w:tcW w:w="800" w:type="dxa"/>
            <w:vAlign w:val="bottom"/>
            <w:shd w:val="clear" w:color="auto" w:fill="CFF0FC"/>
          </w:tcPr>
          <w:p>
            <w:pPr>
              <w:jc w:val="right"/>
              <w:spacing w:after="0"/>
              <w:rPr>
                <w:sz w:val="20"/>
                <w:szCs w:val="20"/>
                <w:color w:val="auto"/>
              </w:rPr>
            </w:pPr>
            <w:r>
              <w:rPr>
                <w:rFonts w:ascii="Arial" w:cs="Arial" w:eastAsia="Arial" w:hAnsi="Arial"/>
                <w:sz w:val="14"/>
                <w:szCs w:val="14"/>
                <w:color w:val="auto"/>
              </w:rPr>
              <w:t>39</w:t>
            </w:r>
          </w:p>
        </w:tc>
        <w:tc>
          <w:tcPr>
            <w:tcW w:w="220" w:type="dxa"/>
            <w:vAlign w:val="bottom"/>
            <w:shd w:val="clear" w:color="auto" w:fill="CFF0FC"/>
          </w:tcPr>
          <w:p>
            <w:pPr>
              <w:spacing w:after="0"/>
              <w:rPr>
                <w:sz w:val="14"/>
                <w:szCs w:val="14"/>
                <w:color w:val="auto"/>
              </w:rPr>
            </w:pPr>
          </w:p>
        </w:tc>
        <w:tc>
          <w:tcPr>
            <w:tcW w:w="820" w:type="dxa"/>
            <w:vAlign w:val="bottom"/>
            <w:shd w:val="clear" w:color="auto" w:fill="CFF0FC"/>
          </w:tcPr>
          <w:p>
            <w:pPr>
              <w:jc w:val="right"/>
              <w:spacing w:after="0"/>
              <w:rPr>
                <w:sz w:val="20"/>
                <w:szCs w:val="20"/>
                <w:color w:val="auto"/>
              </w:rPr>
            </w:pPr>
            <w:r>
              <w:rPr>
                <w:rFonts w:ascii="Arial" w:cs="Arial" w:eastAsia="Arial" w:hAnsi="Arial"/>
                <w:sz w:val="14"/>
                <w:szCs w:val="14"/>
                <w:color w:val="auto"/>
              </w:rPr>
              <w:t>-</w:t>
            </w:r>
          </w:p>
        </w:tc>
        <w:tc>
          <w:tcPr>
            <w:tcW w:w="220" w:type="dxa"/>
            <w:vAlign w:val="bottom"/>
            <w:shd w:val="clear" w:color="auto" w:fill="CFF0FC"/>
          </w:tcPr>
          <w:p>
            <w:pPr>
              <w:spacing w:after="0"/>
              <w:rPr>
                <w:sz w:val="14"/>
                <w:szCs w:val="14"/>
                <w:color w:val="auto"/>
              </w:rPr>
            </w:pPr>
          </w:p>
        </w:tc>
        <w:tc>
          <w:tcPr>
            <w:tcW w:w="1040" w:type="dxa"/>
            <w:vAlign w:val="bottom"/>
            <w:shd w:val="clear" w:color="auto" w:fill="CFF0FC"/>
          </w:tcPr>
          <w:p>
            <w:pPr>
              <w:jc w:val="right"/>
              <w:spacing w:after="0"/>
              <w:rPr>
                <w:sz w:val="20"/>
                <w:szCs w:val="20"/>
                <w:color w:val="auto"/>
              </w:rPr>
            </w:pPr>
            <w:r>
              <w:rPr>
                <w:rFonts w:ascii="Arial" w:cs="Arial" w:eastAsia="Arial" w:hAnsi="Arial"/>
                <w:sz w:val="14"/>
                <w:szCs w:val="14"/>
                <w:color w:val="auto"/>
              </w:rPr>
              <w:t>-</w:t>
            </w:r>
          </w:p>
        </w:tc>
        <w:tc>
          <w:tcPr>
            <w:tcW w:w="800" w:type="dxa"/>
            <w:vAlign w:val="bottom"/>
            <w:gridSpan w:val="2"/>
            <w:shd w:val="clear" w:color="auto" w:fill="CFF0FC"/>
          </w:tcPr>
          <w:p>
            <w:pPr>
              <w:jc w:val="right"/>
              <w:spacing w:after="0"/>
              <w:rPr>
                <w:sz w:val="20"/>
                <w:szCs w:val="20"/>
                <w:color w:val="auto"/>
              </w:rPr>
            </w:pPr>
            <w:r>
              <w:rPr>
                <w:rFonts w:ascii="Arial" w:cs="Arial" w:eastAsia="Arial" w:hAnsi="Arial"/>
                <w:sz w:val="14"/>
                <w:szCs w:val="14"/>
                <w:color w:val="auto"/>
              </w:rPr>
              <w:t>$550</w:t>
            </w:r>
          </w:p>
        </w:tc>
        <w:tc>
          <w:tcPr>
            <w:tcW w:w="660" w:type="dxa"/>
            <w:vAlign w:val="bottom"/>
            <w:shd w:val="clear" w:color="auto" w:fill="CFF0FC"/>
          </w:tcPr>
          <w:p>
            <w:pPr>
              <w:spacing w:after="0"/>
              <w:rPr>
                <w:sz w:val="20"/>
                <w:szCs w:val="20"/>
                <w:color w:val="auto"/>
              </w:rPr>
            </w:pPr>
            <w:r>
              <w:rPr>
                <w:rFonts w:ascii="Arial" w:cs="Arial" w:eastAsia="Arial" w:hAnsi="Arial"/>
                <w:sz w:val="14"/>
                <w:szCs w:val="14"/>
                <w:color w:val="auto"/>
              </w:rPr>
              <w:t>- $785</w:t>
            </w:r>
          </w:p>
        </w:tc>
      </w:tr>
      <w:tr>
        <w:trPr>
          <w:trHeight w:val="162"/>
        </w:trPr>
        <w:tc>
          <w:tcPr>
            <w:tcW w:w="3660" w:type="dxa"/>
            <w:vAlign w:val="bottom"/>
            <w:gridSpan w:val="2"/>
          </w:tcPr>
          <w:p>
            <w:pPr>
              <w:ind w:left="380"/>
              <w:spacing w:after="0"/>
              <w:rPr>
                <w:sz w:val="20"/>
                <w:szCs w:val="20"/>
                <w:color w:val="auto"/>
              </w:rPr>
            </w:pPr>
            <w:r>
              <w:rPr>
                <w:rFonts w:ascii="Arial" w:cs="Arial" w:eastAsia="Arial" w:hAnsi="Arial"/>
                <w:sz w:val="14"/>
                <w:szCs w:val="14"/>
                <w:color w:val="auto"/>
              </w:rPr>
              <w:t>Blackstone at the Cannery, Hayward</w:t>
            </w:r>
          </w:p>
        </w:tc>
        <w:tc>
          <w:tcPr>
            <w:tcW w:w="960" w:type="dxa"/>
            <w:vAlign w:val="bottom"/>
          </w:tcPr>
          <w:p>
            <w:pPr>
              <w:jc w:val="center"/>
              <w:spacing w:after="0"/>
              <w:rPr>
                <w:sz w:val="20"/>
                <w:szCs w:val="20"/>
                <w:color w:val="auto"/>
              </w:rPr>
            </w:pPr>
            <w:r>
              <w:rPr>
                <w:rFonts w:ascii="Arial" w:cs="Arial" w:eastAsia="Arial" w:hAnsi="Arial"/>
                <w:sz w:val="14"/>
                <w:szCs w:val="14"/>
                <w:color w:val="auto"/>
                <w:w w:val="83"/>
              </w:rPr>
              <w:t>2016</w:t>
            </w:r>
          </w:p>
        </w:tc>
        <w:tc>
          <w:tcPr>
            <w:tcW w:w="100" w:type="dxa"/>
            <w:vAlign w:val="bottom"/>
          </w:tcPr>
          <w:p>
            <w:pPr>
              <w:spacing w:after="0"/>
              <w:rPr>
                <w:sz w:val="14"/>
                <w:szCs w:val="14"/>
                <w:color w:val="auto"/>
              </w:rPr>
            </w:pPr>
          </w:p>
        </w:tc>
        <w:tc>
          <w:tcPr>
            <w:tcW w:w="820" w:type="dxa"/>
            <w:vAlign w:val="bottom"/>
          </w:tcPr>
          <w:p>
            <w:pPr>
              <w:jc w:val="right"/>
              <w:spacing w:after="0"/>
              <w:rPr>
                <w:sz w:val="20"/>
                <w:szCs w:val="20"/>
                <w:color w:val="auto"/>
              </w:rPr>
            </w:pPr>
            <w:r>
              <w:rPr>
                <w:rFonts w:ascii="Arial" w:cs="Arial" w:eastAsia="Arial" w:hAnsi="Arial"/>
                <w:sz w:val="14"/>
                <w:szCs w:val="14"/>
                <w:color w:val="auto"/>
              </w:rPr>
              <w:t>105</w:t>
            </w:r>
          </w:p>
        </w:tc>
        <w:tc>
          <w:tcPr>
            <w:tcW w:w="200" w:type="dxa"/>
            <w:vAlign w:val="bottom"/>
          </w:tcPr>
          <w:p>
            <w:pPr>
              <w:spacing w:after="0"/>
              <w:rPr>
                <w:sz w:val="14"/>
                <w:szCs w:val="14"/>
                <w:color w:val="auto"/>
              </w:rPr>
            </w:pPr>
          </w:p>
        </w:tc>
        <w:tc>
          <w:tcPr>
            <w:tcW w:w="900" w:type="dxa"/>
            <w:vAlign w:val="bottom"/>
          </w:tcPr>
          <w:p>
            <w:pPr>
              <w:jc w:val="right"/>
              <w:spacing w:after="0"/>
              <w:rPr>
                <w:sz w:val="20"/>
                <w:szCs w:val="20"/>
                <w:color w:val="auto"/>
              </w:rPr>
            </w:pPr>
            <w:r>
              <w:rPr>
                <w:rFonts w:ascii="Arial" w:cs="Arial" w:eastAsia="Arial" w:hAnsi="Arial"/>
                <w:sz w:val="14"/>
                <w:szCs w:val="14"/>
                <w:color w:val="auto"/>
              </w:rPr>
              <w:t>-</w:t>
            </w:r>
          </w:p>
        </w:tc>
        <w:tc>
          <w:tcPr>
            <w:tcW w:w="220" w:type="dxa"/>
            <w:vAlign w:val="bottom"/>
          </w:tcPr>
          <w:p>
            <w:pPr>
              <w:spacing w:after="0"/>
              <w:rPr>
                <w:sz w:val="14"/>
                <w:szCs w:val="14"/>
                <w:color w:val="auto"/>
              </w:rPr>
            </w:pPr>
          </w:p>
        </w:tc>
        <w:tc>
          <w:tcPr>
            <w:tcW w:w="800" w:type="dxa"/>
            <w:vAlign w:val="bottom"/>
          </w:tcPr>
          <w:p>
            <w:pPr>
              <w:jc w:val="right"/>
              <w:spacing w:after="0"/>
              <w:rPr>
                <w:sz w:val="20"/>
                <w:szCs w:val="20"/>
                <w:color w:val="auto"/>
              </w:rPr>
            </w:pPr>
            <w:r>
              <w:rPr>
                <w:rFonts w:ascii="Arial" w:cs="Arial" w:eastAsia="Arial" w:hAnsi="Arial"/>
                <w:sz w:val="14"/>
                <w:szCs w:val="14"/>
                <w:color w:val="auto"/>
              </w:rPr>
              <w:t>105</w:t>
            </w:r>
          </w:p>
        </w:tc>
        <w:tc>
          <w:tcPr>
            <w:tcW w:w="220" w:type="dxa"/>
            <w:vAlign w:val="bottom"/>
          </w:tcPr>
          <w:p>
            <w:pPr>
              <w:spacing w:after="0"/>
              <w:rPr>
                <w:sz w:val="14"/>
                <w:szCs w:val="14"/>
                <w:color w:val="auto"/>
              </w:rPr>
            </w:pPr>
          </w:p>
        </w:tc>
        <w:tc>
          <w:tcPr>
            <w:tcW w:w="820" w:type="dxa"/>
            <w:vAlign w:val="bottom"/>
          </w:tcPr>
          <w:p>
            <w:pPr>
              <w:jc w:val="right"/>
              <w:spacing w:after="0"/>
              <w:rPr>
                <w:sz w:val="20"/>
                <w:szCs w:val="20"/>
                <w:color w:val="auto"/>
              </w:rPr>
            </w:pPr>
            <w:r>
              <w:rPr>
                <w:rFonts w:ascii="Arial" w:cs="Arial" w:eastAsia="Arial" w:hAnsi="Arial"/>
                <w:sz w:val="14"/>
                <w:szCs w:val="14"/>
                <w:color w:val="auto"/>
              </w:rPr>
              <w:t>-</w:t>
            </w:r>
          </w:p>
        </w:tc>
        <w:tc>
          <w:tcPr>
            <w:tcW w:w="220" w:type="dxa"/>
            <w:vAlign w:val="bottom"/>
          </w:tcPr>
          <w:p>
            <w:pPr>
              <w:spacing w:after="0"/>
              <w:rPr>
                <w:sz w:val="14"/>
                <w:szCs w:val="14"/>
                <w:color w:val="auto"/>
              </w:rPr>
            </w:pPr>
          </w:p>
        </w:tc>
        <w:tc>
          <w:tcPr>
            <w:tcW w:w="1040" w:type="dxa"/>
            <w:vAlign w:val="bottom"/>
          </w:tcPr>
          <w:p>
            <w:pPr>
              <w:jc w:val="right"/>
              <w:spacing w:after="0"/>
              <w:rPr>
                <w:sz w:val="20"/>
                <w:szCs w:val="20"/>
                <w:color w:val="auto"/>
              </w:rPr>
            </w:pPr>
            <w:r>
              <w:rPr>
                <w:rFonts w:ascii="Arial" w:cs="Arial" w:eastAsia="Arial" w:hAnsi="Arial"/>
                <w:sz w:val="14"/>
                <w:szCs w:val="14"/>
                <w:color w:val="auto"/>
              </w:rPr>
              <w:t>-</w:t>
            </w:r>
          </w:p>
        </w:tc>
        <w:tc>
          <w:tcPr>
            <w:tcW w:w="800" w:type="dxa"/>
            <w:vAlign w:val="bottom"/>
            <w:gridSpan w:val="2"/>
          </w:tcPr>
          <w:p>
            <w:pPr>
              <w:jc w:val="right"/>
              <w:spacing w:after="0"/>
              <w:rPr>
                <w:sz w:val="20"/>
                <w:szCs w:val="20"/>
                <w:color w:val="auto"/>
              </w:rPr>
            </w:pPr>
            <w:r>
              <w:rPr>
                <w:rFonts w:ascii="Arial" w:cs="Arial" w:eastAsia="Arial" w:hAnsi="Arial"/>
                <w:sz w:val="14"/>
                <w:szCs w:val="14"/>
                <w:color w:val="auto"/>
              </w:rPr>
              <w:t>$495</w:t>
            </w:r>
          </w:p>
        </w:tc>
        <w:tc>
          <w:tcPr>
            <w:tcW w:w="660" w:type="dxa"/>
            <w:vAlign w:val="bottom"/>
          </w:tcPr>
          <w:p>
            <w:pPr>
              <w:spacing w:after="0"/>
              <w:rPr>
                <w:sz w:val="20"/>
                <w:szCs w:val="20"/>
                <w:color w:val="auto"/>
              </w:rPr>
            </w:pPr>
            <w:r>
              <w:rPr>
                <w:rFonts w:ascii="Arial" w:cs="Arial" w:eastAsia="Arial" w:hAnsi="Arial"/>
                <w:sz w:val="14"/>
                <w:szCs w:val="14"/>
                <w:color w:val="auto"/>
              </w:rPr>
              <w:t>- $565</w:t>
            </w:r>
          </w:p>
        </w:tc>
      </w:tr>
      <w:tr>
        <w:trPr>
          <w:trHeight w:val="162"/>
        </w:trPr>
        <w:tc>
          <w:tcPr>
            <w:tcW w:w="3660" w:type="dxa"/>
            <w:vAlign w:val="bottom"/>
            <w:gridSpan w:val="2"/>
            <w:shd w:val="clear" w:color="auto" w:fill="CFF0FC"/>
          </w:tcPr>
          <w:p>
            <w:pPr>
              <w:ind w:left="380"/>
              <w:spacing w:after="0"/>
              <w:rPr>
                <w:sz w:val="20"/>
                <w:szCs w:val="20"/>
                <w:color w:val="auto"/>
              </w:rPr>
            </w:pPr>
            <w:r>
              <w:rPr>
                <w:rFonts w:ascii="Arial" w:cs="Arial" w:eastAsia="Arial" w:hAnsi="Arial"/>
                <w:sz w:val="14"/>
                <w:szCs w:val="14"/>
                <w:color w:val="auto"/>
              </w:rPr>
              <w:t>Blackstone at the Cannery, Hayward</w:t>
            </w:r>
          </w:p>
        </w:tc>
        <w:tc>
          <w:tcPr>
            <w:tcW w:w="960" w:type="dxa"/>
            <w:vAlign w:val="bottom"/>
            <w:shd w:val="clear" w:color="auto" w:fill="CFF0FC"/>
          </w:tcPr>
          <w:p>
            <w:pPr>
              <w:jc w:val="center"/>
              <w:spacing w:after="0"/>
              <w:rPr>
                <w:sz w:val="20"/>
                <w:szCs w:val="20"/>
                <w:color w:val="auto"/>
              </w:rPr>
            </w:pPr>
            <w:r>
              <w:rPr>
                <w:rFonts w:ascii="Arial" w:cs="Arial" w:eastAsia="Arial" w:hAnsi="Arial"/>
                <w:sz w:val="14"/>
                <w:szCs w:val="14"/>
                <w:color w:val="auto"/>
                <w:w w:val="83"/>
              </w:rPr>
              <w:t>2016</w:t>
            </w:r>
          </w:p>
        </w:tc>
        <w:tc>
          <w:tcPr>
            <w:tcW w:w="100" w:type="dxa"/>
            <w:vAlign w:val="bottom"/>
            <w:shd w:val="clear" w:color="auto" w:fill="CFF0FC"/>
          </w:tcPr>
          <w:p>
            <w:pPr>
              <w:spacing w:after="0"/>
              <w:rPr>
                <w:sz w:val="14"/>
                <w:szCs w:val="14"/>
                <w:color w:val="auto"/>
              </w:rPr>
            </w:pPr>
          </w:p>
        </w:tc>
        <w:tc>
          <w:tcPr>
            <w:tcW w:w="8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4"/>
                <w:szCs w:val="14"/>
                <w:color w:val="auto"/>
              </w:rPr>
              <w:t>52</w:t>
            </w:r>
          </w:p>
        </w:tc>
        <w:tc>
          <w:tcPr>
            <w:tcW w:w="200" w:type="dxa"/>
            <w:vAlign w:val="bottom"/>
            <w:shd w:val="clear" w:color="auto" w:fill="CFF0FC"/>
          </w:tcPr>
          <w:p>
            <w:pPr>
              <w:spacing w:after="0"/>
              <w:rPr>
                <w:sz w:val="14"/>
                <w:szCs w:val="14"/>
                <w:color w:val="auto"/>
              </w:rPr>
            </w:pPr>
          </w:p>
        </w:tc>
        <w:tc>
          <w:tcPr>
            <w:tcW w:w="90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4"/>
                <w:szCs w:val="14"/>
                <w:color w:val="auto"/>
              </w:rPr>
              <w:t>-</w:t>
            </w:r>
          </w:p>
        </w:tc>
        <w:tc>
          <w:tcPr>
            <w:tcW w:w="220" w:type="dxa"/>
            <w:vAlign w:val="bottom"/>
            <w:shd w:val="clear" w:color="auto" w:fill="CFF0FC"/>
          </w:tcPr>
          <w:p>
            <w:pPr>
              <w:spacing w:after="0"/>
              <w:rPr>
                <w:sz w:val="14"/>
                <w:szCs w:val="14"/>
                <w:color w:val="auto"/>
              </w:rPr>
            </w:pPr>
          </w:p>
        </w:tc>
        <w:tc>
          <w:tcPr>
            <w:tcW w:w="80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4"/>
                <w:szCs w:val="14"/>
                <w:color w:val="auto"/>
              </w:rPr>
              <w:t>52</w:t>
            </w:r>
          </w:p>
        </w:tc>
        <w:tc>
          <w:tcPr>
            <w:tcW w:w="220" w:type="dxa"/>
            <w:vAlign w:val="bottom"/>
            <w:shd w:val="clear" w:color="auto" w:fill="CFF0FC"/>
          </w:tcPr>
          <w:p>
            <w:pPr>
              <w:spacing w:after="0"/>
              <w:rPr>
                <w:sz w:val="14"/>
                <w:szCs w:val="14"/>
                <w:color w:val="auto"/>
              </w:rPr>
            </w:pPr>
          </w:p>
        </w:tc>
        <w:tc>
          <w:tcPr>
            <w:tcW w:w="8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4"/>
                <w:szCs w:val="14"/>
                <w:color w:val="auto"/>
              </w:rPr>
              <w:t>-</w:t>
            </w:r>
          </w:p>
        </w:tc>
        <w:tc>
          <w:tcPr>
            <w:tcW w:w="220" w:type="dxa"/>
            <w:vAlign w:val="bottom"/>
            <w:shd w:val="clear" w:color="auto" w:fill="CFF0FC"/>
          </w:tcPr>
          <w:p>
            <w:pPr>
              <w:spacing w:after="0"/>
              <w:rPr>
                <w:sz w:val="14"/>
                <w:szCs w:val="14"/>
                <w:color w:val="auto"/>
              </w:rPr>
            </w:pPr>
          </w:p>
        </w:tc>
        <w:tc>
          <w:tcPr>
            <w:tcW w:w="104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4"/>
                <w:szCs w:val="14"/>
                <w:color w:val="auto"/>
              </w:rPr>
              <w:t>-</w:t>
            </w:r>
          </w:p>
        </w:tc>
        <w:tc>
          <w:tcPr>
            <w:tcW w:w="800" w:type="dxa"/>
            <w:vAlign w:val="bottom"/>
            <w:gridSpan w:val="2"/>
            <w:shd w:val="clear" w:color="auto" w:fill="CFF0FC"/>
          </w:tcPr>
          <w:p>
            <w:pPr>
              <w:jc w:val="right"/>
              <w:spacing w:after="0"/>
              <w:rPr>
                <w:sz w:val="20"/>
                <w:szCs w:val="20"/>
                <w:color w:val="auto"/>
              </w:rPr>
            </w:pPr>
            <w:r>
              <w:rPr>
                <w:rFonts w:ascii="Arial" w:cs="Arial" w:eastAsia="Arial" w:hAnsi="Arial"/>
                <w:sz w:val="14"/>
                <w:szCs w:val="14"/>
                <w:color w:val="auto"/>
              </w:rPr>
              <w:t>$610</w:t>
            </w:r>
          </w:p>
        </w:tc>
        <w:tc>
          <w:tcPr>
            <w:tcW w:w="660" w:type="dxa"/>
            <w:vAlign w:val="bottom"/>
            <w:shd w:val="clear" w:color="auto" w:fill="CFF0FC"/>
          </w:tcPr>
          <w:p>
            <w:pPr>
              <w:spacing w:after="0"/>
              <w:rPr>
                <w:sz w:val="20"/>
                <w:szCs w:val="20"/>
                <w:color w:val="auto"/>
              </w:rPr>
            </w:pPr>
            <w:r>
              <w:rPr>
                <w:rFonts w:ascii="Arial" w:cs="Arial" w:eastAsia="Arial" w:hAnsi="Arial"/>
                <w:sz w:val="14"/>
                <w:szCs w:val="14"/>
                <w:color w:val="auto"/>
              </w:rPr>
              <w:t>- $660</w:t>
            </w:r>
          </w:p>
        </w:tc>
      </w:tr>
      <w:tr>
        <w:trPr>
          <w:trHeight w:val="156"/>
        </w:trPr>
        <w:tc>
          <w:tcPr>
            <w:tcW w:w="3660" w:type="dxa"/>
            <w:vAlign w:val="bottom"/>
            <w:tcBorders>
              <w:bottom w:val="single" w:sz="8" w:color="CFF0FC"/>
            </w:tcBorders>
            <w:gridSpan w:val="2"/>
          </w:tcPr>
          <w:p>
            <w:pPr>
              <w:spacing w:after="0" w:line="155" w:lineRule="exact"/>
              <w:rPr>
                <w:sz w:val="20"/>
                <w:szCs w:val="20"/>
                <w:color w:val="auto"/>
              </w:rPr>
            </w:pPr>
            <w:r>
              <w:rPr>
                <w:rFonts w:ascii="Arial" w:cs="Arial" w:eastAsia="Arial" w:hAnsi="Arial"/>
                <w:sz w:val="14"/>
                <w:szCs w:val="14"/>
                <w:b w:val="1"/>
                <w:bCs w:val="1"/>
                <w:color w:val="auto"/>
              </w:rPr>
              <w:t>Northern California Total</w:t>
            </w:r>
          </w:p>
        </w:tc>
        <w:tc>
          <w:tcPr>
            <w:tcW w:w="960" w:type="dxa"/>
            <w:vAlign w:val="bottom"/>
            <w:tcBorders>
              <w:bottom w:val="single" w:sz="8" w:color="CFF0FC"/>
            </w:tcBorders>
          </w:tcPr>
          <w:p>
            <w:pPr>
              <w:spacing w:after="0"/>
              <w:rPr>
                <w:sz w:val="13"/>
                <w:szCs w:val="13"/>
                <w:color w:val="auto"/>
              </w:rPr>
            </w:pPr>
          </w:p>
        </w:tc>
        <w:tc>
          <w:tcPr>
            <w:tcW w:w="100" w:type="dxa"/>
            <w:vAlign w:val="bottom"/>
            <w:tcBorders>
              <w:bottom w:val="single" w:sz="8" w:color="CFF0FC"/>
            </w:tcBorders>
          </w:tcPr>
          <w:p>
            <w:pPr>
              <w:spacing w:after="0"/>
              <w:rPr>
                <w:sz w:val="13"/>
                <w:szCs w:val="13"/>
                <w:color w:val="auto"/>
              </w:rPr>
            </w:pPr>
          </w:p>
        </w:tc>
        <w:tc>
          <w:tcPr>
            <w:tcW w:w="820" w:type="dxa"/>
            <w:vAlign w:val="bottom"/>
            <w:tcBorders>
              <w:bottom w:val="single" w:sz="8" w:color="auto"/>
            </w:tcBorders>
          </w:tcPr>
          <w:p>
            <w:pPr>
              <w:jc w:val="right"/>
              <w:spacing w:after="0" w:line="155" w:lineRule="exact"/>
              <w:rPr>
                <w:sz w:val="20"/>
                <w:szCs w:val="20"/>
                <w:color w:val="auto"/>
              </w:rPr>
            </w:pPr>
            <w:r>
              <w:rPr>
                <w:rFonts w:ascii="Arial" w:cs="Arial" w:eastAsia="Arial" w:hAnsi="Arial"/>
                <w:sz w:val="14"/>
                <w:szCs w:val="14"/>
                <w:b w:val="1"/>
                <w:bCs w:val="1"/>
                <w:color w:val="auto"/>
              </w:rPr>
              <w:t>1,379</w:t>
            </w:r>
          </w:p>
        </w:tc>
        <w:tc>
          <w:tcPr>
            <w:tcW w:w="200" w:type="dxa"/>
            <w:vAlign w:val="bottom"/>
            <w:tcBorders>
              <w:bottom w:val="single" w:sz="8" w:color="CFF0FC"/>
            </w:tcBorders>
          </w:tcPr>
          <w:p>
            <w:pPr>
              <w:spacing w:after="0"/>
              <w:rPr>
                <w:sz w:val="13"/>
                <w:szCs w:val="13"/>
                <w:color w:val="auto"/>
              </w:rPr>
            </w:pPr>
          </w:p>
        </w:tc>
        <w:tc>
          <w:tcPr>
            <w:tcW w:w="900" w:type="dxa"/>
            <w:vAlign w:val="bottom"/>
            <w:tcBorders>
              <w:bottom w:val="single" w:sz="8" w:color="auto"/>
            </w:tcBorders>
          </w:tcPr>
          <w:p>
            <w:pPr>
              <w:jc w:val="right"/>
              <w:spacing w:after="0" w:line="155" w:lineRule="exact"/>
              <w:rPr>
                <w:sz w:val="20"/>
                <w:szCs w:val="20"/>
                <w:color w:val="auto"/>
              </w:rPr>
            </w:pPr>
            <w:r>
              <w:rPr>
                <w:rFonts w:ascii="Arial" w:cs="Arial" w:eastAsia="Arial" w:hAnsi="Arial"/>
                <w:sz w:val="14"/>
                <w:szCs w:val="14"/>
                <w:b w:val="1"/>
                <w:bCs w:val="1"/>
                <w:color w:val="auto"/>
              </w:rPr>
              <w:t>146</w:t>
            </w:r>
          </w:p>
        </w:tc>
        <w:tc>
          <w:tcPr>
            <w:tcW w:w="220" w:type="dxa"/>
            <w:vAlign w:val="bottom"/>
            <w:tcBorders>
              <w:bottom w:val="single" w:sz="8" w:color="CFF0FC"/>
            </w:tcBorders>
          </w:tcPr>
          <w:p>
            <w:pPr>
              <w:spacing w:after="0"/>
              <w:rPr>
                <w:sz w:val="13"/>
                <w:szCs w:val="13"/>
                <w:color w:val="auto"/>
              </w:rPr>
            </w:pPr>
          </w:p>
        </w:tc>
        <w:tc>
          <w:tcPr>
            <w:tcW w:w="800" w:type="dxa"/>
            <w:vAlign w:val="bottom"/>
            <w:tcBorders>
              <w:bottom w:val="single" w:sz="8" w:color="auto"/>
            </w:tcBorders>
          </w:tcPr>
          <w:p>
            <w:pPr>
              <w:jc w:val="right"/>
              <w:spacing w:after="0" w:line="155" w:lineRule="exact"/>
              <w:rPr>
                <w:sz w:val="20"/>
                <w:szCs w:val="20"/>
                <w:color w:val="auto"/>
              </w:rPr>
            </w:pPr>
            <w:r>
              <w:rPr>
                <w:rFonts w:ascii="Arial" w:cs="Arial" w:eastAsia="Arial" w:hAnsi="Arial"/>
                <w:sz w:val="14"/>
                <w:szCs w:val="14"/>
                <w:b w:val="1"/>
                <w:bCs w:val="1"/>
                <w:color w:val="auto"/>
              </w:rPr>
              <w:t>1,175</w:t>
            </w:r>
          </w:p>
        </w:tc>
        <w:tc>
          <w:tcPr>
            <w:tcW w:w="220" w:type="dxa"/>
            <w:vAlign w:val="bottom"/>
            <w:tcBorders>
              <w:bottom w:val="single" w:sz="8" w:color="CFF0FC"/>
            </w:tcBorders>
          </w:tcPr>
          <w:p>
            <w:pPr>
              <w:spacing w:after="0"/>
              <w:rPr>
                <w:sz w:val="13"/>
                <w:szCs w:val="13"/>
                <w:color w:val="auto"/>
              </w:rPr>
            </w:pPr>
          </w:p>
        </w:tc>
        <w:tc>
          <w:tcPr>
            <w:tcW w:w="820" w:type="dxa"/>
            <w:vAlign w:val="bottom"/>
            <w:tcBorders>
              <w:bottom w:val="single" w:sz="8" w:color="auto"/>
            </w:tcBorders>
          </w:tcPr>
          <w:p>
            <w:pPr>
              <w:jc w:val="right"/>
              <w:spacing w:after="0" w:line="155" w:lineRule="exact"/>
              <w:rPr>
                <w:sz w:val="20"/>
                <w:szCs w:val="20"/>
                <w:color w:val="auto"/>
              </w:rPr>
            </w:pPr>
            <w:r>
              <w:rPr>
                <w:rFonts w:ascii="Arial" w:cs="Arial" w:eastAsia="Arial" w:hAnsi="Arial"/>
                <w:sz w:val="14"/>
                <w:szCs w:val="14"/>
                <w:b w:val="1"/>
                <w:bCs w:val="1"/>
                <w:color w:val="auto"/>
              </w:rPr>
              <w:t>134</w:t>
            </w:r>
          </w:p>
        </w:tc>
        <w:tc>
          <w:tcPr>
            <w:tcW w:w="220" w:type="dxa"/>
            <w:vAlign w:val="bottom"/>
            <w:tcBorders>
              <w:bottom w:val="single" w:sz="8" w:color="CFF0FC"/>
            </w:tcBorders>
          </w:tcPr>
          <w:p>
            <w:pPr>
              <w:spacing w:after="0"/>
              <w:rPr>
                <w:sz w:val="13"/>
                <w:szCs w:val="13"/>
                <w:color w:val="auto"/>
              </w:rPr>
            </w:pPr>
          </w:p>
        </w:tc>
        <w:tc>
          <w:tcPr>
            <w:tcW w:w="1040" w:type="dxa"/>
            <w:vAlign w:val="bottom"/>
            <w:tcBorders>
              <w:bottom w:val="single" w:sz="8" w:color="auto"/>
            </w:tcBorders>
          </w:tcPr>
          <w:p>
            <w:pPr>
              <w:jc w:val="right"/>
              <w:spacing w:after="0" w:line="155" w:lineRule="exact"/>
              <w:rPr>
                <w:sz w:val="20"/>
                <w:szCs w:val="20"/>
                <w:color w:val="auto"/>
              </w:rPr>
            </w:pPr>
            <w:r>
              <w:rPr>
                <w:rFonts w:ascii="Arial" w:cs="Arial" w:eastAsia="Arial" w:hAnsi="Arial"/>
                <w:sz w:val="14"/>
                <w:szCs w:val="14"/>
                <w:b w:val="1"/>
                <w:bCs w:val="1"/>
                <w:color w:val="auto"/>
              </w:rPr>
              <w:t>29</w:t>
            </w:r>
          </w:p>
        </w:tc>
        <w:tc>
          <w:tcPr>
            <w:tcW w:w="220" w:type="dxa"/>
            <w:vAlign w:val="bottom"/>
            <w:tcBorders>
              <w:bottom w:val="single" w:sz="8" w:color="CFF0FC"/>
            </w:tcBorders>
          </w:tcPr>
          <w:p>
            <w:pPr>
              <w:spacing w:after="0"/>
              <w:rPr>
                <w:sz w:val="13"/>
                <w:szCs w:val="13"/>
                <w:color w:val="auto"/>
              </w:rPr>
            </w:pPr>
          </w:p>
        </w:tc>
        <w:tc>
          <w:tcPr>
            <w:tcW w:w="580" w:type="dxa"/>
            <w:vAlign w:val="bottom"/>
            <w:tcBorders>
              <w:bottom w:val="single" w:sz="8" w:color="CFF0FC"/>
            </w:tcBorders>
          </w:tcPr>
          <w:p>
            <w:pPr>
              <w:spacing w:after="0"/>
              <w:rPr>
                <w:sz w:val="13"/>
                <w:szCs w:val="13"/>
                <w:color w:val="auto"/>
              </w:rPr>
            </w:pPr>
          </w:p>
        </w:tc>
        <w:tc>
          <w:tcPr>
            <w:tcW w:w="660" w:type="dxa"/>
            <w:vAlign w:val="bottom"/>
            <w:tcBorders>
              <w:bottom w:val="single" w:sz="8" w:color="CFF0FC"/>
            </w:tcBorders>
          </w:tcPr>
          <w:p>
            <w:pPr>
              <w:spacing w:after="0"/>
              <w:rPr>
                <w:sz w:val="13"/>
                <w:szCs w:val="13"/>
                <w:color w:val="auto"/>
              </w:rPr>
            </w:pPr>
          </w:p>
        </w:tc>
      </w:tr>
      <w:tr>
        <w:trPr>
          <w:trHeight w:val="156"/>
        </w:trPr>
        <w:tc>
          <w:tcPr>
            <w:tcW w:w="3660" w:type="dxa"/>
            <w:vAlign w:val="bottom"/>
            <w:gridSpan w:val="2"/>
            <w:shd w:val="clear" w:color="auto" w:fill="CFF0FC"/>
          </w:tcPr>
          <w:p>
            <w:pPr>
              <w:spacing w:after="0" w:line="155" w:lineRule="exact"/>
              <w:rPr>
                <w:sz w:val="20"/>
                <w:szCs w:val="20"/>
                <w:color w:val="auto"/>
              </w:rPr>
            </w:pPr>
            <w:r>
              <w:rPr>
                <w:rFonts w:ascii="Arial" w:cs="Arial" w:eastAsia="Arial" w:hAnsi="Arial"/>
                <w:sz w:val="14"/>
                <w:szCs w:val="14"/>
                <w:b w:val="1"/>
                <w:bCs w:val="1"/>
                <w:color w:val="auto"/>
              </w:rPr>
              <w:t>California Total</w:t>
            </w:r>
          </w:p>
        </w:tc>
        <w:tc>
          <w:tcPr>
            <w:tcW w:w="960" w:type="dxa"/>
            <w:vAlign w:val="bottom"/>
            <w:shd w:val="clear" w:color="auto" w:fill="CFF0FC"/>
          </w:tcPr>
          <w:p>
            <w:pPr>
              <w:spacing w:after="0"/>
              <w:rPr>
                <w:sz w:val="13"/>
                <w:szCs w:val="13"/>
                <w:color w:val="auto"/>
              </w:rPr>
            </w:pPr>
          </w:p>
        </w:tc>
        <w:tc>
          <w:tcPr>
            <w:tcW w:w="100" w:type="dxa"/>
            <w:vAlign w:val="bottom"/>
            <w:shd w:val="clear" w:color="auto" w:fill="CFF0FC"/>
          </w:tcPr>
          <w:p>
            <w:pPr>
              <w:spacing w:after="0"/>
              <w:rPr>
                <w:sz w:val="13"/>
                <w:szCs w:val="13"/>
                <w:color w:val="auto"/>
              </w:rPr>
            </w:pPr>
          </w:p>
        </w:tc>
        <w:tc>
          <w:tcPr>
            <w:tcW w:w="820" w:type="dxa"/>
            <w:vAlign w:val="bottom"/>
            <w:tcBorders>
              <w:bottom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b w:val="1"/>
                <w:bCs w:val="1"/>
                <w:color w:val="auto"/>
              </w:rPr>
              <w:t>3,375</w:t>
            </w:r>
          </w:p>
        </w:tc>
        <w:tc>
          <w:tcPr>
            <w:tcW w:w="200" w:type="dxa"/>
            <w:vAlign w:val="bottom"/>
            <w:shd w:val="clear" w:color="auto" w:fill="CFF0FC"/>
          </w:tcPr>
          <w:p>
            <w:pPr>
              <w:spacing w:after="0"/>
              <w:rPr>
                <w:sz w:val="13"/>
                <w:szCs w:val="13"/>
                <w:color w:val="auto"/>
              </w:rPr>
            </w:pPr>
          </w:p>
        </w:tc>
        <w:tc>
          <w:tcPr>
            <w:tcW w:w="900" w:type="dxa"/>
            <w:vAlign w:val="bottom"/>
            <w:tcBorders>
              <w:bottom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b w:val="1"/>
                <w:bCs w:val="1"/>
                <w:color w:val="auto"/>
              </w:rPr>
              <w:t>662</w:t>
            </w:r>
          </w:p>
        </w:tc>
        <w:tc>
          <w:tcPr>
            <w:tcW w:w="220" w:type="dxa"/>
            <w:vAlign w:val="bottom"/>
            <w:shd w:val="clear" w:color="auto" w:fill="CFF0FC"/>
          </w:tcPr>
          <w:p>
            <w:pPr>
              <w:spacing w:after="0"/>
              <w:rPr>
                <w:sz w:val="13"/>
                <w:szCs w:val="13"/>
                <w:color w:val="auto"/>
              </w:rPr>
            </w:pPr>
          </w:p>
        </w:tc>
        <w:tc>
          <w:tcPr>
            <w:tcW w:w="800" w:type="dxa"/>
            <w:vAlign w:val="bottom"/>
            <w:tcBorders>
              <w:bottom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b w:val="1"/>
                <w:bCs w:val="1"/>
                <w:color w:val="auto"/>
              </w:rPr>
              <w:t>2,571</w:t>
            </w:r>
          </w:p>
        </w:tc>
        <w:tc>
          <w:tcPr>
            <w:tcW w:w="220" w:type="dxa"/>
            <w:vAlign w:val="bottom"/>
            <w:shd w:val="clear" w:color="auto" w:fill="CFF0FC"/>
          </w:tcPr>
          <w:p>
            <w:pPr>
              <w:spacing w:after="0"/>
              <w:rPr>
                <w:sz w:val="13"/>
                <w:szCs w:val="13"/>
                <w:color w:val="auto"/>
              </w:rPr>
            </w:pPr>
          </w:p>
        </w:tc>
        <w:tc>
          <w:tcPr>
            <w:tcW w:w="820" w:type="dxa"/>
            <w:vAlign w:val="bottom"/>
            <w:tcBorders>
              <w:bottom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b w:val="1"/>
                <w:bCs w:val="1"/>
                <w:color w:val="auto"/>
              </w:rPr>
              <w:t>315</w:t>
            </w:r>
          </w:p>
        </w:tc>
        <w:tc>
          <w:tcPr>
            <w:tcW w:w="220" w:type="dxa"/>
            <w:vAlign w:val="bottom"/>
            <w:shd w:val="clear" w:color="auto" w:fill="CFF0FC"/>
          </w:tcPr>
          <w:p>
            <w:pPr>
              <w:spacing w:after="0"/>
              <w:rPr>
                <w:sz w:val="13"/>
                <w:szCs w:val="13"/>
                <w:color w:val="auto"/>
              </w:rPr>
            </w:pPr>
          </w:p>
        </w:tc>
        <w:tc>
          <w:tcPr>
            <w:tcW w:w="1040" w:type="dxa"/>
            <w:vAlign w:val="bottom"/>
            <w:tcBorders>
              <w:bottom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b w:val="1"/>
                <w:bCs w:val="1"/>
                <w:color w:val="auto"/>
              </w:rPr>
              <w:t>106</w:t>
            </w:r>
          </w:p>
        </w:tc>
        <w:tc>
          <w:tcPr>
            <w:tcW w:w="220" w:type="dxa"/>
            <w:vAlign w:val="bottom"/>
            <w:shd w:val="clear" w:color="auto" w:fill="CFF0FC"/>
          </w:tcPr>
          <w:p>
            <w:pPr>
              <w:spacing w:after="0"/>
              <w:rPr>
                <w:sz w:val="13"/>
                <w:szCs w:val="13"/>
                <w:color w:val="auto"/>
              </w:rPr>
            </w:pPr>
          </w:p>
        </w:tc>
        <w:tc>
          <w:tcPr>
            <w:tcW w:w="580" w:type="dxa"/>
            <w:vAlign w:val="bottom"/>
            <w:shd w:val="clear" w:color="auto" w:fill="CFF0FC"/>
          </w:tcPr>
          <w:p>
            <w:pPr>
              <w:spacing w:after="0"/>
              <w:rPr>
                <w:sz w:val="13"/>
                <w:szCs w:val="13"/>
                <w:color w:val="auto"/>
              </w:rPr>
            </w:pPr>
          </w:p>
        </w:tc>
        <w:tc>
          <w:tcPr>
            <w:tcW w:w="660" w:type="dxa"/>
            <w:vAlign w:val="bottom"/>
            <w:shd w:val="clear" w:color="auto" w:fill="CFF0FC"/>
          </w:tcPr>
          <w:p>
            <w:pPr>
              <w:spacing w:after="0"/>
              <w:rPr>
                <w:sz w:val="13"/>
                <w:szCs w:val="13"/>
                <w:color w:val="auto"/>
              </w:rPr>
            </w:pPr>
          </w:p>
        </w:tc>
      </w:tr>
    </w:tbl>
    <w:p>
      <w:pPr>
        <w:spacing w:after="0" w:line="200" w:lineRule="exact"/>
        <w:rPr>
          <w:sz w:val="20"/>
          <w:szCs w:val="20"/>
          <w:color w:val="auto"/>
        </w:rPr>
      </w:pPr>
    </w:p>
    <w:p>
      <w:pPr>
        <w:spacing w:after="0" w:line="24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- 42 -</w:t>
      </w:r>
    </w:p>
    <w:p>
      <w:pPr>
        <w:sectPr>
          <w:pgSz w:w="11900" w:h="16838" w:orient="portrait"/>
          <w:cols w:equalWidth="0" w:num="1">
            <w:col w:w="11420"/>
          </w:cols>
          <w:pgMar w:left="240" w:top="139" w:right="239" w:bottom="1440" w:gutter="0" w:footer="0" w:header="0"/>
        </w:sectPr>
      </w:pPr>
    </w:p>
    <w:bookmarkStart w:id="42" w:name="page43"/>
    <w:bookmarkEnd w:id="42"/>
    <w:tbl>
      <w:tblPr>
        <w:tblLayout w:type="fixed"/>
        <w:tblInd w:w="0" w:type="dxa"/>
        <w:tblCellMar>
          <w:top w:w="0" w:type="dxa"/>
          <w:left w:w="0" w:type="dxa"/>
          <w:bottom w:w="0" w:type="dxa"/>
          <w:right w:w="0" w:type="dxa"/>
        </w:tblCellMar>
      </w:tblPr>
      <w:tr>
        <w:trPr>
          <w:trHeight w:val="176"/>
        </w:trPr>
        <w:tc>
          <w:tcPr>
            <w:tcW w:w="3160" w:type="dxa"/>
            <w:vAlign w:val="bottom"/>
          </w:tcPr>
          <w:p>
            <w:pPr>
              <w:spacing w:after="0"/>
              <w:rPr>
                <w:sz w:val="20"/>
                <w:szCs w:val="20"/>
                <w:color w:val="auto"/>
              </w:rPr>
            </w:pPr>
            <w:r>
              <w:rPr>
                <w:rFonts w:ascii="Arial" w:cs="Arial" w:eastAsia="Arial" w:hAnsi="Arial"/>
                <w:sz w:val="14"/>
                <w:szCs w:val="14"/>
                <w:b w:val="1"/>
                <w:bCs w:val="1"/>
                <w:color w:val="auto"/>
              </w:rPr>
              <w:t>Colorado</w:t>
            </w:r>
          </w:p>
        </w:tc>
        <w:tc>
          <w:tcPr>
            <w:tcW w:w="1660" w:type="dxa"/>
            <w:vAlign w:val="bottom"/>
          </w:tcPr>
          <w:p>
            <w:pPr>
              <w:spacing w:after="0"/>
              <w:rPr>
                <w:sz w:val="15"/>
                <w:szCs w:val="15"/>
                <w:color w:val="auto"/>
              </w:rPr>
            </w:pPr>
          </w:p>
        </w:tc>
        <w:tc>
          <w:tcPr>
            <w:tcW w:w="840" w:type="dxa"/>
            <w:vAlign w:val="bottom"/>
            <w:tcBorders>
              <w:top w:val="single" w:sz="8" w:color="auto"/>
            </w:tcBorders>
          </w:tcPr>
          <w:p>
            <w:pPr>
              <w:spacing w:after="0"/>
              <w:rPr>
                <w:sz w:val="15"/>
                <w:szCs w:val="15"/>
                <w:color w:val="auto"/>
              </w:rPr>
            </w:pPr>
          </w:p>
        </w:tc>
        <w:tc>
          <w:tcPr>
            <w:tcW w:w="200" w:type="dxa"/>
            <w:vAlign w:val="bottom"/>
          </w:tcPr>
          <w:p>
            <w:pPr>
              <w:spacing w:after="0"/>
              <w:rPr>
                <w:sz w:val="15"/>
                <w:szCs w:val="15"/>
                <w:color w:val="auto"/>
              </w:rPr>
            </w:pPr>
          </w:p>
        </w:tc>
        <w:tc>
          <w:tcPr>
            <w:tcW w:w="840" w:type="dxa"/>
            <w:vAlign w:val="bottom"/>
            <w:tcBorders>
              <w:top w:val="single" w:sz="8" w:color="auto"/>
            </w:tcBorders>
          </w:tcPr>
          <w:p>
            <w:pPr>
              <w:spacing w:after="0"/>
              <w:rPr>
                <w:sz w:val="15"/>
                <w:szCs w:val="15"/>
                <w:color w:val="auto"/>
              </w:rPr>
            </w:pPr>
          </w:p>
        </w:tc>
        <w:tc>
          <w:tcPr>
            <w:tcW w:w="220" w:type="dxa"/>
            <w:vAlign w:val="bottom"/>
          </w:tcPr>
          <w:p>
            <w:pPr>
              <w:spacing w:after="0"/>
              <w:rPr>
                <w:sz w:val="15"/>
                <w:szCs w:val="15"/>
                <w:color w:val="auto"/>
              </w:rPr>
            </w:pPr>
          </w:p>
        </w:tc>
        <w:tc>
          <w:tcPr>
            <w:tcW w:w="840" w:type="dxa"/>
            <w:vAlign w:val="bottom"/>
            <w:tcBorders>
              <w:top w:val="single" w:sz="8" w:color="auto"/>
            </w:tcBorders>
          </w:tcPr>
          <w:p>
            <w:pPr>
              <w:spacing w:after="0"/>
              <w:rPr>
                <w:sz w:val="15"/>
                <w:szCs w:val="15"/>
                <w:color w:val="auto"/>
              </w:rPr>
            </w:pPr>
          </w:p>
        </w:tc>
        <w:tc>
          <w:tcPr>
            <w:tcW w:w="220" w:type="dxa"/>
            <w:vAlign w:val="bottom"/>
          </w:tcPr>
          <w:p>
            <w:pPr>
              <w:spacing w:after="0"/>
              <w:rPr>
                <w:sz w:val="15"/>
                <w:szCs w:val="15"/>
                <w:color w:val="auto"/>
              </w:rPr>
            </w:pPr>
          </w:p>
        </w:tc>
        <w:tc>
          <w:tcPr>
            <w:tcW w:w="840" w:type="dxa"/>
            <w:vAlign w:val="bottom"/>
            <w:tcBorders>
              <w:top w:val="single" w:sz="8" w:color="auto"/>
            </w:tcBorders>
          </w:tcPr>
          <w:p>
            <w:pPr>
              <w:spacing w:after="0"/>
              <w:rPr>
                <w:sz w:val="15"/>
                <w:szCs w:val="15"/>
                <w:color w:val="auto"/>
              </w:rPr>
            </w:pPr>
          </w:p>
        </w:tc>
        <w:tc>
          <w:tcPr>
            <w:tcW w:w="220" w:type="dxa"/>
            <w:vAlign w:val="bottom"/>
          </w:tcPr>
          <w:p>
            <w:pPr>
              <w:spacing w:after="0"/>
              <w:rPr>
                <w:sz w:val="15"/>
                <w:szCs w:val="15"/>
                <w:color w:val="auto"/>
              </w:rPr>
            </w:pPr>
          </w:p>
        </w:tc>
        <w:tc>
          <w:tcPr>
            <w:tcW w:w="860" w:type="dxa"/>
            <w:vAlign w:val="bottom"/>
            <w:tcBorders>
              <w:top w:val="single" w:sz="8" w:color="auto"/>
            </w:tcBorders>
          </w:tcPr>
          <w:p>
            <w:pPr>
              <w:spacing w:after="0"/>
              <w:rPr>
                <w:sz w:val="15"/>
                <w:szCs w:val="15"/>
                <w:color w:val="auto"/>
              </w:rPr>
            </w:pPr>
          </w:p>
        </w:tc>
        <w:tc>
          <w:tcPr>
            <w:tcW w:w="1520" w:type="dxa"/>
            <w:vAlign w:val="bottom"/>
          </w:tcPr>
          <w:p>
            <w:pPr>
              <w:spacing w:after="0"/>
              <w:rPr>
                <w:sz w:val="15"/>
                <w:szCs w:val="15"/>
                <w:color w:val="auto"/>
              </w:rPr>
            </w:pPr>
          </w:p>
        </w:tc>
      </w:tr>
      <w:tr>
        <w:trPr>
          <w:trHeight w:val="162"/>
        </w:trPr>
        <w:tc>
          <w:tcPr>
            <w:tcW w:w="3160" w:type="dxa"/>
            <w:vAlign w:val="bottom"/>
            <w:shd w:val="clear" w:color="auto" w:fill="CFF0FC"/>
          </w:tcPr>
          <w:p>
            <w:pPr>
              <w:spacing w:after="0"/>
              <w:rPr>
                <w:sz w:val="20"/>
                <w:szCs w:val="20"/>
                <w:color w:val="auto"/>
              </w:rPr>
            </w:pPr>
            <w:r>
              <w:rPr>
                <w:rFonts w:ascii="Arial" w:cs="Arial" w:eastAsia="Arial" w:hAnsi="Arial"/>
                <w:sz w:val="14"/>
                <w:szCs w:val="14"/>
                <w:color w:val="auto"/>
              </w:rPr>
              <w:t>Douglas County:</w:t>
            </w:r>
          </w:p>
        </w:tc>
        <w:tc>
          <w:tcPr>
            <w:tcW w:w="1660" w:type="dxa"/>
            <w:vAlign w:val="bottom"/>
            <w:shd w:val="clear" w:color="auto" w:fill="CFF0FC"/>
          </w:tcPr>
          <w:p>
            <w:pPr>
              <w:spacing w:after="0"/>
              <w:rPr>
                <w:sz w:val="14"/>
                <w:szCs w:val="14"/>
                <w:color w:val="auto"/>
              </w:rPr>
            </w:pPr>
          </w:p>
        </w:tc>
        <w:tc>
          <w:tcPr>
            <w:tcW w:w="840" w:type="dxa"/>
            <w:vAlign w:val="bottom"/>
            <w:shd w:val="clear" w:color="auto" w:fill="CFF0FC"/>
          </w:tcPr>
          <w:p>
            <w:pPr>
              <w:spacing w:after="0"/>
              <w:rPr>
                <w:sz w:val="14"/>
                <w:szCs w:val="14"/>
                <w:color w:val="auto"/>
              </w:rPr>
            </w:pPr>
          </w:p>
        </w:tc>
        <w:tc>
          <w:tcPr>
            <w:tcW w:w="200" w:type="dxa"/>
            <w:vAlign w:val="bottom"/>
            <w:shd w:val="clear" w:color="auto" w:fill="CFF0FC"/>
          </w:tcPr>
          <w:p>
            <w:pPr>
              <w:spacing w:after="0"/>
              <w:rPr>
                <w:sz w:val="14"/>
                <w:szCs w:val="14"/>
                <w:color w:val="auto"/>
              </w:rPr>
            </w:pPr>
          </w:p>
        </w:tc>
        <w:tc>
          <w:tcPr>
            <w:tcW w:w="840" w:type="dxa"/>
            <w:vAlign w:val="bottom"/>
            <w:shd w:val="clear" w:color="auto" w:fill="CFF0FC"/>
          </w:tcPr>
          <w:p>
            <w:pPr>
              <w:spacing w:after="0"/>
              <w:rPr>
                <w:sz w:val="14"/>
                <w:szCs w:val="14"/>
                <w:color w:val="auto"/>
              </w:rPr>
            </w:pPr>
          </w:p>
        </w:tc>
        <w:tc>
          <w:tcPr>
            <w:tcW w:w="220" w:type="dxa"/>
            <w:vAlign w:val="bottom"/>
            <w:shd w:val="clear" w:color="auto" w:fill="CFF0FC"/>
          </w:tcPr>
          <w:p>
            <w:pPr>
              <w:spacing w:after="0"/>
              <w:rPr>
                <w:sz w:val="14"/>
                <w:szCs w:val="14"/>
                <w:color w:val="auto"/>
              </w:rPr>
            </w:pPr>
          </w:p>
        </w:tc>
        <w:tc>
          <w:tcPr>
            <w:tcW w:w="840" w:type="dxa"/>
            <w:vAlign w:val="bottom"/>
            <w:shd w:val="clear" w:color="auto" w:fill="CFF0FC"/>
          </w:tcPr>
          <w:p>
            <w:pPr>
              <w:spacing w:after="0"/>
              <w:rPr>
                <w:sz w:val="14"/>
                <w:szCs w:val="14"/>
                <w:color w:val="auto"/>
              </w:rPr>
            </w:pPr>
          </w:p>
        </w:tc>
        <w:tc>
          <w:tcPr>
            <w:tcW w:w="220" w:type="dxa"/>
            <w:vAlign w:val="bottom"/>
            <w:shd w:val="clear" w:color="auto" w:fill="CFF0FC"/>
          </w:tcPr>
          <w:p>
            <w:pPr>
              <w:spacing w:after="0"/>
              <w:rPr>
                <w:sz w:val="14"/>
                <w:szCs w:val="14"/>
                <w:color w:val="auto"/>
              </w:rPr>
            </w:pPr>
          </w:p>
        </w:tc>
        <w:tc>
          <w:tcPr>
            <w:tcW w:w="840" w:type="dxa"/>
            <w:vAlign w:val="bottom"/>
            <w:shd w:val="clear" w:color="auto" w:fill="CFF0FC"/>
          </w:tcPr>
          <w:p>
            <w:pPr>
              <w:spacing w:after="0"/>
              <w:rPr>
                <w:sz w:val="14"/>
                <w:szCs w:val="14"/>
                <w:color w:val="auto"/>
              </w:rPr>
            </w:pPr>
          </w:p>
        </w:tc>
        <w:tc>
          <w:tcPr>
            <w:tcW w:w="220" w:type="dxa"/>
            <w:vAlign w:val="bottom"/>
            <w:shd w:val="clear" w:color="auto" w:fill="CFF0FC"/>
          </w:tcPr>
          <w:p>
            <w:pPr>
              <w:spacing w:after="0"/>
              <w:rPr>
                <w:sz w:val="14"/>
                <w:szCs w:val="14"/>
                <w:color w:val="auto"/>
              </w:rPr>
            </w:pPr>
          </w:p>
        </w:tc>
        <w:tc>
          <w:tcPr>
            <w:tcW w:w="860" w:type="dxa"/>
            <w:vAlign w:val="bottom"/>
            <w:shd w:val="clear" w:color="auto" w:fill="CFF0FC"/>
          </w:tcPr>
          <w:p>
            <w:pPr>
              <w:spacing w:after="0"/>
              <w:rPr>
                <w:sz w:val="14"/>
                <w:szCs w:val="14"/>
                <w:color w:val="auto"/>
              </w:rPr>
            </w:pPr>
          </w:p>
        </w:tc>
        <w:tc>
          <w:tcPr>
            <w:tcW w:w="1520" w:type="dxa"/>
            <w:vAlign w:val="bottom"/>
            <w:shd w:val="clear" w:color="auto" w:fill="CFF0FC"/>
          </w:tcPr>
          <w:p>
            <w:pPr>
              <w:spacing w:after="0"/>
              <w:rPr>
                <w:sz w:val="14"/>
                <w:szCs w:val="14"/>
                <w:color w:val="auto"/>
              </w:rPr>
            </w:pPr>
          </w:p>
        </w:tc>
      </w:tr>
      <w:tr>
        <w:trPr>
          <w:trHeight w:val="162"/>
        </w:trPr>
        <w:tc>
          <w:tcPr>
            <w:tcW w:w="3160" w:type="dxa"/>
            <w:vAlign w:val="bottom"/>
          </w:tcPr>
          <w:p>
            <w:pPr>
              <w:ind w:left="380"/>
              <w:spacing w:after="0"/>
              <w:rPr>
                <w:sz w:val="20"/>
                <w:szCs w:val="20"/>
                <w:color w:val="auto"/>
              </w:rPr>
            </w:pPr>
            <w:r>
              <w:rPr>
                <w:rFonts w:ascii="Arial" w:cs="Arial" w:eastAsia="Arial" w:hAnsi="Arial"/>
                <w:sz w:val="14"/>
                <w:szCs w:val="14"/>
                <w:color w:val="auto"/>
              </w:rPr>
              <w:t>Terrain 4000 Series, Castle Rock</w:t>
            </w:r>
          </w:p>
        </w:tc>
        <w:tc>
          <w:tcPr>
            <w:tcW w:w="1660" w:type="dxa"/>
            <w:vAlign w:val="bottom"/>
          </w:tcPr>
          <w:p>
            <w:pPr>
              <w:jc w:val="right"/>
              <w:ind w:right="372"/>
              <w:spacing w:after="0"/>
              <w:rPr>
                <w:sz w:val="20"/>
                <w:szCs w:val="20"/>
                <w:color w:val="auto"/>
              </w:rPr>
            </w:pPr>
            <w:r>
              <w:rPr>
                <w:rFonts w:ascii="Arial" w:cs="Arial" w:eastAsia="Arial" w:hAnsi="Arial"/>
                <w:sz w:val="14"/>
                <w:szCs w:val="14"/>
                <w:color w:val="auto"/>
              </w:rPr>
              <w:t>2013</w:t>
            </w:r>
          </w:p>
        </w:tc>
        <w:tc>
          <w:tcPr>
            <w:tcW w:w="840" w:type="dxa"/>
            <w:vAlign w:val="bottom"/>
          </w:tcPr>
          <w:p>
            <w:pPr>
              <w:jc w:val="right"/>
              <w:spacing w:after="0"/>
              <w:rPr>
                <w:sz w:val="20"/>
                <w:szCs w:val="20"/>
                <w:color w:val="auto"/>
              </w:rPr>
            </w:pPr>
            <w:r>
              <w:rPr>
                <w:rFonts w:ascii="Arial" w:cs="Arial" w:eastAsia="Arial" w:hAnsi="Arial"/>
                <w:sz w:val="14"/>
                <w:szCs w:val="14"/>
                <w:color w:val="auto"/>
              </w:rPr>
              <w:t>149</w:t>
            </w:r>
          </w:p>
        </w:tc>
        <w:tc>
          <w:tcPr>
            <w:tcW w:w="200" w:type="dxa"/>
            <w:vAlign w:val="bottom"/>
          </w:tcPr>
          <w:p>
            <w:pPr>
              <w:spacing w:after="0"/>
              <w:rPr>
                <w:sz w:val="14"/>
                <w:szCs w:val="14"/>
                <w:color w:val="auto"/>
              </w:rPr>
            </w:pPr>
          </w:p>
        </w:tc>
        <w:tc>
          <w:tcPr>
            <w:tcW w:w="840" w:type="dxa"/>
            <w:vAlign w:val="bottom"/>
          </w:tcPr>
          <w:p>
            <w:pPr>
              <w:jc w:val="right"/>
              <w:spacing w:after="0"/>
              <w:rPr>
                <w:sz w:val="20"/>
                <w:szCs w:val="20"/>
                <w:color w:val="auto"/>
              </w:rPr>
            </w:pPr>
            <w:r>
              <w:rPr>
                <w:rFonts w:ascii="Arial" w:cs="Arial" w:eastAsia="Arial" w:hAnsi="Arial"/>
                <w:sz w:val="14"/>
                <w:szCs w:val="14"/>
                <w:color w:val="auto"/>
              </w:rPr>
              <w:t>68</w:t>
            </w:r>
          </w:p>
        </w:tc>
        <w:tc>
          <w:tcPr>
            <w:tcW w:w="220" w:type="dxa"/>
            <w:vAlign w:val="bottom"/>
          </w:tcPr>
          <w:p>
            <w:pPr>
              <w:spacing w:after="0"/>
              <w:rPr>
                <w:sz w:val="14"/>
                <w:szCs w:val="14"/>
                <w:color w:val="auto"/>
              </w:rPr>
            </w:pPr>
          </w:p>
        </w:tc>
        <w:tc>
          <w:tcPr>
            <w:tcW w:w="840" w:type="dxa"/>
            <w:vAlign w:val="bottom"/>
          </w:tcPr>
          <w:p>
            <w:pPr>
              <w:jc w:val="right"/>
              <w:spacing w:after="0"/>
              <w:rPr>
                <w:sz w:val="20"/>
                <w:szCs w:val="20"/>
                <w:color w:val="auto"/>
              </w:rPr>
            </w:pPr>
            <w:r>
              <w:rPr>
                <w:rFonts w:ascii="Arial" w:cs="Arial" w:eastAsia="Arial" w:hAnsi="Arial"/>
                <w:sz w:val="14"/>
                <w:szCs w:val="14"/>
                <w:color w:val="auto"/>
              </w:rPr>
              <w:t>81</w:t>
            </w:r>
          </w:p>
        </w:tc>
        <w:tc>
          <w:tcPr>
            <w:tcW w:w="220" w:type="dxa"/>
            <w:vAlign w:val="bottom"/>
          </w:tcPr>
          <w:p>
            <w:pPr>
              <w:spacing w:after="0"/>
              <w:rPr>
                <w:sz w:val="14"/>
                <w:szCs w:val="14"/>
                <w:color w:val="auto"/>
              </w:rPr>
            </w:pPr>
          </w:p>
        </w:tc>
        <w:tc>
          <w:tcPr>
            <w:tcW w:w="840" w:type="dxa"/>
            <w:vAlign w:val="bottom"/>
          </w:tcPr>
          <w:p>
            <w:pPr>
              <w:jc w:val="right"/>
              <w:spacing w:after="0"/>
              <w:rPr>
                <w:sz w:val="20"/>
                <w:szCs w:val="20"/>
                <w:color w:val="auto"/>
              </w:rPr>
            </w:pPr>
            <w:r>
              <w:rPr>
                <w:rFonts w:ascii="Arial" w:cs="Arial" w:eastAsia="Arial" w:hAnsi="Arial"/>
                <w:sz w:val="14"/>
                <w:szCs w:val="14"/>
                <w:color w:val="auto"/>
              </w:rPr>
              <w:t>27</w:t>
            </w:r>
          </w:p>
        </w:tc>
        <w:tc>
          <w:tcPr>
            <w:tcW w:w="220" w:type="dxa"/>
            <w:vAlign w:val="bottom"/>
          </w:tcPr>
          <w:p>
            <w:pPr>
              <w:spacing w:after="0"/>
              <w:rPr>
                <w:sz w:val="14"/>
                <w:szCs w:val="14"/>
                <w:color w:val="auto"/>
              </w:rPr>
            </w:pPr>
          </w:p>
        </w:tc>
        <w:tc>
          <w:tcPr>
            <w:tcW w:w="860" w:type="dxa"/>
            <w:vAlign w:val="bottom"/>
          </w:tcPr>
          <w:p>
            <w:pPr>
              <w:jc w:val="right"/>
              <w:spacing w:after="0"/>
              <w:rPr>
                <w:sz w:val="20"/>
                <w:szCs w:val="20"/>
                <w:color w:val="auto"/>
              </w:rPr>
            </w:pPr>
            <w:r>
              <w:rPr>
                <w:rFonts w:ascii="Arial" w:cs="Arial" w:eastAsia="Arial" w:hAnsi="Arial"/>
                <w:sz w:val="14"/>
                <w:szCs w:val="14"/>
                <w:color w:val="auto"/>
              </w:rPr>
              <w:t>12</w:t>
            </w:r>
          </w:p>
        </w:tc>
        <w:tc>
          <w:tcPr>
            <w:tcW w:w="1520" w:type="dxa"/>
            <w:vAlign w:val="bottom"/>
          </w:tcPr>
          <w:p>
            <w:pPr>
              <w:jc w:val="right"/>
              <w:ind w:right="252"/>
              <w:spacing w:after="0"/>
              <w:rPr>
                <w:sz w:val="20"/>
                <w:szCs w:val="20"/>
                <w:color w:val="auto"/>
              </w:rPr>
            </w:pPr>
            <w:r>
              <w:rPr>
                <w:rFonts w:ascii="Arial" w:cs="Arial" w:eastAsia="Arial" w:hAnsi="Arial"/>
                <w:sz w:val="14"/>
                <w:szCs w:val="14"/>
                <w:color w:val="auto"/>
              </w:rPr>
              <w:t>$313 - $366</w:t>
            </w:r>
          </w:p>
        </w:tc>
      </w:tr>
      <w:tr>
        <w:trPr>
          <w:trHeight w:val="162"/>
        </w:trPr>
        <w:tc>
          <w:tcPr>
            <w:tcW w:w="3160" w:type="dxa"/>
            <w:vAlign w:val="bottom"/>
            <w:shd w:val="clear" w:color="auto" w:fill="CFF0FC"/>
          </w:tcPr>
          <w:p>
            <w:pPr>
              <w:ind w:left="380"/>
              <w:spacing w:after="0"/>
              <w:rPr>
                <w:sz w:val="20"/>
                <w:szCs w:val="20"/>
                <w:color w:val="auto"/>
              </w:rPr>
            </w:pPr>
            <w:r>
              <w:rPr>
                <w:rFonts w:ascii="Arial" w:cs="Arial" w:eastAsia="Arial" w:hAnsi="Arial"/>
                <w:sz w:val="14"/>
                <w:szCs w:val="14"/>
                <w:color w:val="auto"/>
              </w:rPr>
              <w:t>Terrain 3500 Series, Castle Rock</w:t>
            </w:r>
          </w:p>
        </w:tc>
        <w:tc>
          <w:tcPr>
            <w:tcW w:w="1660" w:type="dxa"/>
            <w:vAlign w:val="bottom"/>
            <w:shd w:val="clear" w:color="auto" w:fill="CFF0FC"/>
          </w:tcPr>
          <w:p>
            <w:pPr>
              <w:jc w:val="right"/>
              <w:ind w:right="372"/>
              <w:spacing w:after="0"/>
              <w:rPr>
                <w:sz w:val="20"/>
                <w:szCs w:val="20"/>
                <w:color w:val="auto"/>
              </w:rPr>
            </w:pPr>
            <w:r>
              <w:rPr>
                <w:rFonts w:ascii="Arial" w:cs="Arial" w:eastAsia="Arial" w:hAnsi="Arial"/>
                <w:sz w:val="14"/>
                <w:szCs w:val="14"/>
                <w:color w:val="auto"/>
              </w:rPr>
              <w:t>2015</w:t>
            </w:r>
          </w:p>
        </w:tc>
        <w:tc>
          <w:tcPr>
            <w:tcW w:w="840" w:type="dxa"/>
            <w:vAlign w:val="bottom"/>
            <w:shd w:val="clear" w:color="auto" w:fill="CFF0FC"/>
          </w:tcPr>
          <w:p>
            <w:pPr>
              <w:jc w:val="right"/>
              <w:spacing w:after="0"/>
              <w:rPr>
                <w:sz w:val="20"/>
                <w:szCs w:val="20"/>
                <w:color w:val="auto"/>
              </w:rPr>
            </w:pPr>
            <w:r>
              <w:rPr>
                <w:rFonts w:ascii="Arial" w:cs="Arial" w:eastAsia="Arial" w:hAnsi="Arial"/>
                <w:sz w:val="14"/>
                <w:szCs w:val="14"/>
                <w:color w:val="auto"/>
              </w:rPr>
              <w:t>67</w:t>
            </w:r>
          </w:p>
        </w:tc>
        <w:tc>
          <w:tcPr>
            <w:tcW w:w="200" w:type="dxa"/>
            <w:vAlign w:val="bottom"/>
            <w:shd w:val="clear" w:color="auto" w:fill="CFF0FC"/>
          </w:tcPr>
          <w:p>
            <w:pPr>
              <w:spacing w:after="0"/>
              <w:rPr>
                <w:sz w:val="14"/>
                <w:szCs w:val="14"/>
                <w:color w:val="auto"/>
              </w:rPr>
            </w:pPr>
          </w:p>
        </w:tc>
        <w:tc>
          <w:tcPr>
            <w:tcW w:w="840" w:type="dxa"/>
            <w:vAlign w:val="bottom"/>
            <w:shd w:val="clear" w:color="auto" w:fill="CFF0FC"/>
          </w:tcPr>
          <w:p>
            <w:pPr>
              <w:jc w:val="right"/>
              <w:spacing w:after="0"/>
              <w:rPr>
                <w:sz w:val="20"/>
                <w:szCs w:val="20"/>
                <w:color w:val="auto"/>
              </w:rPr>
            </w:pPr>
            <w:r>
              <w:rPr>
                <w:rFonts w:ascii="Arial" w:cs="Arial" w:eastAsia="Arial" w:hAnsi="Arial"/>
                <w:sz w:val="14"/>
                <w:szCs w:val="14"/>
                <w:color w:val="auto"/>
              </w:rPr>
              <w:t>5</w:t>
            </w:r>
          </w:p>
        </w:tc>
        <w:tc>
          <w:tcPr>
            <w:tcW w:w="220" w:type="dxa"/>
            <w:vAlign w:val="bottom"/>
            <w:shd w:val="clear" w:color="auto" w:fill="CFF0FC"/>
          </w:tcPr>
          <w:p>
            <w:pPr>
              <w:spacing w:after="0"/>
              <w:rPr>
                <w:sz w:val="14"/>
                <w:szCs w:val="14"/>
                <w:color w:val="auto"/>
              </w:rPr>
            </w:pPr>
          </w:p>
        </w:tc>
        <w:tc>
          <w:tcPr>
            <w:tcW w:w="840" w:type="dxa"/>
            <w:vAlign w:val="bottom"/>
            <w:shd w:val="clear" w:color="auto" w:fill="CFF0FC"/>
          </w:tcPr>
          <w:p>
            <w:pPr>
              <w:jc w:val="right"/>
              <w:spacing w:after="0"/>
              <w:rPr>
                <w:sz w:val="20"/>
                <w:szCs w:val="20"/>
                <w:color w:val="auto"/>
              </w:rPr>
            </w:pPr>
            <w:r>
              <w:rPr>
                <w:rFonts w:ascii="Arial" w:cs="Arial" w:eastAsia="Arial" w:hAnsi="Arial"/>
                <w:sz w:val="14"/>
                <w:szCs w:val="14"/>
                <w:color w:val="auto"/>
              </w:rPr>
              <w:t>62</w:t>
            </w:r>
          </w:p>
        </w:tc>
        <w:tc>
          <w:tcPr>
            <w:tcW w:w="220" w:type="dxa"/>
            <w:vAlign w:val="bottom"/>
            <w:shd w:val="clear" w:color="auto" w:fill="CFF0FC"/>
          </w:tcPr>
          <w:p>
            <w:pPr>
              <w:spacing w:after="0"/>
              <w:rPr>
                <w:sz w:val="14"/>
                <w:szCs w:val="14"/>
                <w:color w:val="auto"/>
              </w:rPr>
            </w:pPr>
          </w:p>
        </w:tc>
        <w:tc>
          <w:tcPr>
            <w:tcW w:w="840" w:type="dxa"/>
            <w:vAlign w:val="bottom"/>
            <w:shd w:val="clear" w:color="auto" w:fill="CFF0FC"/>
          </w:tcPr>
          <w:p>
            <w:pPr>
              <w:jc w:val="right"/>
              <w:spacing w:after="0"/>
              <w:rPr>
                <w:sz w:val="20"/>
                <w:szCs w:val="20"/>
                <w:color w:val="auto"/>
              </w:rPr>
            </w:pPr>
            <w:r>
              <w:rPr>
                <w:rFonts w:ascii="Arial" w:cs="Arial" w:eastAsia="Arial" w:hAnsi="Arial"/>
                <w:sz w:val="14"/>
                <w:szCs w:val="14"/>
                <w:color w:val="auto"/>
              </w:rPr>
              <w:t>22</w:t>
            </w:r>
          </w:p>
        </w:tc>
        <w:tc>
          <w:tcPr>
            <w:tcW w:w="220" w:type="dxa"/>
            <w:vAlign w:val="bottom"/>
            <w:shd w:val="clear" w:color="auto" w:fill="CFF0FC"/>
          </w:tcPr>
          <w:p>
            <w:pPr>
              <w:spacing w:after="0"/>
              <w:rPr>
                <w:sz w:val="14"/>
                <w:szCs w:val="14"/>
                <w:color w:val="auto"/>
              </w:rPr>
            </w:pPr>
          </w:p>
        </w:tc>
        <w:tc>
          <w:tcPr>
            <w:tcW w:w="860" w:type="dxa"/>
            <w:vAlign w:val="bottom"/>
            <w:shd w:val="clear" w:color="auto" w:fill="CFF0FC"/>
          </w:tcPr>
          <w:p>
            <w:pPr>
              <w:jc w:val="right"/>
              <w:spacing w:after="0"/>
              <w:rPr>
                <w:sz w:val="20"/>
                <w:szCs w:val="20"/>
                <w:color w:val="auto"/>
              </w:rPr>
            </w:pPr>
            <w:r>
              <w:rPr>
                <w:rFonts w:ascii="Arial" w:cs="Arial" w:eastAsia="Arial" w:hAnsi="Arial"/>
                <w:sz w:val="14"/>
                <w:szCs w:val="14"/>
                <w:color w:val="auto"/>
              </w:rPr>
              <w:t>5</w:t>
            </w:r>
          </w:p>
        </w:tc>
        <w:tc>
          <w:tcPr>
            <w:tcW w:w="1520" w:type="dxa"/>
            <w:vAlign w:val="bottom"/>
            <w:shd w:val="clear" w:color="auto" w:fill="CFF0FC"/>
          </w:tcPr>
          <w:p>
            <w:pPr>
              <w:jc w:val="right"/>
              <w:ind w:right="252"/>
              <w:spacing w:after="0"/>
              <w:rPr>
                <w:sz w:val="20"/>
                <w:szCs w:val="20"/>
                <w:color w:val="auto"/>
              </w:rPr>
            </w:pPr>
            <w:r>
              <w:rPr>
                <w:rFonts w:ascii="Arial" w:cs="Arial" w:eastAsia="Arial" w:hAnsi="Arial"/>
                <w:sz w:val="14"/>
                <w:szCs w:val="14"/>
                <w:color w:val="auto"/>
              </w:rPr>
              <w:t>$292 - $315</w:t>
            </w:r>
          </w:p>
        </w:tc>
      </w:tr>
      <w:tr>
        <w:trPr>
          <w:trHeight w:val="162"/>
        </w:trPr>
        <w:tc>
          <w:tcPr>
            <w:tcW w:w="3160" w:type="dxa"/>
            <w:vAlign w:val="bottom"/>
          </w:tcPr>
          <w:p>
            <w:pPr>
              <w:spacing w:after="0"/>
              <w:rPr>
                <w:sz w:val="20"/>
                <w:szCs w:val="20"/>
                <w:color w:val="auto"/>
              </w:rPr>
            </w:pPr>
            <w:r>
              <w:rPr>
                <w:rFonts w:ascii="Arial" w:cs="Arial" w:eastAsia="Arial" w:hAnsi="Arial"/>
                <w:sz w:val="14"/>
                <w:szCs w:val="14"/>
                <w:color w:val="auto"/>
              </w:rPr>
              <w:t>Jefferson County:</w:t>
            </w:r>
          </w:p>
        </w:tc>
        <w:tc>
          <w:tcPr>
            <w:tcW w:w="166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1520" w:type="dxa"/>
            <w:vAlign w:val="bottom"/>
          </w:tcPr>
          <w:p>
            <w:pPr>
              <w:spacing w:after="0"/>
              <w:rPr>
                <w:sz w:val="14"/>
                <w:szCs w:val="14"/>
                <w:color w:val="auto"/>
              </w:rPr>
            </w:pPr>
          </w:p>
        </w:tc>
      </w:tr>
      <w:tr>
        <w:trPr>
          <w:trHeight w:val="162"/>
        </w:trPr>
        <w:tc>
          <w:tcPr>
            <w:tcW w:w="3160" w:type="dxa"/>
            <w:vAlign w:val="bottom"/>
            <w:shd w:val="clear" w:color="auto" w:fill="CFF0FC"/>
          </w:tcPr>
          <w:p>
            <w:pPr>
              <w:ind w:left="380"/>
              <w:spacing w:after="0"/>
              <w:rPr>
                <w:sz w:val="20"/>
                <w:szCs w:val="20"/>
                <w:color w:val="auto"/>
              </w:rPr>
            </w:pPr>
            <w:r>
              <w:rPr>
                <w:rFonts w:ascii="Arial" w:cs="Arial" w:eastAsia="Arial" w:hAnsi="Arial"/>
                <w:sz w:val="14"/>
                <w:szCs w:val="14"/>
                <w:color w:val="auto"/>
              </w:rPr>
              <w:t>Leyden Rock 4000 Series, Arvada</w:t>
            </w:r>
          </w:p>
        </w:tc>
        <w:tc>
          <w:tcPr>
            <w:tcW w:w="1660" w:type="dxa"/>
            <w:vAlign w:val="bottom"/>
            <w:shd w:val="clear" w:color="auto" w:fill="CFF0FC"/>
          </w:tcPr>
          <w:p>
            <w:pPr>
              <w:jc w:val="right"/>
              <w:ind w:right="372"/>
              <w:spacing w:after="0"/>
              <w:rPr>
                <w:sz w:val="20"/>
                <w:szCs w:val="20"/>
                <w:color w:val="auto"/>
              </w:rPr>
            </w:pPr>
            <w:r>
              <w:rPr>
                <w:rFonts w:ascii="Arial" w:cs="Arial" w:eastAsia="Arial" w:hAnsi="Arial"/>
                <w:sz w:val="14"/>
                <w:szCs w:val="14"/>
                <w:color w:val="auto"/>
              </w:rPr>
              <w:t>2014</w:t>
            </w:r>
          </w:p>
        </w:tc>
        <w:tc>
          <w:tcPr>
            <w:tcW w:w="840" w:type="dxa"/>
            <w:vAlign w:val="bottom"/>
            <w:shd w:val="clear" w:color="auto" w:fill="CFF0FC"/>
          </w:tcPr>
          <w:p>
            <w:pPr>
              <w:jc w:val="right"/>
              <w:spacing w:after="0"/>
              <w:rPr>
                <w:sz w:val="20"/>
                <w:szCs w:val="20"/>
                <w:color w:val="auto"/>
              </w:rPr>
            </w:pPr>
            <w:r>
              <w:rPr>
                <w:rFonts w:ascii="Arial" w:cs="Arial" w:eastAsia="Arial" w:hAnsi="Arial"/>
                <w:sz w:val="14"/>
                <w:szCs w:val="14"/>
                <w:color w:val="auto"/>
              </w:rPr>
              <w:t>51</w:t>
            </w:r>
          </w:p>
        </w:tc>
        <w:tc>
          <w:tcPr>
            <w:tcW w:w="200" w:type="dxa"/>
            <w:vAlign w:val="bottom"/>
            <w:shd w:val="clear" w:color="auto" w:fill="CFF0FC"/>
          </w:tcPr>
          <w:p>
            <w:pPr>
              <w:spacing w:after="0"/>
              <w:rPr>
                <w:sz w:val="14"/>
                <w:szCs w:val="14"/>
                <w:color w:val="auto"/>
              </w:rPr>
            </w:pPr>
          </w:p>
        </w:tc>
        <w:tc>
          <w:tcPr>
            <w:tcW w:w="840" w:type="dxa"/>
            <w:vAlign w:val="bottom"/>
            <w:shd w:val="clear" w:color="auto" w:fill="CFF0FC"/>
          </w:tcPr>
          <w:p>
            <w:pPr>
              <w:jc w:val="right"/>
              <w:spacing w:after="0"/>
              <w:rPr>
                <w:sz w:val="20"/>
                <w:szCs w:val="20"/>
                <w:color w:val="auto"/>
              </w:rPr>
            </w:pPr>
            <w:r>
              <w:rPr>
                <w:rFonts w:ascii="Arial" w:cs="Arial" w:eastAsia="Arial" w:hAnsi="Arial"/>
                <w:sz w:val="14"/>
                <w:szCs w:val="14"/>
                <w:color w:val="auto"/>
              </w:rPr>
              <w:t>14</w:t>
            </w:r>
          </w:p>
        </w:tc>
        <w:tc>
          <w:tcPr>
            <w:tcW w:w="220" w:type="dxa"/>
            <w:vAlign w:val="bottom"/>
            <w:shd w:val="clear" w:color="auto" w:fill="CFF0FC"/>
          </w:tcPr>
          <w:p>
            <w:pPr>
              <w:spacing w:after="0"/>
              <w:rPr>
                <w:sz w:val="14"/>
                <w:szCs w:val="14"/>
                <w:color w:val="auto"/>
              </w:rPr>
            </w:pPr>
          </w:p>
        </w:tc>
        <w:tc>
          <w:tcPr>
            <w:tcW w:w="840" w:type="dxa"/>
            <w:vAlign w:val="bottom"/>
            <w:shd w:val="clear" w:color="auto" w:fill="CFF0FC"/>
          </w:tcPr>
          <w:p>
            <w:pPr>
              <w:jc w:val="right"/>
              <w:spacing w:after="0"/>
              <w:rPr>
                <w:sz w:val="20"/>
                <w:szCs w:val="20"/>
                <w:color w:val="auto"/>
              </w:rPr>
            </w:pPr>
            <w:r>
              <w:rPr>
                <w:rFonts w:ascii="Arial" w:cs="Arial" w:eastAsia="Arial" w:hAnsi="Arial"/>
                <w:sz w:val="14"/>
                <w:szCs w:val="14"/>
                <w:color w:val="auto"/>
              </w:rPr>
              <w:t>37</w:t>
            </w:r>
          </w:p>
        </w:tc>
        <w:tc>
          <w:tcPr>
            <w:tcW w:w="220" w:type="dxa"/>
            <w:vAlign w:val="bottom"/>
            <w:shd w:val="clear" w:color="auto" w:fill="CFF0FC"/>
          </w:tcPr>
          <w:p>
            <w:pPr>
              <w:spacing w:after="0"/>
              <w:rPr>
                <w:sz w:val="14"/>
                <w:szCs w:val="14"/>
                <w:color w:val="auto"/>
              </w:rPr>
            </w:pPr>
          </w:p>
        </w:tc>
        <w:tc>
          <w:tcPr>
            <w:tcW w:w="840" w:type="dxa"/>
            <w:vAlign w:val="bottom"/>
            <w:shd w:val="clear" w:color="auto" w:fill="CFF0FC"/>
          </w:tcPr>
          <w:p>
            <w:pPr>
              <w:jc w:val="right"/>
              <w:spacing w:after="0"/>
              <w:rPr>
                <w:sz w:val="20"/>
                <w:szCs w:val="20"/>
                <w:color w:val="auto"/>
              </w:rPr>
            </w:pPr>
            <w:r>
              <w:rPr>
                <w:rFonts w:ascii="Arial" w:cs="Arial" w:eastAsia="Arial" w:hAnsi="Arial"/>
                <w:sz w:val="14"/>
                <w:szCs w:val="14"/>
                <w:color w:val="auto"/>
              </w:rPr>
              <w:t>21</w:t>
            </w:r>
          </w:p>
        </w:tc>
        <w:tc>
          <w:tcPr>
            <w:tcW w:w="220" w:type="dxa"/>
            <w:vAlign w:val="bottom"/>
            <w:shd w:val="clear" w:color="auto" w:fill="CFF0FC"/>
          </w:tcPr>
          <w:p>
            <w:pPr>
              <w:spacing w:after="0"/>
              <w:rPr>
                <w:sz w:val="14"/>
                <w:szCs w:val="14"/>
                <w:color w:val="auto"/>
              </w:rPr>
            </w:pPr>
          </w:p>
        </w:tc>
        <w:tc>
          <w:tcPr>
            <w:tcW w:w="860" w:type="dxa"/>
            <w:vAlign w:val="bottom"/>
            <w:shd w:val="clear" w:color="auto" w:fill="CFF0FC"/>
          </w:tcPr>
          <w:p>
            <w:pPr>
              <w:jc w:val="right"/>
              <w:spacing w:after="0"/>
              <w:rPr>
                <w:sz w:val="20"/>
                <w:szCs w:val="20"/>
                <w:color w:val="auto"/>
              </w:rPr>
            </w:pPr>
            <w:r>
              <w:rPr>
                <w:rFonts w:ascii="Arial" w:cs="Arial" w:eastAsia="Arial" w:hAnsi="Arial"/>
                <w:sz w:val="14"/>
                <w:szCs w:val="14"/>
                <w:color w:val="auto"/>
              </w:rPr>
              <w:t>9</w:t>
            </w:r>
          </w:p>
        </w:tc>
        <w:tc>
          <w:tcPr>
            <w:tcW w:w="1520" w:type="dxa"/>
            <w:vAlign w:val="bottom"/>
            <w:shd w:val="clear" w:color="auto" w:fill="CFF0FC"/>
          </w:tcPr>
          <w:p>
            <w:pPr>
              <w:jc w:val="right"/>
              <w:ind w:right="252"/>
              <w:spacing w:after="0"/>
              <w:rPr>
                <w:sz w:val="20"/>
                <w:szCs w:val="20"/>
                <w:color w:val="auto"/>
              </w:rPr>
            </w:pPr>
            <w:r>
              <w:rPr>
                <w:rFonts w:ascii="Arial" w:cs="Arial" w:eastAsia="Arial" w:hAnsi="Arial"/>
                <w:sz w:val="14"/>
                <w:szCs w:val="14"/>
                <w:color w:val="auto"/>
              </w:rPr>
              <w:t>$375 - $430</w:t>
            </w:r>
          </w:p>
        </w:tc>
      </w:tr>
      <w:tr>
        <w:trPr>
          <w:trHeight w:val="162"/>
        </w:trPr>
        <w:tc>
          <w:tcPr>
            <w:tcW w:w="3160" w:type="dxa"/>
            <w:vAlign w:val="bottom"/>
          </w:tcPr>
          <w:p>
            <w:pPr>
              <w:ind w:left="380"/>
              <w:spacing w:after="0"/>
              <w:rPr>
                <w:sz w:val="20"/>
                <w:szCs w:val="20"/>
                <w:color w:val="auto"/>
              </w:rPr>
            </w:pPr>
            <w:r>
              <w:rPr>
                <w:rFonts w:ascii="Arial" w:cs="Arial" w:eastAsia="Arial" w:hAnsi="Arial"/>
                <w:sz w:val="14"/>
                <w:szCs w:val="14"/>
                <w:color w:val="auto"/>
              </w:rPr>
              <w:t>Leyden Rock 5000 Series, Arvada</w:t>
            </w:r>
          </w:p>
        </w:tc>
        <w:tc>
          <w:tcPr>
            <w:tcW w:w="1660" w:type="dxa"/>
            <w:vAlign w:val="bottom"/>
          </w:tcPr>
          <w:p>
            <w:pPr>
              <w:jc w:val="right"/>
              <w:ind w:right="372"/>
              <w:spacing w:after="0"/>
              <w:rPr>
                <w:sz w:val="20"/>
                <w:szCs w:val="20"/>
                <w:color w:val="auto"/>
              </w:rPr>
            </w:pPr>
            <w:r>
              <w:rPr>
                <w:rFonts w:ascii="Arial" w:cs="Arial" w:eastAsia="Arial" w:hAnsi="Arial"/>
                <w:sz w:val="14"/>
                <w:szCs w:val="14"/>
                <w:color w:val="auto"/>
              </w:rPr>
              <w:t>2015</w:t>
            </w:r>
          </w:p>
        </w:tc>
        <w:tc>
          <w:tcPr>
            <w:tcW w:w="840" w:type="dxa"/>
            <w:vAlign w:val="bottom"/>
          </w:tcPr>
          <w:p>
            <w:pPr>
              <w:jc w:val="right"/>
              <w:spacing w:after="0"/>
              <w:rPr>
                <w:sz w:val="20"/>
                <w:szCs w:val="20"/>
                <w:color w:val="auto"/>
              </w:rPr>
            </w:pPr>
            <w:r>
              <w:rPr>
                <w:rFonts w:ascii="Arial" w:cs="Arial" w:eastAsia="Arial" w:hAnsi="Arial"/>
                <w:sz w:val="14"/>
                <w:szCs w:val="14"/>
                <w:color w:val="auto"/>
              </w:rPr>
              <w:t>67</w:t>
            </w:r>
          </w:p>
        </w:tc>
        <w:tc>
          <w:tcPr>
            <w:tcW w:w="200" w:type="dxa"/>
            <w:vAlign w:val="bottom"/>
          </w:tcPr>
          <w:p>
            <w:pPr>
              <w:spacing w:after="0"/>
              <w:rPr>
                <w:sz w:val="14"/>
                <w:szCs w:val="14"/>
                <w:color w:val="auto"/>
              </w:rPr>
            </w:pPr>
          </w:p>
        </w:tc>
        <w:tc>
          <w:tcPr>
            <w:tcW w:w="840" w:type="dxa"/>
            <w:vAlign w:val="bottom"/>
          </w:tcPr>
          <w:p>
            <w:pPr>
              <w:jc w:val="right"/>
              <w:spacing w:after="0"/>
              <w:rPr>
                <w:sz w:val="20"/>
                <w:szCs w:val="20"/>
                <w:color w:val="auto"/>
              </w:rPr>
            </w:pPr>
            <w:r>
              <w:rPr>
                <w:rFonts w:ascii="Arial" w:cs="Arial" w:eastAsia="Arial" w:hAnsi="Arial"/>
                <w:sz w:val="14"/>
                <w:szCs w:val="14"/>
                <w:color w:val="auto"/>
              </w:rPr>
              <w:t>-</w:t>
            </w:r>
          </w:p>
        </w:tc>
        <w:tc>
          <w:tcPr>
            <w:tcW w:w="220" w:type="dxa"/>
            <w:vAlign w:val="bottom"/>
          </w:tcPr>
          <w:p>
            <w:pPr>
              <w:spacing w:after="0"/>
              <w:rPr>
                <w:sz w:val="14"/>
                <w:szCs w:val="14"/>
                <w:color w:val="auto"/>
              </w:rPr>
            </w:pPr>
          </w:p>
        </w:tc>
        <w:tc>
          <w:tcPr>
            <w:tcW w:w="840" w:type="dxa"/>
            <w:vAlign w:val="bottom"/>
          </w:tcPr>
          <w:p>
            <w:pPr>
              <w:jc w:val="right"/>
              <w:spacing w:after="0"/>
              <w:rPr>
                <w:sz w:val="20"/>
                <w:szCs w:val="20"/>
                <w:color w:val="auto"/>
              </w:rPr>
            </w:pPr>
            <w:r>
              <w:rPr>
                <w:rFonts w:ascii="Arial" w:cs="Arial" w:eastAsia="Arial" w:hAnsi="Arial"/>
                <w:sz w:val="14"/>
                <w:szCs w:val="14"/>
                <w:color w:val="auto"/>
              </w:rPr>
              <w:t>67</w:t>
            </w:r>
          </w:p>
        </w:tc>
        <w:tc>
          <w:tcPr>
            <w:tcW w:w="220" w:type="dxa"/>
            <w:vAlign w:val="bottom"/>
          </w:tcPr>
          <w:p>
            <w:pPr>
              <w:spacing w:after="0"/>
              <w:rPr>
                <w:sz w:val="14"/>
                <w:szCs w:val="14"/>
                <w:color w:val="auto"/>
              </w:rPr>
            </w:pPr>
          </w:p>
        </w:tc>
        <w:tc>
          <w:tcPr>
            <w:tcW w:w="840" w:type="dxa"/>
            <w:vAlign w:val="bottom"/>
          </w:tcPr>
          <w:p>
            <w:pPr>
              <w:jc w:val="right"/>
              <w:spacing w:after="0"/>
              <w:rPr>
                <w:sz w:val="20"/>
                <w:szCs w:val="20"/>
                <w:color w:val="auto"/>
              </w:rPr>
            </w:pPr>
            <w:r>
              <w:rPr>
                <w:rFonts w:ascii="Arial" w:cs="Arial" w:eastAsia="Arial" w:hAnsi="Arial"/>
                <w:sz w:val="14"/>
                <w:szCs w:val="14"/>
                <w:color w:val="auto"/>
              </w:rPr>
              <w:t>28</w:t>
            </w:r>
          </w:p>
        </w:tc>
        <w:tc>
          <w:tcPr>
            <w:tcW w:w="220" w:type="dxa"/>
            <w:vAlign w:val="bottom"/>
          </w:tcPr>
          <w:p>
            <w:pPr>
              <w:spacing w:after="0"/>
              <w:rPr>
                <w:sz w:val="14"/>
                <w:szCs w:val="14"/>
                <w:color w:val="auto"/>
              </w:rPr>
            </w:pPr>
          </w:p>
        </w:tc>
        <w:tc>
          <w:tcPr>
            <w:tcW w:w="860" w:type="dxa"/>
            <w:vAlign w:val="bottom"/>
          </w:tcPr>
          <w:p>
            <w:pPr>
              <w:jc w:val="right"/>
              <w:spacing w:after="0"/>
              <w:rPr>
                <w:sz w:val="20"/>
                <w:szCs w:val="20"/>
                <w:color w:val="auto"/>
              </w:rPr>
            </w:pPr>
            <w:r>
              <w:rPr>
                <w:rFonts w:ascii="Arial" w:cs="Arial" w:eastAsia="Arial" w:hAnsi="Arial"/>
                <w:sz w:val="14"/>
                <w:szCs w:val="14"/>
                <w:color w:val="auto"/>
              </w:rPr>
              <w:t>-</w:t>
            </w:r>
          </w:p>
        </w:tc>
        <w:tc>
          <w:tcPr>
            <w:tcW w:w="1520" w:type="dxa"/>
            <w:vAlign w:val="bottom"/>
          </w:tcPr>
          <w:p>
            <w:pPr>
              <w:jc w:val="right"/>
              <w:ind w:right="252"/>
              <w:spacing w:after="0"/>
              <w:rPr>
                <w:sz w:val="20"/>
                <w:szCs w:val="20"/>
                <w:color w:val="auto"/>
              </w:rPr>
            </w:pPr>
            <w:r>
              <w:rPr>
                <w:rFonts w:ascii="Arial" w:cs="Arial" w:eastAsia="Arial" w:hAnsi="Arial"/>
                <w:sz w:val="14"/>
                <w:szCs w:val="14"/>
                <w:color w:val="auto"/>
              </w:rPr>
              <w:t>$432 - $492</w:t>
            </w:r>
          </w:p>
        </w:tc>
      </w:tr>
      <w:tr>
        <w:trPr>
          <w:trHeight w:val="162"/>
        </w:trPr>
        <w:tc>
          <w:tcPr>
            <w:tcW w:w="3160" w:type="dxa"/>
            <w:vAlign w:val="bottom"/>
            <w:shd w:val="clear" w:color="auto" w:fill="CFF0FC"/>
          </w:tcPr>
          <w:p>
            <w:pPr>
              <w:ind w:left="380"/>
              <w:spacing w:after="0"/>
              <w:rPr>
                <w:sz w:val="20"/>
                <w:szCs w:val="20"/>
                <w:color w:val="auto"/>
              </w:rPr>
            </w:pPr>
            <w:r>
              <w:rPr>
                <w:rFonts w:ascii="Arial" w:cs="Arial" w:eastAsia="Arial" w:hAnsi="Arial"/>
                <w:sz w:val="14"/>
                <w:szCs w:val="14"/>
                <w:color w:val="auto"/>
              </w:rPr>
              <w:t>Candelas, Arvada</w:t>
            </w:r>
          </w:p>
        </w:tc>
        <w:tc>
          <w:tcPr>
            <w:tcW w:w="1660" w:type="dxa"/>
            <w:vAlign w:val="bottom"/>
            <w:shd w:val="clear" w:color="auto" w:fill="CFF0FC"/>
          </w:tcPr>
          <w:p>
            <w:pPr>
              <w:jc w:val="right"/>
              <w:ind w:right="372"/>
              <w:spacing w:after="0"/>
              <w:rPr>
                <w:sz w:val="20"/>
                <w:szCs w:val="20"/>
                <w:color w:val="auto"/>
              </w:rPr>
            </w:pPr>
            <w:r>
              <w:rPr>
                <w:rFonts w:ascii="Arial" w:cs="Arial" w:eastAsia="Arial" w:hAnsi="Arial"/>
                <w:sz w:val="14"/>
                <w:szCs w:val="14"/>
                <w:color w:val="auto"/>
              </w:rPr>
              <w:t>2015</w:t>
            </w:r>
          </w:p>
        </w:tc>
        <w:tc>
          <w:tcPr>
            <w:tcW w:w="840" w:type="dxa"/>
            <w:vAlign w:val="bottom"/>
            <w:shd w:val="clear" w:color="auto" w:fill="CFF0FC"/>
          </w:tcPr>
          <w:p>
            <w:pPr>
              <w:jc w:val="right"/>
              <w:spacing w:after="0"/>
              <w:rPr>
                <w:sz w:val="20"/>
                <w:szCs w:val="20"/>
                <w:color w:val="auto"/>
              </w:rPr>
            </w:pPr>
            <w:r>
              <w:rPr>
                <w:rFonts w:ascii="Arial" w:cs="Arial" w:eastAsia="Arial" w:hAnsi="Arial"/>
                <w:sz w:val="14"/>
                <w:szCs w:val="14"/>
                <w:color w:val="auto"/>
              </w:rPr>
              <w:t>76</w:t>
            </w:r>
          </w:p>
        </w:tc>
        <w:tc>
          <w:tcPr>
            <w:tcW w:w="200" w:type="dxa"/>
            <w:vAlign w:val="bottom"/>
            <w:shd w:val="clear" w:color="auto" w:fill="CFF0FC"/>
          </w:tcPr>
          <w:p>
            <w:pPr>
              <w:spacing w:after="0"/>
              <w:rPr>
                <w:sz w:val="14"/>
                <w:szCs w:val="14"/>
                <w:color w:val="auto"/>
              </w:rPr>
            </w:pPr>
          </w:p>
        </w:tc>
        <w:tc>
          <w:tcPr>
            <w:tcW w:w="840" w:type="dxa"/>
            <w:vAlign w:val="bottom"/>
            <w:shd w:val="clear" w:color="auto" w:fill="CFF0FC"/>
          </w:tcPr>
          <w:p>
            <w:pPr>
              <w:jc w:val="right"/>
              <w:spacing w:after="0"/>
              <w:rPr>
                <w:sz w:val="20"/>
                <w:szCs w:val="20"/>
                <w:color w:val="auto"/>
              </w:rPr>
            </w:pPr>
            <w:r>
              <w:rPr>
                <w:rFonts w:ascii="Arial" w:cs="Arial" w:eastAsia="Arial" w:hAnsi="Arial"/>
                <w:sz w:val="14"/>
                <w:szCs w:val="14"/>
                <w:color w:val="auto"/>
              </w:rPr>
              <w:t>-</w:t>
            </w:r>
          </w:p>
        </w:tc>
        <w:tc>
          <w:tcPr>
            <w:tcW w:w="220" w:type="dxa"/>
            <w:vAlign w:val="bottom"/>
            <w:shd w:val="clear" w:color="auto" w:fill="CFF0FC"/>
          </w:tcPr>
          <w:p>
            <w:pPr>
              <w:spacing w:after="0"/>
              <w:rPr>
                <w:sz w:val="14"/>
                <w:szCs w:val="14"/>
                <w:color w:val="auto"/>
              </w:rPr>
            </w:pPr>
          </w:p>
        </w:tc>
        <w:tc>
          <w:tcPr>
            <w:tcW w:w="840" w:type="dxa"/>
            <w:vAlign w:val="bottom"/>
            <w:shd w:val="clear" w:color="auto" w:fill="CFF0FC"/>
          </w:tcPr>
          <w:p>
            <w:pPr>
              <w:jc w:val="right"/>
              <w:spacing w:after="0"/>
              <w:rPr>
                <w:sz w:val="20"/>
                <w:szCs w:val="20"/>
                <w:color w:val="auto"/>
              </w:rPr>
            </w:pPr>
            <w:r>
              <w:rPr>
                <w:rFonts w:ascii="Arial" w:cs="Arial" w:eastAsia="Arial" w:hAnsi="Arial"/>
                <w:sz w:val="14"/>
                <w:szCs w:val="14"/>
                <w:color w:val="auto"/>
              </w:rPr>
              <w:t>76</w:t>
            </w:r>
          </w:p>
        </w:tc>
        <w:tc>
          <w:tcPr>
            <w:tcW w:w="220" w:type="dxa"/>
            <w:vAlign w:val="bottom"/>
            <w:shd w:val="clear" w:color="auto" w:fill="CFF0FC"/>
          </w:tcPr>
          <w:p>
            <w:pPr>
              <w:spacing w:after="0"/>
              <w:rPr>
                <w:sz w:val="14"/>
                <w:szCs w:val="14"/>
                <w:color w:val="auto"/>
              </w:rPr>
            </w:pPr>
          </w:p>
        </w:tc>
        <w:tc>
          <w:tcPr>
            <w:tcW w:w="840" w:type="dxa"/>
            <w:vAlign w:val="bottom"/>
            <w:shd w:val="clear" w:color="auto" w:fill="CFF0FC"/>
          </w:tcPr>
          <w:p>
            <w:pPr>
              <w:jc w:val="right"/>
              <w:spacing w:after="0"/>
              <w:rPr>
                <w:sz w:val="20"/>
                <w:szCs w:val="20"/>
                <w:color w:val="auto"/>
              </w:rPr>
            </w:pPr>
            <w:r>
              <w:rPr>
                <w:rFonts w:ascii="Arial" w:cs="Arial" w:eastAsia="Arial" w:hAnsi="Arial"/>
                <w:sz w:val="14"/>
                <w:szCs w:val="14"/>
                <w:color w:val="auto"/>
              </w:rPr>
              <w:t>5</w:t>
            </w:r>
          </w:p>
        </w:tc>
        <w:tc>
          <w:tcPr>
            <w:tcW w:w="220" w:type="dxa"/>
            <w:vAlign w:val="bottom"/>
            <w:shd w:val="clear" w:color="auto" w:fill="CFF0FC"/>
          </w:tcPr>
          <w:p>
            <w:pPr>
              <w:spacing w:after="0"/>
              <w:rPr>
                <w:sz w:val="14"/>
                <w:szCs w:val="14"/>
                <w:color w:val="auto"/>
              </w:rPr>
            </w:pPr>
          </w:p>
        </w:tc>
        <w:tc>
          <w:tcPr>
            <w:tcW w:w="860" w:type="dxa"/>
            <w:vAlign w:val="bottom"/>
            <w:shd w:val="clear" w:color="auto" w:fill="CFF0FC"/>
          </w:tcPr>
          <w:p>
            <w:pPr>
              <w:jc w:val="right"/>
              <w:spacing w:after="0"/>
              <w:rPr>
                <w:sz w:val="20"/>
                <w:szCs w:val="20"/>
                <w:color w:val="auto"/>
              </w:rPr>
            </w:pPr>
            <w:r>
              <w:rPr>
                <w:rFonts w:ascii="Arial" w:cs="Arial" w:eastAsia="Arial" w:hAnsi="Arial"/>
                <w:sz w:val="14"/>
                <w:szCs w:val="14"/>
                <w:color w:val="auto"/>
              </w:rPr>
              <w:t>-</w:t>
            </w:r>
          </w:p>
        </w:tc>
        <w:tc>
          <w:tcPr>
            <w:tcW w:w="1520" w:type="dxa"/>
            <w:vAlign w:val="bottom"/>
            <w:shd w:val="clear" w:color="auto" w:fill="CFF0FC"/>
          </w:tcPr>
          <w:p>
            <w:pPr>
              <w:jc w:val="right"/>
              <w:ind w:right="252"/>
              <w:spacing w:after="0"/>
              <w:rPr>
                <w:sz w:val="20"/>
                <w:szCs w:val="20"/>
                <w:color w:val="auto"/>
              </w:rPr>
            </w:pPr>
            <w:r>
              <w:rPr>
                <w:rFonts w:ascii="Arial" w:cs="Arial" w:eastAsia="Arial" w:hAnsi="Arial"/>
                <w:sz w:val="14"/>
                <w:szCs w:val="14"/>
                <w:color w:val="auto"/>
              </w:rPr>
              <w:t>$560 - $619</w:t>
            </w:r>
          </w:p>
        </w:tc>
      </w:tr>
      <w:tr>
        <w:trPr>
          <w:trHeight w:val="162"/>
        </w:trPr>
        <w:tc>
          <w:tcPr>
            <w:tcW w:w="3160" w:type="dxa"/>
            <w:vAlign w:val="bottom"/>
          </w:tcPr>
          <w:p>
            <w:pPr>
              <w:spacing w:after="0"/>
              <w:rPr>
                <w:sz w:val="20"/>
                <w:szCs w:val="20"/>
                <w:color w:val="auto"/>
              </w:rPr>
            </w:pPr>
            <w:r>
              <w:rPr>
                <w:rFonts w:ascii="Arial" w:cs="Arial" w:eastAsia="Arial" w:hAnsi="Arial"/>
                <w:sz w:val="14"/>
                <w:szCs w:val="14"/>
                <w:color w:val="auto"/>
              </w:rPr>
              <w:t>Denver County:</w:t>
            </w:r>
          </w:p>
        </w:tc>
        <w:tc>
          <w:tcPr>
            <w:tcW w:w="166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1520" w:type="dxa"/>
            <w:vAlign w:val="bottom"/>
          </w:tcPr>
          <w:p>
            <w:pPr>
              <w:spacing w:after="0"/>
              <w:rPr>
                <w:sz w:val="14"/>
                <w:szCs w:val="14"/>
                <w:color w:val="auto"/>
              </w:rPr>
            </w:pPr>
          </w:p>
        </w:tc>
      </w:tr>
      <w:tr>
        <w:trPr>
          <w:trHeight w:val="162"/>
        </w:trPr>
        <w:tc>
          <w:tcPr>
            <w:tcW w:w="3160" w:type="dxa"/>
            <w:vAlign w:val="bottom"/>
            <w:shd w:val="clear" w:color="auto" w:fill="CFF0FC"/>
          </w:tcPr>
          <w:p>
            <w:pPr>
              <w:ind w:left="380"/>
              <w:spacing w:after="0"/>
              <w:rPr>
                <w:sz w:val="20"/>
                <w:szCs w:val="20"/>
                <w:color w:val="auto"/>
              </w:rPr>
            </w:pPr>
            <w:r>
              <w:rPr>
                <w:rFonts w:ascii="Arial" w:cs="Arial" w:eastAsia="Arial" w:hAnsi="Arial"/>
                <w:sz w:val="14"/>
                <w:szCs w:val="14"/>
                <w:color w:val="auto"/>
              </w:rPr>
              <w:t>Platt Park North, Denver</w:t>
            </w:r>
          </w:p>
        </w:tc>
        <w:tc>
          <w:tcPr>
            <w:tcW w:w="1660" w:type="dxa"/>
            <w:vAlign w:val="bottom"/>
            <w:shd w:val="clear" w:color="auto" w:fill="CFF0FC"/>
          </w:tcPr>
          <w:p>
            <w:pPr>
              <w:jc w:val="right"/>
              <w:ind w:right="372"/>
              <w:spacing w:after="0"/>
              <w:rPr>
                <w:sz w:val="20"/>
                <w:szCs w:val="20"/>
                <w:color w:val="auto"/>
              </w:rPr>
            </w:pPr>
            <w:r>
              <w:rPr>
                <w:rFonts w:ascii="Arial" w:cs="Arial" w:eastAsia="Arial" w:hAnsi="Arial"/>
                <w:sz w:val="14"/>
                <w:szCs w:val="14"/>
                <w:color w:val="auto"/>
              </w:rPr>
              <w:t>2014</w:t>
            </w:r>
          </w:p>
        </w:tc>
        <w:tc>
          <w:tcPr>
            <w:tcW w:w="840" w:type="dxa"/>
            <w:vAlign w:val="bottom"/>
            <w:shd w:val="clear" w:color="auto" w:fill="CFF0FC"/>
          </w:tcPr>
          <w:p>
            <w:pPr>
              <w:jc w:val="right"/>
              <w:spacing w:after="0"/>
              <w:rPr>
                <w:sz w:val="20"/>
                <w:szCs w:val="20"/>
                <w:color w:val="auto"/>
              </w:rPr>
            </w:pPr>
            <w:r>
              <w:rPr>
                <w:rFonts w:ascii="Arial" w:cs="Arial" w:eastAsia="Arial" w:hAnsi="Arial"/>
                <w:sz w:val="14"/>
                <w:szCs w:val="14"/>
                <w:color w:val="auto"/>
              </w:rPr>
              <w:t>29</w:t>
            </w:r>
          </w:p>
        </w:tc>
        <w:tc>
          <w:tcPr>
            <w:tcW w:w="200" w:type="dxa"/>
            <w:vAlign w:val="bottom"/>
            <w:shd w:val="clear" w:color="auto" w:fill="CFF0FC"/>
          </w:tcPr>
          <w:p>
            <w:pPr>
              <w:spacing w:after="0"/>
              <w:rPr>
                <w:sz w:val="14"/>
                <w:szCs w:val="14"/>
                <w:color w:val="auto"/>
              </w:rPr>
            </w:pPr>
          </w:p>
        </w:tc>
        <w:tc>
          <w:tcPr>
            <w:tcW w:w="840" w:type="dxa"/>
            <w:vAlign w:val="bottom"/>
            <w:shd w:val="clear" w:color="auto" w:fill="CFF0FC"/>
          </w:tcPr>
          <w:p>
            <w:pPr>
              <w:jc w:val="right"/>
              <w:spacing w:after="0"/>
              <w:rPr>
                <w:sz w:val="20"/>
                <w:szCs w:val="20"/>
                <w:color w:val="auto"/>
              </w:rPr>
            </w:pPr>
            <w:r>
              <w:rPr>
                <w:rFonts w:ascii="Arial" w:cs="Arial" w:eastAsia="Arial" w:hAnsi="Arial"/>
                <w:sz w:val="14"/>
                <w:szCs w:val="14"/>
                <w:color w:val="auto"/>
              </w:rPr>
              <w:t>11</w:t>
            </w:r>
          </w:p>
        </w:tc>
        <w:tc>
          <w:tcPr>
            <w:tcW w:w="220" w:type="dxa"/>
            <w:vAlign w:val="bottom"/>
            <w:shd w:val="clear" w:color="auto" w:fill="CFF0FC"/>
          </w:tcPr>
          <w:p>
            <w:pPr>
              <w:spacing w:after="0"/>
              <w:rPr>
                <w:sz w:val="14"/>
                <w:szCs w:val="14"/>
                <w:color w:val="auto"/>
              </w:rPr>
            </w:pPr>
          </w:p>
        </w:tc>
        <w:tc>
          <w:tcPr>
            <w:tcW w:w="840" w:type="dxa"/>
            <w:vAlign w:val="bottom"/>
            <w:shd w:val="clear" w:color="auto" w:fill="CFF0FC"/>
          </w:tcPr>
          <w:p>
            <w:pPr>
              <w:jc w:val="right"/>
              <w:spacing w:after="0"/>
              <w:rPr>
                <w:sz w:val="20"/>
                <w:szCs w:val="20"/>
                <w:color w:val="auto"/>
              </w:rPr>
            </w:pPr>
            <w:r>
              <w:rPr>
                <w:rFonts w:ascii="Arial" w:cs="Arial" w:eastAsia="Arial" w:hAnsi="Arial"/>
                <w:sz w:val="14"/>
                <w:szCs w:val="14"/>
                <w:color w:val="auto"/>
              </w:rPr>
              <w:t>18</w:t>
            </w:r>
          </w:p>
        </w:tc>
        <w:tc>
          <w:tcPr>
            <w:tcW w:w="220" w:type="dxa"/>
            <w:vAlign w:val="bottom"/>
            <w:shd w:val="clear" w:color="auto" w:fill="CFF0FC"/>
          </w:tcPr>
          <w:p>
            <w:pPr>
              <w:spacing w:after="0"/>
              <w:rPr>
                <w:sz w:val="14"/>
                <w:szCs w:val="14"/>
                <w:color w:val="auto"/>
              </w:rPr>
            </w:pPr>
          </w:p>
        </w:tc>
        <w:tc>
          <w:tcPr>
            <w:tcW w:w="840" w:type="dxa"/>
            <w:vAlign w:val="bottom"/>
            <w:shd w:val="clear" w:color="auto" w:fill="CFF0FC"/>
          </w:tcPr>
          <w:p>
            <w:pPr>
              <w:jc w:val="right"/>
              <w:spacing w:after="0"/>
              <w:rPr>
                <w:sz w:val="20"/>
                <w:szCs w:val="20"/>
                <w:color w:val="auto"/>
              </w:rPr>
            </w:pPr>
            <w:r>
              <w:rPr>
                <w:rFonts w:ascii="Arial" w:cs="Arial" w:eastAsia="Arial" w:hAnsi="Arial"/>
                <w:sz w:val="14"/>
                <w:szCs w:val="14"/>
                <w:color w:val="auto"/>
              </w:rPr>
              <w:t>11</w:t>
            </w:r>
          </w:p>
        </w:tc>
        <w:tc>
          <w:tcPr>
            <w:tcW w:w="220" w:type="dxa"/>
            <w:vAlign w:val="bottom"/>
            <w:shd w:val="clear" w:color="auto" w:fill="CFF0FC"/>
          </w:tcPr>
          <w:p>
            <w:pPr>
              <w:spacing w:after="0"/>
              <w:rPr>
                <w:sz w:val="14"/>
                <w:szCs w:val="14"/>
                <w:color w:val="auto"/>
              </w:rPr>
            </w:pPr>
          </w:p>
        </w:tc>
        <w:tc>
          <w:tcPr>
            <w:tcW w:w="860" w:type="dxa"/>
            <w:vAlign w:val="bottom"/>
            <w:shd w:val="clear" w:color="auto" w:fill="CFF0FC"/>
          </w:tcPr>
          <w:p>
            <w:pPr>
              <w:jc w:val="right"/>
              <w:spacing w:after="0"/>
              <w:rPr>
                <w:sz w:val="20"/>
                <w:szCs w:val="20"/>
                <w:color w:val="auto"/>
              </w:rPr>
            </w:pPr>
            <w:r>
              <w:rPr>
                <w:rFonts w:ascii="Arial" w:cs="Arial" w:eastAsia="Arial" w:hAnsi="Arial"/>
                <w:sz w:val="14"/>
                <w:szCs w:val="14"/>
                <w:color w:val="auto"/>
              </w:rPr>
              <w:t>7</w:t>
            </w:r>
          </w:p>
        </w:tc>
        <w:tc>
          <w:tcPr>
            <w:tcW w:w="1520" w:type="dxa"/>
            <w:vAlign w:val="bottom"/>
            <w:shd w:val="clear" w:color="auto" w:fill="CFF0FC"/>
          </w:tcPr>
          <w:p>
            <w:pPr>
              <w:jc w:val="right"/>
              <w:ind w:right="252"/>
              <w:spacing w:after="0"/>
              <w:rPr>
                <w:sz w:val="20"/>
                <w:szCs w:val="20"/>
                <w:color w:val="auto"/>
              </w:rPr>
            </w:pPr>
            <w:r>
              <w:rPr>
                <w:rFonts w:ascii="Arial" w:cs="Arial" w:eastAsia="Arial" w:hAnsi="Arial"/>
                <w:sz w:val="14"/>
                <w:szCs w:val="14"/>
                <w:color w:val="auto"/>
              </w:rPr>
              <w:t>$611 - $615</w:t>
            </w:r>
          </w:p>
        </w:tc>
      </w:tr>
      <w:tr>
        <w:trPr>
          <w:trHeight w:val="162"/>
        </w:trPr>
        <w:tc>
          <w:tcPr>
            <w:tcW w:w="3160" w:type="dxa"/>
            <w:vAlign w:val="bottom"/>
          </w:tcPr>
          <w:p>
            <w:pPr>
              <w:spacing w:after="0"/>
              <w:rPr>
                <w:sz w:val="20"/>
                <w:szCs w:val="20"/>
                <w:color w:val="auto"/>
              </w:rPr>
            </w:pPr>
            <w:r>
              <w:rPr>
                <w:rFonts w:ascii="Arial" w:cs="Arial" w:eastAsia="Arial" w:hAnsi="Arial"/>
                <w:sz w:val="14"/>
                <w:szCs w:val="14"/>
                <w:color w:val="auto"/>
              </w:rPr>
              <w:t>Larimer County:</w:t>
            </w:r>
          </w:p>
        </w:tc>
        <w:tc>
          <w:tcPr>
            <w:tcW w:w="166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1520" w:type="dxa"/>
            <w:vAlign w:val="bottom"/>
          </w:tcPr>
          <w:p>
            <w:pPr>
              <w:spacing w:after="0"/>
              <w:rPr>
                <w:sz w:val="14"/>
                <w:szCs w:val="14"/>
                <w:color w:val="auto"/>
              </w:rPr>
            </w:pPr>
          </w:p>
        </w:tc>
      </w:tr>
      <w:tr>
        <w:trPr>
          <w:trHeight w:val="162"/>
        </w:trPr>
        <w:tc>
          <w:tcPr>
            <w:tcW w:w="3160" w:type="dxa"/>
            <w:vAlign w:val="bottom"/>
            <w:shd w:val="clear" w:color="auto" w:fill="CFF0FC"/>
          </w:tcPr>
          <w:p>
            <w:pPr>
              <w:ind w:left="380"/>
              <w:spacing w:after="0"/>
              <w:rPr>
                <w:sz w:val="20"/>
                <w:szCs w:val="20"/>
                <w:color w:val="auto"/>
              </w:rPr>
            </w:pPr>
            <w:r>
              <w:rPr>
                <w:rFonts w:ascii="Arial" w:cs="Arial" w:eastAsia="Arial" w:hAnsi="Arial"/>
                <w:sz w:val="14"/>
                <w:szCs w:val="14"/>
                <w:color w:val="auto"/>
              </w:rPr>
              <w:t>Centerra 5000 Series, Loveland</w:t>
            </w:r>
          </w:p>
        </w:tc>
        <w:tc>
          <w:tcPr>
            <w:tcW w:w="1660" w:type="dxa"/>
            <w:vAlign w:val="bottom"/>
            <w:shd w:val="clear" w:color="auto" w:fill="CFF0FC"/>
          </w:tcPr>
          <w:p>
            <w:pPr>
              <w:jc w:val="right"/>
              <w:ind w:right="372"/>
              <w:spacing w:after="0"/>
              <w:rPr>
                <w:sz w:val="20"/>
                <w:szCs w:val="20"/>
                <w:color w:val="auto"/>
              </w:rPr>
            </w:pPr>
            <w:r>
              <w:rPr>
                <w:rFonts w:ascii="Arial" w:cs="Arial" w:eastAsia="Arial" w:hAnsi="Arial"/>
                <w:sz w:val="14"/>
                <w:szCs w:val="14"/>
                <w:color w:val="auto"/>
              </w:rPr>
              <w:t>2015</w:t>
            </w:r>
          </w:p>
        </w:tc>
        <w:tc>
          <w:tcPr>
            <w:tcW w:w="840" w:type="dxa"/>
            <w:vAlign w:val="bottom"/>
            <w:shd w:val="clear" w:color="auto" w:fill="CFF0FC"/>
          </w:tcPr>
          <w:p>
            <w:pPr>
              <w:jc w:val="right"/>
              <w:spacing w:after="0"/>
              <w:rPr>
                <w:sz w:val="20"/>
                <w:szCs w:val="20"/>
                <w:color w:val="auto"/>
              </w:rPr>
            </w:pPr>
            <w:r>
              <w:rPr>
                <w:rFonts w:ascii="Arial" w:cs="Arial" w:eastAsia="Arial" w:hAnsi="Arial"/>
                <w:sz w:val="14"/>
                <w:szCs w:val="14"/>
                <w:color w:val="auto"/>
              </w:rPr>
              <w:t>150</w:t>
            </w:r>
          </w:p>
        </w:tc>
        <w:tc>
          <w:tcPr>
            <w:tcW w:w="200" w:type="dxa"/>
            <w:vAlign w:val="bottom"/>
            <w:shd w:val="clear" w:color="auto" w:fill="CFF0FC"/>
          </w:tcPr>
          <w:p>
            <w:pPr>
              <w:spacing w:after="0"/>
              <w:rPr>
                <w:sz w:val="14"/>
                <w:szCs w:val="14"/>
                <w:color w:val="auto"/>
              </w:rPr>
            </w:pPr>
          </w:p>
        </w:tc>
        <w:tc>
          <w:tcPr>
            <w:tcW w:w="840" w:type="dxa"/>
            <w:vAlign w:val="bottom"/>
            <w:shd w:val="clear" w:color="auto" w:fill="CFF0FC"/>
          </w:tcPr>
          <w:p>
            <w:pPr>
              <w:jc w:val="right"/>
              <w:spacing w:after="0"/>
              <w:rPr>
                <w:sz w:val="20"/>
                <w:szCs w:val="20"/>
                <w:color w:val="auto"/>
              </w:rPr>
            </w:pPr>
            <w:r>
              <w:rPr>
                <w:rFonts w:ascii="Arial" w:cs="Arial" w:eastAsia="Arial" w:hAnsi="Arial"/>
                <w:sz w:val="14"/>
                <w:szCs w:val="14"/>
                <w:color w:val="auto"/>
              </w:rPr>
              <w:t>-</w:t>
            </w:r>
          </w:p>
        </w:tc>
        <w:tc>
          <w:tcPr>
            <w:tcW w:w="220" w:type="dxa"/>
            <w:vAlign w:val="bottom"/>
            <w:shd w:val="clear" w:color="auto" w:fill="CFF0FC"/>
          </w:tcPr>
          <w:p>
            <w:pPr>
              <w:spacing w:after="0"/>
              <w:rPr>
                <w:sz w:val="14"/>
                <w:szCs w:val="14"/>
                <w:color w:val="auto"/>
              </w:rPr>
            </w:pPr>
          </w:p>
        </w:tc>
        <w:tc>
          <w:tcPr>
            <w:tcW w:w="840" w:type="dxa"/>
            <w:vAlign w:val="bottom"/>
            <w:shd w:val="clear" w:color="auto" w:fill="CFF0FC"/>
          </w:tcPr>
          <w:p>
            <w:pPr>
              <w:jc w:val="right"/>
              <w:spacing w:after="0"/>
              <w:rPr>
                <w:sz w:val="20"/>
                <w:szCs w:val="20"/>
                <w:color w:val="auto"/>
              </w:rPr>
            </w:pPr>
            <w:r>
              <w:rPr>
                <w:rFonts w:ascii="Arial" w:cs="Arial" w:eastAsia="Arial" w:hAnsi="Arial"/>
                <w:sz w:val="14"/>
                <w:szCs w:val="14"/>
                <w:color w:val="auto"/>
              </w:rPr>
              <w:t>40</w:t>
            </w:r>
          </w:p>
        </w:tc>
        <w:tc>
          <w:tcPr>
            <w:tcW w:w="220" w:type="dxa"/>
            <w:vAlign w:val="bottom"/>
            <w:shd w:val="clear" w:color="auto" w:fill="CFF0FC"/>
          </w:tcPr>
          <w:p>
            <w:pPr>
              <w:spacing w:after="0"/>
              <w:rPr>
                <w:sz w:val="14"/>
                <w:szCs w:val="14"/>
                <w:color w:val="auto"/>
              </w:rPr>
            </w:pPr>
          </w:p>
        </w:tc>
        <w:tc>
          <w:tcPr>
            <w:tcW w:w="840" w:type="dxa"/>
            <w:vAlign w:val="bottom"/>
            <w:shd w:val="clear" w:color="auto" w:fill="CFF0FC"/>
          </w:tcPr>
          <w:p>
            <w:pPr>
              <w:jc w:val="right"/>
              <w:spacing w:after="0"/>
              <w:rPr>
                <w:sz w:val="20"/>
                <w:szCs w:val="20"/>
                <w:color w:val="auto"/>
              </w:rPr>
            </w:pPr>
            <w:r>
              <w:rPr>
                <w:rFonts w:ascii="Arial" w:cs="Arial" w:eastAsia="Arial" w:hAnsi="Arial"/>
                <w:sz w:val="14"/>
                <w:szCs w:val="14"/>
                <w:color w:val="auto"/>
              </w:rPr>
              <w:t>11</w:t>
            </w:r>
          </w:p>
        </w:tc>
        <w:tc>
          <w:tcPr>
            <w:tcW w:w="220" w:type="dxa"/>
            <w:vAlign w:val="bottom"/>
            <w:shd w:val="clear" w:color="auto" w:fill="CFF0FC"/>
          </w:tcPr>
          <w:p>
            <w:pPr>
              <w:spacing w:after="0"/>
              <w:rPr>
                <w:sz w:val="14"/>
                <w:szCs w:val="14"/>
                <w:color w:val="auto"/>
              </w:rPr>
            </w:pPr>
          </w:p>
        </w:tc>
        <w:tc>
          <w:tcPr>
            <w:tcW w:w="860" w:type="dxa"/>
            <w:vAlign w:val="bottom"/>
            <w:shd w:val="clear" w:color="auto" w:fill="CFF0FC"/>
          </w:tcPr>
          <w:p>
            <w:pPr>
              <w:jc w:val="right"/>
              <w:spacing w:after="0"/>
              <w:rPr>
                <w:sz w:val="20"/>
                <w:szCs w:val="20"/>
                <w:color w:val="auto"/>
              </w:rPr>
            </w:pPr>
            <w:r>
              <w:rPr>
                <w:rFonts w:ascii="Arial" w:cs="Arial" w:eastAsia="Arial" w:hAnsi="Arial"/>
                <w:sz w:val="14"/>
                <w:szCs w:val="14"/>
                <w:color w:val="auto"/>
              </w:rPr>
              <w:t>-</w:t>
            </w:r>
          </w:p>
        </w:tc>
        <w:tc>
          <w:tcPr>
            <w:tcW w:w="1520" w:type="dxa"/>
            <w:vAlign w:val="bottom"/>
            <w:shd w:val="clear" w:color="auto" w:fill="CFF0FC"/>
          </w:tcPr>
          <w:p>
            <w:pPr>
              <w:jc w:val="right"/>
              <w:ind w:right="252"/>
              <w:spacing w:after="0"/>
              <w:rPr>
                <w:sz w:val="20"/>
                <w:szCs w:val="20"/>
                <w:color w:val="auto"/>
              </w:rPr>
            </w:pPr>
            <w:r>
              <w:rPr>
                <w:rFonts w:ascii="Arial" w:cs="Arial" w:eastAsia="Arial" w:hAnsi="Arial"/>
                <w:sz w:val="14"/>
                <w:szCs w:val="14"/>
                <w:color w:val="auto"/>
              </w:rPr>
              <w:t>$388 - $419</w:t>
            </w:r>
          </w:p>
        </w:tc>
      </w:tr>
      <w:tr>
        <w:trPr>
          <w:trHeight w:val="162"/>
        </w:trPr>
        <w:tc>
          <w:tcPr>
            <w:tcW w:w="3160" w:type="dxa"/>
            <w:vAlign w:val="bottom"/>
          </w:tcPr>
          <w:p>
            <w:pPr>
              <w:spacing w:after="0"/>
              <w:rPr>
                <w:sz w:val="20"/>
                <w:szCs w:val="20"/>
                <w:color w:val="auto"/>
              </w:rPr>
            </w:pPr>
            <w:r>
              <w:rPr>
                <w:rFonts w:ascii="Arial" w:cs="Arial" w:eastAsia="Arial" w:hAnsi="Arial"/>
                <w:sz w:val="14"/>
                <w:szCs w:val="14"/>
                <w:color w:val="auto"/>
              </w:rPr>
              <w:t>Arapahoe County:</w:t>
            </w:r>
          </w:p>
        </w:tc>
        <w:tc>
          <w:tcPr>
            <w:tcW w:w="166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1520" w:type="dxa"/>
            <w:vAlign w:val="bottom"/>
          </w:tcPr>
          <w:p>
            <w:pPr>
              <w:spacing w:after="0"/>
              <w:rPr>
                <w:sz w:val="14"/>
                <w:szCs w:val="14"/>
                <w:color w:val="auto"/>
              </w:rPr>
            </w:pPr>
          </w:p>
        </w:tc>
      </w:tr>
      <w:tr>
        <w:trPr>
          <w:trHeight w:val="162"/>
        </w:trPr>
        <w:tc>
          <w:tcPr>
            <w:tcW w:w="3160" w:type="dxa"/>
            <w:vAlign w:val="bottom"/>
            <w:shd w:val="clear" w:color="auto" w:fill="CFF0FC"/>
          </w:tcPr>
          <w:p>
            <w:pPr>
              <w:ind w:left="380"/>
              <w:spacing w:after="0"/>
              <w:rPr>
                <w:sz w:val="20"/>
                <w:szCs w:val="20"/>
                <w:color w:val="auto"/>
              </w:rPr>
            </w:pPr>
            <w:r>
              <w:rPr>
                <w:rFonts w:ascii="Arial" w:cs="Arial" w:eastAsia="Arial" w:hAnsi="Arial"/>
                <w:sz w:val="14"/>
                <w:szCs w:val="14"/>
                <w:color w:val="auto"/>
              </w:rPr>
              <w:t>Whispering Pines, Aurora</w:t>
            </w:r>
          </w:p>
        </w:tc>
        <w:tc>
          <w:tcPr>
            <w:tcW w:w="1660" w:type="dxa"/>
            <w:vAlign w:val="bottom"/>
            <w:shd w:val="clear" w:color="auto" w:fill="CFF0FC"/>
          </w:tcPr>
          <w:p>
            <w:pPr>
              <w:jc w:val="right"/>
              <w:ind w:right="372"/>
              <w:spacing w:after="0"/>
              <w:rPr>
                <w:sz w:val="20"/>
                <w:szCs w:val="20"/>
                <w:color w:val="auto"/>
              </w:rPr>
            </w:pPr>
            <w:r>
              <w:rPr>
                <w:rFonts w:ascii="Arial" w:cs="Arial" w:eastAsia="Arial" w:hAnsi="Arial"/>
                <w:sz w:val="14"/>
                <w:szCs w:val="14"/>
                <w:color w:val="auto"/>
              </w:rPr>
              <w:t>2015</w:t>
            </w:r>
          </w:p>
        </w:tc>
        <w:tc>
          <w:tcPr>
            <w:tcW w:w="84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4"/>
                <w:szCs w:val="14"/>
                <w:color w:val="auto"/>
              </w:rPr>
              <w:t>115</w:t>
            </w:r>
          </w:p>
        </w:tc>
        <w:tc>
          <w:tcPr>
            <w:tcW w:w="200" w:type="dxa"/>
            <w:vAlign w:val="bottom"/>
            <w:shd w:val="clear" w:color="auto" w:fill="CFF0FC"/>
          </w:tcPr>
          <w:p>
            <w:pPr>
              <w:spacing w:after="0"/>
              <w:rPr>
                <w:sz w:val="14"/>
                <w:szCs w:val="14"/>
                <w:color w:val="auto"/>
              </w:rPr>
            </w:pPr>
          </w:p>
        </w:tc>
        <w:tc>
          <w:tcPr>
            <w:tcW w:w="84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4"/>
                <w:szCs w:val="14"/>
                <w:color w:val="auto"/>
              </w:rPr>
              <w:t>-</w:t>
            </w:r>
          </w:p>
        </w:tc>
        <w:tc>
          <w:tcPr>
            <w:tcW w:w="220" w:type="dxa"/>
            <w:vAlign w:val="bottom"/>
            <w:shd w:val="clear" w:color="auto" w:fill="CFF0FC"/>
          </w:tcPr>
          <w:p>
            <w:pPr>
              <w:spacing w:after="0"/>
              <w:rPr>
                <w:sz w:val="14"/>
                <w:szCs w:val="14"/>
                <w:color w:val="auto"/>
              </w:rPr>
            </w:pPr>
          </w:p>
        </w:tc>
        <w:tc>
          <w:tcPr>
            <w:tcW w:w="84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4"/>
                <w:szCs w:val="14"/>
                <w:color w:val="auto"/>
              </w:rPr>
              <w:t>115</w:t>
            </w:r>
          </w:p>
        </w:tc>
        <w:tc>
          <w:tcPr>
            <w:tcW w:w="220" w:type="dxa"/>
            <w:vAlign w:val="bottom"/>
            <w:shd w:val="clear" w:color="auto" w:fill="CFF0FC"/>
          </w:tcPr>
          <w:p>
            <w:pPr>
              <w:spacing w:after="0"/>
              <w:rPr>
                <w:sz w:val="14"/>
                <w:szCs w:val="14"/>
                <w:color w:val="auto"/>
              </w:rPr>
            </w:pPr>
          </w:p>
        </w:tc>
        <w:tc>
          <w:tcPr>
            <w:tcW w:w="84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4"/>
                <w:szCs w:val="14"/>
                <w:color w:val="auto"/>
              </w:rPr>
              <w:t>-</w:t>
            </w:r>
          </w:p>
        </w:tc>
        <w:tc>
          <w:tcPr>
            <w:tcW w:w="220" w:type="dxa"/>
            <w:vAlign w:val="bottom"/>
            <w:shd w:val="clear" w:color="auto" w:fill="CFF0FC"/>
          </w:tcPr>
          <w:p>
            <w:pPr>
              <w:spacing w:after="0"/>
              <w:rPr>
                <w:sz w:val="14"/>
                <w:szCs w:val="14"/>
                <w:color w:val="auto"/>
              </w:rPr>
            </w:pPr>
          </w:p>
        </w:tc>
        <w:tc>
          <w:tcPr>
            <w:tcW w:w="86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4"/>
                <w:szCs w:val="14"/>
                <w:color w:val="auto"/>
              </w:rPr>
              <w:t>-</w:t>
            </w:r>
          </w:p>
        </w:tc>
        <w:tc>
          <w:tcPr>
            <w:tcW w:w="1520" w:type="dxa"/>
            <w:vAlign w:val="bottom"/>
            <w:shd w:val="clear" w:color="auto" w:fill="CFF0FC"/>
          </w:tcPr>
          <w:p>
            <w:pPr>
              <w:jc w:val="right"/>
              <w:ind w:right="252"/>
              <w:spacing w:after="0"/>
              <w:rPr>
                <w:sz w:val="20"/>
                <w:szCs w:val="20"/>
                <w:color w:val="auto"/>
              </w:rPr>
            </w:pPr>
            <w:r>
              <w:rPr>
                <w:rFonts w:ascii="Arial" w:cs="Arial" w:eastAsia="Arial" w:hAnsi="Arial"/>
                <w:sz w:val="14"/>
                <w:szCs w:val="14"/>
                <w:color w:val="auto"/>
              </w:rPr>
              <w:t>$518 - $588</w:t>
            </w:r>
          </w:p>
        </w:tc>
      </w:tr>
      <w:tr>
        <w:trPr>
          <w:trHeight w:val="156"/>
        </w:trPr>
        <w:tc>
          <w:tcPr>
            <w:tcW w:w="3160" w:type="dxa"/>
            <w:vAlign w:val="bottom"/>
            <w:tcBorders>
              <w:bottom w:val="single" w:sz="8" w:color="CFF0FC"/>
            </w:tcBorders>
          </w:tcPr>
          <w:p>
            <w:pPr>
              <w:spacing w:after="0" w:line="155" w:lineRule="exact"/>
              <w:rPr>
                <w:sz w:val="20"/>
                <w:szCs w:val="20"/>
                <w:color w:val="auto"/>
              </w:rPr>
            </w:pPr>
            <w:r>
              <w:rPr>
                <w:rFonts w:ascii="Arial" w:cs="Arial" w:eastAsia="Arial" w:hAnsi="Arial"/>
                <w:sz w:val="14"/>
                <w:szCs w:val="14"/>
                <w:b w:val="1"/>
                <w:bCs w:val="1"/>
                <w:color w:val="auto"/>
              </w:rPr>
              <w:t>Colorado Total</w:t>
            </w:r>
          </w:p>
        </w:tc>
        <w:tc>
          <w:tcPr>
            <w:tcW w:w="1660" w:type="dxa"/>
            <w:vAlign w:val="bottom"/>
            <w:tcBorders>
              <w:bottom w:val="single" w:sz="8" w:color="CFF0FC"/>
            </w:tcBorders>
          </w:tcPr>
          <w:p>
            <w:pPr>
              <w:spacing w:after="0"/>
              <w:rPr>
                <w:sz w:val="13"/>
                <w:szCs w:val="13"/>
                <w:color w:val="auto"/>
              </w:rPr>
            </w:pPr>
          </w:p>
        </w:tc>
        <w:tc>
          <w:tcPr>
            <w:tcW w:w="840" w:type="dxa"/>
            <w:vAlign w:val="bottom"/>
            <w:tcBorders>
              <w:bottom w:val="single" w:sz="8" w:color="auto"/>
            </w:tcBorders>
          </w:tcPr>
          <w:p>
            <w:pPr>
              <w:jc w:val="right"/>
              <w:spacing w:after="0" w:line="155" w:lineRule="exact"/>
              <w:rPr>
                <w:sz w:val="20"/>
                <w:szCs w:val="20"/>
                <w:color w:val="auto"/>
              </w:rPr>
            </w:pPr>
            <w:r>
              <w:rPr>
                <w:rFonts w:ascii="Arial" w:cs="Arial" w:eastAsia="Arial" w:hAnsi="Arial"/>
                <w:sz w:val="14"/>
                <w:szCs w:val="14"/>
                <w:b w:val="1"/>
                <w:bCs w:val="1"/>
                <w:color w:val="auto"/>
              </w:rPr>
              <w:t>704</w:t>
            </w:r>
          </w:p>
        </w:tc>
        <w:tc>
          <w:tcPr>
            <w:tcW w:w="200" w:type="dxa"/>
            <w:vAlign w:val="bottom"/>
            <w:tcBorders>
              <w:bottom w:val="single" w:sz="8" w:color="CFF0FC"/>
            </w:tcBorders>
          </w:tcPr>
          <w:p>
            <w:pPr>
              <w:spacing w:after="0"/>
              <w:rPr>
                <w:sz w:val="13"/>
                <w:szCs w:val="13"/>
                <w:color w:val="auto"/>
              </w:rPr>
            </w:pPr>
          </w:p>
        </w:tc>
        <w:tc>
          <w:tcPr>
            <w:tcW w:w="840" w:type="dxa"/>
            <w:vAlign w:val="bottom"/>
            <w:tcBorders>
              <w:bottom w:val="single" w:sz="8" w:color="auto"/>
            </w:tcBorders>
          </w:tcPr>
          <w:p>
            <w:pPr>
              <w:jc w:val="right"/>
              <w:spacing w:after="0" w:line="155" w:lineRule="exact"/>
              <w:rPr>
                <w:sz w:val="20"/>
                <w:szCs w:val="20"/>
                <w:color w:val="auto"/>
              </w:rPr>
            </w:pPr>
            <w:r>
              <w:rPr>
                <w:rFonts w:ascii="Arial" w:cs="Arial" w:eastAsia="Arial" w:hAnsi="Arial"/>
                <w:sz w:val="14"/>
                <w:szCs w:val="14"/>
                <w:b w:val="1"/>
                <w:bCs w:val="1"/>
                <w:color w:val="auto"/>
              </w:rPr>
              <w:t>98</w:t>
            </w:r>
          </w:p>
        </w:tc>
        <w:tc>
          <w:tcPr>
            <w:tcW w:w="220" w:type="dxa"/>
            <w:vAlign w:val="bottom"/>
            <w:tcBorders>
              <w:bottom w:val="single" w:sz="8" w:color="CFF0FC"/>
            </w:tcBorders>
          </w:tcPr>
          <w:p>
            <w:pPr>
              <w:spacing w:after="0"/>
              <w:rPr>
                <w:sz w:val="13"/>
                <w:szCs w:val="13"/>
                <w:color w:val="auto"/>
              </w:rPr>
            </w:pPr>
          </w:p>
        </w:tc>
        <w:tc>
          <w:tcPr>
            <w:tcW w:w="840" w:type="dxa"/>
            <w:vAlign w:val="bottom"/>
            <w:tcBorders>
              <w:bottom w:val="single" w:sz="8" w:color="auto"/>
            </w:tcBorders>
          </w:tcPr>
          <w:p>
            <w:pPr>
              <w:jc w:val="right"/>
              <w:spacing w:after="0" w:line="155" w:lineRule="exact"/>
              <w:rPr>
                <w:sz w:val="20"/>
                <w:szCs w:val="20"/>
                <w:color w:val="auto"/>
              </w:rPr>
            </w:pPr>
            <w:r>
              <w:rPr>
                <w:rFonts w:ascii="Arial" w:cs="Arial" w:eastAsia="Arial" w:hAnsi="Arial"/>
                <w:sz w:val="14"/>
                <w:szCs w:val="14"/>
                <w:b w:val="1"/>
                <w:bCs w:val="1"/>
                <w:color w:val="auto"/>
              </w:rPr>
              <w:t>496</w:t>
            </w:r>
          </w:p>
        </w:tc>
        <w:tc>
          <w:tcPr>
            <w:tcW w:w="220" w:type="dxa"/>
            <w:vAlign w:val="bottom"/>
            <w:tcBorders>
              <w:bottom w:val="single" w:sz="8" w:color="CFF0FC"/>
            </w:tcBorders>
          </w:tcPr>
          <w:p>
            <w:pPr>
              <w:spacing w:after="0"/>
              <w:rPr>
                <w:sz w:val="13"/>
                <w:szCs w:val="13"/>
                <w:color w:val="auto"/>
              </w:rPr>
            </w:pPr>
          </w:p>
        </w:tc>
        <w:tc>
          <w:tcPr>
            <w:tcW w:w="840" w:type="dxa"/>
            <w:vAlign w:val="bottom"/>
            <w:tcBorders>
              <w:bottom w:val="single" w:sz="8" w:color="auto"/>
            </w:tcBorders>
          </w:tcPr>
          <w:p>
            <w:pPr>
              <w:jc w:val="right"/>
              <w:spacing w:after="0" w:line="155" w:lineRule="exact"/>
              <w:rPr>
                <w:sz w:val="20"/>
                <w:szCs w:val="20"/>
                <w:color w:val="auto"/>
              </w:rPr>
            </w:pPr>
            <w:r>
              <w:rPr>
                <w:rFonts w:ascii="Arial" w:cs="Arial" w:eastAsia="Arial" w:hAnsi="Arial"/>
                <w:sz w:val="14"/>
                <w:szCs w:val="14"/>
                <w:b w:val="1"/>
                <w:bCs w:val="1"/>
                <w:color w:val="auto"/>
              </w:rPr>
              <w:t>125</w:t>
            </w:r>
          </w:p>
        </w:tc>
        <w:tc>
          <w:tcPr>
            <w:tcW w:w="220" w:type="dxa"/>
            <w:vAlign w:val="bottom"/>
            <w:tcBorders>
              <w:bottom w:val="single" w:sz="8" w:color="CFF0FC"/>
            </w:tcBorders>
          </w:tcPr>
          <w:p>
            <w:pPr>
              <w:spacing w:after="0"/>
              <w:rPr>
                <w:sz w:val="13"/>
                <w:szCs w:val="13"/>
                <w:color w:val="auto"/>
              </w:rPr>
            </w:pPr>
          </w:p>
        </w:tc>
        <w:tc>
          <w:tcPr>
            <w:tcW w:w="860" w:type="dxa"/>
            <w:vAlign w:val="bottom"/>
            <w:tcBorders>
              <w:bottom w:val="single" w:sz="8" w:color="auto"/>
            </w:tcBorders>
          </w:tcPr>
          <w:p>
            <w:pPr>
              <w:jc w:val="right"/>
              <w:spacing w:after="0" w:line="155" w:lineRule="exact"/>
              <w:rPr>
                <w:sz w:val="20"/>
                <w:szCs w:val="20"/>
                <w:color w:val="auto"/>
              </w:rPr>
            </w:pPr>
            <w:r>
              <w:rPr>
                <w:rFonts w:ascii="Arial" w:cs="Arial" w:eastAsia="Arial" w:hAnsi="Arial"/>
                <w:sz w:val="14"/>
                <w:szCs w:val="14"/>
                <w:b w:val="1"/>
                <w:bCs w:val="1"/>
                <w:color w:val="auto"/>
              </w:rPr>
              <w:t>33</w:t>
            </w:r>
          </w:p>
        </w:tc>
        <w:tc>
          <w:tcPr>
            <w:tcW w:w="1520" w:type="dxa"/>
            <w:vAlign w:val="bottom"/>
            <w:tcBorders>
              <w:bottom w:val="single" w:sz="8" w:color="CFF0FC"/>
            </w:tcBorders>
          </w:tcPr>
          <w:p>
            <w:pPr>
              <w:spacing w:after="0"/>
              <w:rPr>
                <w:sz w:val="13"/>
                <w:szCs w:val="13"/>
                <w:color w:val="auto"/>
              </w:rPr>
            </w:pPr>
          </w:p>
        </w:tc>
      </w:tr>
      <w:tr>
        <w:trPr>
          <w:trHeight w:val="156"/>
        </w:trPr>
        <w:tc>
          <w:tcPr>
            <w:tcW w:w="3160" w:type="dxa"/>
            <w:vAlign w:val="bottom"/>
            <w:tcBorders>
              <w:bottom w:val="single" w:sz="8" w:color="CFF0FC"/>
            </w:tcBorders>
            <w:shd w:val="clear" w:color="auto" w:fill="CFF0FC"/>
          </w:tcPr>
          <w:p>
            <w:pPr>
              <w:spacing w:after="0" w:line="155" w:lineRule="exact"/>
              <w:rPr>
                <w:sz w:val="20"/>
                <w:szCs w:val="20"/>
                <w:color w:val="auto"/>
              </w:rPr>
            </w:pPr>
            <w:r>
              <w:rPr>
                <w:rFonts w:ascii="Arial" w:cs="Arial" w:eastAsia="Arial" w:hAnsi="Arial"/>
                <w:sz w:val="14"/>
                <w:szCs w:val="14"/>
                <w:b w:val="1"/>
                <w:bCs w:val="1"/>
                <w:color w:val="auto"/>
              </w:rPr>
              <w:t>TRI Pointe Total</w:t>
            </w:r>
          </w:p>
        </w:tc>
        <w:tc>
          <w:tcPr>
            <w:tcW w:w="1660" w:type="dxa"/>
            <w:vAlign w:val="bottom"/>
            <w:tcBorders>
              <w:bottom w:val="single" w:sz="8" w:color="CFF0FC"/>
            </w:tcBorders>
            <w:shd w:val="clear" w:color="auto" w:fill="CFF0FC"/>
          </w:tcPr>
          <w:p>
            <w:pPr>
              <w:spacing w:after="0"/>
              <w:rPr>
                <w:sz w:val="13"/>
                <w:szCs w:val="13"/>
                <w:color w:val="auto"/>
              </w:rPr>
            </w:pPr>
          </w:p>
        </w:tc>
        <w:tc>
          <w:tcPr>
            <w:tcW w:w="840" w:type="dxa"/>
            <w:vAlign w:val="bottom"/>
            <w:tcBorders>
              <w:bottom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b w:val="1"/>
                <w:bCs w:val="1"/>
                <w:color w:val="auto"/>
              </w:rPr>
              <w:t>4,079</w:t>
            </w:r>
          </w:p>
        </w:tc>
        <w:tc>
          <w:tcPr>
            <w:tcW w:w="200" w:type="dxa"/>
            <w:vAlign w:val="bottom"/>
            <w:tcBorders>
              <w:bottom w:val="single" w:sz="8" w:color="CFF0FC"/>
            </w:tcBorders>
            <w:shd w:val="clear" w:color="auto" w:fill="CFF0FC"/>
          </w:tcPr>
          <w:p>
            <w:pPr>
              <w:spacing w:after="0"/>
              <w:rPr>
                <w:sz w:val="13"/>
                <w:szCs w:val="13"/>
                <w:color w:val="auto"/>
              </w:rPr>
            </w:pPr>
          </w:p>
        </w:tc>
        <w:tc>
          <w:tcPr>
            <w:tcW w:w="840" w:type="dxa"/>
            <w:vAlign w:val="bottom"/>
            <w:tcBorders>
              <w:bottom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b w:val="1"/>
                <w:bCs w:val="1"/>
                <w:color w:val="auto"/>
              </w:rPr>
              <w:t>760</w:t>
            </w:r>
          </w:p>
        </w:tc>
        <w:tc>
          <w:tcPr>
            <w:tcW w:w="220" w:type="dxa"/>
            <w:vAlign w:val="bottom"/>
            <w:tcBorders>
              <w:bottom w:val="single" w:sz="8" w:color="CFF0FC"/>
            </w:tcBorders>
            <w:shd w:val="clear" w:color="auto" w:fill="CFF0FC"/>
          </w:tcPr>
          <w:p>
            <w:pPr>
              <w:spacing w:after="0"/>
              <w:rPr>
                <w:sz w:val="13"/>
                <w:szCs w:val="13"/>
                <w:color w:val="auto"/>
              </w:rPr>
            </w:pPr>
          </w:p>
        </w:tc>
        <w:tc>
          <w:tcPr>
            <w:tcW w:w="840" w:type="dxa"/>
            <w:vAlign w:val="bottom"/>
            <w:tcBorders>
              <w:bottom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b w:val="1"/>
                <w:bCs w:val="1"/>
                <w:color w:val="auto"/>
              </w:rPr>
              <w:t>3,067</w:t>
            </w:r>
          </w:p>
        </w:tc>
        <w:tc>
          <w:tcPr>
            <w:tcW w:w="220" w:type="dxa"/>
            <w:vAlign w:val="bottom"/>
            <w:tcBorders>
              <w:bottom w:val="single" w:sz="8" w:color="CFF0FC"/>
            </w:tcBorders>
            <w:shd w:val="clear" w:color="auto" w:fill="CFF0FC"/>
          </w:tcPr>
          <w:p>
            <w:pPr>
              <w:spacing w:after="0"/>
              <w:rPr>
                <w:sz w:val="13"/>
                <w:szCs w:val="13"/>
                <w:color w:val="auto"/>
              </w:rPr>
            </w:pPr>
          </w:p>
        </w:tc>
        <w:tc>
          <w:tcPr>
            <w:tcW w:w="840" w:type="dxa"/>
            <w:vAlign w:val="bottom"/>
            <w:tcBorders>
              <w:bottom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b w:val="1"/>
                <w:bCs w:val="1"/>
                <w:color w:val="auto"/>
              </w:rPr>
              <w:t>440</w:t>
            </w:r>
          </w:p>
        </w:tc>
        <w:tc>
          <w:tcPr>
            <w:tcW w:w="220" w:type="dxa"/>
            <w:vAlign w:val="bottom"/>
            <w:tcBorders>
              <w:bottom w:val="single" w:sz="8" w:color="CFF0FC"/>
            </w:tcBorders>
            <w:shd w:val="clear" w:color="auto" w:fill="CFF0FC"/>
          </w:tcPr>
          <w:p>
            <w:pPr>
              <w:spacing w:after="0"/>
              <w:rPr>
                <w:sz w:val="13"/>
                <w:szCs w:val="13"/>
                <w:color w:val="auto"/>
              </w:rPr>
            </w:pPr>
          </w:p>
        </w:tc>
        <w:tc>
          <w:tcPr>
            <w:tcW w:w="860" w:type="dxa"/>
            <w:vAlign w:val="bottom"/>
            <w:tcBorders>
              <w:bottom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b w:val="1"/>
                <w:bCs w:val="1"/>
                <w:color w:val="auto"/>
              </w:rPr>
              <w:t>139</w:t>
            </w:r>
          </w:p>
        </w:tc>
        <w:tc>
          <w:tcPr>
            <w:tcW w:w="1520" w:type="dxa"/>
            <w:vAlign w:val="bottom"/>
            <w:tcBorders>
              <w:bottom w:val="single" w:sz="8" w:color="CFF0FC"/>
            </w:tcBorders>
            <w:shd w:val="clear" w:color="auto" w:fill="CFF0FC"/>
          </w:tcPr>
          <w:p>
            <w:pPr>
              <w:spacing w:after="0"/>
              <w:rPr>
                <w:sz w:val="13"/>
                <w:szCs w:val="13"/>
                <w:color w:val="auto"/>
              </w:rPr>
            </w:pPr>
          </w:p>
        </w:tc>
      </w:tr>
      <w:tr>
        <w:trPr>
          <w:trHeight w:val="20"/>
        </w:trPr>
        <w:tc>
          <w:tcPr>
            <w:tcW w:w="3160" w:type="dxa"/>
            <w:vAlign w:val="bottom"/>
          </w:tcPr>
          <w:p>
            <w:pPr>
              <w:spacing w:after="0" w:line="20" w:lineRule="exact"/>
              <w:rPr>
                <w:sz w:val="1"/>
                <w:szCs w:val="1"/>
                <w:color w:val="auto"/>
              </w:rPr>
            </w:pPr>
          </w:p>
        </w:tc>
        <w:tc>
          <w:tcPr>
            <w:tcW w:w="1660" w:type="dxa"/>
            <w:vAlign w:val="bottom"/>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152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6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- 43 -</w:t>
      </w:r>
    </w:p>
    <w:p>
      <w:pPr>
        <w:sectPr>
          <w:pgSz w:w="11900" w:h="16838" w:orient="portrait"/>
          <w:cols w:equalWidth="0" w:num="1">
            <w:col w:w="11420"/>
          </w:cols>
          <w:pgMar w:left="240" w:top="133" w:right="239" w:bottom="1440" w:gutter="0" w:footer="0" w:header="0"/>
        </w:sectPr>
      </w:pPr>
    </w:p>
    <w:bookmarkStart w:id="43" w:name="page44"/>
    <w:bookmarkEnd w:id="43"/>
    <w:p>
      <w:pPr>
        <w:spacing w:after="0"/>
        <w:rPr>
          <w:sz w:val="20"/>
          <w:szCs w:val="20"/>
          <w:color w:val="auto"/>
        </w:rPr>
      </w:pPr>
      <w:r>
        <w:rPr>
          <w:rFonts w:ascii="Arial" w:cs="Arial" w:eastAsia="Arial" w:hAnsi="Arial"/>
          <w:sz w:val="18"/>
          <w:szCs w:val="18"/>
          <w:b w:val="1"/>
          <w:bCs w:val="1"/>
          <w:i w:val="1"/>
          <w:iCs w:val="1"/>
          <w:color w:val="auto"/>
        </w:rPr>
        <w:t>Winchester</w:t>
      </w:r>
    </w:p>
    <w:p>
      <w:pPr>
        <w:spacing w:after="0" w:line="240" w:lineRule="exact"/>
        <w:rPr>
          <w:sz w:val="20"/>
          <w:szCs w:val="20"/>
          <w:color w:val="auto"/>
        </w:rPr>
      </w:pPr>
    </w:p>
    <w:tbl>
      <w:tblPr>
        <w:tblLayout w:type="fixed"/>
        <w:tblInd w:w="0" w:type="dxa"/>
        <w:tblCellMar>
          <w:top w:w="0" w:type="dxa"/>
          <w:left w:w="0" w:type="dxa"/>
          <w:bottom w:w="0" w:type="dxa"/>
          <w:right w:w="0" w:type="dxa"/>
        </w:tblCellMar>
      </w:tblPr>
      <w:tr>
        <w:trPr>
          <w:trHeight w:val="162"/>
        </w:trPr>
        <w:tc>
          <w:tcPr>
            <w:tcW w:w="1220" w:type="dxa"/>
            <w:vAlign w:val="bottom"/>
          </w:tcPr>
          <w:p>
            <w:pPr>
              <w:spacing w:after="0"/>
              <w:rPr>
                <w:sz w:val="14"/>
                <w:szCs w:val="14"/>
                <w:color w:val="auto"/>
              </w:rPr>
            </w:pPr>
          </w:p>
        </w:tc>
        <w:tc>
          <w:tcPr>
            <w:tcW w:w="300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08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w w:val="90"/>
              </w:rPr>
              <w:t>Cumulative</w:t>
            </w:r>
          </w:p>
        </w:tc>
        <w:tc>
          <w:tcPr>
            <w:tcW w:w="7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980" w:type="dxa"/>
            <w:vAlign w:val="bottom"/>
          </w:tcPr>
          <w:p>
            <w:pPr>
              <w:jc w:val="center"/>
              <w:spacing w:after="0"/>
              <w:rPr>
                <w:sz w:val="20"/>
                <w:szCs w:val="20"/>
                <w:color w:val="auto"/>
              </w:rPr>
            </w:pPr>
            <w:r>
              <w:rPr>
                <w:rFonts w:ascii="Arial" w:cs="Arial" w:eastAsia="Arial" w:hAnsi="Arial"/>
                <w:sz w:val="14"/>
                <w:szCs w:val="14"/>
                <w:b w:val="1"/>
                <w:bCs w:val="1"/>
                <w:color w:val="auto"/>
                <w:w w:val="86"/>
              </w:rPr>
              <w:t>Homes Delivered</w:t>
            </w:r>
          </w:p>
        </w:tc>
        <w:tc>
          <w:tcPr>
            <w:tcW w:w="22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1220" w:type="dxa"/>
            <w:vAlign w:val="bottom"/>
          </w:tcPr>
          <w:p>
            <w:pPr>
              <w:spacing w:after="0"/>
              <w:rPr>
                <w:sz w:val="14"/>
                <w:szCs w:val="14"/>
                <w:color w:val="auto"/>
              </w:rPr>
            </w:pPr>
          </w:p>
        </w:tc>
        <w:tc>
          <w:tcPr>
            <w:tcW w:w="300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08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w w:val="85"/>
              </w:rPr>
              <w:t>Homes</w:t>
            </w:r>
          </w:p>
        </w:tc>
        <w:tc>
          <w:tcPr>
            <w:tcW w:w="100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w w:val="81"/>
              </w:rPr>
              <w:t>Lots</w:t>
            </w:r>
          </w:p>
        </w:tc>
        <w:tc>
          <w:tcPr>
            <w:tcW w:w="7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980" w:type="dxa"/>
            <w:vAlign w:val="bottom"/>
          </w:tcPr>
          <w:p>
            <w:pPr>
              <w:jc w:val="center"/>
              <w:spacing w:after="0"/>
              <w:rPr>
                <w:sz w:val="20"/>
                <w:szCs w:val="20"/>
                <w:color w:val="auto"/>
              </w:rPr>
            </w:pPr>
            <w:r>
              <w:rPr>
                <w:rFonts w:ascii="Arial" w:cs="Arial" w:eastAsia="Arial" w:hAnsi="Arial"/>
                <w:sz w:val="14"/>
                <w:szCs w:val="14"/>
                <w:b w:val="1"/>
                <w:bCs w:val="1"/>
                <w:color w:val="auto"/>
                <w:w w:val="88"/>
              </w:rPr>
              <w:t>for the Three</w:t>
            </w:r>
          </w:p>
        </w:tc>
        <w:tc>
          <w:tcPr>
            <w:tcW w:w="22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1220" w:type="dxa"/>
            <w:vAlign w:val="bottom"/>
          </w:tcPr>
          <w:p>
            <w:pPr>
              <w:spacing w:after="0"/>
              <w:rPr>
                <w:sz w:val="14"/>
                <w:szCs w:val="14"/>
                <w:color w:val="auto"/>
              </w:rPr>
            </w:pPr>
          </w:p>
        </w:tc>
        <w:tc>
          <w:tcPr>
            <w:tcW w:w="3000" w:type="dxa"/>
            <w:vAlign w:val="bottom"/>
          </w:tcPr>
          <w:p>
            <w:pPr>
              <w:spacing w:after="0"/>
              <w:rPr>
                <w:sz w:val="14"/>
                <w:szCs w:val="14"/>
                <w:color w:val="auto"/>
              </w:rPr>
            </w:pPr>
          </w:p>
        </w:tc>
        <w:tc>
          <w:tcPr>
            <w:tcW w:w="1020" w:type="dxa"/>
            <w:vAlign w:val="bottom"/>
            <w:gridSpan w:val="2"/>
          </w:tcPr>
          <w:p>
            <w:pPr>
              <w:jc w:val="center"/>
              <w:ind w:right="120"/>
              <w:spacing w:after="0"/>
              <w:rPr>
                <w:sz w:val="20"/>
                <w:szCs w:val="20"/>
                <w:color w:val="auto"/>
              </w:rPr>
            </w:pPr>
            <w:r>
              <w:rPr>
                <w:rFonts w:ascii="Arial" w:cs="Arial" w:eastAsia="Arial" w:hAnsi="Arial"/>
                <w:sz w:val="14"/>
                <w:szCs w:val="14"/>
                <w:b w:val="1"/>
                <w:bCs w:val="1"/>
                <w:color w:val="auto"/>
                <w:w w:val="88"/>
              </w:rPr>
              <w:t>Year of</w:t>
            </w:r>
          </w:p>
        </w:tc>
        <w:tc>
          <w:tcPr>
            <w:tcW w:w="100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w w:val="83"/>
              </w:rPr>
              <w:t>Total</w:t>
            </w:r>
          </w:p>
        </w:tc>
        <w:tc>
          <w:tcPr>
            <w:tcW w:w="108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w w:val="84"/>
              </w:rPr>
              <w:t>Delivered as of</w:t>
            </w:r>
          </w:p>
        </w:tc>
        <w:tc>
          <w:tcPr>
            <w:tcW w:w="100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w w:val="86"/>
              </w:rPr>
              <w:t>Owned as of</w:t>
            </w:r>
          </w:p>
        </w:tc>
        <w:tc>
          <w:tcPr>
            <w:tcW w:w="100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w w:val="83"/>
              </w:rPr>
              <w:t>Backlog as of</w:t>
            </w:r>
          </w:p>
        </w:tc>
        <w:tc>
          <w:tcPr>
            <w:tcW w:w="980" w:type="dxa"/>
            <w:vAlign w:val="bottom"/>
          </w:tcPr>
          <w:p>
            <w:pPr>
              <w:jc w:val="center"/>
              <w:spacing w:after="0"/>
              <w:rPr>
                <w:sz w:val="20"/>
                <w:szCs w:val="20"/>
                <w:color w:val="auto"/>
              </w:rPr>
            </w:pPr>
            <w:r>
              <w:rPr>
                <w:rFonts w:ascii="Arial" w:cs="Arial" w:eastAsia="Arial" w:hAnsi="Arial"/>
                <w:sz w:val="14"/>
                <w:szCs w:val="14"/>
                <w:b w:val="1"/>
                <w:bCs w:val="1"/>
                <w:color w:val="auto"/>
                <w:w w:val="87"/>
              </w:rPr>
              <w:t>Months Ended</w:t>
            </w:r>
          </w:p>
        </w:tc>
        <w:tc>
          <w:tcPr>
            <w:tcW w:w="220" w:type="dxa"/>
            <w:vAlign w:val="bottom"/>
          </w:tcPr>
          <w:p>
            <w:pPr>
              <w:spacing w:after="0"/>
              <w:rPr>
                <w:sz w:val="14"/>
                <w:szCs w:val="14"/>
                <w:color w:val="auto"/>
              </w:rPr>
            </w:pPr>
          </w:p>
        </w:tc>
        <w:tc>
          <w:tcPr>
            <w:tcW w:w="900" w:type="dxa"/>
            <w:vAlign w:val="bottom"/>
            <w:gridSpan w:val="2"/>
          </w:tcPr>
          <w:p>
            <w:pPr>
              <w:jc w:val="center"/>
              <w:spacing w:after="0"/>
              <w:rPr>
                <w:sz w:val="20"/>
                <w:szCs w:val="20"/>
                <w:color w:val="auto"/>
              </w:rPr>
            </w:pPr>
            <w:r>
              <w:rPr>
                <w:rFonts w:ascii="Arial" w:cs="Arial" w:eastAsia="Arial" w:hAnsi="Arial"/>
                <w:sz w:val="14"/>
                <w:szCs w:val="14"/>
                <w:b w:val="1"/>
                <w:bCs w:val="1"/>
                <w:color w:val="auto"/>
                <w:w w:val="85"/>
              </w:rPr>
              <w:t>Sales Price</w:t>
            </w:r>
          </w:p>
        </w:tc>
        <w:tc>
          <w:tcPr>
            <w:tcW w:w="0" w:type="dxa"/>
            <w:vAlign w:val="bottom"/>
          </w:tcPr>
          <w:p>
            <w:pPr>
              <w:spacing w:after="0"/>
              <w:rPr>
                <w:sz w:val="1"/>
                <w:szCs w:val="1"/>
                <w:color w:val="auto"/>
              </w:rPr>
            </w:pPr>
          </w:p>
        </w:tc>
      </w:tr>
      <w:tr>
        <w:trPr>
          <w:trHeight w:val="162"/>
        </w:trPr>
        <w:tc>
          <w:tcPr>
            <w:tcW w:w="1220" w:type="dxa"/>
            <w:vAlign w:val="bottom"/>
          </w:tcPr>
          <w:p>
            <w:pPr>
              <w:spacing w:after="0"/>
              <w:rPr>
                <w:sz w:val="14"/>
                <w:szCs w:val="14"/>
                <w:color w:val="auto"/>
              </w:rPr>
            </w:pPr>
          </w:p>
        </w:tc>
        <w:tc>
          <w:tcPr>
            <w:tcW w:w="3000" w:type="dxa"/>
            <w:vAlign w:val="bottom"/>
          </w:tcPr>
          <w:p>
            <w:pPr>
              <w:spacing w:after="0"/>
              <w:rPr>
                <w:sz w:val="14"/>
                <w:szCs w:val="14"/>
                <w:color w:val="auto"/>
              </w:rPr>
            </w:pPr>
          </w:p>
        </w:tc>
        <w:tc>
          <w:tcPr>
            <w:tcW w:w="1020" w:type="dxa"/>
            <w:vAlign w:val="bottom"/>
            <w:gridSpan w:val="2"/>
          </w:tcPr>
          <w:p>
            <w:pPr>
              <w:jc w:val="center"/>
              <w:ind w:right="140"/>
              <w:spacing w:after="0"/>
              <w:rPr>
                <w:sz w:val="20"/>
                <w:szCs w:val="20"/>
                <w:color w:val="auto"/>
              </w:rPr>
            </w:pPr>
            <w:r>
              <w:rPr>
                <w:rFonts w:ascii="Arial" w:cs="Arial" w:eastAsia="Arial" w:hAnsi="Arial"/>
                <w:sz w:val="14"/>
                <w:szCs w:val="14"/>
                <w:b w:val="1"/>
                <w:bCs w:val="1"/>
                <w:color w:val="auto"/>
                <w:w w:val="92"/>
              </w:rPr>
              <w:t>First</w:t>
            </w:r>
          </w:p>
        </w:tc>
        <w:tc>
          <w:tcPr>
            <w:tcW w:w="100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w w:val="91"/>
              </w:rPr>
              <w:t>Number of</w:t>
            </w:r>
          </w:p>
        </w:tc>
        <w:tc>
          <w:tcPr>
            <w:tcW w:w="108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w w:val="92"/>
              </w:rPr>
              <w:t>March 31,</w:t>
            </w:r>
          </w:p>
        </w:tc>
        <w:tc>
          <w:tcPr>
            <w:tcW w:w="100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w w:val="92"/>
              </w:rPr>
              <w:t>March 31,</w:t>
            </w:r>
          </w:p>
        </w:tc>
        <w:tc>
          <w:tcPr>
            <w:tcW w:w="100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w w:val="92"/>
              </w:rPr>
              <w:t>March 31,</w:t>
            </w:r>
          </w:p>
        </w:tc>
        <w:tc>
          <w:tcPr>
            <w:tcW w:w="980" w:type="dxa"/>
            <w:vAlign w:val="bottom"/>
          </w:tcPr>
          <w:p>
            <w:pPr>
              <w:jc w:val="center"/>
              <w:spacing w:after="0"/>
              <w:rPr>
                <w:sz w:val="20"/>
                <w:szCs w:val="20"/>
                <w:color w:val="auto"/>
              </w:rPr>
            </w:pPr>
            <w:r>
              <w:rPr>
                <w:rFonts w:ascii="Arial" w:cs="Arial" w:eastAsia="Arial" w:hAnsi="Arial"/>
                <w:sz w:val="14"/>
                <w:szCs w:val="14"/>
                <w:b w:val="1"/>
                <w:bCs w:val="1"/>
                <w:color w:val="auto"/>
                <w:w w:val="92"/>
              </w:rPr>
              <w:t>March 31,</w:t>
            </w:r>
          </w:p>
        </w:tc>
        <w:tc>
          <w:tcPr>
            <w:tcW w:w="220" w:type="dxa"/>
            <w:vAlign w:val="bottom"/>
          </w:tcPr>
          <w:p>
            <w:pPr>
              <w:spacing w:after="0"/>
              <w:rPr>
                <w:sz w:val="14"/>
                <w:szCs w:val="14"/>
                <w:color w:val="auto"/>
              </w:rPr>
            </w:pPr>
          </w:p>
        </w:tc>
        <w:tc>
          <w:tcPr>
            <w:tcW w:w="900" w:type="dxa"/>
            <w:vAlign w:val="bottom"/>
            <w:gridSpan w:val="2"/>
          </w:tcPr>
          <w:p>
            <w:pPr>
              <w:jc w:val="center"/>
              <w:spacing w:after="0"/>
              <w:rPr>
                <w:sz w:val="20"/>
                <w:szCs w:val="20"/>
                <w:color w:val="auto"/>
              </w:rPr>
            </w:pPr>
            <w:r>
              <w:rPr>
                <w:rFonts w:ascii="Arial" w:cs="Arial" w:eastAsia="Arial" w:hAnsi="Arial"/>
                <w:sz w:val="14"/>
                <w:szCs w:val="14"/>
                <w:b w:val="1"/>
                <w:bCs w:val="1"/>
                <w:color w:val="auto"/>
                <w:w w:val="84"/>
              </w:rPr>
              <w:t>Range</w:t>
            </w:r>
          </w:p>
        </w:tc>
        <w:tc>
          <w:tcPr>
            <w:tcW w:w="0" w:type="dxa"/>
            <w:vAlign w:val="bottom"/>
          </w:tcPr>
          <w:p>
            <w:pPr>
              <w:spacing w:after="0"/>
              <w:rPr>
                <w:sz w:val="1"/>
                <w:szCs w:val="1"/>
                <w:color w:val="auto"/>
              </w:rPr>
            </w:pPr>
          </w:p>
        </w:tc>
      </w:tr>
      <w:tr>
        <w:trPr>
          <w:trHeight w:val="155"/>
        </w:trPr>
        <w:tc>
          <w:tcPr>
            <w:tcW w:w="4220" w:type="dxa"/>
            <w:vAlign w:val="bottom"/>
            <w:gridSpan w:val="2"/>
            <w:vMerge w:val="restart"/>
          </w:tcPr>
          <w:p>
            <w:pPr>
              <w:spacing w:after="0"/>
              <w:rPr>
                <w:sz w:val="20"/>
                <w:szCs w:val="20"/>
                <w:color w:val="auto"/>
              </w:rPr>
            </w:pPr>
            <w:r>
              <w:rPr>
                <w:rFonts w:ascii="Arial" w:cs="Arial" w:eastAsia="Arial" w:hAnsi="Arial"/>
                <w:sz w:val="14"/>
                <w:szCs w:val="14"/>
                <w:b w:val="1"/>
                <w:bCs w:val="1"/>
                <w:color w:val="auto"/>
              </w:rPr>
              <w:t>County, Project, City</w:t>
            </w:r>
          </w:p>
        </w:tc>
        <w:tc>
          <w:tcPr>
            <w:tcW w:w="1020" w:type="dxa"/>
            <w:vAlign w:val="bottom"/>
            <w:gridSpan w:val="2"/>
            <w:vMerge w:val="restart"/>
          </w:tcPr>
          <w:p>
            <w:pPr>
              <w:jc w:val="center"/>
              <w:ind w:right="120"/>
              <w:spacing w:after="0"/>
              <w:rPr>
                <w:sz w:val="20"/>
                <w:szCs w:val="20"/>
                <w:color w:val="auto"/>
              </w:rPr>
            </w:pPr>
            <w:r>
              <w:rPr>
                <w:rFonts w:ascii="Arial" w:cs="Arial" w:eastAsia="Arial" w:hAnsi="Arial"/>
                <w:sz w:val="14"/>
                <w:szCs w:val="14"/>
                <w:b w:val="1"/>
                <w:bCs w:val="1"/>
                <w:color w:val="auto"/>
                <w:w w:val="91"/>
              </w:rPr>
              <w:t>Delivery</w:t>
            </w:r>
            <w:r>
              <w:rPr>
                <w:rFonts w:ascii="Arial" w:cs="Arial" w:eastAsia="Arial" w:hAnsi="Arial"/>
                <w:sz w:val="11"/>
                <w:szCs w:val="11"/>
                <w:b w:val="1"/>
                <w:bCs w:val="1"/>
                <w:color w:val="auto"/>
                <w:w w:val="91"/>
              </w:rPr>
              <w:t>(1)</w:t>
            </w:r>
          </w:p>
        </w:tc>
        <w:tc>
          <w:tcPr>
            <w:tcW w:w="1000" w:type="dxa"/>
            <w:vAlign w:val="bottom"/>
            <w:gridSpan w:val="2"/>
            <w:vMerge w:val="restart"/>
          </w:tcPr>
          <w:p>
            <w:pPr>
              <w:jc w:val="center"/>
              <w:ind w:right="240"/>
              <w:spacing w:after="0"/>
              <w:rPr>
                <w:sz w:val="20"/>
                <w:szCs w:val="20"/>
                <w:color w:val="auto"/>
              </w:rPr>
            </w:pPr>
            <w:r>
              <w:rPr>
                <w:rFonts w:ascii="Arial" w:cs="Arial" w:eastAsia="Arial" w:hAnsi="Arial"/>
                <w:sz w:val="14"/>
                <w:szCs w:val="14"/>
                <w:b w:val="1"/>
                <w:bCs w:val="1"/>
                <w:color w:val="auto"/>
                <w:w w:val="92"/>
              </w:rPr>
              <w:t>Lots</w:t>
            </w:r>
            <w:r>
              <w:rPr>
                <w:rFonts w:ascii="Arial" w:cs="Arial" w:eastAsia="Arial" w:hAnsi="Arial"/>
                <w:sz w:val="11"/>
                <w:szCs w:val="11"/>
                <w:b w:val="1"/>
                <w:bCs w:val="1"/>
                <w:color w:val="auto"/>
                <w:w w:val="92"/>
              </w:rPr>
              <w:t>(2)</w:t>
            </w:r>
          </w:p>
        </w:tc>
        <w:tc>
          <w:tcPr>
            <w:tcW w:w="86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89"/>
              </w:rPr>
              <w:t>2015</w:t>
            </w:r>
          </w:p>
        </w:tc>
        <w:tc>
          <w:tcPr>
            <w:tcW w:w="220" w:type="dxa"/>
            <w:vAlign w:val="bottom"/>
          </w:tcPr>
          <w:p>
            <w:pPr>
              <w:spacing w:after="0"/>
              <w:rPr>
                <w:sz w:val="13"/>
                <w:szCs w:val="13"/>
                <w:color w:val="auto"/>
              </w:rPr>
            </w:pPr>
          </w:p>
        </w:tc>
        <w:tc>
          <w:tcPr>
            <w:tcW w:w="78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89"/>
              </w:rPr>
              <w:t>2015</w:t>
            </w:r>
            <w:r>
              <w:rPr>
                <w:rFonts w:ascii="Arial" w:cs="Arial" w:eastAsia="Arial" w:hAnsi="Arial"/>
                <w:sz w:val="11"/>
                <w:szCs w:val="11"/>
                <w:b w:val="1"/>
                <w:bCs w:val="1"/>
                <w:color w:val="auto"/>
                <w:w w:val="89"/>
              </w:rPr>
              <w:t>(3)</w:t>
            </w:r>
          </w:p>
        </w:tc>
        <w:tc>
          <w:tcPr>
            <w:tcW w:w="220" w:type="dxa"/>
            <w:vAlign w:val="bottom"/>
          </w:tcPr>
          <w:p>
            <w:pPr>
              <w:spacing w:after="0"/>
              <w:rPr>
                <w:sz w:val="13"/>
                <w:szCs w:val="13"/>
                <w:color w:val="auto"/>
              </w:rPr>
            </w:pPr>
          </w:p>
        </w:tc>
        <w:tc>
          <w:tcPr>
            <w:tcW w:w="78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92"/>
              </w:rPr>
              <w:t>2015</w:t>
            </w:r>
            <w:r>
              <w:rPr>
                <w:rFonts w:ascii="Arial" w:cs="Arial" w:eastAsia="Arial" w:hAnsi="Arial"/>
                <w:sz w:val="11"/>
                <w:szCs w:val="11"/>
                <w:b w:val="1"/>
                <w:bCs w:val="1"/>
                <w:color w:val="auto"/>
                <w:w w:val="92"/>
              </w:rPr>
              <w:t>(4)(5)</w:t>
            </w:r>
          </w:p>
        </w:tc>
        <w:tc>
          <w:tcPr>
            <w:tcW w:w="220" w:type="dxa"/>
            <w:vAlign w:val="bottom"/>
          </w:tcPr>
          <w:p>
            <w:pPr>
              <w:spacing w:after="0"/>
              <w:rPr>
                <w:sz w:val="13"/>
                <w:szCs w:val="13"/>
                <w:color w:val="auto"/>
              </w:rPr>
            </w:pPr>
          </w:p>
        </w:tc>
        <w:tc>
          <w:tcPr>
            <w:tcW w:w="98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89"/>
              </w:rPr>
              <w:t>2015</w:t>
            </w:r>
          </w:p>
        </w:tc>
        <w:tc>
          <w:tcPr>
            <w:tcW w:w="220" w:type="dxa"/>
            <w:vAlign w:val="bottom"/>
          </w:tcPr>
          <w:p>
            <w:pPr>
              <w:spacing w:after="0"/>
              <w:rPr>
                <w:sz w:val="13"/>
                <w:szCs w:val="13"/>
                <w:color w:val="auto"/>
              </w:rPr>
            </w:pPr>
          </w:p>
        </w:tc>
        <w:tc>
          <w:tcPr>
            <w:tcW w:w="900" w:type="dxa"/>
            <w:vAlign w:val="bottom"/>
            <w:gridSpan w:val="2"/>
          </w:tcPr>
          <w:p>
            <w:pPr>
              <w:jc w:val="center"/>
              <w:spacing w:after="0" w:line="155" w:lineRule="exact"/>
              <w:rPr>
                <w:sz w:val="20"/>
                <w:szCs w:val="20"/>
                <w:color w:val="auto"/>
              </w:rPr>
            </w:pPr>
            <w:r>
              <w:rPr>
                <w:rFonts w:ascii="Arial" w:cs="Arial" w:eastAsia="Arial" w:hAnsi="Arial"/>
                <w:sz w:val="14"/>
                <w:szCs w:val="14"/>
                <w:b w:val="1"/>
                <w:bCs w:val="1"/>
                <w:color w:val="auto"/>
                <w:w w:val="87"/>
              </w:rPr>
              <w:t>(in thousands)</w:t>
            </w:r>
          </w:p>
        </w:tc>
        <w:tc>
          <w:tcPr>
            <w:tcW w:w="0" w:type="dxa"/>
            <w:vAlign w:val="bottom"/>
          </w:tcPr>
          <w:p>
            <w:pPr>
              <w:spacing w:after="0"/>
              <w:rPr>
                <w:sz w:val="1"/>
                <w:szCs w:val="1"/>
                <w:color w:val="auto"/>
              </w:rPr>
            </w:pPr>
          </w:p>
        </w:tc>
      </w:tr>
      <w:tr>
        <w:trPr>
          <w:trHeight w:val="148"/>
        </w:trPr>
        <w:tc>
          <w:tcPr>
            <w:tcW w:w="4220" w:type="dxa"/>
            <w:vAlign w:val="bottom"/>
            <w:gridSpan w:val="2"/>
            <w:vMerge w:val="continue"/>
          </w:tcPr>
          <w:p>
            <w:pPr>
              <w:spacing w:after="0"/>
              <w:rPr>
                <w:sz w:val="12"/>
                <w:szCs w:val="12"/>
                <w:color w:val="auto"/>
              </w:rPr>
            </w:pPr>
          </w:p>
        </w:tc>
        <w:tc>
          <w:tcPr>
            <w:tcW w:w="1020" w:type="dxa"/>
            <w:vAlign w:val="bottom"/>
            <w:gridSpan w:val="2"/>
            <w:vMerge w:val="continue"/>
          </w:tcPr>
          <w:p>
            <w:pPr>
              <w:spacing w:after="0"/>
              <w:rPr>
                <w:sz w:val="12"/>
                <w:szCs w:val="12"/>
                <w:color w:val="auto"/>
              </w:rPr>
            </w:pPr>
          </w:p>
        </w:tc>
        <w:tc>
          <w:tcPr>
            <w:tcW w:w="1000" w:type="dxa"/>
            <w:vAlign w:val="bottom"/>
            <w:gridSpan w:val="2"/>
            <w:vMerge w:val="continue"/>
          </w:tcPr>
          <w:p>
            <w:pPr>
              <w:spacing w:after="0"/>
              <w:rPr>
                <w:sz w:val="12"/>
                <w:szCs w:val="12"/>
                <w:color w:val="auto"/>
              </w:rPr>
            </w:pPr>
          </w:p>
        </w:tc>
        <w:tc>
          <w:tcPr>
            <w:tcW w:w="860" w:type="dxa"/>
            <w:vAlign w:val="bottom"/>
            <w:vMerge w:val="continue"/>
          </w:tcPr>
          <w:p>
            <w:pPr>
              <w:spacing w:after="0"/>
              <w:rPr>
                <w:sz w:val="12"/>
                <w:szCs w:val="12"/>
                <w:color w:val="auto"/>
              </w:rPr>
            </w:pPr>
          </w:p>
        </w:tc>
        <w:tc>
          <w:tcPr>
            <w:tcW w:w="220" w:type="dxa"/>
            <w:vAlign w:val="bottom"/>
          </w:tcPr>
          <w:p>
            <w:pPr>
              <w:spacing w:after="0"/>
              <w:rPr>
                <w:sz w:val="12"/>
                <w:szCs w:val="12"/>
                <w:color w:val="auto"/>
              </w:rPr>
            </w:pPr>
          </w:p>
        </w:tc>
        <w:tc>
          <w:tcPr>
            <w:tcW w:w="780" w:type="dxa"/>
            <w:vAlign w:val="bottom"/>
            <w:vMerge w:val="continue"/>
          </w:tcPr>
          <w:p>
            <w:pPr>
              <w:spacing w:after="0"/>
              <w:rPr>
                <w:sz w:val="12"/>
                <w:szCs w:val="12"/>
                <w:color w:val="auto"/>
              </w:rPr>
            </w:pPr>
          </w:p>
        </w:tc>
        <w:tc>
          <w:tcPr>
            <w:tcW w:w="220" w:type="dxa"/>
            <w:vAlign w:val="bottom"/>
          </w:tcPr>
          <w:p>
            <w:pPr>
              <w:spacing w:after="0"/>
              <w:rPr>
                <w:sz w:val="12"/>
                <w:szCs w:val="12"/>
                <w:color w:val="auto"/>
              </w:rPr>
            </w:pPr>
          </w:p>
        </w:tc>
        <w:tc>
          <w:tcPr>
            <w:tcW w:w="780" w:type="dxa"/>
            <w:vAlign w:val="bottom"/>
            <w:vMerge w:val="continue"/>
          </w:tcPr>
          <w:p>
            <w:pPr>
              <w:spacing w:after="0"/>
              <w:rPr>
                <w:sz w:val="12"/>
                <w:szCs w:val="12"/>
                <w:color w:val="auto"/>
              </w:rPr>
            </w:pPr>
          </w:p>
        </w:tc>
        <w:tc>
          <w:tcPr>
            <w:tcW w:w="220" w:type="dxa"/>
            <w:vAlign w:val="bottom"/>
          </w:tcPr>
          <w:p>
            <w:pPr>
              <w:spacing w:after="0"/>
              <w:rPr>
                <w:sz w:val="12"/>
                <w:szCs w:val="12"/>
                <w:color w:val="auto"/>
              </w:rPr>
            </w:pPr>
          </w:p>
        </w:tc>
        <w:tc>
          <w:tcPr>
            <w:tcW w:w="980" w:type="dxa"/>
            <w:vAlign w:val="bottom"/>
            <w:vMerge w:val="continue"/>
          </w:tcPr>
          <w:p>
            <w:pPr>
              <w:spacing w:after="0"/>
              <w:rPr>
                <w:sz w:val="12"/>
                <w:szCs w:val="12"/>
                <w:color w:val="auto"/>
              </w:rPr>
            </w:pPr>
          </w:p>
        </w:tc>
        <w:tc>
          <w:tcPr>
            <w:tcW w:w="1120" w:type="dxa"/>
            <w:vAlign w:val="bottom"/>
            <w:gridSpan w:val="3"/>
          </w:tcPr>
          <w:p>
            <w:pPr>
              <w:jc w:val="center"/>
              <w:ind w:left="133"/>
              <w:spacing w:after="0"/>
              <w:rPr>
                <w:sz w:val="20"/>
                <w:szCs w:val="20"/>
                <w:color w:val="auto"/>
              </w:rPr>
            </w:pPr>
            <w:r>
              <w:rPr>
                <w:rFonts w:ascii="Arial" w:cs="Arial" w:eastAsia="Arial" w:hAnsi="Arial"/>
                <w:sz w:val="11"/>
                <w:szCs w:val="11"/>
                <w:b w:val="1"/>
                <w:bCs w:val="1"/>
                <w:color w:val="auto"/>
                <w:w w:val="88"/>
              </w:rPr>
              <w:t>(6)</w:t>
            </w:r>
          </w:p>
        </w:tc>
        <w:tc>
          <w:tcPr>
            <w:tcW w:w="0" w:type="dxa"/>
            <w:vAlign w:val="bottom"/>
          </w:tcPr>
          <w:p>
            <w:pPr>
              <w:spacing w:after="0"/>
              <w:rPr>
                <w:sz w:val="1"/>
                <w:szCs w:val="1"/>
                <w:color w:val="auto"/>
              </w:rPr>
            </w:pPr>
          </w:p>
        </w:tc>
      </w:tr>
      <w:tr>
        <w:trPr>
          <w:trHeight w:val="149"/>
        </w:trPr>
        <w:tc>
          <w:tcPr>
            <w:tcW w:w="1220" w:type="dxa"/>
            <w:vAlign w:val="bottom"/>
            <w:tcBorders>
              <w:top w:val="single" w:sz="8" w:color="auto"/>
            </w:tcBorders>
            <w:shd w:val="clear" w:color="auto" w:fill="CFF0FC"/>
          </w:tcPr>
          <w:p>
            <w:pPr>
              <w:spacing w:after="0" w:line="149" w:lineRule="exact"/>
              <w:rPr>
                <w:sz w:val="20"/>
                <w:szCs w:val="20"/>
                <w:color w:val="auto"/>
              </w:rPr>
            </w:pPr>
            <w:r>
              <w:rPr>
                <w:rFonts w:ascii="Arial" w:cs="Arial" w:eastAsia="Arial" w:hAnsi="Arial"/>
                <w:sz w:val="14"/>
                <w:szCs w:val="14"/>
                <w:b w:val="1"/>
                <w:bCs w:val="1"/>
                <w:color w:val="auto"/>
              </w:rPr>
              <w:t>Maryland</w:t>
            </w:r>
          </w:p>
        </w:tc>
        <w:tc>
          <w:tcPr>
            <w:tcW w:w="3000" w:type="dxa"/>
            <w:vAlign w:val="bottom"/>
            <w:tcBorders>
              <w:top w:val="single" w:sz="8" w:color="CFF0FC"/>
            </w:tcBorders>
            <w:shd w:val="clear" w:color="auto" w:fill="CFF0FC"/>
          </w:tcPr>
          <w:p>
            <w:pPr>
              <w:spacing w:after="0"/>
              <w:rPr>
                <w:sz w:val="12"/>
                <w:szCs w:val="12"/>
                <w:color w:val="auto"/>
              </w:rPr>
            </w:pPr>
          </w:p>
        </w:tc>
        <w:tc>
          <w:tcPr>
            <w:tcW w:w="900" w:type="dxa"/>
            <w:vAlign w:val="bottom"/>
            <w:tcBorders>
              <w:top w:val="single" w:sz="8" w:color="auto"/>
            </w:tcBorders>
            <w:shd w:val="clear" w:color="auto" w:fill="CFF0FC"/>
          </w:tcPr>
          <w:p>
            <w:pPr>
              <w:spacing w:after="0"/>
              <w:rPr>
                <w:sz w:val="12"/>
                <w:szCs w:val="12"/>
                <w:color w:val="auto"/>
              </w:rPr>
            </w:pPr>
          </w:p>
        </w:tc>
        <w:tc>
          <w:tcPr>
            <w:tcW w:w="120" w:type="dxa"/>
            <w:vAlign w:val="bottom"/>
            <w:tcBorders>
              <w:top w:val="single" w:sz="8" w:color="CFF0FC"/>
            </w:tcBorders>
            <w:shd w:val="clear" w:color="auto" w:fill="CFF0FC"/>
          </w:tcPr>
          <w:p>
            <w:pPr>
              <w:spacing w:after="0"/>
              <w:rPr>
                <w:sz w:val="12"/>
                <w:szCs w:val="12"/>
                <w:color w:val="auto"/>
              </w:rPr>
            </w:pPr>
          </w:p>
        </w:tc>
        <w:tc>
          <w:tcPr>
            <w:tcW w:w="780" w:type="dxa"/>
            <w:vAlign w:val="bottom"/>
            <w:tcBorders>
              <w:top w:val="single" w:sz="8" w:color="auto"/>
            </w:tcBorders>
            <w:shd w:val="clear" w:color="auto" w:fill="CFF0FC"/>
          </w:tcPr>
          <w:p>
            <w:pPr>
              <w:spacing w:after="0"/>
              <w:rPr>
                <w:sz w:val="12"/>
                <w:szCs w:val="12"/>
                <w:color w:val="auto"/>
              </w:rPr>
            </w:pPr>
          </w:p>
        </w:tc>
        <w:tc>
          <w:tcPr>
            <w:tcW w:w="220" w:type="dxa"/>
            <w:vAlign w:val="bottom"/>
            <w:tcBorders>
              <w:top w:val="single" w:sz="8" w:color="CFF0FC"/>
            </w:tcBorders>
            <w:shd w:val="clear" w:color="auto" w:fill="CFF0FC"/>
          </w:tcPr>
          <w:p>
            <w:pPr>
              <w:spacing w:after="0"/>
              <w:rPr>
                <w:sz w:val="12"/>
                <w:szCs w:val="12"/>
                <w:color w:val="auto"/>
              </w:rPr>
            </w:pPr>
          </w:p>
        </w:tc>
        <w:tc>
          <w:tcPr>
            <w:tcW w:w="860" w:type="dxa"/>
            <w:vAlign w:val="bottom"/>
            <w:tcBorders>
              <w:top w:val="single" w:sz="8" w:color="auto"/>
            </w:tcBorders>
            <w:shd w:val="clear" w:color="auto" w:fill="CFF0FC"/>
          </w:tcPr>
          <w:p>
            <w:pPr>
              <w:spacing w:after="0"/>
              <w:rPr>
                <w:sz w:val="12"/>
                <w:szCs w:val="12"/>
                <w:color w:val="auto"/>
              </w:rPr>
            </w:pPr>
          </w:p>
        </w:tc>
        <w:tc>
          <w:tcPr>
            <w:tcW w:w="220" w:type="dxa"/>
            <w:vAlign w:val="bottom"/>
            <w:tcBorders>
              <w:top w:val="single" w:sz="8" w:color="CFF0FC"/>
            </w:tcBorders>
            <w:shd w:val="clear" w:color="auto" w:fill="CFF0FC"/>
          </w:tcPr>
          <w:p>
            <w:pPr>
              <w:spacing w:after="0"/>
              <w:rPr>
                <w:sz w:val="12"/>
                <w:szCs w:val="12"/>
                <w:color w:val="auto"/>
              </w:rPr>
            </w:pPr>
          </w:p>
        </w:tc>
        <w:tc>
          <w:tcPr>
            <w:tcW w:w="780" w:type="dxa"/>
            <w:vAlign w:val="bottom"/>
            <w:tcBorders>
              <w:top w:val="single" w:sz="8" w:color="auto"/>
            </w:tcBorders>
            <w:shd w:val="clear" w:color="auto" w:fill="CFF0FC"/>
          </w:tcPr>
          <w:p>
            <w:pPr>
              <w:spacing w:after="0"/>
              <w:rPr>
                <w:sz w:val="12"/>
                <w:szCs w:val="12"/>
                <w:color w:val="auto"/>
              </w:rPr>
            </w:pPr>
          </w:p>
        </w:tc>
        <w:tc>
          <w:tcPr>
            <w:tcW w:w="220" w:type="dxa"/>
            <w:vAlign w:val="bottom"/>
            <w:tcBorders>
              <w:top w:val="single" w:sz="8" w:color="CFF0FC"/>
            </w:tcBorders>
            <w:shd w:val="clear" w:color="auto" w:fill="CFF0FC"/>
          </w:tcPr>
          <w:p>
            <w:pPr>
              <w:spacing w:after="0"/>
              <w:rPr>
                <w:sz w:val="12"/>
                <w:szCs w:val="12"/>
                <w:color w:val="auto"/>
              </w:rPr>
            </w:pPr>
          </w:p>
        </w:tc>
        <w:tc>
          <w:tcPr>
            <w:tcW w:w="780" w:type="dxa"/>
            <w:vAlign w:val="bottom"/>
            <w:tcBorders>
              <w:top w:val="single" w:sz="8" w:color="auto"/>
            </w:tcBorders>
            <w:shd w:val="clear" w:color="auto" w:fill="CFF0FC"/>
          </w:tcPr>
          <w:p>
            <w:pPr>
              <w:spacing w:after="0"/>
              <w:rPr>
                <w:sz w:val="12"/>
                <w:szCs w:val="12"/>
                <w:color w:val="auto"/>
              </w:rPr>
            </w:pPr>
          </w:p>
        </w:tc>
        <w:tc>
          <w:tcPr>
            <w:tcW w:w="220" w:type="dxa"/>
            <w:vAlign w:val="bottom"/>
            <w:tcBorders>
              <w:top w:val="single" w:sz="8" w:color="CFF0FC"/>
            </w:tcBorders>
            <w:shd w:val="clear" w:color="auto" w:fill="CFF0FC"/>
          </w:tcPr>
          <w:p>
            <w:pPr>
              <w:spacing w:after="0"/>
              <w:rPr>
                <w:sz w:val="12"/>
                <w:szCs w:val="12"/>
                <w:color w:val="auto"/>
              </w:rPr>
            </w:pPr>
          </w:p>
        </w:tc>
        <w:tc>
          <w:tcPr>
            <w:tcW w:w="980" w:type="dxa"/>
            <w:vAlign w:val="bottom"/>
            <w:tcBorders>
              <w:top w:val="single" w:sz="8" w:color="auto"/>
            </w:tcBorders>
            <w:shd w:val="clear" w:color="auto" w:fill="CFF0FC"/>
          </w:tcPr>
          <w:p>
            <w:pPr>
              <w:spacing w:after="0"/>
              <w:rPr>
                <w:sz w:val="12"/>
                <w:szCs w:val="12"/>
                <w:color w:val="auto"/>
              </w:rPr>
            </w:pPr>
          </w:p>
        </w:tc>
        <w:tc>
          <w:tcPr>
            <w:tcW w:w="220" w:type="dxa"/>
            <w:vAlign w:val="bottom"/>
            <w:tcBorders>
              <w:top w:val="single" w:sz="8" w:color="CFF0FC"/>
            </w:tcBorders>
            <w:shd w:val="clear" w:color="auto" w:fill="CFF0FC"/>
          </w:tcPr>
          <w:p>
            <w:pPr>
              <w:spacing w:after="0"/>
              <w:rPr>
                <w:sz w:val="12"/>
                <w:szCs w:val="12"/>
                <w:color w:val="auto"/>
              </w:rPr>
            </w:pPr>
          </w:p>
        </w:tc>
        <w:tc>
          <w:tcPr>
            <w:tcW w:w="400" w:type="dxa"/>
            <w:vAlign w:val="bottom"/>
            <w:tcBorders>
              <w:top w:val="single" w:sz="8" w:color="auto"/>
            </w:tcBorders>
            <w:shd w:val="clear" w:color="auto" w:fill="CFF0FC"/>
          </w:tcPr>
          <w:p>
            <w:pPr>
              <w:spacing w:after="0"/>
              <w:rPr>
                <w:sz w:val="12"/>
                <w:szCs w:val="12"/>
                <w:color w:val="auto"/>
              </w:rPr>
            </w:pPr>
          </w:p>
        </w:tc>
        <w:tc>
          <w:tcPr>
            <w:tcW w:w="500" w:type="dxa"/>
            <w:vAlign w:val="bottom"/>
            <w:tcBorders>
              <w:top w:val="single" w:sz="8" w:color="auto"/>
            </w:tcBorders>
            <w:shd w:val="clear" w:color="auto" w:fill="CFF0FC"/>
          </w:tcPr>
          <w:p>
            <w:pPr>
              <w:spacing w:after="0"/>
              <w:rPr>
                <w:sz w:val="12"/>
                <w:szCs w:val="12"/>
                <w:color w:val="auto"/>
              </w:rPr>
            </w:pPr>
          </w:p>
        </w:tc>
        <w:tc>
          <w:tcPr>
            <w:tcW w:w="0" w:type="dxa"/>
            <w:vAlign w:val="bottom"/>
          </w:tcPr>
          <w:p>
            <w:pPr>
              <w:spacing w:after="0"/>
              <w:rPr>
                <w:sz w:val="1"/>
                <w:szCs w:val="1"/>
                <w:color w:val="auto"/>
              </w:rPr>
            </w:pPr>
          </w:p>
        </w:tc>
      </w:tr>
      <w:tr>
        <w:trPr>
          <w:trHeight w:val="162"/>
        </w:trPr>
        <w:tc>
          <w:tcPr>
            <w:tcW w:w="4220" w:type="dxa"/>
            <w:vAlign w:val="bottom"/>
            <w:gridSpan w:val="2"/>
          </w:tcPr>
          <w:p>
            <w:pPr>
              <w:spacing w:after="0"/>
              <w:rPr>
                <w:sz w:val="20"/>
                <w:szCs w:val="20"/>
                <w:color w:val="auto"/>
              </w:rPr>
            </w:pPr>
            <w:r>
              <w:rPr>
                <w:rFonts w:ascii="Arial" w:cs="Arial" w:eastAsia="Arial" w:hAnsi="Arial"/>
                <w:sz w:val="14"/>
                <w:szCs w:val="14"/>
                <w:color w:val="auto"/>
              </w:rPr>
              <w:t>Anne Arundel County:</w:t>
            </w:r>
          </w:p>
        </w:tc>
        <w:tc>
          <w:tcPr>
            <w:tcW w:w="9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4220" w:type="dxa"/>
            <w:vAlign w:val="bottom"/>
            <w:gridSpan w:val="2"/>
            <w:shd w:val="clear" w:color="auto" w:fill="CFF0FC"/>
          </w:tcPr>
          <w:p>
            <w:pPr>
              <w:ind w:left="260"/>
              <w:spacing w:after="0"/>
              <w:rPr>
                <w:sz w:val="20"/>
                <w:szCs w:val="20"/>
                <w:color w:val="auto"/>
              </w:rPr>
            </w:pPr>
            <w:r>
              <w:rPr>
                <w:rFonts w:ascii="Arial" w:cs="Arial" w:eastAsia="Arial" w:hAnsi="Arial"/>
                <w:sz w:val="14"/>
                <w:szCs w:val="14"/>
                <w:color w:val="auto"/>
              </w:rPr>
              <w:t>Hawthornes Grant, Arnold</w:t>
            </w:r>
          </w:p>
        </w:tc>
        <w:tc>
          <w:tcPr>
            <w:tcW w:w="900" w:type="dxa"/>
            <w:vAlign w:val="bottom"/>
            <w:shd w:val="clear" w:color="auto" w:fill="CFF0FC"/>
          </w:tcPr>
          <w:p>
            <w:pPr>
              <w:jc w:val="center"/>
              <w:spacing w:after="0"/>
              <w:rPr>
                <w:sz w:val="20"/>
                <w:szCs w:val="20"/>
                <w:color w:val="auto"/>
              </w:rPr>
            </w:pPr>
            <w:r>
              <w:rPr>
                <w:rFonts w:ascii="Arial" w:cs="Arial" w:eastAsia="Arial" w:hAnsi="Arial"/>
                <w:sz w:val="14"/>
                <w:szCs w:val="14"/>
                <w:color w:val="auto"/>
                <w:w w:val="83"/>
              </w:rPr>
              <w:t>2014</w:t>
            </w:r>
          </w:p>
        </w:tc>
        <w:tc>
          <w:tcPr>
            <w:tcW w:w="120" w:type="dxa"/>
            <w:vAlign w:val="bottom"/>
            <w:shd w:val="clear" w:color="auto" w:fill="CFF0FC"/>
          </w:tcPr>
          <w:p>
            <w:pPr>
              <w:spacing w:after="0"/>
              <w:rPr>
                <w:sz w:val="14"/>
                <w:szCs w:val="14"/>
                <w:color w:val="auto"/>
              </w:rPr>
            </w:pPr>
          </w:p>
        </w:tc>
        <w:tc>
          <w:tcPr>
            <w:tcW w:w="7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15</w:t>
            </w:r>
          </w:p>
        </w:tc>
        <w:tc>
          <w:tcPr>
            <w:tcW w:w="220" w:type="dxa"/>
            <w:vAlign w:val="bottom"/>
            <w:shd w:val="clear" w:color="auto" w:fill="CFF0FC"/>
          </w:tcPr>
          <w:p>
            <w:pPr>
              <w:spacing w:after="0"/>
              <w:rPr>
                <w:sz w:val="14"/>
                <w:szCs w:val="14"/>
                <w:color w:val="auto"/>
              </w:rPr>
            </w:pPr>
          </w:p>
        </w:tc>
        <w:tc>
          <w:tcPr>
            <w:tcW w:w="860" w:type="dxa"/>
            <w:vAlign w:val="bottom"/>
            <w:shd w:val="clear" w:color="auto" w:fill="CFF0FC"/>
          </w:tcPr>
          <w:p>
            <w:pPr>
              <w:jc w:val="right"/>
              <w:spacing w:after="0"/>
              <w:rPr>
                <w:sz w:val="20"/>
                <w:szCs w:val="20"/>
                <w:color w:val="auto"/>
              </w:rPr>
            </w:pPr>
            <w:r>
              <w:rPr>
                <w:rFonts w:ascii="Arial" w:cs="Arial" w:eastAsia="Arial" w:hAnsi="Arial"/>
                <w:sz w:val="14"/>
                <w:szCs w:val="14"/>
                <w:color w:val="auto"/>
              </w:rPr>
              <w:t>14</w:t>
            </w:r>
          </w:p>
        </w:tc>
        <w:tc>
          <w:tcPr>
            <w:tcW w:w="220" w:type="dxa"/>
            <w:vAlign w:val="bottom"/>
            <w:shd w:val="clear" w:color="auto" w:fill="CFF0FC"/>
          </w:tcPr>
          <w:p>
            <w:pPr>
              <w:spacing w:after="0"/>
              <w:rPr>
                <w:sz w:val="14"/>
                <w:szCs w:val="14"/>
                <w:color w:val="auto"/>
              </w:rPr>
            </w:pPr>
          </w:p>
        </w:tc>
        <w:tc>
          <w:tcPr>
            <w:tcW w:w="7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1</w:t>
            </w:r>
          </w:p>
        </w:tc>
        <w:tc>
          <w:tcPr>
            <w:tcW w:w="220" w:type="dxa"/>
            <w:vAlign w:val="bottom"/>
            <w:shd w:val="clear" w:color="auto" w:fill="CFF0FC"/>
          </w:tcPr>
          <w:p>
            <w:pPr>
              <w:spacing w:after="0"/>
              <w:rPr>
                <w:sz w:val="14"/>
                <w:szCs w:val="14"/>
                <w:color w:val="auto"/>
              </w:rPr>
            </w:pPr>
          </w:p>
        </w:tc>
        <w:tc>
          <w:tcPr>
            <w:tcW w:w="7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1</w:t>
            </w:r>
          </w:p>
        </w:tc>
        <w:tc>
          <w:tcPr>
            <w:tcW w:w="220" w:type="dxa"/>
            <w:vAlign w:val="bottom"/>
            <w:shd w:val="clear" w:color="auto" w:fill="CFF0FC"/>
          </w:tcPr>
          <w:p>
            <w:pPr>
              <w:spacing w:after="0"/>
              <w:rPr>
                <w:sz w:val="14"/>
                <w:szCs w:val="14"/>
                <w:color w:val="auto"/>
              </w:rPr>
            </w:pPr>
          </w:p>
        </w:tc>
        <w:tc>
          <w:tcPr>
            <w:tcW w:w="9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2</w:t>
            </w:r>
          </w:p>
        </w:tc>
        <w:tc>
          <w:tcPr>
            <w:tcW w:w="220" w:type="dxa"/>
            <w:vAlign w:val="bottom"/>
            <w:shd w:val="clear" w:color="auto" w:fill="CFF0FC"/>
          </w:tcPr>
          <w:p>
            <w:pPr>
              <w:spacing w:after="0"/>
              <w:rPr>
                <w:sz w:val="14"/>
                <w:szCs w:val="14"/>
                <w:color w:val="auto"/>
              </w:rPr>
            </w:pPr>
          </w:p>
        </w:tc>
        <w:tc>
          <w:tcPr>
            <w:tcW w:w="900" w:type="dxa"/>
            <w:vAlign w:val="bottom"/>
            <w:gridSpan w:val="2"/>
            <w:shd w:val="clear" w:color="auto" w:fill="CFF0FC"/>
          </w:tcPr>
          <w:p>
            <w:pPr>
              <w:jc w:val="center"/>
              <w:spacing w:after="0"/>
              <w:rPr>
                <w:sz w:val="20"/>
                <w:szCs w:val="20"/>
                <w:color w:val="auto"/>
              </w:rPr>
            </w:pPr>
            <w:r>
              <w:rPr>
                <w:rFonts w:ascii="Arial" w:cs="Arial" w:eastAsia="Arial" w:hAnsi="Arial"/>
                <w:sz w:val="14"/>
                <w:szCs w:val="14"/>
                <w:color w:val="auto"/>
              </w:rPr>
              <w:t>N/A</w:t>
            </w:r>
          </w:p>
        </w:tc>
        <w:tc>
          <w:tcPr>
            <w:tcW w:w="0" w:type="dxa"/>
            <w:vAlign w:val="bottom"/>
          </w:tcPr>
          <w:p>
            <w:pPr>
              <w:spacing w:after="0"/>
              <w:rPr>
                <w:sz w:val="1"/>
                <w:szCs w:val="1"/>
                <w:color w:val="auto"/>
              </w:rPr>
            </w:pPr>
          </w:p>
        </w:tc>
      </w:tr>
      <w:tr>
        <w:trPr>
          <w:trHeight w:val="162"/>
        </w:trPr>
        <w:tc>
          <w:tcPr>
            <w:tcW w:w="4220" w:type="dxa"/>
            <w:vAlign w:val="bottom"/>
            <w:gridSpan w:val="2"/>
          </w:tcPr>
          <w:p>
            <w:pPr>
              <w:ind w:left="260"/>
              <w:spacing w:after="0"/>
              <w:rPr>
                <w:sz w:val="20"/>
                <w:szCs w:val="20"/>
                <w:color w:val="auto"/>
              </w:rPr>
            </w:pPr>
            <w:r>
              <w:rPr>
                <w:rFonts w:ascii="Arial" w:cs="Arial" w:eastAsia="Arial" w:hAnsi="Arial"/>
                <w:sz w:val="14"/>
                <w:szCs w:val="14"/>
                <w:color w:val="auto"/>
              </w:rPr>
              <w:t>Hawthornes Grant Lots For Sale</w:t>
            </w:r>
          </w:p>
        </w:tc>
        <w:tc>
          <w:tcPr>
            <w:tcW w:w="1020" w:type="dxa"/>
            <w:vAlign w:val="bottom"/>
            <w:gridSpan w:val="2"/>
          </w:tcPr>
          <w:p>
            <w:pPr>
              <w:jc w:val="center"/>
              <w:ind w:right="120"/>
              <w:spacing w:after="0"/>
              <w:rPr>
                <w:sz w:val="20"/>
                <w:szCs w:val="20"/>
                <w:color w:val="auto"/>
              </w:rPr>
            </w:pPr>
            <w:r>
              <w:rPr>
                <w:rFonts w:ascii="Arial" w:cs="Arial" w:eastAsia="Arial" w:hAnsi="Arial"/>
                <w:sz w:val="14"/>
                <w:szCs w:val="14"/>
                <w:color w:val="auto"/>
                <w:w w:val="94"/>
              </w:rPr>
              <w:t>N/A</w:t>
            </w:r>
          </w:p>
        </w:tc>
        <w:tc>
          <w:tcPr>
            <w:tcW w:w="7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35</w:t>
            </w:r>
          </w:p>
        </w:tc>
        <w:tc>
          <w:tcPr>
            <w:tcW w:w="22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900" w:type="dxa"/>
            <w:vAlign w:val="bottom"/>
            <w:gridSpan w:val="2"/>
          </w:tcPr>
          <w:p>
            <w:pPr>
              <w:jc w:val="center"/>
              <w:spacing w:after="0"/>
              <w:rPr>
                <w:sz w:val="20"/>
                <w:szCs w:val="20"/>
                <w:color w:val="auto"/>
              </w:rPr>
            </w:pPr>
            <w:r>
              <w:rPr>
                <w:rFonts w:ascii="Arial" w:cs="Arial" w:eastAsia="Arial" w:hAnsi="Arial"/>
                <w:sz w:val="14"/>
                <w:szCs w:val="14"/>
                <w:color w:val="auto"/>
              </w:rPr>
              <w:t>N/A</w:t>
            </w:r>
          </w:p>
        </w:tc>
        <w:tc>
          <w:tcPr>
            <w:tcW w:w="0" w:type="dxa"/>
            <w:vAlign w:val="bottom"/>
          </w:tcPr>
          <w:p>
            <w:pPr>
              <w:spacing w:after="0"/>
              <w:rPr>
                <w:sz w:val="1"/>
                <w:szCs w:val="1"/>
                <w:color w:val="auto"/>
              </w:rPr>
            </w:pPr>
          </w:p>
        </w:tc>
      </w:tr>
      <w:tr>
        <w:trPr>
          <w:trHeight w:val="210"/>
        </w:trPr>
        <w:tc>
          <w:tcPr>
            <w:tcW w:w="4220" w:type="dxa"/>
            <w:vAlign w:val="bottom"/>
            <w:tcBorders>
              <w:bottom w:val="single" w:sz="8" w:color="CFF0FC"/>
            </w:tcBorders>
            <w:gridSpan w:val="2"/>
            <w:shd w:val="clear" w:color="auto" w:fill="CFF0FC"/>
          </w:tcPr>
          <w:p>
            <w:pPr>
              <w:ind w:left="260"/>
              <w:spacing w:after="0"/>
              <w:rPr>
                <w:sz w:val="20"/>
                <w:szCs w:val="20"/>
                <w:color w:val="auto"/>
              </w:rPr>
            </w:pPr>
            <w:r>
              <w:rPr>
                <w:rFonts w:ascii="Arial" w:cs="Arial" w:eastAsia="Arial" w:hAnsi="Arial"/>
                <w:sz w:val="14"/>
                <w:szCs w:val="14"/>
                <w:color w:val="auto"/>
              </w:rPr>
              <w:t>Watson's Glen, Millersville</w:t>
            </w:r>
          </w:p>
        </w:tc>
        <w:tc>
          <w:tcPr>
            <w:tcW w:w="900" w:type="dxa"/>
            <w:vAlign w:val="bottom"/>
            <w:tcBorders>
              <w:bottom w:val="single" w:sz="8" w:color="CFF0FC"/>
            </w:tcBorders>
            <w:shd w:val="clear" w:color="auto" w:fill="CFF0FC"/>
          </w:tcPr>
          <w:p>
            <w:pPr>
              <w:spacing w:after="0"/>
              <w:rPr>
                <w:sz w:val="18"/>
                <w:szCs w:val="18"/>
                <w:color w:val="auto"/>
              </w:rPr>
            </w:pPr>
          </w:p>
        </w:tc>
        <w:tc>
          <w:tcPr>
            <w:tcW w:w="120" w:type="dxa"/>
            <w:vAlign w:val="bottom"/>
            <w:tcBorders>
              <w:bottom w:val="single" w:sz="8" w:color="CFF0FC"/>
            </w:tcBorders>
            <w:shd w:val="clear" w:color="auto" w:fill="CFF0FC"/>
          </w:tcPr>
          <w:p>
            <w:pPr>
              <w:spacing w:after="0"/>
              <w:rPr>
                <w:sz w:val="18"/>
                <w:szCs w:val="18"/>
                <w:color w:val="auto"/>
              </w:rPr>
            </w:pPr>
          </w:p>
        </w:tc>
        <w:tc>
          <w:tcPr>
            <w:tcW w:w="780" w:type="dxa"/>
            <w:vAlign w:val="bottom"/>
            <w:tcBorders>
              <w:bottom w:val="single" w:sz="8" w:color="CFF0FC"/>
            </w:tcBorders>
            <w:shd w:val="clear" w:color="auto" w:fill="CFF0FC"/>
          </w:tcPr>
          <w:p>
            <w:pPr>
              <w:spacing w:after="0"/>
              <w:rPr>
                <w:sz w:val="18"/>
                <w:szCs w:val="18"/>
                <w:color w:val="auto"/>
              </w:rPr>
            </w:pPr>
          </w:p>
        </w:tc>
        <w:tc>
          <w:tcPr>
            <w:tcW w:w="220" w:type="dxa"/>
            <w:vAlign w:val="bottom"/>
            <w:tcBorders>
              <w:bottom w:val="single" w:sz="8" w:color="CFF0FC"/>
            </w:tcBorders>
            <w:shd w:val="clear" w:color="auto" w:fill="CFF0FC"/>
          </w:tcPr>
          <w:p>
            <w:pPr>
              <w:spacing w:after="0"/>
              <w:rPr>
                <w:sz w:val="18"/>
                <w:szCs w:val="18"/>
                <w:color w:val="auto"/>
              </w:rPr>
            </w:pPr>
          </w:p>
        </w:tc>
        <w:tc>
          <w:tcPr>
            <w:tcW w:w="860" w:type="dxa"/>
            <w:vAlign w:val="bottom"/>
            <w:tcBorders>
              <w:bottom w:val="single" w:sz="8" w:color="CFF0FC"/>
            </w:tcBorders>
            <w:shd w:val="clear" w:color="auto" w:fill="CFF0FC"/>
          </w:tcPr>
          <w:p>
            <w:pPr>
              <w:spacing w:after="0"/>
              <w:rPr>
                <w:sz w:val="18"/>
                <w:szCs w:val="18"/>
                <w:color w:val="auto"/>
              </w:rPr>
            </w:pPr>
          </w:p>
        </w:tc>
        <w:tc>
          <w:tcPr>
            <w:tcW w:w="220" w:type="dxa"/>
            <w:vAlign w:val="bottom"/>
            <w:tcBorders>
              <w:bottom w:val="single" w:sz="8" w:color="CFF0FC"/>
            </w:tcBorders>
            <w:shd w:val="clear" w:color="auto" w:fill="CFF0FC"/>
          </w:tcPr>
          <w:p>
            <w:pPr>
              <w:spacing w:after="0"/>
              <w:rPr>
                <w:sz w:val="18"/>
                <w:szCs w:val="18"/>
                <w:color w:val="auto"/>
              </w:rPr>
            </w:pPr>
          </w:p>
        </w:tc>
        <w:tc>
          <w:tcPr>
            <w:tcW w:w="780" w:type="dxa"/>
            <w:vAlign w:val="bottom"/>
            <w:tcBorders>
              <w:bottom w:val="single" w:sz="8" w:color="CFF0FC"/>
            </w:tcBorders>
            <w:shd w:val="clear" w:color="auto" w:fill="CFF0FC"/>
          </w:tcPr>
          <w:p>
            <w:pPr>
              <w:spacing w:after="0"/>
              <w:rPr>
                <w:sz w:val="18"/>
                <w:szCs w:val="18"/>
                <w:color w:val="auto"/>
              </w:rPr>
            </w:pPr>
          </w:p>
        </w:tc>
        <w:tc>
          <w:tcPr>
            <w:tcW w:w="220" w:type="dxa"/>
            <w:vAlign w:val="bottom"/>
            <w:tcBorders>
              <w:bottom w:val="single" w:sz="8" w:color="CFF0FC"/>
            </w:tcBorders>
            <w:shd w:val="clear" w:color="auto" w:fill="CFF0FC"/>
          </w:tcPr>
          <w:p>
            <w:pPr>
              <w:spacing w:after="0"/>
              <w:rPr>
                <w:sz w:val="18"/>
                <w:szCs w:val="18"/>
                <w:color w:val="auto"/>
              </w:rPr>
            </w:pPr>
          </w:p>
        </w:tc>
        <w:tc>
          <w:tcPr>
            <w:tcW w:w="780" w:type="dxa"/>
            <w:vAlign w:val="bottom"/>
            <w:tcBorders>
              <w:bottom w:val="single" w:sz="8" w:color="CFF0FC"/>
            </w:tcBorders>
            <w:shd w:val="clear" w:color="auto" w:fill="CFF0FC"/>
          </w:tcPr>
          <w:p>
            <w:pPr>
              <w:spacing w:after="0"/>
              <w:rPr>
                <w:sz w:val="18"/>
                <w:szCs w:val="18"/>
                <w:color w:val="auto"/>
              </w:rPr>
            </w:pPr>
          </w:p>
        </w:tc>
        <w:tc>
          <w:tcPr>
            <w:tcW w:w="220" w:type="dxa"/>
            <w:vAlign w:val="bottom"/>
            <w:tcBorders>
              <w:bottom w:val="single" w:sz="8" w:color="CFF0FC"/>
            </w:tcBorders>
            <w:shd w:val="clear" w:color="auto" w:fill="CFF0FC"/>
          </w:tcPr>
          <w:p>
            <w:pPr>
              <w:spacing w:after="0"/>
              <w:rPr>
                <w:sz w:val="18"/>
                <w:szCs w:val="18"/>
                <w:color w:val="auto"/>
              </w:rPr>
            </w:pPr>
          </w:p>
        </w:tc>
        <w:tc>
          <w:tcPr>
            <w:tcW w:w="980" w:type="dxa"/>
            <w:vAlign w:val="bottom"/>
            <w:tcBorders>
              <w:bottom w:val="single" w:sz="8" w:color="CFF0FC"/>
            </w:tcBorders>
            <w:shd w:val="clear" w:color="auto" w:fill="CFF0FC"/>
          </w:tcPr>
          <w:p>
            <w:pPr>
              <w:spacing w:after="0"/>
              <w:rPr>
                <w:sz w:val="18"/>
                <w:szCs w:val="18"/>
                <w:color w:val="auto"/>
              </w:rPr>
            </w:pPr>
          </w:p>
        </w:tc>
        <w:tc>
          <w:tcPr>
            <w:tcW w:w="220" w:type="dxa"/>
            <w:vAlign w:val="bottom"/>
            <w:tcBorders>
              <w:bottom w:val="single" w:sz="8" w:color="CFF0FC"/>
            </w:tcBorders>
            <w:shd w:val="clear" w:color="auto" w:fill="CFF0FC"/>
          </w:tcPr>
          <w:p>
            <w:pPr>
              <w:spacing w:after="0"/>
              <w:rPr>
                <w:sz w:val="18"/>
                <w:szCs w:val="18"/>
                <w:color w:val="auto"/>
              </w:rPr>
            </w:pPr>
          </w:p>
        </w:tc>
        <w:tc>
          <w:tcPr>
            <w:tcW w:w="400" w:type="dxa"/>
            <w:vAlign w:val="bottom"/>
            <w:tcBorders>
              <w:bottom w:val="single" w:sz="8" w:color="CFF0FC"/>
            </w:tcBorders>
            <w:shd w:val="clear" w:color="auto" w:fill="CFF0FC"/>
          </w:tcPr>
          <w:p>
            <w:pPr>
              <w:spacing w:after="0"/>
              <w:rPr>
                <w:sz w:val="18"/>
                <w:szCs w:val="18"/>
                <w:color w:val="auto"/>
              </w:rPr>
            </w:pPr>
          </w:p>
        </w:tc>
        <w:tc>
          <w:tcPr>
            <w:tcW w:w="500" w:type="dxa"/>
            <w:vAlign w:val="bottom"/>
            <w:tcBorders>
              <w:bottom w:val="single" w:sz="8" w:color="CFF0FC"/>
            </w:tcBorders>
            <w:shd w:val="clear" w:color="auto" w:fill="CFF0FC"/>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4220" w:type="dxa"/>
            <w:vAlign w:val="bottom"/>
            <w:gridSpan w:val="2"/>
          </w:tcPr>
          <w:p>
            <w:pPr>
              <w:ind w:left="500"/>
              <w:spacing w:after="0"/>
              <w:rPr>
                <w:sz w:val="20"/>
                <w:szCs w:val="20"/>
                <w:color w:val="auto"/>
              </w:rPr>
            </w:pPr>
            <w:r>
              <w:rPr>
                <w:rFonts w:ascii="Arial" w:cs="Arial" w:eastAsia="Arial" w:hAnsi="Arial"/>
                <w:sz w:val="14"/>
                <w:szCs w:val="14"/>
                <w:color w:val="auto"/>
              </w:rPr>
              <w:t>Watson's Glen I</w:t>
            </w:r>
          </w:p>
        </w:tc>
        <w:tc>
          <w:tcPr>
            <w:tcW w:w="900" w:type="dxa"/>
            <w:vAlign w:val="bottom"/>
          </w:tcPr>
          <w:p>
            <w:pPr>
              <w:jc w:val="center"/>
              <w:spacing w:after="0"/>
              <w:rPr>
                <w:sz w:val="20"/>
                <w:szCs w:val="20"/>
                <w:color w:val="auto"/>
              </w:rPr>
            </w:pPr>
            <w:r>
              <w:rPr>
                <w:rFonts w:ascii="Arial" w:cs="Arial" w:eastAsia="Arial" w:hAnsi="Arial"/>
                <w:sz w:val="14"/>
                <w:szCs w:val="14"/>
                <w:color w:val="auto"/>
                <w:w w:val="83"/>
              </w:rPr>
              <w:t>2015</w:t>
            </w:r>
          </w:p>
        </w:tc>
        <w:tc>
          <w:tcPr>
            <w:tcW w:w="120" w:type="dxa"/>
            <w:vAlign w:val="bottom"/>
          </w:tcPr>
          <w:p>
            <w:pPr>
              <w:spacing w:after="0"/>
              <w:rPr>
                <w:sz w:val="19"/>
                <w:szCs w:val="19"/>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48</w:t>
            </w:r>
          </w:p>
        </w:tc>
        <w:tc>
          <w:tcPr>
            <w:tcW w:w="220" w:type="dxa"/>
            <w:vAlign w:val="bottom"/>
          </w:tcPr>
          <w:p>
            <w:pPr>
              <w:spacing w:after="0"/>
              <w:rPr>
                <w:sz w:val="19"/>
                <w:szCs w:val="19"/>
                <w:color w:val="auto"/>
              </w:rPr>
            </w:pPr>
          </w:p>
        </w:tc>
        <w:tc>
          <w:tcPr>
            <w:tcW w:w="1080" w:type="dxa"/>
            <w:vAlign w:val="bottom"/>
            <w:gridSpan w:val="2"/>
          </w:tcPr>
          <w:p>
            <w:pPr>
              <w:jc w:val="right"/>
              <w:ind w:right="240"/>
              <w:spacing w:after="0"/>
              <w:rPr>
                <w:sz w:val="20"/>
                <w:szCs w:val="20"/>
                <w:color w:val="auto"/>
              </w:rPr>
            </w:pPr>
            <w:r>
              <w:rPr>
                <w:rFonts w:ascii="Arial" w:cs="Arial" w:eastAsia="Arial" w:hAnsi="Arial"/>
                <w:sz w:val="18"/>
                <w:szCs w:val="18"/>
                <w:color w:val="auto"/>
              </w:rPr>
              <w:t>—</w:t>
            </w:r>
          </w:p>
        </w:tc>
        <w:tc>
          <w:tcPr>
            <w:tcW w:w="780" w:type="dxa"/>
            <w:vAlign w:val="bottom"/>
          </w:tcPr>
          <w:p>
            <w:pPr>
              <w:jc w:val="right"/>
              <w:spacing w:after="0"/>
              <w:rPr>
                <w:sz w:val="20"/>
                <w:szCs w:val="20"/>
                <w:color w:val="auto"/>
              </w:rPr>
            </w:pPr>
            <w:r>
              <w:rPr>
                <w:rFonts w:ascii="Arial" w:cs="Arial" w:eastAsia="Arial" w:hAnsi="Arial"/>
                <w:sz w:val="14"/>
                <w:szCs w:val="14"/>
                <w:color w:val="auto"/>
              </w:rPr>
              <w:t>48</w:t>
            </w:r>
          </w:p>
        </w:tc>
        <w:tc>
          <w:tcPr>
            <w:tcW w:w="220" w:type="dxa"/>
            <w:vAlign w:val="bottom"/>
          </w:tcPr>
          <w:p>
            <w:pPr>
              <w:spacing w:after="0"/>
              <w:rPr>
                <w:sz w:val="19"/>
                <w:szCs w:val="19"/>
                <w:color w:val="auto"/>
              </w:rPr>
            </w:pPr>
          </w:p>
        </w:tc>
        <w:tc>
          <w:tcPr>
            <w:tcW w:w="1000" w:type="dxa"/>
            <w:vAlign w:val="bottom"/>
            <w:gridSpan w:val="2"/>
          </w:tcPr>
          <w:p>
            <w:pPr>
              <w:jc w:val="right"/>
              <w:ind w:right="240"/>
              <w:spacing w:after="0"/>
              <w:rPr>
                <w:sz w:val="20"/>
                <w:szCs w:val="20"/>
                <w:color w:val="auto"/>
              </w:rPr>
            </w:pPr>
            <w:r>
              <w:rPr>
                <w:rFonts w:ascii="Arial" w:cs="Arial" w:eastAsia="Arial" w:hAnsi="Arial"/>
                <w:sz w:val="18"/>
                <w:szCs w:val="18"/>
                <w:color w:val="auto"/>
              </w:rPr>
              <w:t>—</w:t>
            </w:r>
          </w:p>
        </w:tc>
        <w:tc>
          <w:tcPr>
            <w:tcW w:w="980" w:type="dxa"/>
            <w:vAlign w:val="bottom"/>
          </w:tcPr>
          <w:p>
            <w:pPr>
              <w:jc w:val="right"/>
              <w:spacing w:after="0"/>
              <w:rPr>
                <w:sz w:val="20"/>
                <w:szCs w:val="20"/>
                <w:color w:val="auto"/>
              </w:rPr>
            </w:pPr>
            <w:r>
              <w:rPr>
                <w:rFonts w:ascii="Arial" w:cs="Arial" w:eastAsia="Arial" w:hAnsi="Arial"/>
                <w:sz w:val="18"/>
                <w:szCs w:val="18"/>
                <w:color w:val="auto"/>
              </w:rPr>
              <w:t>—</w:t>
            </w:r>
          </w:p>
        </w:tc>
        <w:tc>
          <w:tcPr>
            <w:tcW w:w="620" w:type="dxa"/>
            <w:vAlign w:val="bottom"/>
            <w:gridSpan w:val="2"/>
          </w:tcPr>
          <w:p>
            <w:pPr>
              <w:jc w:val="right"/>
              <w:spacing w:after="0"/>
              <w:rPr>
                <w:sz w:val="20"/>
                <w:szCs w:val="20"/>
                <w:color w:val="auto"/>
              </w:rPr>
            </w:pPr>
            <w:r>
              <w:rPr>
                <w:rFonts w:ascii="Arial" w:cs="Arial" w:eastAsia="Arial" w:hAnsi="Arial"/>
                <w:sz w:val="14"/>
                <w:szCs w:val="14"/>
                <w:color w:val="auto"/>
              </w:rPr>
              <w:t>$365</w:t>
            </w:r>
          </w:p>
        </w:tc>
        <w:tc>
          <w:tcPr>
            <w:tcW w:w="500" w:type="dxa"/>
            <w:vAlign w:val="bottom"/>
          </w:tcPr>
          <w:p>
            <w:pPr>
              <w:ind w:left="20"/>
              <w:spacing w:after="0"/>
              <w:rPr>
                <w:sz w:val="20"/>
                <w:szCs w:val="20"/>
                <w:color w:val="auto"/>
              </w:rPr>
            </w:pPr>
            <w:r>
              <w:rPr>
                <w:rFonts w:ascii="Arial" w:cs="Arial" w:eastAsia="Arial" w:hAnsi="Arial"/>
                <w:sz w:val="14"/>
                <w:szCs w:val="14"/>
                <w:color w:val="auto"/>
              </w:rPr>
              <w:t>- $399</w:t>
            </w:r>
          </w:p>
        </w:tc>
        <w:tc>
          <w:tcPr>
            <w:tcW w:w="0" w:type="dxa"/>
            <w:vAlign w:val="bottom"/>
          </w:tcPr>
          <w:p>
            <w:pPr>
              <w:spacing w:after="0"/>
              <w:rPr>
                <w:sz w:val="1"/>
                <w:szCs w:val="1"/>
                <w:color w:val="auto"/>
              </w:rPr>
            </w:pPr>
          </w:p>
        </w:tc>
      </w:tr>
      <w:tr>
        <w:trPr>
          <w:trHeight w:val="230"/>
        </w:trPr>
        <w:tc>
          <w:tcPr>
            <w:tcW w:w="4220" w:type="dxa"/>
            <w:vAlign w:val="bottom"/>
            <w:gridSpan w:val="2"/>
            <w:shd w:val="clear" w:color="auto" w:fill="CFF0FC"/>
          </w:tcPr>
          <w:p>
            <w:pPr>
              <w:ind w:left="500"/>
              <w:spacing w:after="0"/>
              <w:rPr>
                <w:sz w:val="20"/>
                <w:szCs w:val="20"/>
                <w:color w:val="auto"/>
              </w:rPr>
            </w:pPr>
            <w:r>
              <w:rPr>
                <w:rFonts w:ascii="Arial" w:cs="Arial" w:eastAsia="Arial" w:hAnsi="Arial"/>
                <w:sz w:val="14"/>
                <w:szCs w:val="14"/>
                <w:color w:val="auto"/>
              </w:rPr>
              <w:t>Watson's Glen II</w:t>
            </w:r>
          </w:p>
        </w:tc>
        <w:tc>
          <w:tcPr>
            <w:tcW w:w="900" w:type="dxa"/>
            <w:vAlign w:val="bottom"/>
            <w:shd w:val="clear" w:color="auto" w:fill="CFF0FC"/>
          </w:tcPr>
          <w:p>
            <w:pPr>
              <w:jc w:val="center"/>
              <w:spacing w:after="0"/>
              <w:rPr>
                <w:sz w:val="20"/>
                <w:szCs w:val="20"/>
                <w:color w:val="auto"/>
              </w:rPr>
            </w:pPr>
            <w:r>
              <w:rPr>
                <w:rFonts w:ascii="Arial" w:cs="Arial" w:eastAsia="Arial" w:hAnsi="Arial"/>
                <w:sz w:val="14"/>
                <w:szCs w:val="14"/>
                <w:color w:val="auto"/>
                <w:w w:val="83"/>
              </w:rPr>
              <w:t>2015</w:t>
            </w:r>
          </w:p>
        </w:tc>
        <w:tc>
          <w:tcPr>
            <w:tcW w:w="120" w:type="dxa"/>
            <w:vAlign w:val="bottom"/>
            <w:shd w:val="clear" w:color="auto" w:fill="CFF0FC"/>
          </w:tcPr>
          <w:p>
            <w:pPr>
              <w:spacing w:after="0"/>
              <w:rPr>
                <w:sz w:val="19"/>
                <w:szCs w:val="19"/>
                <w:color w:val="auto"/>
              </w:rPr>
            </w:pPr>
          </w:p>
        </w:tc>
        <w:tc>
          <w:tcPr>
            <w:tcW w:w="7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55</w:t>
            </w:r>
          </w:p>
        </w:tc>
        <w:tc>
          <w:tcPr>
            <w:tcW w:w="220" w:type="dxa"/>
            <w:vAlign w:val="bottom"/>
            <w:shd w:val="clear" w:color="auto" w:fill="CFF0FC"/>
          </w:tcPr>
          <w:p>
            <w:pPr>
              <w:spacing w:after="0"/>
              <w:rPr>
                <w:sz w:val="19"/>
                <w:szCs w:val="19"/>
                <w:color w:val="auto"/>
              </w:rPr>
            </w:pPr>
          </w:p>
        </w:tc>
        <w:tc>
          <w:tcPr>
            <w:tcW w:w="1080" w:type="dxa"/>
            <w:vAlign w:val="bottom"/>
            <w:gridSpan w:val="2"/>
            <w:shd w:val="clear" w:color="auto" w:fill="CFF0FC"/>
          </w:tcPr>
          <w:p>
            <w:pPr>
              <w:jc w:val="right"/>
              <w:ind w:right="240"/>
              <w:spacing w:after="0"/>
              <w:rPr>
                <w:sz w:val="20"/>
                <w:szCs w:val="20"/>
                <w:color w:val="auto"/>
              </w:rPr>
            </w:pPr>
            <w:r>
              <w:rPr>
                <w:rFonts w:ascii="Arial" w:cs="Arial" w:eastAsia="Arial" w:hAnsi="Arial"/>
                <w:sz w:val="18"/>
                <w:szCs w:val="18"/>
                <w:color w:val="auto"/>
              </w:rPr>
              <w:t>—</w:t>
            </w:r>
          </w:p>
        </w:tc>
        <w:tc>
          <w:tcPr>
            <w:tcW w:w="7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55</w:t>
            </w:r>
          </w:p>
        </w:tc>
        <w:tc>
          <w:tcPr>
            <w:tcW w:w="220" w:type="dxa"/>
            <w:vAlign w:val="bottom"/>
            <w:shd w:val="clear" w:color="auto" w:fill="CFF0FC"/>
          </w:tcPr>
          <w:p>
            <w:pPr>
              <w:spacing w:after="0"/>
              <w:rPr>
                <w:sz w:val="19"/>
                <w:szCs w:val="19"/>
                <w:color w:val="auto"/>
              </w:rPr>
            </w:pPr>
          </w:p>
        </w:tc>
        <w:tc>
          <w:tcPr>
            <w:tcW w:w="1000" w:type="dxa"/>
            <w:vAlign w:val="bottom"/>
            <w:gridSpan w:val="2"/>
            <w:shd w:val="clear" w:color="auto" w:fill="CFF0FC"/>
          </w:tcPr>
          <w:p>
            <w:pPr>
              <w:jc w:val="right"/>
              <w:ind w:right="240"/>
              <w:spacing w:after="0"/>
              <w:rPr>
                <w:sz w:val="20"/>
                <w:szCs w:val="20"/>
                <w:color w:val="auto"/>
              </w:rPr>
            </w:pPr>
            <w:r>
              <w:rPr>
                <w:rFonts w:ascii="Arial" w:cs="Arial" w:eastAsia="Arial" w:hAnsi="Arial"/>
                <w:sz w:val="18"/>
                <w:szCs w:val="18"/>
                <w:color w:val="auto"/>
              </w:rPr>
              <w:t>—</w:t>
            </w:r>
          </w:p>
        </w:tc>
        <w:tc>
          <w:tcPr>
            <w:tcW w:w="9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1120" w:type="dxa"/>
            <w:vAlign w:val="bottom"/>
            <w:gridSpan w:val="3"/>
            <w:shd w:val="clear" w:color="auto" w:fill="CFF0FC"/>
          </w:tcPr>
          <w:p>
            <w:pPr>
              <w:jc w:val="center"/>
              <w:ind w:left="153"/>
              <w:spacing w:after="0"/>
              <w:rPr>
                <w:sz w:val="20"/>
                <w:szCs w:val="20"/>
                <w:color w:val="auto"/>
              </w:rPr>
            </w:pPr>
            <w:r>
              <w:rPr>
                <w:rFonts w:ascii="Arial" w:cs="Arial" w:eastAsia="Arial" w:hAnsi="Arial"/>
                <w:sz w:val="14"/>
                <w:szCs w:val="14"/>
                <w:color w:val="auto"/>
                <w:w w:val="86"/>
              </w:rPr>
              <w:t>$411-$426</w:t>
            </w:r>
          </w:p>
        </w:tc>
        <w:tc>
          <w:tcPr>
            <w:tcW w:w="0" w:type="dxa"/>
            <w:vAlign w:val="bottom"/>
          </w:tcPr>
          <w:p>
            <w:pPr>
              <w:spacing w:after="0"/>
              <w:rPr>
                <w:sz w:val="1"/>
                <w:szCs w:val="1"/>
                <w:color w:val="auto"/>
              </w:rPr>
            </w:pPr>
          </w:p>
        </w:tc>
      </w:tr>
      <w:tr>
        <w:trPr>
          <w:trHeight w:val="175"/>
        </w:trPr>
        <w:tc>
          <w:tcPr>
            <w:tcW w:w="4220" w:type="dxa"/>
            <w:vAlign w:val="bottom"/>
            <w:gridSpan w:val="2"/>
          </w:tcPr>
          <w:p>
            <w:pPr>
              <w:spacing w:after="0"/>
              <w:rPr>
                <w:sz w:val="20"/>
                <w:szCs w:val="20"/>
                <w:color w:val="auto"/>
              </w:rPr>
            </w:pPr>
            <w:r>
              <w:rPr>
                <w:rFonts w:ascii="Arial" w:cs="Arial" w:eastAsia="Arial" w:hAnsi="Arial"/>
                <w:sz w:val="14"/>
                <w:szCs w:val="14"/>
                <w:color w:val="auto"/>
              </w:rPr>
              <w:t>Frederick County:</w:t>
            </w:r>
          </w:p>
        </w:tc>
        <w:tc>
          <w:tcPr>
            <w:tcW w:w="9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98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40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55"/>
        </w:trPr>
        <w:tc>
          <w:tcPr>
            <w:tcW w:w="1220" w:type="dxa"/>
            <w:vAlign w:val="bottom"/>
          </w:tcPr>
          <w:p>
            <w:pPr>
              <w:spacing w:after="0"/>
              <w:rPr>
                <w:sz w:val="4"/>
                <w:szCs w:val="4"/>
                <w:color w:val="auto"/>
              </w:rPr>
            </w:pPr>
          </w:p>
        </w:tc>
        <w:tc>
          <w:tcPr>
            <w:tcW w:w="3000" w:type="dxa"/>
            <w:vAlign w:val="bottom"/>
          </w:tcPr>
          <w:p>
            <w:pPr>
              <w:spacing w:after="0"/>
              <w:rPr>
                <w:sz w:val="4"/>
                <w:szCs w:val="4"/>
                <w:color w:val="auto"/>
              </w:rPr>
            </w:pPr>
          </w:p>
        </w:tc>
        <w:tc>
          <w:tcPr>
            <w:tcW w:w="900" w:type="dxa"/>
            <w:vAlign w:val="bottom"/>
          </w:tcPr>
          <w:p>
            <w:pPr>
              <w:spacing w:after="0"/>
              <w:rPr>
                <w:sz w:val="4"/>
                <w:szCs w:val="4"/>
                <w:color w:val="auto"/>
              </w:rPr>
            </w:pPr>
          </w:p>
        </w:tc>
        <w:tc>
          <w:tcPr>
            <w:tcW w:w="120" w:type="dxa"/>
            <w:vAlign w:val="bottom"/>
          </w:tcPr>
          <w:p>
            <w:pPr>
              <w:spacing w:after="0"/>
              <w:rPr>
                <w:sz w:val="4"/>
                <w:szCs w:val="4"/>
                <w:color w:val="auto"/>
              </w:rPr>
            </w:pPr>
          </w:p>
        </w:tc>
        <w:tc>
          <w:tcPr>
            <w:tcW w:w="780" w:type="dxa"/>
            <w:vAlign w:val="bottom"/>
          </w:tcPr>
          <w:p>
            <w:pPr>
              <w:spacing w:after="0"/>
              <w:rPr>
                <w:sz w:val="4"/>
                <w:szCs w:val="4"/>
                <w:color w:val="auto"/>
              </w:rPr>
            </w:pPr>
          </w:p>
        </w:tc>
        <w:tc>
          <w:tcPr>
            <w:tcW w:w="220" w:type="dxa"/>
            <w:vAlign w:val="bottom"/>
          </w:tcPr>
          <w:p>
            <w:pPr>
              <w:spacing w:after="0"/>
              <w:rPr>
                <w:sz w:val="4"/>
                <w:szCs w:val="4"/>
                <w:color w:val="auto"/>
              </w:rPr>
            </w:pPr>
          </w:p>
        </w:tc>
        <w:tc>
          <w:tcPr>
            <w:tcW w:w="860" w:type="dxa"/>
            <w:vAlign w:val="bottom"/>
          </w:tcPr>
          <w:p>
            <w:pPr>
              <w:spacing w:after="0"/>
              <w:rPr>
                <w:sz w:val="4"/>
                <w:szCs w:val="4"/>
                <w:color w:val="auto"/>
              </w:rPr>
            </w:pPr>
          </w:p>
        </w:tc>
        <w:tc>
          <w:tcPr>
            <w:tcW w:w="220" w:type="dxa"/>
            <w:vAlign w:val="bottom"/>
          </w:tcPr>
          <w:p>
            <w:pPr>
              <w:spacing w:after="0"/>
              <w:rPr>
                <w:sz w:val="4"/>
                <w:szCs w:val="4"/>
                <w:color w:val="auto"/>
              </w:rPr>
            </w:pPr>
          </w:p>
        </w:tc>
        <w:tc>
          <w:tcPr>
            <w:tcW w:w="780" w:type="dxa"/>
            <w:vAlign w:val="bottom"/>
          </w:tcPr>
          <w:p>
            <w:pPr>
              <w:spacing w:after="0"/>
              <w:rPr>
                <w:sz w:val="4"/>
                <w:szCs w:val="4"/>
                <w:color w:val="auto"/>
              </w:rPr>
            </w:pPr>
          </w:p>
        </w:tc>
        <w:tc>
          <w:tcPr>
            <w:tcW w:w="220" w:type="dxa"/>
            <w:vAlign w:val="bottom"/>
          </w:tcPr>
          <w:p>
            <w:pPr>
              <w:spacing w:after="0"/>
              <w:rPr>
                <w:sz w:val="4"/>
                <w:szCs w:val="4"/>
                <w:color w:val="auto"/>
              </w:rPr>
            </w:pPr>
          </w:p>
        </w:tc>
        <w:tc>
          <w:tcPr>
            <w:tcW w:w="780" w:type="dxa"/>
            <w:vAlign w:val="bottom"/>
          </w:tcPr>
          <w:p>
            <w:pPr>
              <w:spacing w:after="0"/>
              <w:rPr>
                <w:sz w:val="4"/>
                <w:szCs w:val="4"/>
                <w:color w:val="auto"/>
              </w:rPr>
            </w:pPr>
          </w:p>
        </w:tc>
        <w:tc>
          <w:tcPr>
            <w:tcW w:w="220" w:type="dxa"/>
            <w:vAlign w:val="bottom"/>
          </w:tcPr>
          <w:p>
            <w:pPr>
              <w:spacing w:after="0"/>
              <w:rPr>
                <w:sz w:val="4"/>
                <w:szCs w:val="4"/>
                <w:color w:val="auto"/>
              </w:rPr>
            </w:pPr>
          </w:p>
        </w:tc>
        <w:tc>
          <w:tcPr>
            <w:tcW w:w="980" w:type="dxa"/>
            <w:vAlign w:val="bottom"/>
          </w:tcPr>
          <w:p>
            <w:pPr>
              <w:spacing w:after="0"/>
              <w:rPr>
                <w:sz w:val="4"/>
                <w:szCs w:val="4"/>
                <w:color w:val="auto"/>
              </w:rPr>
            </w:pPr>
          </w:p>
        </w:tc>
        <w:tc>
          <w:tcPr>
            <w:tcW w:w="220" w:type="dxa"/>
            <w:vAlign w:val="bottom"/>
          </w:tcPr>
          <w:p>
            <w:pPr>
              <w:spacing w:after="0"/>
              <w:rPr>
                <w:sz w:val="4"/>
                <w:szCs w:val="4"/>
                <w:color w:val="auto"/>
              </w:rPr>
            </w:pPr>
          </w:p>
        </w:tc>
        <w:tc>
          <w:tcPr>
            <w:tcW w:w="400" w:type="dxa"/>
            <w:vAlign w:val="bottom"/>
          </w:tcPr>
          <w:p>
            <w:pPr>
              <w:spacing w:after="0"/>
              <w:rPr>
                <w:sz w:val="4"/>
                <w:szCs w:val="4"/>
                <w:color w:val="auto"/>
              </w:rPr>
            </w:pPr>
          </w:p>
        </w:tc>
        <w:tc>
          <w:tcPr>
            <w:tcW w:w="5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10"/>
        </w:trPr>
        <w:tc>
          <w:tcPr>
            <w:tcW w:w="4220" w:type="dxa"/>
            <w:vAlign w:val="bottom"/>
            <w:tcBorders>
              <w:bottom w:val="single" w:sz="8" w:color="CFF0FC"/>
            </w:tcBorders>
            <w:gridSpan w:val="2"/>
            <w:shd w:val="clear" w:color="auto" w:fill="CFF0FC"/>
          </w:tcPr>
          <w:p>
            <w:pPr>
              <w:ind w:left="260"/>
              <w:spacing w:after="0"/>
              <w:rPr>
                <w:sz w:val="20"/>
                <w:szCs w:val="20"/>
                <w:color w:val="auto"/>
              </w:rPr>
            </w:pPr>
            <w:r>
              <w:rPr>
                <w:rFonts w:ascii="Arial" w:cs="Arial" w:eastAsia="Arial" w:hAnsi="Arial"/>
                <w:sz w:val="14"/>
                <w:szCs w:val="14"/>
                <w:color w:val="auto"/>
              </w:rPr>
              <w:t>Landsdale, Monrovia</w:t>
            </w:r>
          </w:p>
        </w:tc>
        <w:tc>
          <w:tcPr>
            <w:tcW w:w="900" w:type="dxa"/>
            <w:vAlign w:val="bottom"/>
            <w:tcBorders>
              <w:bottom w:val="single" w:sz="8" w:color="CFF0FC"/>
            </w:tcBorders>
            <w:shd w:val="clear" w:color="auto" w:fill="CFF0FC"/>
          </w:tcPr>
          <w:p>
            <w:pPr>
              <w:spacing w:after="0"/>
              <w:rPr>
                <w:sz w:val="18"/>
                <w:szCs w:val="18"/>
                <w:color w:val="auto"/>
              </w:rPr>
            </w:pPr>
          </w:p>
        </w:tc>
        <w:tc>
          <w:tcPr>
            <w:tcW w:w="120" w:type="dxa"/>
            <w:vAlign w:val="bottom"/>
            <w:tcBorders>
              <w:bottom w:val="single" w:sz="8" w:color="CFF0FC"/>
            </w:tcBorders>
            <w:shd w:val="clear" w:color="auto" w:fill="CFF0FC"/>
          </w:tcPr>
          <w:p>
            <w:pPr>
              <w:spacing w:after="0"/>
              <w:rPr>
                <w:sz w:val="18"/>
                <w:szCs w:val="18"/>
                <w:color w:val="auto"/>
              </w:rPr>
            </w:pPr>
          </w:p>
        </w:tc>
        <w:tc>
          <w:tcPr>
            <w:tcW w:w="780" w:type="dxa"/>
            <w:vAlign w:val="bottom"/>
            <w:tcBorders>
              <w:bottom w:val="single" w:sz="8" w:color="CFF0FC"/>
            </w:tcBorders>
            <w:shd w:val="clear" w:color="auto" w:fill="CFF0FC"/>
          </w:tcPr>
          <w:p>
            <w:pPr>
              <w:spacing w:after="0"/>
              <w:rPr>
                <w:sz w:val="18"/>
                <w:szCs w:val="18"/>
                <w:color w:val="auto"/>
              </w:rPr>
            </w:pPr>
          </w:p>
        </w:tc>
        <w:tc>
          <w:tcPr>
            <w:tcW w:w="220" w:type="dxa"/>
            <w:vAlign w:val="bottom"/>
            <w:tcBorders>
              <w:bottom w:val="single" w:sz="8" w:color="CFF0FC"/>
            </w:tcBorders>
            <w:shd w:val="clear" w:color="auto" w:fill="CFF0FC"/>
          </w:tcPr>
          <w:p>
            <w:pPr>
              <w:spacing w:after="0"/>
              <w:rPr>
                <w:sz w:val="18"/>
                <w:szCs w:val="18"/>
                <w:color w:val="auto"/>
              </w:rPr>
            </w:pPr>
          </w:p>
        </w:tc>
        <w:tc>
          <w:tcPr>
            <w:tcW w:w="860" w:type="dxa"/>
            <w:vAlign w:val="bottom"/>
            <w:tcBorders>
              <w:bottom w:val="single" w:sz="8" w:color="CFF0FC"/>
            </w:tcBorders>
            <w:shd w:val="clear" w:color="auto" w:fill="CFF0FC"/>
          </w:tcPr>
          <w:p>
            <w:pPr>
              <w:spacing w:after="0"/>
              <w:rPr>
                <w:sz w:val="18"/>
                <w:szCs w:val="18"/>
                <w:color w:val="auto"/>
              </w:rPr>
            </w:pPr>
          </w:p>
        </w:tc>
        <w:tc>
          <w:tcPr>
            <w:tcW w:w="220" w:type="dxa"/>
            <w:vAlign w:val="bottom"/>
            <w:tcBorders>
              <w:bottom w:val="single" w:sz="8" w:color="CFF0FC"/>
            </w:tcBorders>
            <w:shd w:val="clear" w:color="auto" w:fill="CFF0FC"/>
          </w:tcPr>
          <w:p>
            <w:pPr>
              <w:spacing w:after="0"/>
              <w:rPr>
                <w:sz w:val="18"/>
                <w:szCs w:val="18"/>
                <w:color w:val="auto"/>
              </w:rPr>
            </w:pPr>
          </w:p>
        </w:tc>
        <w:tc>
          <w:tcPr>
            <w:tcW w:w="780" w:type="dxa"/>
            <w:vAlign w:val="bottom"/>
            <w:tcBorders>
              <w:bottom w:val="single" w:sz="8" w:color="CFF0FC"/>
            </w:tcBorders>
            <w:shd w:val="clear" w:color="auto" w:fill="CFF0FC"/>
          </w:tcPr>
          <w:p>
            <w:pPr>
              <w:spacing w:after="0"/>
              <w:rPr>
                <w:sz w:val="18"/>
                <w:szCs w:val="18"/>
                <w:color w:val="auto"/>
              </w:rPr>
            </w:pPr>
          </w:p>
        </w:tc>
        <w:tc>
          <w:tcPr>
            <w:tcW w:w="220" w:type="dxa"/>
            <w:vAlign w:val="bottom"/>
            <w:tcBorders>
              <w:bottom w:val="single" w:sz="8" w:color="CFF0FC"/>
            </w:tcBorders>
            <w:shd w:val="clear" w:color="auto" w:fill="CFF0FC"/>
          </w:tcPr>
          <w:p>
            <w:pPr>
              <w:spacing w:after="0"/>
              <w:rPr>
                <w:sz w:val="18"/>
                <w:szCs w:val="18"/>
                <w:color w:val="auto"/>
              </w:rPr>
            </w:pPr>
          </w:p>
        </w:tc>
        <w:tc>
          <w:tcPr>
            <w:tcW w:w="780" w:type="dxa"/>
            <w:vAlign w:val="bottom"/>
            <w:tcBorders>
              <w:bottom w:val="single" w:sz="8" w:color="CFF0FC"/>
            </w:tcBorders>
            <w:shd w:val="clear" w:color="auto" w:fill="CFF0FC"/>
          </w:tcPr>
          <w:p>
            <w:pPr>
              <w:spacing w:after="0"/>
              <w:rPr>
                <w:sz w:val="18"/>
                <w:szCs w:val="18"/>
                <w:color w:val="auto"/>
              </w:rPr>
            </w:pPr>
          </w:p>
        </w:tc>
        <w:tc>
          <w:tcPr>
            <w:tcW w:w="220" w:type="dxa"/>
            <w:vAlign w:val="bottom"/>
            <w:tcBorders>
              <w:bottom w:val="single" w:sz="8" w:color="CFF0FC"/>
            </w:tcBorders>
            <w:shd w:val="clear" w:color="auto" w:fill="CFF0FC"/>
          </w:tcPr>
          <w:p>
            <w:pPr>
              <w:spacing w:after="0"/>
              <w:rPr>
                <w:sz w:val="18"/>
                <w:szCs w:val="18"/>
                <w:color w:val="auto"/>
              </w:rPr>
            </w:pPr>
          </w:p>
        </w:tc>
        <w:tc>
          <w:tcPr>
            <w:tcW w:w="980" w:type="dxa"/>
            <w:vAlign w:val="bottom"/>
            <w:tcBorders>
              <w:bottom w:val="single" w:sz="8" w:color="CFF0FC"/>
            </w:tcBorders>
            <w:shd w:val="clear" w:color="auto" w:fill="CFF0FC"/>
          </w:tcPr>
          <w:p>
            <w:pPr>
              <w:spacing w:after="0"/>
              <w:rPr>
                <w:sz w:val="18"/>
                <w:szCs w:val="18"/>
                <w:color w:val="auto"/>
              </w:rPr>
            </w:pPr>
          </w:p>
        </w:tc>
        <w:tc>
          <w:tcPr>
            <w:tcW w:w="220" w:type="dxa"/>
            <w:vAlign w:val="bottom"/>
            <w:tcBorders>
              <w:bottom w:val="single" w:sz="8" w:color="CFF0FC"/>
            </w:tcBorders>
            <w:shd w:val="clear" w:color="auto" w:fill="CFF0FC"/>
          </w:tcPr>
          <w:p>
            <w:pPr>
              <w:spacing w:after="0"/>
              <w:rPr>
                <w:sz w:val="18"/>
                <w:szCs w:val="18"/>
                <w:color w:val="auto"/>
              </w:rPr>
            </w:pPr>
          </w:p>
        </w:tc>
        <w:tc>
          <w:tcPr>
            <w:tcW w:w="400" w:type="dxa"/>
            <w:vAlign w:val="bottom"/>
            <w:tcBorders>
              <w:bottom w:val="single" w:sz="8" w:color="CFF0FC"/>
            </w:tcBorders>
            <w:shd w:val="clear" w:color="auto" w:fill="CFF0FC"/>
          </w:tcPr>
          <w:p>
            <w:pPr>
              <w:spacing w:after="0"/>
              <w:rPr>
                <w:sz w:val="18"/>
                <w:szCs w:val="18"/>
                <w:color w:val="auto"/>
              </w:rPr>
            </w:pPr>
          </w:p>
        </w:tc>
        <w:tc>
          <w:tcPr>
            <w:tcW w:w="500" w:type="dxa"/>
            <w:vAlign w:val="bottom"/>
            <w:tcBorders>
              <w:bottom w:val="single" w:sz="8" w:color="CFF0FC"/>
            </w:tcBorders>
            <w:shd w:val="clear" w:color="auto" w:fill="CFF0FC"/>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4220" w:type="dxa"/>
            <w:vAlign w:val="bottom"/>
            <w:gridSpan w:val="2"/>
          </w:tcPr>
          <w:p>
            <w:pPr>
              <w:ind w:left="500"/>
              <w:spacing w:after="0"/>
              <w:rPr>
                <w:sz w:val="20"/>
                <w:szCs w:val="20"/>
                <w:color w:val="auto"/>
              </w:rPr>
            </w:pPr>
            <w:r>
              <w:rPr>
                <w:rFonts w:ascii="Arial" w:cs="Arial" w:eastAsia="Arial" w:hAnsi="Arial"/>
                <w:sz w:val="14"/>
                <w:szCs w:val="14"/>
                <w:color w:val="auto"/>
              </w:rPr>
              <w:t>Landsdale Village Singles</w:t>
            </w:r>
          </w:p>
        </w:tc>
        <w:tc>
          <w:tcPr>
            <w:tcW w:w="900" w:type="dxa"/>
            <w:vAlign w:val="bottom"/>
          </w:tcPr>
          <w:p>
            <w:pPr>
              <w:jc w:val="center"/>
              <w:spacing w:after="0"/>
              <w:rPr>
                <w:sz w:val="20"/>
                <w:szCs w:val="20"/>
                <w:color w:val="auto"/>
              </w:rPr>
            </w:pPr>
            <w:r>
              <w:rPr>
                <w:rFonts w:ascii="Arial" w:cs="Arial" w:eastAsia="Arial" w:hAnsi="Arial"/>
                <w:sz w:val="14"/>
                <w:szCs w:val="14"/>
                <w:color w:val="auto"/>
                <w:w w:val="83"/>
              </w:rPr>
              <w:t>2015</w:t>
            </w:r>
          </w:p>
        </w:tc>
        <w:tc>
          <w:tcPr>
            <w:tcW w:w="120" w:type="dxa"/>
            <w:vAlign w:val="bottom"/>
          </w:tcPr>
          <w:p>
            <w:pPr>
              <w:spacing w:after="0"/>
              <w:rPr>
                <w:sz w:val="19"/>
                <w:szCs w:val="19"/>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125</w:t>
            </w:r>
          </w:p>
        </w:tc>
        <w:tc>
          <w:tcPr>
            <w:tcW w:w="220" w:type="dxa"/>
            <w:vAlign w:val="bottom"/>
          </w:tcPr>
          <w:p>
            <w:pPr>
              <w:spacing w:after="0"/>
              <w:rPr>
                <w:sz w:val="19"/>
                <w:szCs w:val="19"/>
                <w:color w:val="auto"/>
              </w:rPr>
            </w:pPr>
          </w:p>
        </w:tc>
        <w:tc>
          <w:tcPr>
            <w:tcW w:w="1080" w:type="dxa"/>
            <w:vAlign w:val="bottom"/>
            <w:gridSpan w:val="2"/>
          </w:tcPr>
          <w:p>
            <w:pPr>
              <w:jc w:val="right"/>
              <w:ind w:right="240"/>
              <w:spacing w:after="0"/>
              <w:rPr>
                <w:sz w:val="20"/>
                <w:szCs w:val="20"/>
                <w:color w:val="auto"/>
              </w:rPr>
            </w:pPr>
            <w:r>
              <w:rPr>
                <w:rFonts w:ascii="Arial" w:cs="Arial" w:eastAsia="Arial" w:hAnsi="Arial"/>
                <w:sz w:val="18"/>
                <w:szCs w:val="18"/>
                <w:color w:val="auto"/>
              </w:rPr>
              <w:t>—</w:t>
            </w:r>
          </w:p>
        </w:tc>
        <w:tc>
          <w:tcPr>
            <w:tcW w:w="780" w:type="dxa"/>
            <w:vAlign w:val="bottom"/>
          </w:tcPr>
          <w:p>
            <w:pPr>
              <w:jc w:val="right"/>
              <w:spacing w:after="0"/>
              <w:rPr>
                <w:sz w:val="20"/>
                <w:szCs w:val="20"/>
                <w:color w:val="auto"/>
              </w:rPr>
            </w:pPr>
            <w:r>
              <w:rPr>
                <w:rFonts w:ascii="Arial" w:cs="Arial" w:eastAsia="Arial" w:hAnsi="Arial"/>
                <w:sz w:val="14"/>
                <w:szCs w:val="14"/>
                <w:color w:val="auto"/>
              </w:rPr>
              <w:t>125</w:t>
            </w:r>
          </w:p>
        </w:tc>
        <w:tc>
          <w:tcPr>
            <w:tcW w:w="220" w:type="dxa"/>
            <w:vAlign w:val="bottom"/>
          </w:tcPr>
          <w:p>
            <w:pPr>
              <w:spacing w:after="0"/>
              <w:rPr>
                <w:sz w:val="19"/>
                <w:szCs w:val="19"/>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6</w:t>
            </w:r>
          </w:p>
        </w:tc>
        <w:tc>
          <w:tcPr>
            <w:tcW w:w="220" w:type="dxa"/>
            <w:vAlign w:val="bottom"/>
          </w:tcPr>
          <w:p>
            <w:pPr>
              <w:spacing w:after="0"/>
              <w:rPr>
                <w:sz w:val="19"/>
                <w:szCs w:val="19"/>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w:t>
            </w:r>
          </w:p>
        </w:tc>
        <w:tc>
          <w:tcPr>
            <w:tcW w:w="620" w:type="dxa"/>
            <w:vAlign w:val="bottom"/>
            <w:gridSpan w:val="2"/>
          </w:tcPr>
          <w:p>
            <w:pPr>
              <w:jc w:val="right"/>
              <w:spacing w:after="0"/>
              <w:rPr>
                <w:sz w:val="20"/>
                <w:szCs w:val="20"/>
                <w:color w:val="auto"/>
              </w:rPr>
            </w:pPr>
            <w:r>
              <w:rPr>
                <w:rFonts w:ascii="Arial" w:cs="Arial" w:eastAsia="Arial" w:hAnsi="Arial"/>
                <w:sz w:val="14"/>
                <w:szCs w:val="14"/>
                <w:color w:val="auto"/>
              </w:rPr>
              <w:t>$465</w:t>
            </w:r>
          </w:p>
        </w:tc>
        <w:tc>
          <w:tcPr>
            <w:tcW w:w="500" w:type="dxa"/>
            <w:vAlign w:val="bottom"/>
          </w:tcPr>
          <w:p>
            <w:pPr>
              <w:ind w:left="20"/>
              <w:spacing w:after="0"/>
              <w:rPr>
                <w:sz w:val="20"/>
                <w:szCs w:val="20"/>
                <w:color w:val="auto"/>
              </w:rPr>
            </w:pPr>
            <w:r>
              <w:rPr>
                <w:rFonts w:ascii="Arial" w:cs="Arial" w:eastAsia="Arial" w:hAnsi="Arial"/>
                <w:sz w:val="14"/>
                <w:szCs w:val="14"/>
                <w:color w:val="auto"/>
              </w:rPr>
              <w:t>- $570</w:t>
            </w:r>
          </w:p>
        </w:tc>
        <w:tc>
          <w:tcPr>
            <w:tcW w:w="0" w:type="dxa"/>
            <w:vAlign w:val="bottom"/>
          </w:tcPr>
          <w:p>
            <w:pPr>
              <w:spacing w:after="0"/>
              <w:rPr>
                <w:sz w:val="1"/>
                <w:szCs w:val="1"/>
                <w:color w:val="auto"/>
              </w:rPr>
            </w:pPr>
          </w:p>
        </w:tc>
      </w:tr>
      <w:tr>
        <w:trPr>
          <w:trHeight w:val="230"/>
        </w:trPr>
        <w:tc>
          <w:tcPr>
            <w:tcW w:w="4220" w:type="dxa"/>
            <w:vAlign w:val="bottom"/>
            <w:gridSpan w:val="2"/>
            <w:shd w:val="clear" w:color="auto" w:fill="CFF0FC"/>
          </w:tcPr>
          <w:p>
            <w:pPr>
              <w:ind w:left="500"/>
              <w:spacing w:after="0"/>
              <w:rPr>
                <w:sz w:val="20"/>
                <w:szCs w:val="20"/>
                <w:color w:val="auto"/>
              </w:rPr>
            </w:pPr>
            <w:r>
              <w:rPr>
                <w:rFonts w:ascii="Arial" w:cs="Arial" w:eastAsia="Arial" w:hAnsi="Arial"/>
                <w:sz w:val="14"/>
                <w:szCs w:val="14"/>
                <w:color w:val="auto"/>
              </w:rPr>
              <w:t>Landsdale Lifestyle Singles</w:t>
            </w:r>
          </w:p>
        </w:tc>
        <w:tc>
          <w:tcPr>
            <w:tcW w:w="900" w:type="dxa"/>
            <w:vAlign w:val="bottom"/>
            <w:shd w:val="clear" w:color="auto" w:fill="CFF0FC"/>
          </w:tcPr>
          <w:p>
            <w:pPr>
              <w:jc w:val="center"/>
              <w:spacing w:after="0"/>
              <w:rPr>
                <w:sz w:val="20"/>
                <w:szCs w:val="20"/>
                <w:color w:val="auto"/>
              </w:rPr>
            </w:pPr>
            <w:r>
              <w:rPr>
                <w:rFonts w:ascii="Arial" w:cs="Arial" w:eastAsia="Arial" w:hAnsi="Arial"/>
                <w:sz w:val="14"/>
                <w:szCs w:val="14"/>
                <w:color w:val="auto"/>
                <w:w w:val="83"/>
              </w:rPr>
              <w:t>2015</w:t>
            </w:r>
          </w:p>
        </w:tc>
        <w:tc>
          <w:tcPr>
            <w:tcW w:w="120" w:type="dxa"/>
            <w:vAlign w:val="bottom"/>
            <w:shd w:val="clear" w:color="auto" w:fill="CFF0FC"/>
          </w:tcPr>
          <w:p>
            <w:pPr>
              <w:spacing w:after="0"/>
              <w:rPr>
                <w:sz w:val="19"/>
                <w:szCs w:val="19"/>
                <w:color w:val="auto"/>
              </w:rPr>
            </w:pPr>
          </w:p>
        </w:tc>
        <w:tc>
          <w:tcPr>
            <w:tcW w:w="7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97</w:t>
            </w:r>
          </w:p>
        </w:tc>
        <w:tc>
          <w:tcPr>
            <w:tcW w:w="220" w:type="dxa"/>
            <w:vAlign w:val="bottom"/>
            <w:shd w:val="clear" w:color="auto" w:fill="CFF0FC"/>
          </w:tcPr>
          <w:p>
            <w:pPr>
              <w:spacing w:after="0"/>
              <w:rPr>
                <w:sz w:val="19"/>
                <w:szCs w:val="19"/>
                <w:color w:val="auto"/>
              </w:rPr>
            </w:pPr>
          </w:p>
        </w:tc>
        <w:tc>
          <w:tcPr>
            <w:tcW w:w="1080" w:type="dxa"/>
            <w:vAlign w:val="bottom"/>
            <w:gridSpan w:val="2"/>
            <w:shd w:val="clear" w:color="auto" w:fill="CFF0FC"/>
          </w:tcPr>
          <w:p>
            <w:pPr>
              <w:jc w:val="right"/>
              <w:ind w:right="240"/>
              <w:spacing w:after="0"/>
              <w:rPr>
                <w:sz w:val="20"/>
                <w:szCs w:val="20"/>
                <w:color w:val="auto"/>
              </w:rPr>
            </w:pPr>
            <w:r>
              <w:rPr>
                <w:rFonts w:ascii="Arial" w:cs="Arial" w:eastAsia="Arial" w:hAnsi="Arial"/>
                <w:sz w:val="18"/>
                <w:szCs w:val="18"/>
                <w:color w:val="auto"/>
              </w:rPr>
              <w:t>—</w:t>
            </w:r>
          </w:p>
        </w:tc>
        <w:tc>
          <w:tcPr>
            <w:tcW w:w="7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97</w:t>
            </w:r>
          </w:p>
        </w:tc>
        <w:tc>
          <w:tcPr>
            <w:tcW w:w="220" w:type="dxa"/>
            <w:vAlign w:val="bottom"/>
            <w:shd w:val="clear" w:color="auto" w:fill="CFF0FC"/>
          </w:tcPr>
          <w:p>
            <w:pPr>
              <w:spacing w:after="0"/>
              <w:rPr>
                <w:sz w:val="19"/>
                <w:szCs w:val="19"/>
                <w:color w:val="auto"/>
              </w:rPr>
            </w:pPr>
          </w:p>
        </w:tc>
        <w:tc>
          <w:tcPr>
            <w:tcW w:w="1000" w:type="dxa"/>
            <w:vAlign w:val="bottom"/>
            <w:gridSpan w:val="2"/>
            <w:shd w:val="clear" w:color="auto" w:fill="CFF0FC"/>
          </w:tcPr>
          <w:p>
            <w:pPr>
              <w:jc w:val="right"/>
              <w:ind w:right="240"/>
              <w:spacing w:after="0"/>
              <w:rPr>
                <w:sz w:val="20"/>
                <w:szCs w:val="20"/>
                <w:color w:val="auto"/>
              </w:rPr>
            </w:pPr>
            <w:r>
              <w:rPr>
                <w:rFonts w:ascii="Arial" w:cs="Arial" w:eastAsia="Arial" w:hAnsi="Arial"/>
                <w:sz w:val="18"/>
                <w:szCs w:val="18"/>
                <w:color w:val="auto"/>
              </w:rPr>
              <w:t>—</w:t>
            </w:r>
          </w:p>
        </w:tc>
        <w:tc>
          <w:tcPr>
            <w:tcW w:w="9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620" w:type="dxa"/>
            <w:vAlign w:val="bottom"/>
            <w:gridSpan w:val="2"/>
            <w:shd w:val="clear" w:color="auto" w:fill="CFF0FC"/>
          </w:tcPr>
          <w:p>
            <w:pPr>
              <w:jc w:val="right"/>
              <w:spacing w:after="0"/>
              <w:rPr>
                <w:sz w:val="20"/>
                <w:szCs w:val="20"/>
                <w:color w:val="auto"/>
              </w:rPr>
            </w:pPr>
            <w:r>
              <w:rPr>
                <w:rFonts w:ascii="Arial" w:cs="Arial" w:eastAsia="Arial" w:hAnsi="Arial"/>
                <w:sz w:val="14"/>
                <w:szCs w:val="14"/>
                <w:color w:val="auto"/>
              </w:rPr>
              <w:t>$535</w:t>
            </w:r>
          </w:p>
        </w:tc>
        <w:tc>
          <w:tcPr>
            <w:tcW w:w="500" w:type="dxa"/>
            <w:vAlign w:val="bottom"/>
            <w:shd w:val="clear" w:color="auto" w:fill="CFF0FC"/>
          </w:tcPr>
          <w:p>
            <w:pPr>
              <w:ind w:left="20"/>
              <w:spacing w:after="0"/>
              <w:rPr>
                <w:sz w:val="20"/>
                <w:szCs w:val="20"/>
                <w:color w:val="auto"/>
              </w:rPr>
            </w:pPr>
            <w:r>
              <w:rPr>
                <w:rFonts w:ascii="Arial" w:cs="Arial" w:eastAsia="Arial" w:hAnsi="Arial"/>
                <w:sz w:val="14"/>
                <w:szCs w:val="14"/>
                <w:color w:val="auto"/>
              </w:rPr>
              <w:t>- $635</w:t>
            </w:r>
          </w:p>
        </w:tc>
        <w:tc>
          <w:tcPr>
            <w:tcW w:w="0" w:type="dxa"/>
            <w:vAlign w:val="bottom"/>
          </w:tcPr>
          <w:p>
            <w:pPr>
              <w:spacing w:after="0"/>
              <w:rPr>
                <w:sz w:val="1"/>
                <w:szCs w:val="1"/>
                <w:color w:val="auto"/>
              </w:rPr>
            </w:pPr>
          </w:p>
        </w:tc>
      </w:tr>
      <w:tr>
        <w:trPr>
          <w:trHeight w:val="230"/>
        </w:trPr>
        <w:tc>
          <w:tcPr>
            <w:tcW w:w="4220" w:type="dxa"/>
            <w:vAlign w:val="bottom"/>
            <w:gridSpan w:val="2"/>
          </w:tcPr>
          <w:p>
            <w:pPr>
              <w:ind w:left="500"/>
              <w:spacing w:after="0"/>
              <w:rPr>
                <w:sz w:val="20"/>
                <w:szCs w:val="20"/>
                <w:color w:val="auto"/>
              </w:rPr>
            </w:pPr>
            <w:r>
              <w:rPr>
                <w:rFonts w:ascii="Arial" w:cs="Arial" w:eastAsia="Arial" w:hAnsi="Arial"/>
                <w:sz w:val="14"/>
                <w:szCs w:val="14"/>
                <w:color w:val="auto"/>
              </w:rPr>
              <w:t>Landsdale Everson Townhomes</w:t>
            </w:r>
          </w:p>
        </w:tc>
        <w:tc>
          <w:tcPr>
            <w:tcW w:w="900" w:type="dxa"/>
            <w:vAlign w:val="bottom"/>
          </w:tcPr>
          <w:p>
            <w:pPr>
              <w:jc w:val="center"/>
              <w:spacing w:after="0"/>
              <w:rPr>
                <w:sz w:val="20"/>
                <w:szCs w:val="20"/>
                <w:color w:val="auto"/>
              </w:rPr>
            </w:pPr>
            <w:r>
              <w:rPr>
                <w:rFonts w:ascii="Arial" w:cs="Arial" w:eastAsia="Arial" w:hAnsi="Arial"/>
                <w:sz w:val="14"/>
                <w:szCs w:val="14"/>
                <w:color w:val="auto"/>
                <w:w w:val="83"/>
              </w:rPr>
              <w:t>2015</w:t>
            </w:r>
          </w:p>
        </w:tc>
        <w:tc>
          <w:tcPr>
            <w:tcW w:w="120" w:type="dxa"/>
            <w:vAlign w:val="bottom"/>
          </w:tcPr>
          <w:p>
            <w:pPr>
              <w:spacing w:after="0"/>
              <w:rPr>
                <w:sz w:val="19"/>
                <w:szCs w:val="19"/>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100</w:t>
            </w:r>
          </w:p>
        </w:tc>
        <w:tc>
          <w:tcPr>
            <w:tcW w:w="220" w:type="dxa"/>
            <w:vAlign w:val="bottom"/>
          </w:tcPr>
          <w:p>
            <w:pPr>
              <w:spacing w:after="0"/>
              <w:rPr>
                <w:sz w:val="19"/>
                <w:szCs w:val="19"/>
                <w:color w:val="auto"/>
              </w:rPr>
            </w:pPr>
          </w:p>
        </w:tc>
        <w:tc>
          <w:tcPr>
            <w:tcW w:w="1080" w:type="dxa"/>
            <w:vAlign w:val="bottom"/>
            <w:gridSpan w:val="2"/>
          </w:tcPr>
          <w:p>
            <w:pPr>
              <w:jc w:val="right"/>
              <w:ind w:right="240"/>
              <w:spacing w:after="0"/>
              <w:rPr>
                <w:sz w:val="20"/>
                <w:szCs w:val="20"/>
                <w:color w:val="auto"/>
              </w:rPr>
            </w:pPr>
            <w:r>
              <w:rPr>
                <w:rFonts w:ascii="Arial" w:cs="Arial" w:eastAsia="Arial" w:hAnsi="Arial"/>
                <w:sz w:val="18"/>
                <w:szCs w:val="18"/>
                <w:color w:val="auto"/>
              </w:rPr>
              <w:t>—</w:t>
            </w:r>
          </w:p>
        </w:tc>
        <w:tc>
          <w:tcPr>
            <w:tcW w:w="780" w:type="dxa"/>
            <w:vAlign w:val="bottom"/>
          </w:tcPr>
          <w:p>
            <w:pPr>
              <w:jc w:val="right"/>
              <w:spacing w:after="0"/>
              <w:rPr>
                <w:sz w:val="20"/>
                <w:szCs w:val="20"/>
                <w:color w:val="auto"/>
              </w:rPr>
            </w:pPr>
            <w:r>
              <w:rPr>
                <w:rFonts w:ascii="Arial" w:cs="Arial" w:eastAsia="Arial" w:hAnsi="Arial"/>
                <w:sz w:val="14"/>
                <w:szCs w:val="14"/>
                <w:color w:val="auto"/>
              </w:rPr>
              <w:t>100</w:t>
            </w:r>
          </w:p>
        </w:tc>
        <w:tc>
          <w:tcPr>
            <w:tcW w:w="220" w:type="dxa"/>
            <w:vAlign w:val="bottom"/>
          </w:tcPr>
          <w:p>
            <w:pPr>
              <w:spacing w:after="0"/>
              <w:rPr>
                <w:sz w:val="19"/>
                <w:szCs w:val="19"/>
                <w:color w:val="auto"/>
              </w:rPr>
            </w:pPr>
          </w:p>
        </w:tc>
        <w:tc>
          <w:tcPr>
            <w:tcW w:w="1000" w:type="dxa"/>
            <w:vAlign w:val="bottom"/>
            <w:gridSpan w:val="2"/>
          </w:tcPr>
          <w:p>
            <w:pPr>
              <w:jc w:val="right"/>
              <w:ind w:right="240"/>
              <w:spacing w:after="0"/>
              <w:rPr>
                <w:sz w:val="20"/>
                <w:szCs w:val="20"/>
                <w:color w:val="auto"/>
              </w:rPr>
            </w:pPr>
            <w:r>
              <w:rPr>
                <w:rFonts w:ascii="Arial" w:cs="Arial" w:eastAsia="Arial" w:hAnsi="Arial"/>
                <w:sz w:val="18"/>
                <w:szCs w:val="18"/>
                <w:color w:val="auto"/>
              </w:rPr>
              <w:t>—</w:t>
            </w:r>
          </w:p>
        </w:tc>
        <w:tc>
          <w:tcPr>
            <w:tcW w:w="980" w:type="dxa"/>
            <w:vAlign w:val="bottom"/>
          </w:tcPr>
          <w:p>
            <w:pPr>
              <w:jc w:val="right"/>
              <w:spacing w:after="0"/>
              <w:rPr>
                <w:sz w:val="20"/>
                <w:szCs w:val="20"/>
                <w:color w:val="auto"/>
              </w:rPr>
            </w:pPr>
            <w:r>
              <w:rPr>
                <w:rFonts w:ascii="Arial" w:cs="Arial" w:eastAsia="Arial" w:hAnsi="Arial"/>
                <w:sz w:val="18"/>
                <w:szCs w:val="18"/>
                <w:color w:val="auto"/>
              </w:rPr>
              <w:t>—</w:t>
            </w:r>
          </w:p>
        </w:tc>
        <w:tc>
          <w:tcPr>
            <w:tcW w:w="620" w:type="dxa"/>
            <w:vAlign w:val="bottom"/>
            <w:gridSpan w:val="2"/>
          </w:tcPr>
          <w:p>
            <w:pPr>
              <w:jc w:val="right"/>
              <w:spacing w:after="0"/>
              <w:rPr>
                <w:sz w:val="20"/>
                <w:szCs w:val="20"/>
                <w:color w:val="auto"/>
              </w:rPr>
            </w:pPr>
            <w:r>
              <w:rPr>
                <w:rFonts w:ascii="Arial" w:cs="Arial" w:eastAsia="Arial" w:hAnsi="Arial"/>
                <w:sz w:val="14"/>
                <w:szCs w:val="14"/>
                <w:color w:val="auto"/>
              </w:rPr>
              <w:t>$350</w:t>
            </w:r>
          </w:p>
        </w:tc>
        <w:tc>
          <w:tcPr>
            <w:tcW w:w="500" w:type="dxa"/>
            <w:vAlign w:val="bottom"/>
          </w:tcPr>
          <w:p>
            <w:pPr>
              <w:ind w:left="20"/>
              <w:spacing w:after="0"/>
              <w:rPr>
                <w:sz w:val="20"/>
                <w:szCs w:val="20"/>
                <w:color w:val="auto"/>
              </w:rPr>
            </w:pPr>
            <w:r>
              <w:rPr>
                <w:rFonts w:ascii="Arial" w:cs="Arial" w:eastAsia="Arial" w:hAnsi="Arial"/>
                <w:sz w:val="14"/>
                <w:szCs w:val="14"/>
                <w:color w:val="auto"/>
              </w:rPr>
              <w:t>- $375</w:t>
            </w:r>
          </w:p>
        </w:tc>
        <w:tc>
          <w:tcPr>
            <w:tcW w:w="0" w:type="dxa"/>
            <w:vAlign w:val="bottom"/>
          </w:tcPr>
          <w:p>
            <w:pPr>
              <w:spacing w:after="0"/>
              <w:rPr>
                <w:sz w:val="1"/>
                <w:szCs w:val="1"/>
                <w:color w:val="auto"/>
              </w:rPr>
            </w:pPr>
          </w:p>
        </w:tc>
      </w:tr>
      <w:tr>
        <w:trPr>
          <w:trHeight w:val="230"/>
        </w:trPr>
        <w:tc>
          <w:tcPr>
            <w:tcW w:w="4220" w:type="dxa"/>
            <w:vAlign w:val="bottom"/>
            <w:gridSpan w:val="2"/>
            <w:shd w:val="clear" w:color="auto" w:fill="CFF0FC"/>
          </w:tcPr>
          <w:p>
            <w:pPr>
              <w:ind w:left="500"/>
              <w:spacing w:after="0"/>
              <w:rPr>
                <w:sz w:val="20"/>
                <w:szCs w:val="20"/>
                <w:color w:val="auto"/>
              </w:rPr>
            </w:pPr>
            <w:r>
              <w:rPr>
                <w:rFonts w:ascii="Arial" w:cs="Arial" w:eastAsia="Arial" w:hAnsi="Arial"/>
                <w:sz w:val="14"/>
                <w:szCs w:val="14"/>
                <w:color w:val="auto"/>
              </w:rPr>
              <w:t>Landsdale TND Neo Everson SFD</w:t>
            </w:r>
          </w:p>
        </w:tc>
        <w:tc>
          <w:tcPr>
            <w:tcW w:w="900" w:type="dxa"/>
            <w:vAlign w:val="bottom"/>
            <w:shd w:val="clear" w:color="auto" w:fill="CFF0FC"/>
          </w:tcPr>
          <w:p>
            <w:pPr>
              <w:jc w:val="center"/>
              <w:spacing w:after="0"/>
              <w:rPr>
                <w:sz w:val="20"/>
                <w:szCs w:val="20"/>
                <w:color w:val="auto"/>
              </w:rPr>
            </w:pPr>
            <w:r>
              <w:rPr>
                <w:rFonts w:ascii="Arial" w:cs="Arial" w:eastAsia="Arial" w:hAnsi="Arial"/>
                <w:sz w:val="14"/>
                <w:szCs w:val="14"/>
                <w:color w:val="auto"/>
                <w:w w:val="83"/>
              </w:rPr>
              <w:t>2015</w:t>
            </w:r>
          </w:p>
        </w:tc>
        <w:tc>
          <w:tcPr>
            <w:tcW w:w="120" w:type="dxa"/>
            <w:vAlign w:val="bottom"/>
            <w:shd w:val="clear" w:color="auto" w:fill="CFF0FC"/>
          </w:tcPr>
          <w:p>
            <w:pPr>
              <w:spacing w:after="0"/>
              <w:rPr>
                <w:sz w:val="19"/>
                <w:szCs w:val="19"/>
                <w:color w:val="auto"/>
              </w:rPr>
            </w:pPr>
          </w:p>
        </w:tc>
        <w:tc>
          <w:tcPr>
            <w:tcW w:w="7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77</w:t>
            </w:r>
          </w:p>
        </w:tc>
        <w:tc>
          <w:tcPr>
            <w:tcW w:w="220" w:type="dxa"/>
            <w:vAlign w:val="bottom"/>
            <w:shd w:val="clear" w:color="auto" w:fill="CFF0FC"/>
          </w:tcPr>
          <w:p>
            <w:pPr>
              <w:spacing w:after="0"/>
              <w:rPr>
                <w:sz w:val="19"/>
                <w:szCs w:val="19"/>
                <w:color w:val="auto"/>
              </w:rPr>
            </w:pPr>
          </w:p>
        </w:tc>
        <w:tc>
          <w:tcPr>
            <w:tcW w:w="1080" w:type="dxa"/>
            <w:vAlign w:val="bottom"/>
            <w:gridSpan w:val="2"/>
            <w:shd w:val="clear" w:color="auto" w:fill="CFF0FC"/>
          </w:tcPr>
          <w:p>
            <w:pPr>
              <w:jc w:val="right"/>
              <w:ind w:right="240"/>
              <w:spacing w:after="0"/>
              <w:rPr>
                <w:sz w:val="20"/>
                <w:szCs w:val="20"/>
                <w:color w:val="auto"/>
              </w:rPr>
            </w:pPr>
            <w:r>
              <w:rPr>
                <w:rFonts w:ascii="Arial" w:cs="Arial" w:eastAsia="Arial" w:hAnsi="Arial"/>
                <w:sz w:val="18"/>
                <w:szCs w:val="18"/>
                <w:color w:val="auto"/>
              </w:rPr>
              <w:t>—</w:t>
            </w:r>
          </w:p>
        </w:tc>
        <w:tc>
          <w:tcPr>
            <w:tcW w:w="7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77</w:t>
            </w:r>
          </w:p>
        </w:tc>
        <w:tc>
          <w:tcPr>
            <w:tcW w:w="220" w:type="dxa"/>
            <w:vAlign w:val="bottom"/>
            <w:shd w:val="clear" w:color="auto" w:fill="CFF0FC"/>
          </w:tcPr>
          <w:p>
            <w:pPr>
              <w:spacing w:after="0"/>
              <w:rPr>
                <w:sz w:val="19"/>
                <w:szCs w:val="19"/>
                <w:color w:val="auto"/>
              </w:rPr>
            </w:pPr>
          </w:p>
        </w:tc>
        <w:tc>
          <w:tcPr>
            <w:tcW w:w="1000" w:type="dxa"/>
            <w:vAlign w:val="bottom"/>
            <w:gridSpan w:val="2"/>
            <w:shd w:val="clear" w:color="auto" w:fill="CFF0FC"/>
          </w:tcPr>
          <w:p>
            <w:pPr>
              <w:jc w:val="right"/>
              <w:ind w:right="240"/>
              <w:spacing w:after="0"/>
              <w:rPr>
                <w:sz w:val="20"/>
                <w:szCs w:val="20"/>
                <w:color w:val="auto"/>
              </w:rPr>
            </w:pPr>
            <w:r>
              <w:rPr>
                <w:rFonts w:ascii="Arial" w:cs="Arial" w:eastAsia="Arial" w:hAnsi="Arial"/>
                <w:sz w:val="18"/>
                <w:szCs w:val="18"/>
                <w:color w:val="auto"/>
              </w:rPr>
              <w:t>—</w:t>
            </w:r>
          </w:p>
        </w:tc>
        <w:tc>
          <w:tcPr>
            <w:tcW w:w="9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w:t>
            </w:r>
          </w:p>
        </w:tc>
        <w:tc>
          <w:tcPr>
            <w:tcW w:w="620" w:type="dxa"/>
            <w:vAlign w:val="bottom"/>
            <w:gridSpan w:val="2"/>
            <w:shd w:val="clear" w:color="auto" w:fill="CFF0FC"/>
          </w:tcPr>
          <w:p>
            <w:pPr>
              <w:jc w:val="right"/>
              <w:spacing w:after="0"/>
              <w:rPr>
                <w:sz w:val="20"/>
                <w:szCs w:val="20"/>
                <w:color w:val="auto"/>
              </w:rPr>
            </w:pPr>
            <w:r>
              <w:rPr>
                <w:rFonts w:ascii="Arial" w:cs="Arial" w:eastAsia="Arial" w:hAnsi="Arial"/>
                <w:sz w:val="14"/>
                <w:szCs w:val="14"/>
                <w:color w:val="auto"/>
              </w:rPr>
              <w:t>$465</w:t>
            </w:r>
          </w:p>
        </w:tc>
        <w:tc>
          <w:tcPr>
            <w:tcW w:w="500" w:type="dxa"/>
            <w:vAlign w:val="bottom"/>
            <w:shd w:val="clear" w:color="auto" w:fill="CFF0FC"/>
          </w:tcPr>
          <w:p>
            <w:pPr>
              <w:ind w:left="20"/>
              <w:spacing w:after="0"/>
              <w:rPr>
                <w:sz w:val="20"/>
                <w:szCs w:val="20"/>
                <w:color w:val="auto"/>
              </w:rPr>
            </w:pPr>
            <w:r>
              <w:rPr>
                <w:rFonts w:ascii="Arial" w:cs="Arial" w:eastAsia="Arial" w:hAnsi="Arial"/>
                <w:sz w:val="14"/>
                <w:szCs w:val="14"/>
                <w:color w:val="auto"/>
              </w:rPr>
              <w:t>- $595</w:t>
            </w:r>
          </w:p>
        </w:tc>
        <w:tc>
          <w:tcPr>
            <w:tcW w:w="0" w:type="dxa"/>
            <w:vAlign w:val="bottom"/>
          </w:tcPr>
          <w:p>
            <w:pPr>
              <w:spacing w:after="0"/>
              <w:rPr>
                <w:sz w:val="1"/>
                <w:szCs w:val="1"/>
                <w:color w:val="auto"/>
              </w:rPr>
            </w:pPr>
          </w:p>
        </w:tc>
      </w:tr>
      <w:tr>
        <w:trPr>
          <w:trHeight w:val="162"/>
        </w:trPr>
        <w:tc>
          <w:tcPr>
            <w:tcW w:w="4220" w:type="dxa"/>
            <w:vAlign w:val="bottom"/>
            <w:gridSpan w:val="2"/>
          </w:tcPr>
          <w:p>
            <w:pPr>
              <w:spacing w:after="0"/>
              <w:rPr>
                <w:sz w:val="20"/>
                <w:szCs w:val="20"/>
                <w:color w:val="auto"/>
              </w:rPr>
            </w:pPr>
            <w:r>
              <w:rPr>
                <w:rFonts w:ascii="Arial" w:cs="Arial" w:eastAsia="Arial" w:hAnsi="Arial"/>
                <w:sz w:val="14"/>
                <w:szCs w:val="14"/>
                <w:color w:val="auto"/>
              </w:rPr>
              <w:t>Howard County:</w:t>
            </w:r>
          </w:p>
        </w:tc>
        <w:tc>
          <w:tcPr>
            <w:tcW w:w="9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4220" w:type="dxa"/>
            <w:vAlign w:val="bottom"/>
            <w:gridSpan w:val="2"/>
            <w:shd w:val="clear" w:color="auto" w:fill="CFF0FC"/>
          </w:tcPr>
          <w:p>
            <w:pPr>
              <w:ind w:left="260"/>
              <w:spacing w:after="0"/>
              <w:rPr>
                <w:sz w:val="20"/>
                <w:szCs w:val="20"/>
                <w:color w:val="auto"/>
              </w:rPr>
            </w:pPr>
            <w:r>
              <w:rPr>
                <w:rFonts w:ascii="Arial" w:cs="Arial" w:eastAsia="Arial" w:hAnsi="Arial"/>
                <w:sz w:val="14"/>
                <w:szCs w:val="14"/>
                <w:color w:val="auto"/>
              </w:rPr>
              <w:t>Walnut Creek, Ellicott City</w:t>
            </w:r>
          </w:p>
        </w:tc>
        <w:tc>
          <w:tcPr>
            <w:tcW w:w="900" w:type="dxa"/>
            <w:vAlign w:val="bottom"/>
            <w:shd w:val="clear" w:color="auto" w:fill="CFF0FC"/>
          </w:tcPr>
          <w:p>
            <w:pPr>
              <w:jc w:val="center"/>
              <w:spacing w:after="0"/>
              <w:rPr>
                <w:sz w:val="20"/>
                <w:szCs w:val="20"/>
                <w:color w:val="auto"/>
              </w:rPr>
            </w:pPr>
            <w:r>
              <w:rPr>
                <w:rFonts w:ascii="Arial" w:cs="Arial" w:eastAsia="Arial" w:hAnsi="Arial"/>
                <w:sz w:val="14"/>
                <w:szCs w:val="14"/>
                <w:color w:val="auto"/>
                <w:w w:val="83"/>
              </w:rPr>
              <w:t>2014</w:t>
            </w:r>
          </w:p>
        </w:tc>
        <w:tc>
          <w:tcPr>
            <w:tcW w:w="120" w:type="dxa"/>
            <w:vAlign w:val="bottom"/>
            <w:shd w:val="clear" w:color="auto" w:fill="CFF0FC"/>
          </w:tcPr>
          <w:p>
            <w:pPr>
              <w:spacing w:after="0"/>
              <w:rPr>
                <w:sz w:val="14"/>
                <w:szCs w:val="14"/>
                <w:color w:val="auto"/>
              </w:rPr>
            </w:pPr>
          </w:p>
        </w:tc>
        <w:tc>
          <w:tcPr>
            <w:tcW w:w="7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15</w:t>
            </w:r>
          </w:p>
        </w:tc>
        <w:tc>
          <w:tcPr>
            <w:tcW w:w="220" w:type="dxa"/>
            <w:vAlign w:val="bottom"/>
            <w:shd w:val="clear" w:color="auto" w:fill="CFF0FC"/>
          </w:tcPr>
          <w:p>
            <w:pPr>
              <w:spacing w:after="0"/>
              <w:rPr>
                <w:sz w:val="14"/>
                <w:szCs w:val="14"/>
                <w:color w:val="auto"/>
              </w:rPr>
            </w:pPr>
          </w:p>
        </w:tc>
        <w:tc>
          <w:tcPr>
            <w:tcW w:w="860" w:type="dxa"/>
            <w:vAlign w:val="bottom"/>
            <w:shd w:val="clear" w:color="auto" w:fill="CFF0FC"/>
          </w:tcPr>
          <w:p>
            <w:pPr>
              <w:jc w:val="right"/>
              <w:spacing w:after="0"/>
              <w:rPr>
                <w:sz w:val="20"/>
                <w:szCs w:val="20"/>
                <w:color w:val="auto"/>
              </w:rPr>
            </w:pPr>
            <w:r>
              <w:rPr>
                <w:rFonts w:ascii="Arial" w:cs="Arial" w:eastAsia="Arial" w:hAnsi="Arial"/>
                <w:sz w:val="14"/>
                <w:szCs w:val="14"/>
                <w:color w:val="auto"/>
              </w:rPr>
              <w:t>12</w:t>
            </w:r>
          </w:p>
        </w:tc>
        <w:tc>
          <w:tcPr>
            <w:tcW w:w="220" w:type="dxa"/>
            <w:vAlign w:val="bottom"/>
            <w:shd w:val="clear" w:color="auto" w:fill="CFF0FC"/>
          </w:tcPr>
          <w:p>
            <w:pPr>
              <w:spacing w:after="0"/>
              <w:rPr>
                <w:sz w:val="14"/>
                <w:szCs w:val="14"/>
                <w:color w:val="auto"/>
              </w:rPr>
            </w:pPr>
          </w:p>
        </w:tc>
        <w:tc>
          <w:tcPr>
            <w:tcW w:w="7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3</w:t>
            </w:r>
          </w:p>
        </w:tc>
        <w:tc>
          <w:tcPr>
            <w:tcW w:w="220" w:type="dxa"/>
            <w:vAlign w:val="bottom"/>
            <w:shd w:val="clear" w:color="auto" w:fill="CFF0FC"/>
          </w:tcPr>
          <w:p>
            <w:pPr>
              <w:spacing w:after="0"/>
              <w:rPr>
                <w:sz w:val="14"/>
                <w:szCs w:val="14"/>
                <w:color w:val="auto"/>
              </w:rPr>
            </w:pPr>
          </w:p>
        </w:tc>
        <w:tc>
          <w:tcPr>
            <w:tcW w:w="7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5</w:t>
            </w:r>
          </w:p>
        </w:tc>
        <w:tc>
          <w:tcPr>
            <w:tcW w:w="220" w:type="dxa"/>
            <w:vAlign w:val="bottom"/>
            <w:shd w:val="clear" w:color="auto" w:fill="CFF0FC"/>
          </w:tcPr>
          <w:p>
            <w:pPr>
              <w:spacing w:after="0"/>
              <w:rPr>
                <w:sz w:val="14"/>
                <w:szCs w:val="14"/>
                <w:color w:val="auto"/>
              </w:rPr>
            </w:pPr>
          </w:p>
        </w:tc>
        <w:tc>
          <w:tcPr>
            <w:tcW w:w="9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3</w:t>
            </w:r>
          </w:p>
        </w:tc>
        <w:tc>
          <w:tcPr>
            <w:tcW w:w="1120" w:type="dxa"/>
            <w:vAlign w:val="bottom"/>
            <w:gridSpan w:val="3"/>
            <w:shd w:val="clear" w:color="auto" w:fill="CFF0FC"/>
          </w:tcPr>
          <w:p>
            <w:pPr>
              <w:jc w:val="center"/>
              <w:ind w:left="133"/>
              <w:spacing w:after="0"/>
              <w:rPr>
                <w:sz w:val="20"/>
                <w:szCs w:val="20"/>
                <w:color w:val="auto"/>
              </w:rPr>
            </w:pPr>
            <w:r>
              <w:rPr>
                <w:rFonts w:ascii="Arial" w:cs="Arial" w:eastAsia="Arial" w:hAnsi="Arial"/>
                <w:sz w:val="14"/>
                <w:szCs w:val="14"/>
                <w:color w:val="auto"/>
                <w:w w:val="87"/>
              </w:rPr>
              <w:t>$990 - $1,293</w:t>
            </w:r>
          </w:p>
        </w:tc>
        <w:tc>
          <w:tcPr>
            <w:tcW w:w="0" w:type="dxa"/>
            <w:vAlign w:val="bottom"/>
          </w:tcPr>
          <w:p>
            <w:pPr>
              <w:spacing w:after="0"/>
              <w:rPr>
                <w:sz w:val="1"/>
                <w:szCs w:val="1"/>
                <w:color w:val="auto"/>
              </w:rPr>
            </w:pPr>
          </w:p>
        </w:tc>
      </w:tr>
      <w:tr>
        <w:trPr>
          <w:trHeight w:val="162"/>
        </w:trPr>
        <w:tc>
          <w:tcPr>
            <w:tcW w:w="4220" w:type="dxa"/>
            <w:vAlign w:val="bottom"/>
            <w:gridSpan w:val="2"/>
          </w:tcPr>
          <w:p>
            <w:pPr>
              <w:spacing w:after="0"/>
              <w:rPr>
                <w:sz w:val="20"/>
                <w:szCs w:val="20"/>
                <w:color w:val="auto"/>
              </w:rPr>
            </w:pPr>
            <w:r>
              <w:rPr>
                <w:rFonts w:ascii="Arial" w:cs="Arial" w:eastAsia="Arial" w:hAnsi="Arial"/>
                <w:sz w:val="14"/>
                <w:szCs w:val="14"/>
                <w:color w:val="auto"/>
              </w:rPr>
              <w:t>Montgomery County:</w:t>
            </w:r>
          </w:p>
        </w:tc>
        <w:tc>
          <w:tcPr>
            <w:tcW w:w="9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4220" w:type="dxa"/>
            <w:vAlign w:val="bottom"/>
            <w:gridSpan w:val="2"/>
            <w:shd w:val="clear" w:color="auto" w:fill="CFF0FC"/>
          </w:tcPr>
          <w:p>
            <w:pPr>
              <w:ind w:left="260"/>
              <w:spacing w:after="0"/>
              <w:rPr>
                <w:sz w:val="20"/>
                <w:szCs w:val="20"/>
                <w:color w:val="auto"/>
              </w:rPr>
            </w:pPr>
            <w:r>
              <w:rPr>
                <w:rFonts w:ascii="Arial" w:cs="Arial" w:eastAsia="Arial" w:hAnsi="Arial"/>
                <w:sz w:val="14"/>
                <w:szCs w:val="14"/>
                <w:color w:val="auto"/>
              </w:rPr>
              <w:t>Cabin Branch, Clarksburg</w:t>
            </w:r>
          </w:p>
        </w:tc>
        <w:tc>
          <w:tcPr>
            <w:tcW w:w="900" w:type="dxa"/>
            <w:vAlign w:val="bottom"/>
            <w:shd w:val="clear" w:color="auto" w:fill="CFF0FC"/>
          </w:tcPr>
          <w:p>
            <w:pPr>
              <w:spacing w:after="0"/>
              <w:rPr>
                <w:sz w:val="14"/>
                <w:szCs w:val="14"/>
                <w:color w:val="auto"/>
              </w:rPr>
            </w:pPr>
          </w:p>
        </w:tc>
        <w:tc>
          <w:tcPr>
            <w:tcW w:w="120" w:type="dxa"/>
            <w:vAlign w:val="bottom"/>
            <w:shd w:val="clear" w:color="auto" w:fill="CFF0FC"/>
          </w:tcPr>
          <w:p>
            <w:pPr>
              <w:spacing w:after="0"/>
              <w:rPr>
                <w:sz w:val="14"/>
                <w:szCs w:val="14"/>
                <w:color w:val="auto"/>
              </w:rPr>
            </w:pPr>
          </w:p>
        </w:tc>
        <w:tc>
          <w:tcPr>
            <w:tcW w:w="780" w:type="dxa"/>
            <w:vAlign w:val="bottom"/>
            <w:shd w:val="clear" w:color="auto" w:fill="CFF0FC"/>
          </w:tcPr>
          <w:p>
            <w:pPr>
              <w:spacing w:after="0"/>
              <w:rPr>
                <w:sz w:val="14"/>
                <w:szCs w:val="14"/>
                <w:color w:val="auto"/>
              </w:rPr>
            </w:pPr>
          </w:p>
        </w:tc>
        <w:tc>
          <w:tcPr>
            <w:tcW w:w="220" w:type="dxa"/>
            <w:vAlign w:val="bottom"/>
            <w:shd w:val="clear" w:color="auto" w:fill="CFF0FC"/>
          </w:tcPr>
          <w:p>
            <w:pPr>
              <w:spacing w:after="0"/>
              <w:rPr>
                <w:sz w:val="14"/>
                <w:szCs w:val="14"/>
                <w:color w:val="auto"/>
              </w:rPr>
            </w:pPr>
          </w:p>
        </w:tc>
        <w:tc>
          <w:tcPr>
            <w:tcW w:w="860" w:type="dxa"/>
            <w:vAlign w:val="bottom"/>
            <w:shd w:val="clear" w:color="auto" w:fill="CFF0FC"/>
          </w:tcPr>
          <w:p>
            <w:pPr>
              <w:spacing w:after="0"/>
              <w:rPr>
                <w:sz w:val="14"/>
                <w:szCs w:val="14"/>
                <w:color w:val="auto"/>
              </w:rPr>
            </w:pPr>
          </w:p>
        </w:tc>
        <w:tc>
          <w:tcPr>
            <w:tcW w:w="220" w:type="dxa"/>
            <w:vAlign w:val="bottom"/>
            <w:shd w:val="clear" w:color="auto" w:fill="CFF0FC"/>
          </w:tcPr>
          <w:p>
            <w:pPr>
              <w:spacing w:after="0"/>
              <w:rPr>
                <w:sz w:val="14"/>
                <w:szCs w:val="14"/>
                <w:color w:val="auto"/>
              </w:rPr>
            </w:pPr>
          </w:p>
        </w:tc>
        <w:tc>
          <w:tcPr>
            <w:tcW w:w="780" w:type="dxa"/>
            <w:vAlign w:val="bottom"/>
            <w:shd w:val="clear" w:color="auto" w:fill="CFF0FC"/>
          </w:tcPr>
          <w:p>
            <w:pPr>
              <w:spacing w:after="0"/>
              <w:rPr>
                <w:sz w:val="14"/>
                <w:szCs w:val="14"/>
                <w:color w:val="auto"/>
              </w:rPr>
            </w:pPr>
          </w:p>
        </w:tc>
        <w:tc>
          <w:tcPr>
            <w:tcW w:w="220" w:type="dxa"/>
            <w:vAlign w:val="bottom"/>
            <w:shd w:val="clear" w:color="auto" w:fill="CFF0FC"/>
          </w:tcPr>
          <w:p>
            <w:pPr>
              <w:spacing w:after="0"/>
              <w:rPr>
                <w:sz w:val="14"/>
                <w:szCs w:val="14"/>
                <w:color w:val="auto"/>
              </w:rPr>
            </w:pPr>
          </w:p>
        </w:tc>
        <w:tc>
          <w:tcPr>
            <w:tcW w:w="780" w:type="dxa"/>
            <w:vAlign w:val="bottom"/>
            <w:shd w:val="clear" w:color="auto" w:fill="CFF0FC"/>
          </w:tcPr>
          <w:p>
            <w:pPr>
              <w:spacing w:after="0"/>
              <w:rPr>
                <w:sz w:val="14"/>
                <w:szCs w:val="14"/>
                <w:color w:val="auto"/>
              </w:rPr>
            </w:pPr>
          </w:p>
        </w:tc>
        <w:tc>
          <w:tcPr>
            <w:tcW w:w="220" w:type="dxa"/>
            <w:vAlign w:val="bottom"/>
            <w:shd w:val="clear" w:color="auto" w:fill="CFF0FC"/>
          </w:tcPr>
          <w:p>
            <w:pPr>
              <w:spacing w:after="0"/>
              <w:rPr>
                <w:sz w:val="14"/>
                <w:szCs w:val="14"/>
                <w:color w:val="auto"/>
              </w:rPr>
            </w:pPr>
          </w:p>
        </w:tc>
        <w:tc>
          <w:tcPr>
            <w:tcW w:w="980" w:type="dxa"/>
            <w:vAlign w:val="bottom"/>
            <w:shd w:val="clear" w:color="auto" w:fill="CFF0FC"/>
          </w:tcPr>
          <w:p>
            <w:pPr>
              <w:spacing w:after="0"/>
              <w:rPr>
                <w:sz w:val="14"/>
                <w:szCs w:val="14"/>
                <w:color w:val="auto"/>
              </w:rPr>
            </w:pPr>
          </w:p>
        </w:tc>
        <w:tc>
          <w:tcPr>
            <w:tcW w:w="220" w:type="dxa"/>
            <w:vAlign w:val="bottom"/>
            <w:shd w:val="clear" w:color="auto" w:fill="CFF0FC"/>
          </w:tcPr>
          <w:p>
            <w:pPr>
              <w:spacing w:after="0"/>
              <w:rPr>
                <w:sz w:val="14"/>
                <w:szCs w:val="14"/>
                <w:color w:val="auto"/>
              </w:rPr>
            </w:pPr>
          </w:p>
        </w:tc>
        <w:tc>
          <w:tcPr>
            <w:tcW w:w="400" w:type="dxa"/>
            <w:vAlign w:val="bottom"/>
            <w:shd w:val="clear" w:color="auto" w:fill="CFF0FC"/>
          </w:tcPr>
          <w:p>
            <w:pPr>
              <w:spacing w:after="0"/>
              <w:rPr>
                <w:sz w:val="14"/>
                <w:szCs w:val="14"/>
                <w:color w:val="auto"/>
              </w:rPr>
            </w:pPr>
          </w:p>
        </w:tc>
        <w:tc>
          <w:tcPr>
            <w:tcW w:w="500" w:type="dxa"/>
            <w:vAlign w:val="bottom"/>
            <w:shd w:val="clear" w:color="auto" w:fill="CFF0FC"/>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4220" w:type="dxa"/>
            <w:vAlign w:val="bottom"/>
            <w:gridSpan w:val="2"/>
          </w:tcPr>
          <w:p>
            <w:pPr>
              <w:ind w:left="500"/>
              <w:spacing w:after="0"/>
              <w:rPr>
                <w:sz w:val="20"/>
                <w:szCs w:val="20"/>
                <w:color w:val="auto"/>
              </w:rPr>
            </w:pPr>
            <w:r>
              <w:rPr>
                <w:rFonts w:ascii="Arial" w:cs="Arial" w:eastAsia="Arial" w:hAnsi="Arial"/>
                <w:sz w:val="14"/>
                <w:szCs w:val="14"/>
                <w:color w:val="auto"/>
              </w:rPr>
              <w:t>Cabin Branch SFD</w:t>
            </w:r>
          </w:p>
        </w:tc>
        <w:tc>
          <w:tcPr>
            <w:tcW w:w="900" w:type="dxa"/>
            <w:vAlign w:val="bottom"/>
          </w:tcPr>
          <w:p>
            <w:pPr>
              <w:jc w:val="center"/>
              <w:spacing w:after="0"/>
              <w:rPr>
                <w:sz w:val="20"/>
                <w:szCs w:val="20"/>
                <w:color w:val="auto"/>
              </w:rPr>
            </w:pPr>
            <w:r>
              <w:rPr>
                <w:rFonts w:ascii="Arial" w:cs="Arial" w:eastAsia="Arial" w:hAnsi="Arial"/>
                <w:sz w:val="14"/>
                <w:szCs w:val="14"/>
                <w:color w:val="auto"/>
                <w:w w:val="83"/>
              </w:rPr>
              <w:t>2014</w:t>
            </w:r>
          </w:p>
        </w:tc>
        <w:tc>
          <w:tcPr>
            <w:tcW w:w="120" w:type="dxa"/>
            <w:vAlign w:val="bottom"/>
          </w:tcPr>
          <w:p>
            <w:pPr>
              <w:spacing w:after="0"/>
              <w:rPr>
                <w:sz w:val="14"/>
                <w:szCs w:val="14"/>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252</w:t>
            </w:r>
          </w:p>
        </w:tc>
        <w:tc>
          <w:tcPr>
            <w:tcW w:w="220" w:type="dxa"/>
            <w:vAlign w:val="bottom"/>
          </w:tcPr>
          <w:p>
            <w:pPr>
              <w:spacing w:after="0"/>
              <w:rPr>
                <w:sz w:val="14"/>
                <w:szCs w:val="14"/>
                <w:color w:val="auto"/>
              </w:rPr>
            </w:pPr>
          </w:p>
        </w:tc>
        <w:tc>
          <w:tcPr>
            <w:tcW w:w="860" w:type="dxa"/>
            <w:vAlign w:val="bottom"/>
          </w:tcPr>
          <w:p>
            <w:pPr>
              <w:jc w:val="right"/>
              <w:spacing w:after="0"/>
              <w:rPr>
                <w:sz w:val="20"/>
                <w:szCs w:val="20"/>
                <w:color w:val="auto"/>
              </w:rPr>
            </w:pPr>
            <w:r>
              <w:rPr>
                <w:rFonts w:ascii="Arial" w:cs="Arial" w:eastAsia="Arial" w:hAnsi="Arial"/>
                <w:sz w:val="14"/>
                <w:szCs w:val="14"/>
                <w:color w:val="auto"/>
              </w:rPr>
              <w:t>14</w:t>
            </w:r>
          </w:p>
        </w:tc>
        <w:tc>
          <w:tcPr>
            <w:tcW w:w="220" w:type="dxa"/>
            <w:vAlign w:val="bottom"/>
          </w:tcPr>
          <w:p>
            <w:pPr>
              <w:spacing w:after="0"/>
              <w:rPr>
                <w:sz w:val="14"/>
                <w:szCs w:val="14"/>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238</w:t>
            </w:r>
          </w:p>
        </w:tc>
        <w:tc>
          <w:tcPr>
            <w:tcW w:w="220" w:type="dxa"/>
            <w:vAlign w:val="bottom"/>
          </w:tcPr>
          <w:p>
            <w:pPr>
              <w:spacing w:after="0"/>
              <w:rPr>
                <w:sz w:val="14"/>
                <w:szCs w:val="14"/>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9</w:t>
            </w:r>
          </w:p>
        </w:tc>
        <w:tc>
          <w:tcPr>
            <w:tcW w:w="220" w:type="dxa"/>
            <w:vAlign w:val="bottom"/>
          </w:tcPr>
          <w:p>
            <w:pPr>
              <w:spacing w:after="0"/>
              <w:rPr>
                <w:sz w:val="14"/>
                <w:szCs w:val="14"/>
                <w:color w:val="auto"/>
              </w:rPr>
            </w:pPr>
          </w:p>
        </w:tc>
        <w:tc>
          <w:tcPr>
            <w:tcW w:w="980" w:type="dxa"/>
            <w:vAlign w:val="bottom"/>
          </w:tcPr>
          <w:p>
            <w:pPr>
              <w:jc w:val="right"/>
              <w:spacing w:after="0"/>
              <w:rPr>
                <w:sz w:val="20"/>
                <w:szCs w:val="20"/>
                <w:color w:val="auto"/>
              </w:rPr>
            </w:pPr>
            <w:r>
              <w:rPr>
                <w:rFonts w:ascii="Arial" w:cs="Arial" w:eastAsia="Arial" w:hAnsi="Arial"/>
                <w:sz w:val="14"/>
                <w:szCs w:val="14"/>
                <w:color w:val="auto"/>
              </w:rPr>
              <w:t>5</w:t>
            </w:r>
          </w:p>
        </w:tc>
        <w:tc>
          <w:tcPr>
            <w:tcW w:w="620" w:type="dxa"/>
            <w:vAlign w:val="bottom"/>
            <w:gridSpan w:val="2"/>
          </w:tcPr>
          <w:p>
            <w:pPr>
              <w:jc w:val="right"/>
              <w:spacing w:after="0"/>
              <w:rPr>
                <w:sz w:val="20"/>
                <w:szCs w:val="20"/>
                <w:color w:val="auto"/>
              </w:rPr>
            </w:pPr>
            <w:r>
              <w:rPr>
                <w:rFonts w:ascii="Arial" w:cs="Arial" w:eastAsia="Arial" w:hAnsi="Arial"/>
                <w:sz w:val="14"/>
                <w:szCs w:val="14"/>
                <w:color w:val="auto"/>
              </w:rPr>
              <w:t>$480</w:t>
            </w:r>
          </w:p>
        </w:tc>
        <w:tc>
          <w:tcPr>
            <w:tcW w:w="500" w:type="dxa"/>
            <w:vAlign w:val="bottom"/>
          </w:tcPr>
          <w:p>
            <w:pPr>
              <w:ind w:left="20"/>
              <w:spacing w:after="0"/>
              <w:rPr>
                <w:sz w:val="20"/>
                <w:szCs w:val="20"/>
                <w:color w:val="auto"/>
              </w:rPr>
            </w:pPr>
            <w:r>
              <w:rPr>
                <w:rFonts w:ascii="Arial" w:cs="Arial" w:eastAsia="Arial" w:hAnsi="Arial"/>
                <w:sz w:val="14"/>
                <w:szCs w:val="14"/>
                <w:color w:val="auto"/>
              </w:rPr>
              <w:t>- $719</w:t>
            </w:r>
          </w:p>
        </w:tc>
        <w:tc>
          <w:tcPr>
            <w:tcW w:w="0" w:type="dxa"/>
            <w:vAlign w:val="bottom"/>
          </w:tcPr>
          <w:p>
            <w:pPr>
              <w:spacing w:after="0"/>
              <w:rPr>
                <w:sz w:val="1"/>
                <w:szCs w:val="1"/>
                <w:color w:val="auto"/>
              </w:rPr>
            </w:pPr>
          </w:p>
        </w:tc>
      </w:tr>
      <w:tr>
        <w:trPr>
          <w:trHeight w:val="162"/>
        </w:trPr>
        <w:tc>
          <w:tcPr>
            <w:tcW w:w="4220" w:type="dxa"/>
            <w:vAlign w:val="bottom"/>
            <w:gridSpan w:val="2"/>
            <w:shd w:val="clear" w:color="auto" w:fill="CFF0FC"/>
          </w:tcPr>
          <w:p>
            <w:pPr>
              <w:ind w:left="500"/>
              <w:spacing w:after="0"/>
              <w:rPr>
                <w:sz w:val="20"/>
                <w:szCs w:val="20"/>
                <w:color w:val="auto"/>
              </w:rPr>
            </w:pPr>
            <w:r>
              <w:rPr>
                <w:rFonts w:ascii="Arial" w:cs="Arial" w:eastAsia="Arial" w:hAnsi="Arial"/>
                <w:sz w:val="14"/>
                <w:szCs w:val="14"/>
                <w:color w:val="auto"/>
              </w:rPr>
              <w:t>Cabin Branch Boulevard Townhomes</w:t>
            </w:r>
          </w:p>
        </w:tc>
        <w:tc>
          <w:tcPr>
            <w:tcW w:w="900" w:type="dxa"/>
            <w:vAlign w:val="bottom"/>
            <w:shd w:val="clear" w:color="auto" w:fill="CFF0FC"/>
          </w:tcPr>
          <w:p>
            <w:pPr>
              <w:jc w:val="center"/>
              <w:spacing w:after="0"/>
              <w:rPr>
                <w:sz w:val="20"/>
                <w:szCs w:val="20"/>
                <w:color w:val="auto"/>
              </w:rPr>
            </w:pPr>
            <w:r>
              <w:rPr>
                <w:rFonts w:ascii="Arial" w:cs="Arial" w:eastAsia="Arial" w:hAnsi="Arial"/>
                <w:sz w:val="14"/>
                <w:szCs w:val="14"/>
                <w:color w:val="auto"/>
                <w:w w:val="83"/>
              </w:rPr>
              <w:t>2016</w:t>
            </w:r>
          </w:p>
        </w:tc>
        <w:tc>
          <w:tcPr>
            <w:tcW w:w="120" w:type="dxa"/>
            <w:vAlign w:val="bottom"/>
            <w:shd w:val="clear" w:color="auto" w:fill="CFF0FC"/>
          </w:tcPr>
          <w:p>
            <w:pPr>
              <w:spacing w:after="0"/>
              <w:rPr>
                <w:sz w:val="14"/>
                <w:szCs w:val="14"/>
                <w:color w:val="auto"/>
              </w:rPr>
            </w:pPr>
          </w:p>
        </w:tc>
        <w:tc>
          <w:tcPr>
            <w:tcW w:w="7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61</w:t>
            </w:r>
          </w:p>
        </w:tc>
        <w:tc>
          <w:tcPr>
            <w:tcW w:w="220" w:type="dxa"/>
            <w:vAlign w:val="bottom"/>
            <w:shd w:val="clear" w:color="auto" w:fill="CFF0FC"/>
          </w:tcPr>
          <w:p>
            <w:pPr>
              <w:spacing w:after="0"/>
              <w:rPr>
                <w:sz w:val="14"/>
                <w:szCs w:val="14"/>
                <w:color w:val="auto"/>
              </w:rPr>
            </w:pPr>
          </w:p>
        </w:tc>
        <w:tc>
          <w:tcPr>
            <w:tcW w:w="860" w:type="dxa"/>
            <w:vAlign w:val="bottom"/>
            <w:shd w:val="clear" w:color="auto" w:fill="CFF0FC"/>
          </w:tcPr>
          <w:p>
            <w:pPr>
              <w:jc w:val="right"/>
              <w:spacing w:after="0"/>
              <w:rPr>
                <w:sz w:val="20"/>
                <w:szCs w:val="20"/>
                <w:color w:val="auto"/>
              </w:rPr>
            </w:pPr>
            <w:r>
              <w:rPr>
                <w:rFonts w:ascii="Arial" w:cs="Arial" w:eastAsia="Arial" w:hAnsi="Arial"/>
                <w:sz w:val="14"/>
                <w:szCs w:val="14"/>
                <w:color w:val="auto"/>
              </w:rPr>
              <w:t>-</w:t>
            </w:r>
          </w:p>
        </w:tc>
        <w:tc>
          <w:tcPr>
            <w:tcW w:w="220" w:type="dxa"/>
            <w:vAlign w:val="bottom"/>
            <w:shd w:val="clear" w:color="auto" w:fill="CFF0FC"/>
          </w:tcPr>
          <w:p>
            <w:pPr>
              <w:spacing w:after="0"/>
              <w:rPr>
                <w:sz w:val="14"/>
                <w:szCs w:val="14"/>
                <w:color w:val="auto"/>
              </w:rPr>
            </w:pPr>
          </w:p>
        </w:tc>
        <w:tc>
          <w:tcPr>
            <w:tcW w:w="7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61</w:t>
            </w:r>
          </w:p>
        </w:tc>
        <w:tc>
          <w:tcPr>
            <w:tcW w:w="220" w:type="dxa"/>
            <w:vAlign w:val="bottom"/>
            <w:shd w:val="clear" w:color="auto" w:fill="CFF0FC"/>
          </w:tcPr>
          <w:p>
            <w:pPr>
              <w:spacing w:after="0"/>
              <w:rPr>
                <w:sz w:val="14"/>
                <w:szCs w:val="14"/>
                <w:color w:val="auto"/>
              </w:rPr>
            </w:pPr>
          </w:p>
        </w:tc>
        <w:tc>
          <w:tcPr>
            <w:tcW w:w="7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w:t>
            </w:r>
          </w:p>
        </w:tc>
        <w:tc>
          <w:tcPr>
            <w:tcW w:w="220" w:type="dxa"/>
            <w:vAlign w:val="bottom"/>
            <w:shd w:val="clear" w:color="auto" w:fill="CFF0FC"/>
          </w:tcPr>
          <w:p>
            <w:pPr>
              <w:spacing w:after="0"/>
              <w:rPr>
                <w:sz w:val="14"/>
                <w:szCs w:val="14"/>
                <w:color w:val="auto"/>
              </w:rPr>
            </w:pPr>
          </w:p>
        </w:tc>
        <w:tc>
          <w:tcPr>
            <w:tcW w:w="9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w:t>
            </w:r>
          </w:p>
        </w:tc>
        <w:tc>
          <w:tcPr>
            <w:tcW w:w="220" w:type="dxa"/>
            <w:vAlign w:val="bottom"/>
            <w:shd w:val="clear" w:color="auto" w:fill="CFF0FC"/>
          </w:tcPr>
          <w:p>
            <w:pPr>
              <w:spacing w:after="0"/>
              <w:rPr>
                <w:sz w:val="14"/>
                <w:szCs w:val="14"/>
                <w:color w:val="auto"/>
              </w:rPr>
            </w:pPr>
          </w:p>
        </w:tc>
        <w:tc>
          <w:tcPr>
            <w:tcW w:w="900" w:type="dxa"/>
            <w:vAlign w:val="bottom"/>
            <w:gridSpan w:val="2"/>
            <w:shd w:val="clear" w:color="auto" w:fill="CFF0FC"/>
          </w:tcPr>
          <w:p>
            <w:pPr>
              <w:jc w:val="center"/>
              <w:spacing w:after="0"/>
              <w:rPr>
                <w:sz w:val="20"/>
                <w:szCs w:val="20"/>
                <w:color w:val="auto"/>
              </w:rPr>
            </w:pPr>
            <w:r>
              <w:rPr>
                <w:rFonts w:ascii="Arial" w:cs="Arial" w:eastAsia="Arial" w:hAnsi="Arial"/>
                <w:sz w:val="14"/>
                <w:szCs w:val="14"/>
                <w:color w:val="auto"/>
                <w:w w:val="99"/>
              </w:rPr>
              <w:t>TBD</w:t>
            </w:r>
          </w:p>
        </w:tc>
        <w:tc>
          <w:tcPr>
            <w:tcW w:w="0" w:type="dxa"/>
            <w:vAlign w:val="bottom"/>
          </w:tcPr>
          <w:p>
            <w:pPr>
              <w:spacing w:after="0"/>
              <w:rPr>
                <w:sz w:val="1"/>
                <w:szCs w:val="1"/>
                <w:color w:val="auto"/>
              </w:rPr>
            </w:pPr>
          </w:p>
        </w:tc>
      </w:tr>
      <w:tr>
        <w:trPr>
          <w:trHeight w:val="162"/>
        </w:trPr>
        <w:tc>
          <w:tcPr>
            <w:tcW w:w="4220" w:type="dxa"/>
            <w:vAlign w:val="bottom"/>
            <w:gridSpan w:val="2"/>
          </w:tcPr>
          <w:p>
            <w:pPr>
              <w:ind w:left="500"/>
              <w:spacing w:after="0"/>
              <w:rPr>
                <w:sz w:val="20"/>
                <w:szCs w:val="20"/>
                <w:color w:val="auto"/>
              </w:rPr>
            </w:pPr>
            <w:r>
              <w:rPr>
                <w:rFonts w:ascii="Arial" w:cs="Arial" w:eastAsia="Arial" w:hAnsi="Arial"/>
                <w:sz w:val="14"/>
                <w:szCs w:val="14"/>
                <w:color w:val="auto"/>
              </w:rPr>
              <w:t>Cabin Branch Everson SFD</w:t>
            </w:r>
          </w:p>
        </w:tc>
        <w:tc>
          <w:tcPr>
            <w:tcW w:w="900" w:type="dxa"/>
            <w:vAlign w:val="bottom"/>
          </w:tcPr>
          <w:p>
            <w:pPr>
              <w:jc w:val="center"/>
              <w:spacing w:after="0"/>
              <w:rPr>
                <w:sz w:val="20"/>
                <w:szCs w:val="20"/>
                <w:color w:val="auto"/>
              </w:rPr>
            </w:pPr>
            <w:r>
              <w:rPr>
                <w:rFonts w:ascii="Arial" w:cs="Arial" w:eastAsia="Arial" w:hAnsi="Arial"/>
                <w:sz w:val="14"/>
                <w:szCs w:val="14"/>
                <w:color w:val="auto"/>
                <w:w w:val="83"/>
              </w:rPr>
              <w:t>2014</w:t>
            </w:r>
          </w:p>
        </w:tc>
        <w:tc>
          <w:tcPr>
            <w:tcW w:w="120" w:type="dxa"/>
            <w:vAlign w:val="bottom"/>
          </w:tcPr>
          <w:p>
            <w:pPr>
              <w:spacing w:after="0"/>
              <w:rPr>
                <w:sz w:val="14"/>
                <w:szCs w:val="14"/>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107</w:t>
            </w:r>
          </w:p>
        </w:tc>
        <w:tc>
          <w:tcPr>
            <w:tcW w:w="220" w:type="dxa"/>
            <w:vAlign w:val="bottom"/>
          </w:tcPr>
          <w:p>
            <w:pPr>
              <w:spacing w:after="0"/>
              <w:rPr>
                <w:sz w:val="14"/>
                <w:szCs w:val="14"/>
                <w:color w:val="auto"/>
              </w:rPr>
            </w:pPr>
          </w:p>
        </w:tc>
        <w:tc>
          <w:tcPr>
            <w:tcW w:w="860" w:type="dxa"/>
            <w:vAlign w:val="bottom"/>
          </w:tcPr>
          <w:p>
            <w:pPr>
              <w:jc w:val="right"/>
              <w:spacing w:after="0"/>
              <w:rPr>
                <w:sz w:val="20"/>
                <w:szCs w:val="20"/>
                <w:color w:val="auto"/>
              </w:rPr>
            </w:pPr>
            <w:r>
              <w:rPr>
                <w:rFonts w:ascii="Arial" w:cs="Arial" w:eastAsia="Arial" w:hAnsi="Arial"/>
                <w:sz w:val="14"/>
                <w:szCs w:val="14"/>
                <w:color w:val="auto"/>
              </w:rPr>
              <w:t>12</w:t>
            </w:r>
          </w:p>
        </w:tc>
        <w:tc>
          <w:tcPr>
            <w:tcW w:w="220" w:type="dxa"/>
            <w:vAlign w:val="bottom"/>
          </w:tcPr>
          <w:p>
            <w:pPr>
              <w:spacing w:after="0"/>
              <w:rPr>
                <w:sz w:val="14"/>
                <w:szCs w:val="14"/>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95</w:t>
            </w:r>
          </w:p>
        </w:tc>
        <w:tc>
          <w:tcPr>
            <w:tcW w:w="220" w:type="dxa"/>
            <w:vAlign w:val="bottom"/>
          </w:tcPr>
          <w:p>
            <w:pPr>
              <w:spacing w:after="0"/>
              <w:rPr>
                <w:sz w:val="14"/>
                <w:szCs w:val="14"/>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3</w:t>
            </w:r>
          </w:p>
        </w:tc>
        <w:tc>
          <w:tcPr>
            <w:tcW w:w="220" w:type="dxa"/>
            <w:vAlign w:val="bottom"/>
          </w:tcPr>
          <w:p>
            <w:pPr>
              <w:spacing w:after="0"/>
              <w:rPr>
                <w:sz w:val="14"/>
                <w:szCs w:val="14"/>
                <w:color w:val="auto"/>
              </w:rPr>
            </w:pPr>
          </w:p>
        </w:tc>
        <w:tc>
          <w:tcPr>
            <w:tcW w:w="980" w:type="dxa"/>
            <w:vAlign w:val="bottom"/>
          </w:tcPr>
          <w:p>
            <w:pPr>
              <w:jc w:val="right"/>
              <w:spacing w:after="0"/>
              <w:rPr>
                <w:sz w:val="20"/>
                <w:szCs w:val="20"/>
                <w:color w:val="auto"/>
              </w:rPr>
            </w:pPr>
            <w:r>
              <w:rPr>
                <w:rFonts w:ascii="Arial" w:cs="Arial" w:eastAsia="Arial" w:hAnsi="Arial"/>
                <w:sz w:val="14"/>
                <w:szCs w:val="14"/>
                <w:color w:val="auto"/>
              </w:rPr>
              <w:t>5</w:t>
            </w:r>
          </w:p>
        </w:tc>
        <w:tc>
          <w:tcPr>
            <w:tcW w:w="620" w:type="dxa"/>
            <w:vAlign w:val="bottom"/>
            <w:gridSpan w:val="2"/>
          </w:tcPr>
          <w:p>
            <w:pPr>
              <w:jc w:val="right"/>
              <w:spacing w:after="0"/>
              <w:rPr>
                <w:sz w:val="20"/>
                <w:szCs w:val="20"/>
                <w:color w:val="auto"/>
              </w:rPr>
            </w:pPr>
            <w:r>
              <w:rPr>
                <w:rFonts w:ascii="Arial" w:cs="Arial" w:eastAsia="Arial" w:hAnsi="Arial"/>
                <w:sz w:val="14"/>
                <w:szCs w:val="14"/>
                <w:color w:val="auto"/>
              </w:rPr>
              <w:t>$480</w:t>
            </w:r>
          </w:p>
        </w:tc>
        <w:tc>
          <w:tcPr>
            <w:tcW w:w="500" w:type="dxa"/>
            <w:vAlign w:val="bottom"/>
          </w:tcPr>
          <w:p>
            <w:pPr>
              <w:ind w:left="20"/>
              <w:spacing w:after="0"/>
              <w:rPr>
                <w:sz w:val="20"/>
                <w:szCs w:val="20"/>
                <w:color w:val="auto"/>
              </w:rPr>
            </w:pPr>
            <w:r>
              <w:rPr>
                <w:rFonts w:ascii="Arial" w:cs="Arial" w:eastAsia="Arial" w:hAnsi="Arial"/>
                <w:sz w:val="14"/>
                <w:szCs w:val="14"/>
                <w:color w:val="auto"/>
              </w:rPr>
              <w:t>- $515</w:t>
            </w:r>
          </w:p>
        </w:tc>
        <w:tc>
          <w:tcPr>
            <w:tcW w:w="0" w:type="dxa"/>
            <w:vAlign w:val="bottom"/>
          </w:tcPr>
          <w:p>
            <w:pPr>
              <w:spacing w:after="0"/>
              <w:rPr>
                <w:sz w:val="1"/>
                <w:szCs w:val="1"/>
                <w:color w:val="auto"/>
              </w:rPr>
            </w:pPr>
          </w:p>
        </w:tc>
      </w:tr>
      <w:tr>
        <w:trPr>
          <w:trHeight w:val="162"/>
        </w:trPr>
        <w:tc>
          <w:tcPr>
            <w:tcW w:w="4220" w:type="dxa"/>
            <w:vAlign w:val="bottom"/>
            <w:gridSpan w:val="2"/>
            <w:shd w:val="clear" w:color="auto" w:fill="CFF0FC"/>
          </w:tcPr>
          <w:p>
            <w:pPr>
              <w:ind w:left="500"/>
              <w:spacing w:after="0"/>
              <w:rPr>
                <w:sz w:val="20"/>
                <w:szCs w:val="20"/>
                <w:color w:val="auto"/>
              </w:rPr>
            </w:pPr>
            <w:r>
              <w:rPr>
                <w:rFonts w:ascii="Arial" w:cs="Arial" w:eastAsia="Arial" w:hAnsi="Arial"/>
                <w:sz w:val="14"/>
                <w:szCs w:val="14"/>
                <w:color w:val="auto"/>
              </w:rPr>
              <w:t>Cabin Branch Everson Townhomes</w:t>
            </w:r>
          </w:p>
        </w:tc>
        <w:tc>
          <w:tcPr>
            <w:tcW w:w="900" w:type="dxa"/>
            <w:vAlign w:val="bottom"/>
            <w:shd w:val="clear" w:color="auto" w:fill="CFF0FC"/>
          </w:tcPr>
          <w:p>
            <w:pPr>
              <w:jc w:val="center"/>
              <w:spacing w:after="0"/>
              <w:rPr>
                <w:sz w:val="20"/>
                <w:szCs w:val="20"/>
                <w:color w:val="auto"/>
              </w:rPr>
            </w:pPr>
            <w:r>
              <w:rPr>
                <w:rFonts w:ascii="Arial" w:cs="Arial" w:eastAsia="Arial" w:hAnsi="Arial"/>
                <w:sz w:val="14"/>
                <w:szCs w:val="14"/>
                <w:color w:val="auto"/>
                <w:w w:val="83"/>
              </w:rPr>
              <w:t>2014</w:t>
            </w:r>
          </w:p>
        </w:tc>
        <w:tc>
          <w:tcPr>
            <w:tcW w:w="120" w:type="dxa"/>
            <w:vAlign w:val="bottom"/>
            <w:shd w:val="clear" w:color="auto" w:fill="CFF0FC"/>
          </w:tcPr>
          <w:p>
            <w:pPr>
              <w:spacing w:after="0"/>
              <w:rPr>
                <w:sz w:val="14"/>
                <w:szCs w:val="14"/>
                <w:color w:val="auto"/>
              </w:rPr>
            </w:pPr>
          </w:p>
        </w:tc>
        <w:tc>
          <w:tcPr>
            <w:tcW w:w="7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567</w:t>
            </w:r>
          </w:p>
        </w:tc>
        <w:tc>
          <w:tcPr>
            <w:tcW w:w="220" w:type="dxa"/>
            <w:vAlign w:val="bottom"/>
            <w:shd w:val="clear" w:color="auto" w:fill="CFF0FC"/>
          </w:tcPr>
          <w:p>
            <w:pPr>
              <w:spacing w:after="0"/>
              <w:rPr>
                <w:sz w:val="14"/>
                <w:szCs w:val="14"/>
                <w:color w:val="auto"/>
              </w:rPr>
            </w:pPr>
          </w:p>
        </w:tc>
        <w:tc>
          <w:tcPr>
            <w:tcW w:w="860" w:type="dxa"/>
            <w:vAlign w:val="bottom"/>
            <w:shd w:val="clear" w:color="auto" w:fill="CFF0FC"/>
          </w:tcPr>
          <w:p>
            <w:pPr>
              <w:jc w:val="right"/>
              <w:spacing w:after="0"/>
              <w:rPr>
                <w:sz w:val="20"/>
                <w:szCs w:val="20"/>
                <w:color w:val="auto"/>
              </w:rPr>
            </w:pPr>
            <w:r>
              <w:rPr>
                <w:rFonts w:ascii="Arial" w:cs="Arial" w:eastAsia="Arial" w:hAnsi="Arial"/>
                <w:sz w:val="14"/>
                <w:szCs w:val="14"/>
                <w:color w:val="auto"/>
              </w:rPr>
              <w:t>28</w:t>
            </w:r>
          </w:p>
        </w:tc>
        <w:tc>
          <w:tcPr>
            <w:tcW w:w="220" w:type="dxa"/>
            <w:vAlign w:val="bottom"/>
            <w:shd w:val="clear" w:color="auto" w:fill="CFF0FC"/>
          </w:tcPr>
          <w:p>
            <w:pPr>
              <w:spacing w:after="0"/>
              <w:rPr>
                <w:sz w:val="14"/>
                <w:szCs w:val="14"/>
                <w:color w:val="auto"/>
              </w:rPr>
            </w:pPr>
          </w:p>
        </w:tc>
        <w:tc>
          <w:tcPr>
            <w:tcW w:w="7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539</w:t>
            </w:r>
          </w:p>
        </w:tc>
        <w:tc>
          <w:tcPr>
            <w:tcW w:w="220" w:type="dxa"/>
            <w:vAlign w:val="bottom"/>
            <w:shd w:val="clear" w:color="auto" w:fill="CFF0FC"/>
          </w:tcPr>
          <w:p>
            <w:pPr>
              <w:spacing w:after="0"/>
              <w:rPr>
                <w:sz w:val="14"/>
                <w:szCs w:val="14"/>
                <w:color w:val="auto"/>
              </w:rPr>
            </w:pPr>
          </w:p>
        </w:tc>
        <w:tc>
          <w:tcPr>
            <w:tcW w:w="7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7</w:t>
            </w:r>
          </w:p>
        </w:tc>
        <w:tc>
          <w:tcPr>
            <w:tcW w:w="220" w:type="dxa"/>
            <w:vAlign w:val="bottom"/>
            <w:shd w:val="clear" w:color="auto" w:fill="CFF0FC"/>
          </w:tcPr>
          <w:p>
            <w:pPr>
              <w:spacing w:after="0"/>
              <w:rPr>
                <w:sz w:val="14"/>
                <w:szCs w:val="14"/>
                <w:color w:val="auto"/>
              </w:rPr>
            </w:pPr>
          </w:p>
        </w:tc>
        <w:tc>
          <w:tcPr>
            <w:tcW w:w="9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7</w:t>
            </w:r>
          </w:p>
        </w:tc>
        <w:tc>
          <w:tcPr>
            <w:tcW w:w="620" w:type="dxa"/>
            <w:vAlign w:val="bottom"/>
            <w:gridSpan w:val="2"/>
            <w:shd w:val="clear" w:color="auto" w:fill="CFF0FC"/>
          </w:tcPr>
          <w:p>
            <w:pPr>
              <w:jc w:val="right"/>
              <w:spacing w:after="0"/>
              <w:rPr>
                <w:sz w:val="20"/>
                <w:szCs w:val="20"/>
                <w:color w:val="auto"/>
              </w:rPr>
            </w:pPr>
            <w:r>
              <w:rPr>
                <w:rFonts w:ascii="Arial" w:cs="Arial" w:eastAsia="Arial" w:hAnsi="Arial"/>
                <w:sz w:val="14"/>
                <w:szCs w:val="14"/>
                <w:color w:val="auto"/>
              </w:rPr>
              <w:t>$360</w:t>
            </w:r>
          </w:p>
        </w:tc>
        <w:tc>
          <w:tcPr>
            <w:tcW w:w="500" w:type="dxa"/>
            <w:vAlign w:val="bottom"/>
            <w:shd w:val="clear" w:color="auto" w:fill="CFF0FC"/>
          </w:tcPr>
          <w:p>
            <w:pPr>
              <w:ind w:left="20"/>
              <w:spacing w:after="0"/>
              <w:rPr>
                <w:sz w:val="20"/>
                <w:szCs w:val="20"/>
                <w:color w:val="auto"/>
              </w:rPr>
            </w:pPr>
            <w:r>
              <w:rPr>
                <w:rFonts w:ascii="Arial" w:cs="Arial" w:eastAsia="Arial" w:hAnsi="Arial"/>
                <w:sz w:val="14"/>
                <w:szCs w:val="14"/>
                <w:color w:val="auto"/>
              </w:rPr>
              <w:t>- $450</w:t>
            </w:r>
          </w:p>
        </w:tc>
        <w:tc>
          <w:tcPr>
            <w:tcW w:w="0" w:type="dxa"/>
            <w:vAlign w:val="bottom"/>
          </w:tcPr>
          <w:p>
            <w:pPr>
              <w:spacing w:after="0"/>
              <w:rPr>
                <w:sz w:val="1"/>
                <w:szCs w:val="1"/>
                <w:color w:val="auto"/>
              </w:rPr>
            </w:pPr>
          </w:p>
        </w:tc>
      </w:tr>
      <w:tr>
        <w:trPr>
          <w:trHeight w:val="162"/>
        </w:trPr>
        <w:tc>
          <w:tcPr>
            <w:tcW w:w="4220" w:type="dxa"/>
            <w:vAlign w:val="bottom"/>
            <w:gridSpan w:val="2"/>
          </w:tcPr>
          <w:p>
            <w:pPr>
              <w:ind w:left="260"/>
              <w:spacing w:after="0"/>
              <w:rPr>
                <w:sz w:val="20"/>
                <w:szCs w:val="20"/>
                <w:color w:val="auto"/>
              </w:rPr>
            </w:pPr>
            <w:r>
              <w:rPr>
                <w:rFonts w:ascii="Arial" w:cs="Arial" w:eastAsia="Arial" w:hAnsi="Arial"/>
                <w:sz w:val="14"/>
                <w:szCs w:val="14"/>
                <w:color w:val="auto"/>
              </w:rPr>
              <w:t>Preserve at Stoney Spring-Lots for Sale</w:t>
            </w:r>
          </w:p>
        </w:tc>
        <w:tc>
          <w:tcPr>
            <w:tcW w:w="1020" w:type="dxa"/>
            <w:vAlign w:val="bottom"/>
            <w:gridSpan w:val="2"/>
          </w:tcPr>
          <w:p>
            <w:pPr>
              <w:jc w:val="center"/>
              <w:ind w:right="120"/>
              <w:spacing w:after="0"/>
              <w:rPr>
                <w:sz w:val="20"/>
                <w:szCs w:val="20"/>
                <w:color w:val="auto"/>
              </w:rPr>
            </w:pPr>
            <w:r>
              <w:rPr>
                <w:rFonts w:ascii="Arial" w:cs="Arial" w:eastAsia="Arial" w:hAnsi="Arial"/>
                <w:sz w:val="14"/>
                <w:szCs w:val="14"/>
                <w:color w:val="auto"/>
                <w:w w:val="94"/>
              </w:rPr>
              <w:t>N/A</w:t>
            </w:r>
          </w:p>
        </w:tc>
        <w:tc>
          <w:tcPr>
            <w:tcW w:w="780" w:type="dxa"/>
            <w:vAlign w:val="bottom"/>
          </w:tcPr>
          <w:p>
            <w:pPr>
              <w:jc w:val="right"/>
              <w:spacing w:after="0"/>
              <w:rPr>
                <w:sz w:val="20"/>
                <w:szCs w:val="20"/>
                <w:color w:val="auto"/>
              </w:rPr>
            </w:pPr>
            <w:r>
              <w:rPr>
                <w:rFonts w:ascii="Arial" w:cs="Arial" w:eastAsia="Arial" w:hAnsi="Arial"/>
                <w:sz w:val="14"/>
                <w:szCs w:val="14"/>
                <w:color w:val="auto"/>
              </w:rPr>
              <w:t>-</w:t>
            </w:r>
          </w:p>
        </w:tc>
        <w:tc>
          <w:tcPr>
            <w:tcW w:w="220" w:type="dxa"/>
            <w:vAlign w:val="bottom"/>
          </w:tcPr>
          <w:p>
            <w:pPr>
              <w:spacing w:after="0"/>
              <w:rPr>
                <w:sz w:val="14"/>
                <w:szCs w:val="14"/>
                <w:color w:val="auto"/>
              </w:rPr>
            </w:pPr>
          </w:p>
        </w:tc>
        <w:tc>
          <w:tcPr>
            <w:tcW w:w="860" w:type="dxa"/>
            <w:vAlign w:val="bottom"/>
          </w:tcPr>
          <w:p>
            <w:pPr>
              <w:jc w:val="right"/>
              <w:spacing w:after="0"/>
              <w:rPr>
                <w:sz w:val="20"/>
                <w:szCs w:val="20"/>
                <w:color w:val="auto"/>
              </w:rPr>
            </w:pPr>
            <w:r>
              <w:rPr>
                <w:rFonts w:ascii="Arial" w:cs="Arial" w:eastAsia="Arial" w:hAnsi="Arial"/>
                <w:sz w:val="14"/>
                <w:szCs w:val="14"/>
                <w:color w:val="auto"/>
              </w:rPr>
              <w:t>-</w:t>
            </w:r>
          </w:p>
        </w:tc>
        <w:tc>
          <w:tcPr>
            <w:tcW w:w="220" w:type="dxa"/>
            <w:vAlign w:val="bottom"/>
          </w:tcPr>
          <w:p>
            <w:pPr>
              <w:spacing w:after="0"/>
              <w:rPr>
                <w:sz w:val="14"/>
                <w:szCs w:val="14"/>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7</w:t>
            </w:r>
          </w:p>
        </w:tc>
        <w:tc>
          <w:tcPr>
            <w:tcW w:w="220" w:type="dxa"/>
            <w:vAlign w:val="bottom"/>
          </w:tcPr>
          <w:p>
            <w:pPr>
              <w:spacing w:after="0"/>
              <w:rPr>
                <w:sz w:val="14"/>
                <w:szCs w:val="14"/>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w:t>
            </w:r>
          </w:p>
        </w:tc>
        <w:tc>
          <w:tcPr>
            <w:tcW w:w="220" w:type="dxa"/>
            <w:vAlign w:val="bottom"/>
          </w:tcPr>
          <w:p>
            <w:pPr>
              <w:spacing w:after="0"/>
              <w:rPr>
                <w:sz w:val="14"/>
                <w:szCs w:val="14"/>
                <w:color w:val="auto"/>
              </w:rPr>
            </w:pPr>
          </w:p>
        </w:tc>
        <w:tc>
          <w:tcPr>
            <w:tcW w:w="980" w:type="dxa"/>
            <w:vAlign w:val="bottom"/>
          </w:tcPr>
          <w:p>
            <w:pPr>
              <w:jc w:val="right"/>
              <w:spacing w:after="0"/>
              <w:rPr>
                <w:sz w:val="20"/>
                <w:szCs w:val="20"/>
                <w:color w:val="auto"/>
              </w:rPr>
            </w:pPr>
            <w:r>
              <w:rPr>
                <w:rFonts w:ascii="Arial" w:cs="Arial" w:eastAsia="Arial" w:hAnsi="Arial"/>
                <w:sz w:val="14"/>
                <w:szCs w:val="14"/>
                <w:color w:val="auto"/>
              </w:rPr>
              <w:t>-</w:t>
            </w:r>
          </w:p>
        </w:tc>
        <w:tc>
          <w:tcPr>
            <w:tcW w:w="220" w:type="dxa"/>
            <w:vAlign w:val="bottom"/>
          </w:tcPr>
          <w:p>
            <w:pPr>
              <w:spacing w:after="0"/>
              <w:rPr>
                <w:sz w:val="14"/>
                <w:szCs w:val="14"/>
                <w:color w:val="auto"/>
              </w:rPr>
            </w:pPr>
          </w:p>
        </w:tc>
        <w:tc>
          <w:tcPr>
            <w:tcW w:w="900" w:type="dxa"/>
            <w:vAlign w:val="bottom"/>
            <w:gridSpan w:val="2"/>
          </w:tcPr>
          <w:p>
            <w:pPr>
              <w:jc w:val="center"/>
              <w:spacing w:after="0"/>
              <w:rPr>
                <w:sz w:val="20"/>
                <w:szCs w:val="20"/>
                <w:color w:val="auto"/>
              </w:rPr>
            </w:pPr>
            <w:r>
              <w:rPr>
                <w:rFonts w:ascii="Arial" w:cs="Arial" w:eastAsia="Arial" w:hAnsi="Arial"/>
                <w:sz w:val="14"/>
                <w:szCs w:val="14"/>
                <w:color w:val="auto"/>
              </w:rPr>
              <w:t>NA</w:t>
            </w:r>
          </w:p>
        </w:tc>
        <w:tc>
          <w:tcPr>
            <w:tcW w:w="0" w:type="dxa"/>
            <w:vAlign w:val="bottom"/>
          </w:tcPr>
          <w:p>
            <w:pPr>
              <w:spacing w:after="0"/>
              <w:rPr>
                <w:sz w:val="1"/>
                <w:szCs w:val="1"/>
                <w:color w:val="auto"/>
              </w:rPr>
            </w:pPr>
          </w:p>
        </w:tc>
      </w:tr>
      <w:tr>
        <w:trPr>
          <w:trHeight w:val="162"/>
        </w:trPr>
        <w:tc>
          <w:tcPr>
            <w:tcW w:w="4220" w:type="dxa"/>
            <w:vAlign w:val="bottom"/>
            <w:gridSpan w:val="2"/>
            <w:shd w:val="clear" w:color="auto" w:fill="CFF0FC"/>
          </w:tcPr>
          <w:p>
            <w:pPr>
              <w:ind w:left="260"/>
              <w:spacing w:after="0"/>
              <w:rPr>
                <w:sz w:val="20"/>
                <w:szCs w:val="20"/>
                <w:color w:val="auto"/>
              </w:rPr>
            </w:pPr>
            <w:r>
              <w:rPr>
                <w:rFonts w:ascii="Arial" w:cs="Arial" w:eastAsia="Arial" w:hAnsi="Arial"/>
                <w:sz w:val="14"/>
                <w:szCs w:val="14"/>
                <w:color w:val="auto"/>
              </w:rPr>
              <w:t>Preserve at Rock Creek, Rockville</w:t>
            </w:r>
          </w:p>
        </w:tc>
        <w:tc>
          <w:tcPr>
            <w:tcW w:w="900" w:type="dxa"/>
            <w:vAlign w:val="bottom"/>
            <w:shd w:val="clear" w:color="auto" w:fill="CFF0FC"/>
          </w:tcPr>
          <w:p>
            <w:pPr>
              <w:jc w:val="center"/>
              <w:spacing w:after="0"/>
              <w:rPr>
                <w:sz w:val="20"/>
                <w:szCs w:val="20"/>
                <w:color w:val="auto"/>
              </w:rPr>
            </w:pPr>
            <w:r>
              <w:rPr>
                <w:rFonts w:ascii="Arial" w:cs="Arial" w:eastAsia="Arial" w:hAnsi="Arial"/>
                <w:sz w:val="14"/>
                <w:szCs w:val="14"/>
                <w:color w:val="auto"/>
                <w:w w:val="83"/>
              </w:rPr>
              <w:t>2012</w:t>
            </w:r>
          </w:p>
        </w:tc>
        <w:tc>
          <w:tcPr>
            <w:tcW w:w="120" w:type="dxa"/>
            <w:vAlign w:val="bottom"/>
            <w:shd w:val="clear" w:color="auto" w:fill="CFF0FC"/>
          </w:tcPr>
          <w:p>
            <w:pPr>
              <w:spacing w:after="0"/>
              <w:rPr>
                <w:sz w:val="14"/>
                <w:szCs w:val="14"/>
                <w:color w:val="auto"/>
              </w:rPr>
            </w:pPr>
          </w:p>
        </w:tc>
        <w:tc>
          <w:tcPr>
            <w:tcW w:w="7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68</w:t>
            </w:r>
          </w:p>
        </w:tc>
        <w:tc>
          <w:tcPr>
            <w:tcW w:w="220" w:type="dxa"/>
            <w:vAlign w:val="bottom"/>
            <w:shd w:val="clear" w:color="auto" w:fill="CFF0FC"/>
          </w:tcPr>
          <w:p>
            <w:pPr>
              <w:spacing w:after="0"/>
              <w:rPr>
                <w:sz w:val="14"/>
                <w:szCs w:val="14"/>
                <w:color w:val="auto"/>
              </w:rPr>
            </w:pPr>
          </w:p>
        </w:tc>
        <w:tc>
          <w:tcPr>
            <w:tcW w:w="860" w:type="dxa"/>
            <w:vAlign w:val="bottom"/>
            <w:shd w:val="clear" w:color="auto" w:fill="CFF0FC"/>
          </w:tcPr>
          <w:p>
            <w:pPr>
              <w:jc w:val="right"/>
              <w:spacing w:after="0"/>
              <w:rPr>
                <w:sz w:val="20"/>
                <w:szCs w:val="20"/>
                <w:color w:val="auto"/>
              </w:rPr>
            </w:pPr>
            <w:r>
              <w:rPr>
                <w:rFonts w:ascii="Arial" w:cs="Arial" w:eastAsia="Arial" w:hAnsi="Arial"/>
                <w:sz w:val="14"/>
                <w:szCs w:val="14"/>
                <w:color w:val="auto"/>
              </w:rPr>
              <w:t>46</w:t>
            </w:r>
          </w:p>
        </w:tc>
        <w:tc>
          <w:tcPr>
            <w:tcW w:w="220" w:type="dxa"/>
            <w:vAlign w:val="bottom"/>
            <w:shd w:val="clear" w:color="auto" w:fill="CFF0FC"/>
          </w:tcPr>
          <w:p>
            <w:pPr>
              <w:spacing w:after="0"/>
              <w:rPr>
                <w:sz w:val="14"/>
                <w:szCs w:val="14"/>
                <w:color w:val="auto"/>
              </w:rPr>
            </w:pPr>
          </w:p>
        </w:tc>
        <w:tc>
          <w:tcPr>
            <w:tcW w:w="7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22</w:t>
            </w:r>
          </w:p>
        </w:tc>
        <w:tc>
          <w:tcPr>
            <w:tcW w:w="220" w:type="dxa"/>
            <w:vAlign w:val="bottom"/>
            <w:shd w:val="clear" w:color="auto" w:fill="CFF0FC"/>
          </w:tcPr>
          <w:p>
            <w:pPr>
              <w:spacing w:after="0"/>
              <w:rPr>
                <w:sz w:val="14"/>
                <w:szCs w:val="14"/>
                <w:color w:val="auto"/>
              </w:rPr>
            </w:pPr>
          </w:p>
        </w:tc>
        <w:tc>
          <w:tcPr>
            <w:tcW w:w="7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14</w:t>
            </w:r>
          </w:p>
        </w:tc>
        <w:tc>
          <w:tcPr>
            <w:tcW w:w="220" w:type="dxa"/>
            <w:vAlign w:val="bottom"/>
            <w:shd w:val="clear" w:color="auto" w:fill="CFF0FC"/>
          </w:tcPr>
          <w:p>
            <w:pPr>
              <w:spacing w:after="0"/>
              <w:rPr>
                <w:sz w:val="14"/>
                <w:szCs w:val="14"/>
                <w:color w:val="auto"/>
              </w:rPr>
            </w:pPr>
          </w:p>
        </w:tc>
        <w:tc>
          <w:tcPr>
            <w:tcW w:w="9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w:t>
            </w:r>
          </w:p>
        </w:tc>
        <w:tc>
          <w:tcPr>
            <w:tcW w:w="620" w:type="dxa"/>
            <w:vAlign w:val="bottom"/>
            <w:gridSpan w:val="2"/>
            <w:shd w:val="clear" w:color="auto" w:fill="CFF0FC"/>
          </w:tcPr>
          <w:p>
            <w:pPr>
              <w:jc w:val="right"/>
              <w:spacing w:after="0"/>
              <w:rPr>
                <w:sz w:val="20"/>
                <w:szCs w:val="20"/>
                <w:color w:val="auto"/>
              </w:rPr>
            </w:pPr>
            <w:r>
              <w:rPr>
                <w:rFonts w:ascii="Arial" w:cs="Arial" w:eastAsia="Arial" w:hAnsi="Arial"/>
                <w:sz w:val="14"/>
                <w:szCs w:val="14"/>
                <w:color w:val="auto"/>
              </w:rPr>
              <w:t>$685</w:t>
            </w:r>
          </w:p>
        </w:tc>
        <w:tc>
          <w:tcPr>
            <w:tcW w:w="500" w:type="dxa"/>
            <w:vAlign w:val="bottom"/>
            <w:shd w:val="clear" w:color="auto" w:fill="CFF0FC"/>
          </w:tcPr>
          <w:p>
            <w:pPr>
              <w:ind w:left="20"/>
              <w:spacing w:after="0"/>
              <w:rPr>
                <w:sz w:val="20"/>
                <w:szCs w:val="20"/>
                <w:color w:val="auto"/>
              </w:rPr>
            </w:pPr>
            <w:r>
              <w:rPr>
                <w:rFonts w:ascii="Arial" w:cs="Arial" w:eastAsia="Arial" w:hAnsi="Arial"/>
                <w:sz w:val="14"/>
                <w:szCs w:val="14"/>
                <w:color w:val="auto"/>
              </w:rPr>
              <w:t>- $964</w:t>
            </w:r>
          </w:p>
        </w:tc>
        <w:tc>
          <w:tcPr>
            <w:tcW w:w="0" w:type="dxa"/>
            <w:vAlign w:val="bottom"/>
          </w:tcPr>
          <w:p>
            <w:pPr>
              <w:spacing w:after="0"/>
              <w:rPr>
                <w:sz w:val="1"/>
                <w:szCs w:val="1"/>
                <w:color w:val="auto"/>
              </w:rPr>
            </w:pPr>
          </w:p>
        </w:tc>
      </w:tr>
      <w:tr>
        <w:trPr>
          <w:trHeight w:val="162"/>
        </w:trPr>
        <w:tc>
          <w:tcPr>
            <w:tcW w:w="4220" w:type="dxa"/>
            <w:vAlign w:val="bottom"/>
            <w:gridSpan w:val="2"/>
          </w:tcPr>
          <w:p>
            <w:pPr>
              <w:ind w:left="260"/>
              <w:spacing w:after="0"/>
              <w:rPr>
                <w:sz w:val="20"/>
                <w:szCs w:val="20"/>
                <w:color w:val="auto"/>
              </w:rPr>
            </w:pPr>
            <w:r>
              <w:rPr>
                <w:rFonts w:ascii="Arial" w:cs="Arial" w:eastAsia="Arial" w:hAnsi="Arial"/>
                <w:sz w:val="14"/>
                <w:szCs w:val="14"/>
                <w:color w:val="auto"/>
              </w:rPr>
              <w:t>Poplar Run, Silver Spring</w:t>
            </w:r>
          </w:p>
        </w:tc>
        <w:tc>
          <w:tcPr>
            <w:tcW w:w="9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4220" w:type="dxa"/>
            <w:vAlign w:val="bottom"/>
            <w:gridSpan w:val="2"/>
            <w:shd w:val="clear" w:color="auto" w:fill="CFF0FC"/>
          </w:tcPr>
          <w:p>
            <w:pPr>
              <w:ind w:left="500"/>
              <w:spacing w:after="0"/>
              <w:rPr>
                <w:sz w:val="20"/>
                <w:szCs w:val="20"/>
                <w:color w:val="auto"/>
              </w:rPr>
            </w:pPr>
            <w:r>
              <w:rPr>
                <w:rFonts w:ascii="Arial" w:cs="Arial" w:eastAsia="Arial" w:hAnsi="Arial"/>
                <w:sz w:val="14"/>
                <w:szCs w:val="14"/>
                <w:color w:val="auto"/>
              </w:rPr>
              <w:t>Poplar Run Everson Townhomes</w:t>
            </w:r>
          </w:p>
        </w:tc>
        <w:tc>
          <w:tcPr>
            <w:tcW w:w="900" w:type="dxa"/>
            <w:vAlign w:val="bottom"/>
            <w:shd w:val="clear" w:color="auto" w:fill="CFF0FC"/>
          </w:tcPr>
          <w:p>
            <w:pPr>
              <w:jc w:val="center"/>
              <w:spacing w:after="0"/>
              <w:rPr>
                <w:sz w:val="20"/>
                <w:szCs w:val="20"/>
                <w:color w:val="auto"/>
              </w:rPr>
            </w:pPr>
            <w:r>
              <w:rPr>
                <w:rFonts w:ascii="Arial" w:cs="Arial" w:eastAsia="Arial" w:hAnsi="Arial"/>
                <w:sz w:val="14"/>
                <w:szCs w:val="14"/>
                <w:color w:val="auto"/>
                <w:w w:val="83"/>
              </w:rPr>
              <w:t>2013</w:t>
            </w:r>
          </w:p>
        </w:tc>
        <w:tc>
          <w:tcPr>
            <w:tcW w:w="120" w:type="dxa"/>
            <w:vAlign w:val="bottom"/>
            <w:shd w:val="clear" w:color="auto" w:fill="CFF0FC"/>
          </w:tcPr>
          <w:p>
            <w:pPr>
              <w:spacing w:after="0"/>
              <w:rPr>
                <w:sz w:val="14"/>
                <w:szCs w:val="14"/>
                <w:color w:val="auto"/>
              </w:rPr>
            </w:pPr>
          </w:p>
        </w:tc>
        <w:tc>
          <w:tcPr>
            <w:tcW w:w="7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136</w:t>
            </w:r>
          </w:p>
        </w:tc>
        <w:tc>
          <w:tcPr>
            <w:tcW w:w="220" w:type="dxa"/>
            <w:vAlign w:val="bottom"/>
            <w:shd w:val="clear" w:color="auto" w:fill="CFF0FC"/>
          </w:tcPr>
          <w:p>
            <w:pPr>
              <w:spacing w:after="0"/>
              <w:rPr>
                <w:sz w:val="14"/>
                <w:szCs w:val="14"/>
                <w:color w:val="auto"/>
              </w:rPr>
            </w:pPr>
          </w:p>
        </w:tc>
        <w:tc>
          <w:tcPr>
            <w:tcW w:w="860" w:type="dxa"/>
            <w:vAlign w:val="bottom"/>
            <w:shd w:val="clear" w:color="auto" w:fill="CFF0FC"/>
          </w:tcPr>
          <w:p>
            <w:pPr>
              <w:jc w:val="right"/>
              <w:spacing w:after="0"/>
              <w:rPr>
                <w:sz w:val="20"/>
                <w:szCs w:val="20"/>
                <w:color w:val="auto"/>
              </w:rPr>
            </w:pPr>
            <w:r>
              <w:rPr>
                <w:rFonts w:ascii="Arial" w:cs="Arial" w:eastAsia="Arial" w:hAnsi="Arial"/>
                <w:sz w:val="14"/>
                <w:szCs w:val="14"/>
                <w:color w:val="auto"/>
              </w:rPr>
              <w:t>69</w:t>
            </w:r>
          </w:p>
        </w:tc>
        <w:tc>
          <w:tcPr>
            <w:tcW w:w="220" w:type="dxa"/>
            <w:vAlign w:val="bottom"/>
            <w:shd w:val="clear" w:color="auto" w:fill="CFF0FC"/>
          </w:tcPr>
          <w:p>
            <w:pPr>
              <w:spacing w:after="0"/>
              <w:rPr>
                <w:sz w:val="14"/>
                <w:szCs w:val="14"/>
                <w:color w:val="auto"/>
              </w:rPr>
            </w:pPr>
          </w:p>
        </w:tc>
        <w:tc>
          <w:tcPr>
            <w:tcW w:w="7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67</w:t>
            </w:r>
          </w:p>
        </w:tc>
        <w:tc>
          <w:tcPr>
            <w:tcW w:w="220" w:type="dxa"/>
            <w:vAlign w:val="bottom"/>
            <w:shd w:val="clear" w:color="auto" w:fill="CFF0FC"/>
          </w:tcPr>
          <w:p>
            <w:pPr>
              <w:spacing w:after="0"/>
              <w:rPr>
                <w:sz w:val="14"/>
                <w:szCs w:val="14"/>
                <w:color w:val="auto"/>
              </w:rPr>
            </w:pPr>
          </w:p>
        </w:tc>
        <w:tc>
          <w:tcPr>
            <w:tcW w:w="7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2</w:t>
            </w:r>
          </w:p>
        </w:tc>
        <w:tc>
          <w:tcPr>
            <w:tcW w:w="220" w:type="dxa"/>
            <w:vAlign w:val="bottom"/>
            <w:shd w:val="clear" w:color="auto" w:fill="CFF0FC"/>
          </w:tcPr>
          <w:p>
            <w:pPr>
              <w:spacing w:after="0"/>
              <w:rPr>
                <w:sz w:val="14"/>
                <w:szCs w:val="14"/>
                <w:color w:val="auto"/>
              </w:rPr>
            </w:pPr>
          </w:p>
        </w:tc>
        <w:tc>
          <w:tcPr>
            <w:tcW w:w="9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w:t>
            </w:r>
          </w:p>
        </w:tc>
        <w:tc>
          <w:tcPr>
            <w:tcW w:w="620" w:type="dxa"/>
            <w:vAlign w:val="bottom"/>
            <w:gridSpan w:val="2"/>
            <w:shd w:val="clear" w:color="auto" w:fill="CFF0FC"/>
          </w:tcPr>
          <w:p>
            <w:pPr>
              <w:jc w:val="right"/>
              <w:spacing w:after="0"/>
              <w:rPr>
                <w:sz w:val="20"/>
                <w:szCs w:val="20"/>
                <w:color w:val="auto"/>
              </w:rPr>
            </w:pPr>
            <w:r>
              <w:rPr>
                <w:rFonts w:ascii="Arial" w:cs="Arial" w:eastAsia="Arial" w:hAnsi="Arial"/>
                <w:sz w:val="14"/>
                <w:szCs w:val="14"/>
                <w:color w:val="auto"/>
              </w:rPr>
              <w:t>$400</w:t>
            </w:r>
          </w:p>
        </w:tc>
        <w:tc>
          <w:tcPr>
            <w:tcW w:w="500" w:type="dxa"/>
            <w:vAlign w:val="bottom"/>
            <w:shd w:val="clear" w:color="auto" w:fill="CFF0FC"/>
          </w:tcPr>
          <w:p>
            <w:pPr>
              <w:ind w:left="20"/>
              <w:spacing w:after="0"/>
              <w:rPr>
                <w:sz w:val="20"/>
                <w:szCs w:val="20"/>
                <w:color w:val="auto"/>
              </w:rPr>
            </w:pPr>
            <w:r>
              <w:rPr>
                <w:rFonts w:ascii="Arial" w:cs="Arial" w:eastAsia="Arial" w:hAnsi="Arial"/>
                <w:sz w:val="14"/>
                <w:szCs w:val="14"/>
                <w:color w:val="auto"/>
              </w:rPr>
              <w:t>- $490</w:t>
            </w:r>
          </w:p>
        </w:tc>
        <w:tc>
          <w:tcPr>
            <w:tcW w:w="0" w:type="dxa"/>
            <w:vAlign w:val="bottom"/>
          </w:tcPr>
          <w:p>
            <w:pPr>
              <w:spacing w:after="0"/>
              <w:rPr>
                <w:sz w:val="1"/>
                <w:szCs w:val="1"/>
                <w:color w:val="auto"/>
              </w:rPr>
            </w:pPr>
          </w:p>
        </w:tc>
      </w:tr>
      <w:tr>
        <w:trPr>
          <w:trHeight w:val="162"/>
        </w:trPr>
        <w:tc>
          <w:tcPr>
            <w:tcW w:w="4220" w:type="dxa"/>
            <w:vAlign w:val="bottom"/>
            <w:gridSpan w:val="2"/>
          </w:tcPr>
          <w:p>
            <w:pPr>
              <w:ind w:left="500"/>
              <w:spacing w:after="0"/>
              <w:rPr>
                <w:sz w:val="20"/>
                <w:szCs w:val="20"/>
                <w:color w:val="auto"/>
              </w:rPr>
            </w:pPr>
            <w:r>
              <w:rPr>
                <w:rFonts w:ascii="Arial" w:cs="Arial" w:eastAsia="Arial" w:hAnsi="Arial"/>
                <w:sz w:val="14"/>
                <w:szCs w:val="14"/>
                <w:color w:val="auto"/>
              </w:rPr>
              <w:t>Poplar Run Lifestyle</w:t>
            </w:r>
          </w:p>
        </w:tc>
        <w:tc>
          <w:tcPr>
            <w:tcW w:w="900" w:type="dxa"/>
            <w:vAlign w:val="bottom"/>
          </w:tcPr>
          <w:p>
            <w:pPr>
              <w:jc w:val="center"/>
              <w:spacing w:after="0"/>
              <w:rPr>
                <w:sz w:val="20"/>
                <w:szCs w:val="20"/>
                <w:color w:val="auto"/>
              </w:rPr>
            </w:pPr>
            <w:r>
              <w:rPr>
                <w:rFonts w:ascii="Arial" w:cs="Arial" w:eastAsia="Arial" w:hAnsi="Arial"/>
                <w:sz w:val="14"/>
                <w:szCs w:val="14"/>
                <w:color w:val="auto"/>
                <w:w w:val="83"/>
              </w:rPr>
              <w:t>2010</w:t>
            </w:r>
          </w:p>
        </w:tc>
        <w:tc>
          <w:tcPr>
            <w:tcW w:w="120" w:type="dxa"/>
            <w:vAlign w:val="bottom"/>
          </w:tcPr>
          <w:p>
            <w:pPr>
              <w:spacing w:after="0"/>
              <w:rPr>
                <w:sz w:val="14"/>
                <w:szCs w:val="14"/>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195</w:t>
            </w:r>
          </w:p>
        </w:tc>
        <w:tc>
          <w:tcPr>
            <w:tcW w:w="220" w:type="dxa"/>
            <w:vAlign w:val="bottom"/>
          </w:tcPr>
          <w:p>
            <w:pPr>
              <w:spacing w:after="0"/>
              <w:rPr>
                <w:sz w:val="14"/>
                <w:szCs w:val="14"/>
                <w:color w:val="auto"/>
              </w:rPr>
            </w:pPr>
          </w:p>
        </w:tc>
        <w:tc>
          <w:tcPr>
            <w:tcW w:w="860" w:type="dxa"/>
            <w:vAlign w:val="bottom"/>
          </w:tcPr>
          <w:p>
            <w:pPr>
              <w:jc w:val="right"/>
              <w:spacing w:after="0"/>
              <w:rPr>
                <w:sz w:val="20"/>
                <w:szCs w:val="20"/>
                <w:color w:val="auto"/>
              </w:rPr>
            </w:pPr>
            <w:r>
              <w:rPr>
                <w:rFonts w:ascii="Arial" w:cs="Arial" w:eastAsia="Arial" w:hAnsi="Arial"/>
                <w:sz w:val="14"/>
                <w:szCs w:val="14"/>
                <w:color w:val="auto"/>
              </w:rPr>
              <w:t>102</w:t>
            </w:r>
          </w:p>
        </w:tc>
        <w:tc>
          <w:tcPr>
            <w:tcW w:w="220" w:type="dxa"/>
            <w:vAlign w:val="bottom"/>
          </w:tcPr>
          <w:p>
            <w:pPr>
              <w:spacing w:after="0"/>
              <w:rPr>
                <w:sz w:val="14"/>
                <w:szCs w:val="14"/>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93</w:t>
            </w:r>
          </w:p>
        </w:tc>
        <w:tc>
          <w:tcPr>
            <w:tcW w:w="220" w:type="dxa"/>
            <w:vAlign w:val="bottom"/>
          </w:tcPr>
          <w:p>
            <w:pPr>
              <w:spacing w:after="0"/>
              <w:rPr>
                <w:sz w:val="14"/>
                <w:szCs w:val="14"/>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14</w:t>
            </w:r>
          </w:p>
        </w:tc>
        <w:tc>
          <w:tcPr>
            <w:tcW w:w="220" w:type="dxa"/>
            <w:vAlign w:val="bottom"/>
          </w:tcPr>
          <w:p>
            <w:pPr>
              <w:spacing w:after="0"/>
              <w:rPr>
                <w:sz w:val="14"/>
                <w:szCs w:val="14"/>
                <w:color w:val="auto"/>
              </w:rPr>
            </w:pPr>
          </w:p>
        </w:tc>
        <w:tc>
          <w:tcPr>
            <w:tcW w:w="980" w:type="dxa"/>
            <w:vAlign w:val="bottom"/>
          </w:tcPr>
          <w:p>
            <w:pPr>
              <w:jc w:val="right"/>
              <w:spacing w:after="0"/>
              <w:rPr>
                <w:sz w:val="20"/>
                <w:szCs w:val="20"/>
                <w:color w:val="auto"/>
              </w:rPr>
            </w:pPr>
            <w:r>
              <w:rPr>
                <w:rFonts w:ascii="Arial" w:cs="Arial" w:eastAsia="Arial" w:hAnsi="Arial"/>
                <w:sz w:val="14"/>
                <w:szCs w:val="14"/>
                <w:color w:val="auto"/>
              </w:rPr>
              <w:t>4</w:t>
            </w:r>
          </w:p>
        </w:tc>
        <w:tc>
          <w:tcPr>
            <w:tcW w:w="620" w:type="dxa"/>
            <w:vAlign w:val="bottom"/>
            <w:gridSpan w:val="2"/>
          </w:tcPr>
          <w:p>
            <w:pPr>
              <w:jc w:val="right"/>
              <w:spacing w:after="0"/>
              <w:rPr>
                <w:sz w:val="20"/>
                <w:szCs w:val="20"/>
                <w:color w:val="auto"/>
              </w:rPr>
            </w:pPr>
            <w:r>
              <w:rPr>
                <w:rFonts w:ascii="Arial" w:cs="Arial" w:eastAsia="Arial" w:hAnsi="Arial"/>
                <w:sz w:val="14"/>
                <w:szCs w:val="14"/>
                <w:color w:val="auto"/>
              </w:rPr>
              <w:t>$570</w:t>
            </w:r>
          </w:p>
        </w:tc>
        <w:tc>
          <w:tcPr>
            <w:tcW w:w="500" w:type="dxa"/>
            <w:vAlign w:val="bottom"/>
          </w:tcPr>
          <w:p>
            <w:pPr>
              <w:ind w:left="20"/>
              <w:spacing w:after="0"/>
              <w:rPr>
                <w:sz w:val="20"/>
                <w:szCs w:val="20"/>
                <w:color w:val="auto"/>
              </w:rPr>
            </w:pPr>
            <w:r>
              <w:rPr>
                <w:rFonts w:ascii="Arial" w:cs="Arial" w:eastAsia="Arial" w:hAnsi="Arial"/>
                <w:sz w:val="14"/>
                <w:szCs w:val="14"/>
                <w:color w:val="auto"/>
              </w:rPr>
              <w:t>- $715</w:t>
            </w:r>
          </w:p>
        </w:tc>
        <w:tc>
          <w:tcPr>
            <w:tcW w:w="0" w:type="dxa"/>
            <w:vAlign w:val="bottom"/>
          </w:tcPr>
          <w:p>
            <w:pPr>
              <w:spacing w:after="0"/>
              <w:rPr>
                <w:sz w:val="1"/>
                <w:szCs w:val="1"/>
                <w:color w:val="auto"/>
              </w:rPr>
            </w:pPr>
          </w:p>
        </w:tc>
      </w:tr>
      <w:tr>
        <w:trPr>
          <w:trHeight w:val="162"/>
        </w:trPr>
        <w:tc>
          <w:tcPr>
            <w:tcW w:w="4220" w:type="dxa"/>
            <w:vAlign w:val="bottom"/>
            <w:gridSpan w:val="2"/>
            <w:shd w:val="clear" w:color="auto" w:fill="CFF0FC"/>
          </w:tcPr>
          <w:p>
            <w:pPr>
              <w:ind w:left="500"/>
              <w:spacing w:after="0"/>
              <w:rPr>
                <w:sz w:val="20"/>
                <w:szCs w:val="20"/>
                <w:color w:val="auto"/>
              </w:rPr>
            </w:pPr>
            <w:r>
              <w:rPr>
                <w:rFonts w:ascii="Arial" w:cs="Arial" w:eastAsia="Arial" w:hAnsi="Arial"/>
                <w:sz w:val="14"/>
                <w:szCs w:val="14"/>
                <w:color w:val="auto"/>
              </w:rPr>
              <w:t>Poplar Run Lots for Sale</w:t>
            </w:r>
          </w:p>
        </w:tc>
        <w:tc>
          <w:tcPr>
            <w:tcW w:w="1020" w:type="dxa"/>
            <w:vAlign w:val="bottom"/>
            <w:gridSpan w:val="2"/>
            <w:shd w:val="clear" w:color="auto" w:fill="CFF0FC"/>
          </w:tcPr>
          <w:p>
            <w:pPr>
              <w:jc w:val="center"/>
              <w:ind w:right="120"/>
              <w:spacing w:after="0"/>
              <w:rPr>
                <w:sz w:val="20"/>
                <w:szCs w:val="20"/>
                <w:color w:val="auto"/>
              </w:rPr>
            </w:pPr>
            <w:r>
              <w:rPr>
                <w:rFonts w:ascii="Arial" w:cs="Arial" w:eastAsia="Arial" w:hAnsi="Arial"/>
                <w:sz w:val="14"/>
                <w:szCs w:val="14"/>
                <w:color w:val="auto"/>
                <w:w w:val="94"/>
              </w:rPr>
              <w:t>N/A</w:t>
            </w:r>
          </w:p>
        </w:tc>
        <w:tc>
          <w:tcPr>
            <w:tcW w:w="7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w:t>
            </w:r>
          </w:p>
        </w:tc>
        <w:tc>
          <w:tcPr>
            <w:tcW w:w="220" w:type="dxa"/>
            <w:vAlign w:val="bottom"/>
            <w:shd w:val="clear" w:color="auto" w:fill="CFF0FC"/>
          </w:tcPr>
          <w:p>
            <w:pPr>
              <w:spacing w:after="0"/>
              <w:rPr>
                <w:sz w:val="14"/>
                <w:szCs w:val="14"/>
                <w:color w:val="auto"/>
              </w:rPr>
            </w:pPr>
          </w:p>
        </w:tc>
        <w:tc>
          <w:tcPr>
            <w:tcW w:w="860" w:type="dxa"/>
            <w:vAlign w:val="bottom"/>
            <w:shd w:val="clear" w:color="auto" w:fill="CFF0FC"/>
          </w:tcPr>
          <w:p>
            <w:pPr>
              <w:spacing w:after="0"/>
              <w:rPr>
                <w:sz w:val="14"/>
                <w:szCs w:val="14"/>
                <w:color w:val="auto"/>
              </w:rPr>
            </w:pPr>
          </w:p>
        </w:tc>
        <w:tc>
          <w:tcPr>
            <w:tcW w:w="220" w:type="dxa"/>
            <w:vAlign w:val="bottom"/>
            <w:shd w:val="clear" w:color="auto" w:fill="CFF0FC"/>
          </w:tcPr>
          <w:p>
            <w:pPr>
              <w:spacing w:after="0"/>
              <w:rPr>
                <w:sz w:val="14"/>
                <w:szCs w:val="14"/>
                <w:color w:val="auto"/>
              </w:rPr>
            </w:pPr>
          </w:p>
        </w:tc>
        <w:tc>
          <w:tcPr>
            <w:tcW w:w="7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29</w:t>
            </w:r>
          </w:p>
        </w:tc>
        <w:tc>
          <w:tcPr>
            <w:tcW w:w="220" w:type="dxa"/>
            <w:vAlign w:val="bottom"/>
            <w:shd w:val="clear" w:color="auto" w:fill="CFF0FC"/>
          </w:tcPr>
          <w:p>
            <w:pPr>
              <w:spacing w:after="0"/>
              <w:rPr>
                <w:sz w:val="14"/>
                <w:szCs w:val="14"/>
                <w:color w:val="auto"/>
              </w:rPr>
            </w:pPr>
          </w:p>
        </w:tc>
        <w:tc>
          <w:tcPr>
            <w:tcW w:w="7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w:t>
            </w:r>
          </w:p>
        </w:tc>
        <w:tc>
          <w:tcPr>
            <w:tcW w:w="220" w:type="dxa"/>
            <w:vAlign w:val="bottom"/>
            <w:shd w:val="clear" w:color="auto" w:fill="CFF0FC"/>
          </w:tcPr>
          <w:p>
            <w:pPr>
              <w:spacing w:after="0"/>
              <w:rPr>
                <w:sz w:val="14"/>
                <w:szCs w:val="14"/>
                <w:color w:val="auto"/>
              </w:rPr>
            </w:pPr>
          </w:p>
        </w:tc>
        <w:tc>
          <w:tcPr>
            <w:tcW w:w="9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w:t>
            </w:r>
          </w:p>
        </w:tc>
        <w:tc>
          <w:tcPr>
            <w:tcW w:w="220" w:type="dxa"/>
            <w:vAlign w:val="bottom"/>
            <w:shd w:val="clear" w:color="auto" w:fill="CFF0FC"/>
          </w:tcPr>
          <w:p>
            <w:pPr>
              <w:spacing w:after="0"/>
              <w:rPr>
                <w:sz w:val="14"/>
                <w:szCs w:val="14"/>
                <w:color w:val="auto"/>
              </w:rPr>
            </w:pPr>
          </w:p>
        </w:tc>
        <w:tc>
          <w:tcPr>
            <w:tcW w:w="900" w:type="dxa"/>
            <w:vAlign w:val="bottom"/>
            <w:gridSpan w:val="2"/>
            <w:shd w:val="clear" w:color="auto" w:fill="CFF0FC"/>
          </w:tcPr>
          <w:p>
            <w:pPr>
              <w:jc w:val="center"/>
              <w:spacing w:after="0"/>
              <w:rPr>
                <w:sz w:val="20"/>
                <w:szCs w:val="20"/>
                <w:color w:val="auto"/>
              </w:rPr>
            </w:pPr>
            <w:r>
              <w:rPr>
                <w:rFonts w:ascii="Arial" w:cs="Arial" w:eastAsia="Arial" w:hAnsi="Arial"/>
                <w:sz w:val="14"/>
                <w:szCs w:val="14"/>
                <w:color w:val="auto"/>
              </w:rPr>
              <w:t>NA</w:t>
            </w:r>
          </w:p>
        </w:tc>
        <w:tc>
          <w:tcPr>
            <w:tcW w:w="0" w:type="dxa"/>
            <w:vAlign w:val="bottom"/>
          </w:tcPr>
          <w:p>
            <w:pPr>
              <w:spacing w:after="0"/>
              <w:rPr>
                <w:sz w:val="1"/>
                <w:szCs w:val="1"/>
                <w:color w:val="auto"/>
              </w:rPr>
            </w:pPr>
          </w:p>
        </w:tc>
      </w:tr>
      <w:tr>
        <w:trPr>
          <w:trHeight w:val="162"/>
        </w:trPr>
        <w:tc>
          <w:tcPr>
            <w:tcW w:w="4220" w:type="dxa"/>
            <w:vAlign w:val="bottom"/>
            <w:gridSpan w:val="2"/>
          </w:tcPr>
          <w:p>
            <w:pPr>
              <w:ind w:left="500"/>
              <w:spacing w:after="0"/>
              <w:rPr>
                <w:sz w:val="20"/>
                <w:szCs w:val="20"/>
                <w:color w:val="auto"/>
              </w:rPr>
            </w:pPr>
            <w:r>
              <w:rPr>
                <w:rFonts w:ascii="Arial" w:cs="Arial" w:eastAsia="Arial" w:hAnsi="Arial"/>
                <w:sz w:val="14"/>
                <w:szCs w:val="14"/>
                <w:color w:val="auto"/>
              </w:rPr>
              <w:t>Poplar Run Village</w:t>
            </w:r>
          </w:p>
        </w:tc>
        <w:tc>
          <w:tcPr>
            <w:tcW w:w="900" w:type="dxa"/>
            <w:vAlign w:val="bottom"/>
          </w:tcPr>
          <w:p>
            <w:pPr>
              <w:jc w:val="center"/>
              <w:spacing w:after="0"/>
              <w:rPr>
                <w:sz w:val="20"/>
                <w:szCs w:val="20"/>
                <w:color w:val="auto"/>
              </w:rPr>
            </w:pPr>
            <w:r>
              <w:rPr>
                <w:rFonts w:ascii="Arial" w:cs="Arial" w:eastAsia="Arial" w:hAnsi="Arial"/>
                <w:sz w:val="14"/>
                <w:szCs w:val="14"/>
                <w:color w:val="auto"/>
                <w:w w:val="83"/>
              </w:rPr>
              <w:t>2010</w:t>
            </w:r>
          </w:p>
        </w:tc>
        <w:tc>
          <w:tcPr>
            <w:tcW w:w="120" w:type="dxa"/>
            <w:vAlign w:val="bottom"/>
          </w:tcPr>
          <w:p>
            <w:pPr>
              <w:spacing w:after="0"/>
              <w:rPr>
                <w:sz w:val="14"/>
                <w:szCs w:val="14"/>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170</w:t>
            </w:r>
          </w:p>
        </w:tc>
        <w:tc>
          <w:tcPr>
            <w:tcW w:w="220" w:type="dxa"/>
            <w:vAlign w:val="bottom"/>
          </w:tcPr>
          <w:p>
            <w:pPr>
              <w:spacing w:after="0"/>
              <w:rPr>
                <w:sz w:val="14"/>
                <w:szCs w:val="14"/>
                <w:color w:val="auto"/>
              </w:rPr>
            </w:pPr>
          </w:p>
        </w:tc>
        <w:tc>
          <w:tcPr>
            <w:tcW w:w="860" w:type="dxa"/>
            <w:vAlign w:val="bottom"/>
          </w:tcPr>
          <w:p>
            <w:pPr>
              <w:jc w:val="right"/>
              <w:spacing w:after="0"/>
              <w:rPr>
                <w:sz w:val="20"/>
                <w:szCs w:val="20"/>
                <w:color w:val="auto"/>
              </w:rPr>
            </w:pPr>
            <w:r>
              <w:rPr>
                <w:rFonts w:ascii="Arial" w:cs="Arial" w:eastAsia="Arial" w:hAnsi="Arial"/>
                <w:sz w:val="14"/>
                <w:szCs w:val="14"/>
                <w:color w:val="auto"/>
              </w:rPr>
              <w:t>72</w:t>
            </w:r>
          </w:p>
        </w:tc>
        <w:tc>
          <w:tcPr>
            <w:tcW w:w="220" w:type="dxa"/>
            <w:vAlign w:val="bottom"/>
          </w:tcPr>
          <w:p>
            <w:pPr>
              <w:spacing w:after="0"/>
              <w:rPr>
                <w:sz w:val="14"/>
                <w:szCs w:val="14"/>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98</w:t>
            </w:r>
          </w:p>
        </w:tc>
        <w:tc>
          <w:tcPr>
            <w:tcW w:w="220" w:type="dxa"/>
            <w:vAlign w:val="bottom"/>
          </w:tcPr>
          <w:p>
            <w:pPr>
              <w:spacing w:after="0"/>
              <w:rPr>
                <w:sz w:val="14"/>
                <w:szCs w:val="14"/>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4</w:t>
            </w:r>
          </w:p>
        </w:tc>
        <w:tc>
          <w:tcPr>
            <w:tcW w:w="220" w:type="dxa"/>
            <w:vAlign w:val="bottom"/>
          </w:tcPr>
          <w:p>
            <w:pPr>
              <w:spacing w:after="0"/>
              <w:rPr>
                <w:sz w:val="14"/>
                <w:szCs w:val="14"/>
                <w:color w:val="auto"/>
              </w:rPr>
            </w:pPr>
          </w:p>
        </w:tc>
        <w:tc>
          <w:tcPr>
            <w:tcW w:w="980" w:type="dxa"/>
            <w:vAlign w:val="bottom"/>
          </w:tcPr>
          <w:p>
            <w:pPr>
              <w:jc w:val="right"/>
              <w:spacing w:after="0"/>
              <w:rPr>
                <w:sz w:val="20"/>
                <w:szCs w:val="20"/>
                <w:color w:val="auto"/>
              </w:rPr>
            </w:pPr>
            <w:r>
              <w:rPr>
                <w:rFonts w:ascii="Arial" w:cs="Arial" w:eastAsia="Arial" w:hAnsi="Arial"/>
                <w:sz w:val="14"/>
                <w:szCs w:val="14"/>
                <w:color w:val="auto"/>
              </w:rPr>
              <w:t>5</w:t>
            </w:r>
          </w:p>
        </w:tc>
        <w:tc>
          <w:tcPr>
            <w:tcW w:w="620" w:type="dxa"/>
            <w:vAlign w:val="bottom"/>
            <w:gridSpan w:val="2"/>
          </w:tcPr>
          <w:p>
            <w:pPr>
              <w:jc w:val="right"/>
              <w:spacing w:after="0"/>
              <w:rPr>
                <w:sz w:val="20"/>
                <w:szCs w:val="20"/>
                <w:color w:val="auto"/>
              </w:rPr>
            </w:pPr>
            <w:r>
              <w:rPr>
                <w:rFonts w:ascii="Arial" w:cs="Arial" w:eastAsia="Arial" w:hAnsi="Arial"/>
                <w:sz w:val="14"/>
                <w:szCs w:val="14"/>
                <w:color w:val="auto"/>
              </w:rPr>
              <w:t>$560</w:t>
            </w:r>
          </w:p>
        </w:tc>
        <w:tc>
          <w:tcPr>
            <w:tcW w:w="500" w:type="dxa"/>
            <w:vAlign w:val="bottom"/>
          </w:tcPr>
          <w:p>
            <w:pPr>
              <w:ind w:left="20"/>
              <w:spacing w:after="0"/>
              <w:rPr>
                <w:sz w:val="20"/>
                <w:szCs w:val="20"/>
                <w:color w:val="auto"/>
              </w:rPr>
            </w:pPr>
            <w:r>
              <w:rPr>
                <w:rFonts w:ascii="Arial" w:cs="Arial" w:eastAsia="Arial" w:hAnsi="Arial"/>
                <w:sz w:val="14"/>
                <w:szCs w:val="14"/>
                <w:color w:val="auto"/>
              </w:rPr>
              <w:t>- $665</w:t>
            </w:r>
          </w:p>
        </w:tc>
        <w:tc>
          <w:tcPr>
            <w:tcW w:w="0" w:type="dxa"/>
            <w:vAlign w:val="bottom"/>
          </w:tcPr>
          <w:p>
            <w:pPr>
              <w:spacing w:after="0"/>
              <w:rPr>
                <w:sz w:val="1"/>
                <w:szCs w:val="1"/>
                <w:color w:val="auto"/>
              </w:rPr>
            </w:pPr>
          </w:p>
        </w:tc>
      </w:tr>
      <w:tr>
        <w:trPr>
          <w:trHeight w:val="162"/>
        </w:trPr>
        <w:tc>
          <w:tcPr>
            <w:tcW w:w="4220" w:type="dxa"/>
            <w:vAlign w:val="bottom"/>
            <w:gridSpan w:val="2"/>
            <w:shd w:val="clear" w:color="auto" w:fill="CFF0FC"/>
          </w:tcPr>
          <w:p>
            <w:pPr>
              <w:ind w:left="500"/>
              <w:spacing w:after="0"/>
              <w:rPr>
                <w:sz w:val="20"/>
                <w:szCs w:val="20"/>
                <w:color w:val="auto"/>
              </w:rPr>
            </w:pPr>
            <w:r>
              <w:rPr>
                <w:rFonts w:ascii="Arial" w:cs="Arial" w:eastAsia="Arial" w:hAnsi="Arial"/>
                <w:sz w:val="14"/>
                <w:szCs w:val="14"/>
                <w:color w:val="auto"/>
              </w:rPr>
              <w:t>Potomac Highlands</w:t>
            </w:r>
          </w:p>
        </w:tc>
        <w:tc>
          <w:tcPr>
            <w:tcW w:w="900" w:type="dxa"/>
            <w:vAlign w:val="bottom"/>
            <w:shd w:val="clear" w:color="auto" w:fill="CFF0FC"/>
          </w:tcPr>
          <w:p>
            <w:pPr>
              <w:jc w:val="center"/>
              <w:spacing w:after="0"/>
              <w:rPr>
                <w:sz w:val="20"/>
                <w:szCs w:val="20"/>
                <w:color w:val="auto"/>
              </w:rPr>
            </w:pPr>
            <w:r>
              <w:rPr>
                <w:rFonts w:ascii="Arial" w:cs="Arial" w:eastAsia="Arial" w:hAnsi="Arial"/>
                <w:sz w:val="14"/>
                <w:szCs w:val="14"/>
                <w:color w:val="auto"/>
                <w:w w:val="83"/>
              </w:rPr>
              <w:t>2016</w:t>
            </w:r>
          </w:p>
        </w:tc>
        <w:tc>
          <w:tcPr>
            <w:tcW w:w="120" w:type="dxa"/>
            <w:vAlign w:val="bottom"/>
            <w:shd w:val="clear" w:color="auto" w:fill="CFF0FC"/>
          </w:tcPr>
          <w:p>
            <w:pPr>
              <w:spacing w:after="0"/>
              <w:rPr>
                <w:sz w:val="14"/>
                <w:szCs w:val="14"/>
                <w:color w:val="auto"/>
              </w:rPr>
            </w:pPr>
          </w:p>
        </w:tc>
        <w:tc>
          <w:tcPr>
            <w:tcW w:w="7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23</w:t>
            </w:r>
          </w:p>
        </w:tc>
        <w:tc>
          <w:tcPr>
            <w:tcW w:w="220" w:type="dxa"/>
            <w:vAlign w:val="bottom"/>
            <w:shd w:val="clear" w:color="auto" w:fill="CFF0FC"/>
          </w:tcPr>
          <w:p>
            <w:pPr>
              <w:spacing w:after="0"/>
              <w:rPr>
                <w:sz w:val="14"/>
                <w:szCs w:val="14"/>
                <w:color w:val="auto"/>
              </w:rPr>
            </w:pPr>
          </w:p>
        </w:tc>
        <w:tc>
          <w:tcPr>
            <w:tcW w:w="860" w:type="dxa"/>
            <w:vAlign w:val="bottom"/>
            <w:shd w:val="clear" w:color="auto" w:fill="CFF0FC"/>
          </w:tcPr>
          <w:p>
            <w:pPr>
              <w:jc w:val="right"/>
              <w:spacing w:after="0"/>
              <w:rPr>
                <w:sz w:val="20"/>
                <w:szCs w:val="20"/>
                <w:color w:val="auto"/>
              </w:rPr>
            </w:pPr>
            <w:r>
              <w:rPr>
                <w:rFonts w:ascii="Arial" w:cs="Arial" w:eastAsia="Arial" w:hAnsi="Arial"/>
                <w:sz w:val="14"/>
                <w:szCs w:val="14"/>
                <w:color w:val="auto"/>
              </w:rPr>
              <w:t>-</w:t>
            </w:r>
          </w:p>
        </w:tc>
        <w:tc>
          <w:tcPr>
            <w:tcW w:w="220" w:type="dxa"/>
            <w:vAlign w:val="bottom"/>
            <w:shd w:val="clear" w:color="auto" w:fill="CFF0FC"/>
          </w:tcPr>
          <w:p>
            <w:pPr>
              <w:spacing w:after="0"/>
              <w:rPr>
                <w:sz w:val="14"/>
                <w:szCs w:val="14"/>
                <w:color w:val="auto"/>
              </w:rPr>
            </w:pPr>
          </w:p>
        </w:tc>
        <w:tc>
          <w:tcPr>
            <w:tcW w:w="7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23</w:t>
            </w:r>
          </w:p>
        </w:tc>
        <w:tc>
          <w:tcPr>
            <w:tcW w:w="220" w:type="dxa"/>
            <w:vAlign w:val="bottom"/>
            <w:shd w:val="clear" w:color="auto" w:fill="CFF0FC"/>
          </w:tcPr>
          <w:p>
            <w:pPr>
              <w:spacing w:after="0"/>
              <w:rPr>
                <w:sz w:val="14"/>
                <w:szCs w:val="14"/>
                <w:color w:val="auto"/>
              </w:rPr>
            </w:pPr>
          </w:p>
        </w:tc>
        <w:tc>
          <w:tcPr>
            <w:tcW w:w="7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w:t>
            </w:r>
          </w:p>
        </w:tc>
        <w:tc>
          <w:tcPr>
            <w:tcW w:w="220" w:type="dxa"/>
            <w:vAlign w:val="bottom"/>
            <w:shd w:val="clear" w:color="auto" w:fill="CFF0FC"/>
          </w:tcPr>
          <w:p>
            <w:pPr>
              <w:spacing w:after="0"/>
              <w:rPr>
                <w:sz w:val="14"/>
                <w:szCs w:val="14"/>
                <w:color w:val="auto"/>
              </w:rPr>
            </w:pPr>
          </w:p>
        </w:tc>
        <w:tc>
          <w:tcPr>
            <w:tcW w:w="9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w:t>
            </w:r>
          </w:p>
        </w:tc>
        <w:tc>
          <w:tcPr>
            <w:tcW w:w="220" w:type="dxa"/>
            <w:vAlign w:val="bottom"/>
            <w:shd w:val="clear" w:color="auto" w:fill="CFF0FC"/>
          </w:tcPr>
          <w:p>
            <w:pPr>
              <w:spacing w:after="0"/>
              <w:rPr>
                <w:sz w:val="14"/>
                <w:szCs w:val="14"/>
                <w:color w:val="auto"/>
              </w:rPr>
            </w:pPr>
          </w:p>
        </w:tc>
        <w:tc>
          <w:tcPr>
            <w:tcW w:w="900" w:type="dxa"/>
            <w:vAlign w:val="bottom"/>
            <w:gridSpan w:val="2"/>
            <w:shd w:val="clear" w:color="auto" w:fill="CFF0FC"/>
          </w:tcPr>
          <w:p>
            <w:pPr>
              <w:jc w:val="center"/>
              <w:spacing w:after="0"/>
              <w:rPr>
                <w:sz w:val="20"/>
                <w:szCs w:val="20"/>
                <w:color w:val="auto"/>
              </w:rPr>
            </w:pPr>
            <w:r>
              <w:rPr>
                <w:rFonts w:ascii="Arial" w:cs="Arial" w:eastAsia="Arial" w:hAnsi="Arial"/>
                <w:sz w:val="14"/>
                <w:szCs w:val="14"/>
                <w:color w:val="auto"/>
                <w:w w:val="99"/>
              </w:rPr>
              <w:t>TBD</w:t>
            </w:r>
          </w:p>
        </w:tc>
        <w:tc>
          <w:tcPr>
            <w:tcW w:w="0" w:type="dxa"/>
            <w:vAlign w:val="bottom"/>
          </w:tcPr>
          <w:p>
            <w:pPr>
              <w:spacing w:after="0"/>
              <w:rPr>
                <w:sz w:val="1"/>
                <w:szCs w:val="1"/>
                <w:color w:val="auto"/>
              </w:rPr>
            </w:pPr>
          </w:p>
        </w:tc>
      </w:tr>
      <w:tr>
        <w:trPr>
          <w:trHeight w:val="162"/>
        </w:trPr>
        <w:tc>
          <w:tcPr>
            <w:tcW w:w="4220" w:type="dxa"/>
            <w:vAlign w:val="bottom"/>
            <w:tcBorders>
              <w:bottom w:val="single" w:sz="8" w:color="CFF0FC"/>
            </w:tcBorders>
            <w:gridSpan w:val="2"/>
          </w:tcPr>
          <w:p>
            <w:pPr>
              <w:ind w:left="500"/>
              <w:spacing w:after="0"/>
              <w:rPr>
                <w:sz w:val="20"/>
                <w:szCs w:val="20"/>
                <w:color w:val="auto"/>
              </w:rPr>
            </w:pPr>
            <w:r>
              <w:rPr>
                <w:rFonts w:ascii="Arial" w:cs="Arial" w:eastAsia="Arial" w:hAnsi="Arial"/>
                <w:sz w:val="14"/>
                <w:szCs w:val="14"/>
                <w:color w:val="auto"/>
              </w:rPr>
              <w:t>Glenmont</w:t>
            </w:r>
          </w:p>
        </w:tc>
        <w:tc>
          <w:tcPr>
            <w:tcW w:w="900" w:type="dxa"/>
            <w:vAlign w:val="bottom"/>
            <w:tcBorders>
              <w:bottom w:val="single" w:sz="8" w:color="CFF0FC"/>
            </w:tcBorders>
          </w:tcPr>
          <w:p>
            <w:pPr>
              <w:jc w:val="center"/>
              <w:spacing w:after="0"/>
              <w:rPr>
                <w:sz w:val="20"/>
                <w:szCs w:val="20"/>
                <w:color w:val="auto"/>
              </w:rPr>
            </w:pPr>
            <w:r>
              <w:rPr>
                <w:rFonts w:ascii="Arial" w:cs="Arial" w:eastAsia="Arial" w:hAnsi="Arial"/>
                <w:sz w:val="14"/>
                <w:szCs w:val="14"/>
                <w:color w:val="auto"/>
                <w:w w:val="83"/>
              </w:rPr>
              <w:t>2016</w:t>
            </w:r>
          </w:p>
        </w:tc>
        <w:tc>
          <w:tcPr>
            <w:tcW w:w="120" w:type="dxa"/>
            <w:vAlign w:val="bottom"/>
            <w:tcBorders>
              <w:bottom w:val="single" w:sz="8" w:color="CFF0FC"/>
            </w:tcBorders>
          </w:tcPr>
          <w:p>
            <w:pPr>
              <w:spacing w:after="0"/>
              <w:rPr>
                <w:sz w:val="14"/>
                <w:szCs w:val="14"/>
                <w:color w:val="auto"/>
              </w:rPr>
            </w:pPr>
          </w:p>
        </w:tc>
        <w:tc>
          <w:tcPr>
            <w:tcW w:w="7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89</w:t>
            </w:r>
          </w:p>
        </w:tc>
        <w:tc>
          <w:tcPr>
            <w:tcW w:w="220" w:type="dxa"/>
            <w:vAlign w:val="bottom"/>
            <w:tcBorders>
              <w:bottom w:val="single" w:sz="8" w:color="CFF0FC"/>
            </w:tcBorders>
          </w:tcPr>
          <w:p>
            <w:pPr>
              <w:spacing w:after="0"/>
              <w:rPr>
                <w:sz w:val="14"/>
                <w:szCs w:val="14"/>
                <w:color w:val="auto"/>
              </w:rPr>
            </w:pPr>
          </w:p>
        </w:tc>
        <w:tc>
          <w:tcPr>
            <w:tcW w:w="8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220" w:type="dxa"/>
            <w:vAlign w:val="bottom"/>
            <w:tcBorders>
              <w:bottom w:val="single" w:sz="8" w:color="CFF0FC"/>
            </w:tcBorders>
          </w:tcPr>
          <w:p>
            <w:pPr>
              <w:spacing w:after="0"/>
              <w:rPr>
                <w:sz w:val="14"/>
                <w:szCs w:val="14"/>
                <w:color w:val="auto"/>
              </w:rPr>
            </w:pPr>
          </w:p>
        </w:tc>
        <w:tc>
          <w:tcPr>
            <w:tcW w:w="7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89</w:t>
            </w:r>
          </w:p>
        </w:tc>
        <w:tc>
          <w:tcPr>
            <w:tcW w:w="220" w:type="dxa"/>
            <w:vAlign w:val="bottom"/>
            <w:tcBorders>
              <w:bottom w:val="single" w:sz="8" w:color="CFF0FC"/>
            </w:tcBorders>
          </w:tcPr>
          <w:p>
            <w:pPr>
              <w:spacing w:after="0"/>
              <w:rPr>
                <w:sz w:val="14"/>
                <w:szCs w:val="14"/>
                <w:color w:val="auto"/>
              </w:rPr>
            </w:pPr>
          </w:p>
        </w:tc>
        <w:tc>
          <w:tcPr>
            <w:tcW w:w="7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220" w:type="dxa"/>
            <w:vAlign w:val="bottom"/>
            <w:tcBorders>
              <w:bottom w:val="single" w:sz="8" w:color="CFF0FC"/>
            </w:tcBorders>
          </w:tcPr>
          <w:p>
            <w:pPr>
              <w:spacing w:after="0"/>
              <w:rPr>
                <w:sz w:val="14"/>
                <w:szCs w:val="14"/>
                <w:color w:val="auto"/>
              </w:rPr>
            </w:pPr>
          </w:p>
        </w:tc>
        <w:tc>
          <w:tcPr>
            <w:tcW w:w="9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220" w:type="dxa"/>
            <w:vAlign w:val="bottom"/>
            <w:tcBorders>
              <w:bottom w:val="single" w:sz="8" w:color="CFF0FC"/>
            </w:tcBorders>
          </w:tcPr>
          <w:p>
            <w:pPr>
              <w:spacing w:after="0"/>
              <w:rPr>
                <w:sz w:val="14"/>
                <w:szCs w:val="14"/>
                <w:color w:val="auto"/>
              </w:rPr>
            </w:pPr>
          </w:p>
        </w:tc>
        <w:tc>
          <w:tcPr>
            <w:tcW w:w="900" w:type="dxa"/>
            <w:vAlign w:val="bottom"/>
            <w:tcBorders>
              <w:bottom w:val="single" w:sz="8" w:color="CFF0FC"/>
            </w:tcBorders>
            <w:gridSpan w:val="2"/>
          </w:tcPr>
          <w:p>
            <w:pPr>
              <w:jc w:val="center"/>
              <w:spacing w:after="0"/>
              <w:rPr>
                <w:sz w:val="20"/>
                <w:szCs w:val="20"/>
                <w:color w:val="auto"/>
              </w:rPr>
            </w:pPr>
            <w:r>
              <w:rPr>
                <w:rFonts w:ascii="Arial" w:cs="Arial" w:eastAsia="Arial" w:hAnsi="Arial"/>
                <w:sz w:val="14"/>
                <w:szCs w:val="14"/>
                <w:color w:val="auto"/>
                <w:w w:val="99"/>
              </w:rPr>
              <w:t>TBD</w:t>
            </w:r>
          </w:p>
        </w:tc>
        <w:tc>
          <w:tcPr>
            <w:tcW w:w="0" w:type="dxa"/>
            <w:vAlign w:val="bottom"/>
          </w:tcPr>
          <w:p>
            <w:pPr>
              <w:spacing w:after="0"/>
              <w:rPr>
                <w:sz w:val="1"/>
                <w:szCs w:val="1"/>
                <w:color w:val="auto"/>
              </w:rPr>
            </w:pPr>
          </w:p>
        </w:tc>
      </w:tr>
      <w:tr>
        <w:trPr>
          <w:trHeight w:val="156"/>
        </w:trPr>
        <w:tc>
          <w:tcPr>
            <w:tcW w:w="4220" w:type="dxa"/>
            <w:vAlign w:val="bottom"/>
            <w:gridSpan w:val="2"/>
            <w:shd w:val="clear" w:color="auto" w:fill="CFF0FC"/>
          </w:tcPr>
          <w:p>
            <w:pPr>
              <w:spacing w:after="0" w:line="155" w:lineRule="exact"/>
              <w:rPr>
                <w:sz w:val="20"/>
                <w:szCs w:val="20"/>
                <w:color w:val="auto"/>
              </w:rPr>
            </w:pPr>
            <w:r>
              <w:rPr>
                <w:rFonts w:ascii="Arial" w:cs="Arial" w:eastAsia="Arial" w:hAnsi="Arial"/>
                <w:sz w:val="14"/>
                <w:szCs w:val="14"/>
                <w:b w:val="1"/>
                <w:bCs w:val="1"/>
                <w:color w:val="auto"/>
              </w:rPr>
              <w:t>Maryland Total</w:t>
            </w:r>
          </w:p>
        </w:tc>
        <w:tc>
          <w:tcPr>
            <w:tcW w:w="900" w:type="dxa"/>
            <w:vAlign w:val="bottom"/>
            <w:shd w:val="clear" w:color="auto" w:fill="CFF0FC"/>
          </w:tcPr>
          <w:p>
            <w:pPr>
              <w:spacing w:after="0"/>
              <w:rPr>
                <w:sz w:val="13"/>
                <w:szCs w:val="13"/>
                <w:color w:val="auto"/>
              </w:rPr>
            </w:pPr>
          </w:p>
        </w:tc>
        <w:tc>
          <w:tcPr>
            <w:tcW w:w="120" w:type="dxa"/>
            <w:vAlign w:val="bottom"/>
            <w:shd w:val="clear" w:color="auto" w:fill="CFF0FC"/>
          </w:tcPr>
          <w:p>
            <w:pPr>
              <w:spacing w:after="0"/>
              <w:rPr>
                <w:sz w:val="13"/>
                <w:szCs w:val="13"/>
                <w:color w:val="auto"/>
              </w:rPr>
            </w:pPr>
          </w:p>
        </w:tc>
        <w:tc>
          <w:tcPr>
            <w:tcW w:w="780" w:type="dxa"/>
            <w:vAlign w:val="bottom"/>
            <w:tcBorders>
              <w:bottom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b w:val="1"/>
                <w:bCs w:val="1"/>
                <w:color w:val="auto"/>
              </w:rPr>
              <w:t>2,200</w:t>
            </w:r>
          </w:p>
        </w:tc>
        <w:tc>
          <w:tcPr>
            <w:tcW w:w="220" w:type="dxa"/>
            <w:vAlign w:val="bottom"/>
            <w:shd w:val="clear" w:color="auto" w:fill="CFF0FC"/>
          </w:tcPr>
          <w:p>
            <w:pPr>
              <w:spacing w:after="0"/>
              <w:rPr>
                <w:sz w:val="13"/>
                <w:szCs w:val="13"/>
                <w:color w:val="auto"/>
              </w:rPr>
            </w:pPr>
          </w:p>
        </w:tc>
        <w:tc>
          <w:tcPr>
            <w:tcW w:w="860" w:type="dxa"/>
            <w:vAlign w:val="bottom"/>
            <w:tcBorders>
              <w:bottom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b w:val="1"/>
                <w:bCs w:val="1"/>
                <w:color w:val="auto"/>
              </w:rPr>
              <w:t>369</w:t>
            </w:r>
          </w:p>
        </w:tc>
        <w:tc>
          <w:tcPr>
            <w:tcW w:w="220" w:type="dxa"/>
            <w:vAlign w:val="bottom"/>
            <w:shd w:val="clear" w:color="auto" w:fill="CFF0FC"/>
          </w:tcPr>
          <w:p>
            <w:pPr>
              <w:spacing w:after="0"/>
              <w:rPr>
                <w:sz w:val="13"/>
                <w:szCs w:val="13"/>
                <w:color w:val="auto"/>
              </w:rPr>
            </w:pPr>
          </w:p>
        </w:tc>
        <w:tc>
          <w:tcPr>
            <w:tcW w:w="780" w:type="dxa"/>
            <w:vAlign w:val="bottom"/>
            <w:tcBorders>
              <w:bottom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b w:val="1"/>
                <w:bCs w:val="1"/>
                <w:color w:val="auto"/>
              </w:rPr>
              <w:t>1,902</w:t>
            </w:r>
          </w:p>
        </w:tc>
        <w:tc>
          <w:tcPr>
            <w:tcW w:w="220" w:type="dxa"/>
            <w:vAlign w:val="bottom"/>
            <w:shd w:val="clear" w:color="auto" w:fill="CFF0FC"/>
          </w:tcPr>
          <w:p>
            <w:pPr>
              <w:spacing w:after="0"/>
              <w:rPr>
                <w:sz w:val="13"/>
                <w:szCs w:val="13"/>
                <w:color w:val="auto"/>
              </w:rPr>
            </w:pPr>
          </w:p>
        </w:tc>
        <w:tc>
          <w:tcPr>
            <w:tcW w:w="780" w:type="dxa"/>
            <w:vAlign w:val="bottom"/>
            <w:tcBorders>
              <w:bottom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b w:val="1"/>
                <w:bCs w:val="1"/>
                <w:color w:val="auto"/>
              </w:rPr>
              <w:t>65</w:t>
            </w:r>
          </w:p>
        </w:tc>
        <w:tc>
          <w:tcPr>
            <w:tcW w:w="220" w:type="dxa"/>
            <w:vAlign w:val="bottom"/>
            <w:shd w:val="clear" w:color="auto" w:fill="CFF0FC"/>
          </w:tcPr>
          <w:p>
            <w:pPr>
              <w:spacing w:after="0"/>
              <w:rPr>
                <w:sz w:val="13"/>
                <w:szCs w:val="13"/>
                <w:color w:val="auto"/>
              </w:rPr>
            </w:pPr>
          </w:p>
        </w:tc>
        <w:tc>
          <w:tcPr>
            <w:tcW w:w="980" w:type="dxa"/>
            <w:vAlign w:val="bottom"/>
            <w:tcBorders>
              <w:bottom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b w:val="1"/>
                <w:bCs w:val="1"/>
                <w:color w:val="auto"/>
              </w:rPr>
              <w:t>31</w:t>
            </w:r>
          </w:p>
        </w:tc>
        <w:tc>
          <w:tcPr>
            <w:tcW w:w="220" w:type="dxa"/>
            <w:vAlign w:val="bottom"/>
            <w:shd w:val="clear" w:color="auto" w:fill="CFF0FC"/>
          </w:tcPr>
          <w:p>
            <w:pPr>
              <w:spacing w:after="0"/>
              <w:rPr>
                <w:sz w:val="13"/>
                <w:szCs w:val="13"/>
                <w:color w:val="auto"/>
              </w:rPr>
            </w:pPr>
          </w:p>
        </w:tc>
        <w:tc>
          <w:tcPr>
            <w:tcW w:w="400" w:type="dxa"/>
            <w:vAlign w:val="bottom"/>
            <w:shd w:val="clear" w:color="auto" w:fill="CFF0FC"/>
          </w:tcPr>
          <w:p>
            <w:pPr>
              <w:spacing w:after="0"/>
              <w:rPr>
                <w:sz w:val="13"/>
                <w:szCs w:val="13"/>
                <w:color w:val="auto"/>
              </w:rPr>
            </w:pPr>
          </w:p>
        </w:tc>
        <w:tc>
          <w:tcPr>
            <w:tcW w:w="500" w:type="dxa"/>
            <w:vAlign w:val="bottom"/>
            <w:shd w:val="clear" w:color="auto" w:fill="CFF0FC"/>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4220" w:type="dxa"/>
            <w:vAlign w:val="bottom"/>
            <w:gridSpan w:val="2"/>
          </w:tcPr>
          <w:p>
            <w:pPr>
              <w:spacing w:after="0" w:line="155" w:lineRule="exact"/>
              <w:rPr>
                <w:sz w:val="20"/>
                <w:szCs w:val="20"/>
                <w:color w:val="auto"/>
              </w:rPr>
            </w:pPr>
            <w:r>
              <w:rPr>
                <w:rFonts w:ascii="Arial" w:cs="Arial" w:eastAsia="Arial" w:hAnsi="Arial"/>
                <w:sz w:val="14"/>
                <w:szCs w:val="14"/>
                <w:b w:val="1"/>
                <w:bCs w:val="1"/>
                <w:color w:val="auto"/>
              </w:rPr>
              <w:t>Virginia</w:t>
            </w:r>
          </w:p>
        </w:tc>
        <w:tc>
          <w:tcPr>
            <w:tcW w:w="9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98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40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62"/>
        </w:trPr>
        <w:tc>
          <w:tcPr>
            <w:tcW w:w="4220" w:type="dxa"/>
            <w:vAlign w:val="bottom"/>
            <w:gridSpan w:val="2"/>
            <w:shd w:val="clear" w:color="auto" w:fill="CFF0FC"/>
          </w:tcPr>
          <w:p>
            <w:pPr>
              <w:spacing w:after="0"/>
              <w:rPr>
                <w:sz w:val="20"/>
                <w:szCs w:val="20"/>
                <w:color w:val="auto"/>
              </w:rPr>
            </w:pPr>
            <w:r>
              <w:rPr>
                <w:rFonts w:ascii="Arial" w:cs="Arial" w:eastAsia="Arial" w:hAnsi="Arial"/>
                <w:sz w:val="14"/>
                <w:szCs w:val="14"/>
                <w:color w:val="auto"/>
              </w:rPr>
              <w:t>Chesterfield County:</w:t>
            </w:r>
          </w:p>
        </w:tc>
        <w:tc>
          <w:tcPr>
            <w:tcW w:w="900" w:type="dxa"/>
            <w:vAlign w:val="bottom"/>
            <w:shd w:val="clear" w:color="auto" w:fill="CFF0FC"/>
          </w:tcPr>
          <w:p>
            <w:pPr>
              <w:spacing w:after="0"/>
              <w:rPr>
                <w:sz w:val="14"/>
                <w:szCs w:val="14"/>
                <w:color w:val="auto"/>
              </w:rPr>
            </w:pPr>
          </w:p>
        </w:tc>
        <w:tc>
          <w:tcPr>
            <w:tcW w:w="120" w:type="dxa"/>
            <w:vAlign w:val="bottom"/>
            <w:shd w:val="clear" w:color="auto" w:fill="CFF0FC"/>
          </w:tcPr>
          <w:p>
            <w:pPr>
              <w:spacing w:after="0"/>
              <w:rPr>
                <w:sz w:val="14"/>
                <w:szCs w:val="14"/>
                <w:color w:val="auto"/>
              </w:rPr>
            </w:pPr>
          </w:p>
        </w:tc>
        <w:tc>
          <w:tcPr>
            <w:tcW w:w="780" w:type="dxa"/>
            <w:vAlign w:val="bottom"/>
            <w:shd w:val="clear" w:color="auto" w:fill="CFF0FC"/>
          </w:tcPr>
          <w:p>
            <w:pPr>
              <w:spacing w:after="0"/>
              <w:rPr>
                <w:sz w:val="14"/>
                <w:szCs w:val="14"/>
                <w:color w:val="auto"/>
              </w:rPr>
            </w:pPr>
          </w:p>
        </w:tc>
        <w:tc>
          <w:tcPr>
            <w:tcW w:w="220" w:type="dxa"/>
            <w:vAlign w:val="bottom"/>
            <w:shd w:val="clear" w:color="auto" w:fill="CFF0FC"/>
          </w:tcPr>
          <w:p>
            <w:pPr>
              <w:spacing w:after="0"/>
              <w:rPr>
                <w:sz w:val="14"/>
                <w:szCs w:val="14"/>
                <w:color w:val="auto"/>
              </w:rPr>
            </w:pPr>
          </w:p>
        </w:tc>
        <w:tc>
          <w:tcPr>
            <w:tcW w:w="860" w:type="dxa"/>
            <w:vAlign w:val="bottom"/>
            <w:shd w:val="clear" w:color="auto" w:fill="CFF0FC"/>
          </w:tcPr>
          <w:p>
            <w:pPr>
              <w:spacing w:after="0"/>
              <w:rPr>
                <w:sz w:val="14"/>
                <w:szCs w:val="14"/>
                <w:color w:val="auto"/>
              </w:rPr>
            </w:pPr>
          </w:p>
        </w:tc>
        <w:tc>
          <w:tcPr>
            <w:tcW w:w="220" w:type="dxa"/>
            <w:vAlign w:val="bottom"/>
            <w:shd w:val="clear" w:color="auto" w:fill="CFF0FC"/>
          </w:tcPr>
          <w:p>
            <w:pPr>
              <w:spacing w:after="0"/>
              <w:rPr>
                <w:sz w:val="14"/>
                <w:szCs w:val="14"/>
                <w:color w:val="auto"/>
              </w:rPr>
            </w:pPr>
          </w:p>
        </w:tc>
        <w:tc>
          <w:tcPr>
            <w:tcW w:w="780" w:type="dxa"/>
            <w:vAlign w:val="bottom"/>
            <w:shd w:val="clear" w:color="auto" w:fill="CFF0FC"/>
          </w:tcPr>
          <w:p>
            <w:pPr>
              <w:spacing w:after="0"/>
              <w:rPr>
                <w:sz w:val="14"/>
                <w:szCs w:val="14"/>
                <w:color w:val="auto"/>
              </w:rPr>
            </w:pPr>
          </w:p>
        </w:tc>
        <w:tc>
          <w:tcPr>
            <w:tcW w:w="220" w:type="dxa"/>
            <w:vAlign w:val="bottom"/>
            <w:shd w:val="clear" w:color="auto" w:fill="CFF0FC"/>
          </w:tcPr>
          <w:p>
            <w:pPr>
              <w:spacing w:after="0"/>
              <w:rPr>
                <w:sz w:val="14"/>
                <w:szCs w:val="14"/>
                <w:color w:val="auto"/>
              </w:rPr>
            </w:pPr>
          </w:p>
        </w:tc>
        <w:tc>
          <w:tcPr>
            <w:tcW w:w="780" w:type="dxa"/>
            <w:vAlign w:val="bottom"/>
            <w:shd w:val="clear" w:color="auto" w:fill="CFF0FC"/>
          </w:tcPr>
          <w:p>
            <w:pPr>
              <w:spacing w:after="0"/>
              <w:rPr>
                <w:sz w:val="14"/>
                <w:szCs w:val="14"/>
                <w:color w:val="auto"/>
              </w:rPr>
            </w:pPr>
          </w:p>
        </w:tc>
        <w:tc>
          <w:tcPr>
            <w:tcW w:w="220" w:type="dxa"/>
            <w:vAlign w:val="bottom"/>
            <w:shd w:val="clear" w:color="auto" w:fill="CFF0FC"/>
          </w:tcPr>
          <w:p>
            <w:pPr>
              <w:spacing w:after="0"/>
              <w:rPr>
                <w:sz w:val="14"/>
                <w:szCs w:val="14"/>
                <w:color w:val="auto"/>
              </w:rPr>
            </w:pPr>
          </w:p>
        </w:tc>
        <w:tc>
          <w:tcPr>
            <w:tcW w:w="980" w:type="dxa"/>
            <w:vAlign w:val="bottom"/>
            <w:shd w:val="clear" w:color="auto" w:fill="CFF0FC"/>
          </w:tcPr>
          <w:p>
            <w:pPr>
              <w:spacing w:after="0"/>
              <w:rPr>
                <w:sz w:val="14"/>
                <w:szCs w:val="14"/>
                <w:color w:val="auto"/>
              </w:rPr>
            </w:pPr>
          </w:p>
        </w:tc>
        <w:tc>
          <w:tcPr>
            <w:tcW w:w="220" w:type="dxa"/>
            <w:vAlign w:val="bottom"/>
            <w:shd w:val="clear" w:color="auto" w:fill="CFF0FC"/>
          </w:tcPr>
          <w:p>
            <w:pPr>
              <w:spacing w:after="0"/>
              <w:rPr>
                <w:sz w:val="14"/>
                <w:szCs w:val="14"/>
                <w:color w:val="auto"/>
              </w:rPr>
            </w:pPr>
          </w:p>
        </w:tc>
        <w:tc>
          <w:tcPr>
            <w:tcW w:w="400" w:type="dxa"/>
            <w:vAlign w:val="bottom"/>
            <w:shd w:val="clear" w:color="auto" w:fill="CFF0FC"/>
          </w:tcPr>
          <w:p>
            <w:pPr>
              <w:spacing w:after="0"/>
              <w:rPr>
                <w:sz w:val="14"/>
                <w:szCs w:val="14"/>
                <w:color w:val="auto"/>
              </w:rPr>
            </w:pPr>
          </w:p>
        </w:tc>
        <w:tc>
          <w:tcPr>
            <w:tcW w:w="500" w:type="dxa"/>
            <w:vAlign w:val="bottom"/>
            <w:shd w:val="clear" w:color="auto" w:fill="CFF0FC"/>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4220" w:type="dxa"/>
            <w:vAlign w:val="bottom"/>
            <w:gridSpan w:val="2"/>
          </w:tcPr>
          <w:p>
            <w:pPr>
              <w:ind w:left="260"/>
              <w:spacing w:after="0"/>
              <w:rPr>
                <w:sz w:val="20"/>
                <w:szCs w:val="20"/>
                <w:color w:val="auto"/>
              </w:rPr>
            </w:pPr>
            <w:r>
              <w:rPr>
                <w:rFonts w:ascii="Arial" w:cs="Arial" w:eastAsia="Arial" w:hAnsi="Arial"/>
                <w:sz w:val="14"/>
                <w:szCs w:val="14"/>
                <w:color w:val="auto"/>
              </w:rPr>
              <w:t>Founders Bridge, Midlothian</w:t>
            </w:r>
          </w:p>
        </w:tc>
        <w:tc>
          <w:tcPr>
            <w:tcW w:w="900" w:type="dxa"/>
            <w:vAlign w:val="bottom"/>
          </w:tcPr>
          <w:p>
            <w:pPr>
              <w:jc w:val="center"/>
              <w:spacing w:after="0"/>
              <w:rPr>
                <w:sz w:val="20"/>
                <w:szCs w:val="20"/>
                <w:color w:val="auto"/>
              </w:rPr>
            </w:pPr>
            <w:r>
              <w:rPr>
                <w:rFonts w:ascii="Arial" w:cs="Arial" w:eastAsia="Arial" w:hAnsi="Arial"/>
                <w:sz w:val="14"/>
                <w:szCs w:val="14"/>
                <w:color w:val="auto"/>
                <w:w w:val="83"/>
              </w:rPr>
              <w:t>2014</w:t>
            </w:r>
          </w:p>
        </w:tc>
        <w:tc>
          <w:tcPr>
            <w:tcW w:w="120" w:type="dxa"/>
            <w:vAlign w:val="bottom"/>
          </w:tcPr>
          <w:p>
            <w:pPr>
              <w:spacing w:after="0"/>
              <w:rPr>
                <w:sz w:val="14"/>
                <w:szCs w:val="14"/>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3</w:t>
            </w:r>
          </w:p>
        </w:tc>
        <w:tc>
          <w:tcPr>
            <w:tcW w:w="220" w:type="dxa"/>
            <w:vAlign w:val="bottom"/>
          </w:tcPr>
          <w:p>
            <w:pPr>
              <w:spacing w:after="0"/>
              <w:rPr>
                <w:sz w:val="14"/>
                <w:szCs w:val="14"/>
                <w:color w:val="auto"/>
              </w:rPr>
            </w:pPr>
          </w:p>
        </w:tc>
        <w:tc>
          <w:tcPr>
            <w:tcW w:w="860" w:type="dxa"/>
            <w:vAlign w:val="bottom"/>
          </w:tcPr>
          <w:p>
            <w:pPr>
              <w:jc w:val="right"/>
              <w:spacing w:after="0"/>
              <w:rPr>
                <w:sz w:val="20"/>
                <w:szCs w:val="20"/>
                <w:color w:val="auto"/>
              </w:rPr>
            </w:pPr>
            <w:r>
              <w:rPr>
                <w:rFonts w:ascii="Arial" w:cs="Arial" w:eastAsia="Arial" w:hAnsi="Arial"/>
                <w:sz w:val="14"/>
                <w:szCs w:val="14"/>
                <w:color w:val="auto"/>
              </w:rPr>
              <w:t>2</w:t>
            </w:r>
          </w:p>
        </w:tc>
        <w:tc>
          <w:tcPr>
            <w:tcW w:w="220" w:type="dxa"/>
            <w:vAlign w:val="bottom"/>
          </w:tcPr>
          <w:p>
            <w:pPr>
              <w:spacing w:after="0"/>
              <w:rPr>
                <w:sz w:val="14"/>
                <w:szCs w:val="14"/>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1</w:t>
            </w:r>
          </w:p>
        </w:tc>
        <w:tc>
          <w:tcPr>
            <w:tcW w:w="220" w:type="dxa"/>
            <w:vAlign w:val="bottom"/>
          </w:tcPr>
          <w:p>
            <w:pPr>
              <w:spacing w:after="0"/>
              <w:rPr>
                <w:sz w:val="14"/>
                <w:szCs w:val="14"/>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1</w:t>
            </w:r>
          </w:p>
        </w:tc>
        <w:tc>
          <w:tcPr>
            <w:tcW w:w="220" w:type="dxa"/>
            <w:vAlign w:val="bottom"/>
          </w:tcPr>
          <w:p>
            <w:pPr>
              <w:spacing w:after="0"/>
              <w:rPr>
                <w:sz w:val="14"/>
                <w:szCs w:val="14"/>
                <w:color w:val="auto"/>
              </w:rPr>
            </w:pPr>
          </w:p>
        </w:tc>
        <w:tc>
          <w:tcPr>
            <w:tcW w:w="980" w:type="dxa"/>
            <w:vAlign w:val="bottom"/>
          </w:tcPr>
          <w:p>
            <w:pPr>
              <w:jc w:val="right"/>
              <w:spacing w:after="0"/>
              <w:rPr>
                <w:sz w:val="20"/>
                <w:szCs w:val="20"/>
                <w:color w:val="auto"/>
              </w:rPr>
            </w:pPr>
            <w:r>
              <w:rPr>
                <w:rFonts w:ascii="Arial" w:cs="Arial" w:eastAsia="Arial" w:hAnsi="Arial"/>
                <w:sz w:val="14"/>
                <w:szCs w:val="14"/>
                <w:color w:val="auto"/>
              </w:rPr>
              <w:t>2</w:t>
            </w:r>
          </w:p>
        </w:tc>
        <w:tc>
          <w:tcPr>
            <w:tcW w:w="220" w:type="dxa"/>
            <w:vAlign w:val="bottom"/>
          </w:tcPr>
          <w:p>
            <w:pPr>
              <w:spacing w:after="0"/>
              <w:rPr>
                <w:sz w:val="14"/>
                <w:szCs w:val="14"/>
                <w:color w:val="auto"/>
              </w:rPr>
            </w:pPr>
          </w:p>
        </w:tc>
        <w:tc>
          <w:tcPr>
            <w:tcW w:w="900" w:type="dxa"/>
            <w:vAlign w:val="bottom"/>
            <w:gridSpan w:val="2"/>
          </w:tcPr>
          <w:p>
            <w:pPr>
              <w:jc w:val="center"/>
              <w:spacing w:after="0"/>
              <w:rPr>
                <w:sz w:val="20"/>
                <w:szCs w:val="20"/>
                <w:color w:val="auto"/>
              </w:rPr>
            </w:pPr>
            <w:r>
              <w:rPr>
                <w:rFonts w:ascii="Arial" w:cs="Arial" w:eastAsia="Arial" w:hAnsi="Arial"/>
                <w:sz w:val="14"/>
                <w:szCs w:val="14"/>
                <w:color w:val="auto"/>
                <w:w w:val="88"/>
              </w:rPr>
              <w:t>Sold Out</w:t>
            </w:r>
          </w:p>
        </w:tc>
        <w:tc>
          <w:tcPr>
            <w:tcW w:w="0" w:type="dxa"/>
            <w:vAlign w:val="bottom"/>
          </w:tcPr>
          <w:p>
            <w:pPr>
              <w:spacing w:after="0"/>
              <w:rPr>
                <w:sz w:val="1"/>
                <w:szCs w:val="1"/>
                <w:color w:val="auto"/>
              </w:rPr>
            </w:pPr>
          </w:p>
        </w:tc>
      </w:tr>
      <w:tr>
        <w:trPr>
          <w:trHeight w:val="162"/>
        </w:trPr>
        <w:tc>
          <w:tcPr>
            <w:tcW w:w="4220" w:type="dxa"/>
            <w:vAlign w:val="bottom"/>
            <w:gridSpan w:val="2"/>
            <w:shd w:val="clear" w:color="auto" w:fill="CFF0FC"/>
          </w:tcPr>
          <w:p>
            <w:pPr>
              <w:spacing w:after="0"/>
              <w:rPr>
                <w:sz w:val="20"/>
                <w:szCs w:val="20"/>
                <w:color w:val="auto"/>
              </w:rPr>
            </w:pPr>
            <w:r>
              <w:rPr>
                <w:rFonts w:ascii="Arial" w:cs="Arial" w:eastAsia="Arial" w:hAnsi="Arial"/>
                <w:sz w:val="14"/>
                <w:szCs w:val="14"/>
                <w:color w:val="auto"/>
              </w:rPr>
              <w:t>Fairfax County:</w:t>
            </w:r>
          </w:p>
        </w:tc>
        <w:tc>
          <w:tcPr>
            <w:tcW w:w="900" w:type="dxa"/>
            <w:vAlign w:val="bottom"/>
            <w:shd w:val="clear" w:color="auto" w:fill="CFF0FC"/>
          </w:tcPr>
          <w:p>
            <w:pPr>
              <w:spacing w:after="0"/>
              <w:rPr>
                <w:sz w:val="14"/>
                <w:szCs w:val="14"/>
                <w:color w:val="auto"/>
              </w:rPr>
            </w:pPr>
          </w:p>
        </w:tc>
        <w:tc>
          <w:tcPr>
            <w:tcW w:w="120" w:type="dxa"/>
            <w:vAlign w:val="bottom"/>
            <w:shd w:val="clear" w:color="auto" w:fill="CFF0FC"/>
          </w:tcPr>
          <w:p>
            <w:pPr>
              <w:spacing w:after="0"/>
              <w:rPr>
                <w:sz w:val="14"/>
                <w:szCs w:val="14"/>
                <w:color w:val="auto"/>
              </w:rPr>
            </w:pPr>
          </w:p>
        </w:tc>
        <w:tc>
          <w:tcPr>
            <w:tcW w:w="780" w:type="dxa"/>
            <w:vAlign w:val="bottom"/>
            <w:shd w:val="clear" w:color="auto" w:fill="CFF0FC"/>
          </w:tcPr>
          <w:p>
            <w:pPr>
              <w:spacing w:after="0"/>
              <w:rPr>
                <w:sz w:val="14"/>
                <w:szCs w:val="14"/>
                <w:color w:val="auto"/>
              </w:rPr>
            </w:pPr>
          </w:p>
        </w:tc>
        <w:tc>
          <w:tcPr>
            <w:tcW w:w="220" w:type="dxa"/>
            <w:vAlign w:val="bottom"/>
            <w:shd w:val="clear" w:color="auto" w:fill="CFF0FC"/>
          </w:tcPr>
          <w:p>
            <w:pPr>
              <w:spacing w:after="0"/>
              <w:rPr>
                <w:sz w:val="14"/>
                <w:szCs w:val="14"/>
                <w:color w:val="auto"/>
              </w:rPr>
            </w:pPr>
          </w:p>
        </w:tc>
        <w:tc>
          <w:tcPr>
            <w:tcW w:w="860" w:type="dxa"/>
            <w:vAlign w:val="bottom"/>
            <w:shd w:val="clear" w:color="auto" w:fill="CFF0FC"/>
          </w:tcPr>
          <w:p>
            <w:pPr>
              <w:spacing w:after="0"/>
              <w:rPr>
                <w:sz w:val="14"/>
                <w:szCs w:val="14"/>
                <w:color w:val="auto"/>
              </w:rPr>
            </w:pPr>
          </w:p>
        </w:tc>
        <w:tc>
          <w:tcPr>
            <w:tcW w:w="220" w:type="dxa"/>
            <w:vAlign w:val="bottom"/>
            <w:shd w:val="clear" w:color="auto" w:fill="CFF0FC"/>
          </w:tcPr>
          <w:p>
            <w:pPr>
              <w:spacing w:after="0"/>
              <w:rPr>
                <w:sz w:val="14"/>
                <w:szCs w:val="14"/>
                <w:color w:val="auto"/>
              </w:rPr>
            </w:pPr>
          </w:p>
        </w:tc>
        <w:tc>
          <w:tcPr>
            <w:tcW w:w="780" w:type="dxa"/>
            <w:vAlign w:val="bottom"/>
            <w:shd w:val="clear" w:color="auto" w:fill="CFF0FC"/>
          </w:tcPr>
          <w:p>
            <w:pPr>
              <w:spacing w:after="0"/>
              <w:rPr>
                <w:sz w:val="14"/>
                <w:szCs w:val="14"/>
                <w:color w:val="auto"/>
              </w:rPr>
            </w:pPr>
          </w:p>
        </w:tc>
        <w:tc>
          <w:tcPr>
            <w:tcW w:w="220" w:type="dxa"/>
            <w:vAlign w:val="bottom"/>
            <w:shd w:val="clear" w:color="auto" w:fill="CFF0FC"/>
          </w:tcPr>
          <w:p>
            <w:pPr>
              <w:spacing w:after="0"/>
              <w:rPr>
                <w:sz w:val="14"/>
                <w:szCs w:val="14"/>
                <w:color w:val="auto"/>
              </w:rPr>
            </w:pPr>
          </w:p>
        </w:tc>
        <w:tc>
          <w:tcPr>
            <w:tcW w:w="780" w:type="dxa"/>
            <w:vAlign w:val="bottom"/>
            <w:shd w:val="clear" w:color="auto" w:fill="CFF0FC"/>
          </w:tcPr>
          <w:p>
            <w:pPr>
              <w:spacing w:after="0"/>
              <w:rPr>
                <w:sz w:val="14"/>
                <w:szCs w:val="14"/>
                <w:color w:val="auto"/>
              </w:rPr>
            </w:pPr>
          </w:p>
        </w:tc>
        <w:tc>
          <w:tcPr>
            <w:tcW w:w="220" w:type="dxa"/>
            <w:vAlign w:val="bottom"/>
            <w:shd w:val="clear" w:color="auto" w:fill="CFF0FC"/>
          </w:tcPr>
          <w:p>
            <w:pPr>
              <w:spacing w:after="0"/>
              <w:rPr>
                <w:sz w:val="14"/>
                <w:szCs w:val="14"/>
                <w:color w:val="auto"/>
              </w:rPr>
            </w:pPr>
          </w:p>
        </w:tc>
        <w:tc>
          <w:tcPr>
            <w:tcW w:w="980" w:type="dxa"/>
            <w:vAlign w:val="bottom"/>
            <w:shd w:val="clear" w:color="auto" w:fill="CFF0FC"/>
          </w:tcPr>
          <w:p>
            <w:pPr>
              <w:spacing w:after="0"/>
              <w:rPr>
                <w:sz w:val="14"/>
                <w:szCs w:val="14"/>
                <w:color w:val="auto"/>
              </w:rPr>
            </w:pPr>
          </w:p>
        </w:tc>
        <w:tc>
          <w:tcPr>
            <w:tcW w:w="220" w:type="dxa"/>
            <w:vAlign w:val="bottom"/>
            <w:shd w:val="clear" w:color="auto" w:fill="CFF0FC"/>
          </w:tcPr>
          <w:p>
            <w:pPr>
              <w:spacing w:after="0"/>
              <w:rPr>
                <w:sz w:val="14"/>
                <w:szCs w:val="14"/>
                <w:color w:val="auto"/>
              </w:rPr>
            </w:pPr>
          </w:p>
        </w:tc>
        <w:tc>
          <w:tcPr>
            <w:tcW w:w="400" w:type="dxa"/>
            <w:vAlign w:val="bottom"/>
            <w:shd w:val="clear" w:color="auto" w:fill="CFF0FC"/>
          </w:tcPr>
          <w:p>
            <w:pPr>
              <w:spacing w:after="0"/>
              <w:rPr>
                <w:sz w:val="14"/>
                <w:szCs w:val="14"/>
                <w:color w:val="auto"/>
              </w:rPr>
            </w:pPr>
          </w:p>
        </w:tc>
        <w:tc>
          <w:tcPr>
            <w:tcW w:w="500" w:type="dxa"/>
            <w:vAlign w:val="bottom"/>
            <w:shd w:val="clear" w:color="auto" w:fill="CFF0FC"/>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4220" w:type="dxa"/>
            <w:vAlign w:val="bottom"/>
            <w:gridSpan w:val="2"/>
          </w:tcPr>
          <w:p>
            <w:pPr>
              <w:ind w:left="260"/>
              <w:spacing w:after="0"/>
              <w:rPr>
                <w:sz w:val="20"/>
                <w:szCs w:val="20"/>
                <w:color w:val="auto"/>
              </w:rPr>
            </w:pPr>
            <w:r>
              <w:rPr>
                <w:rFonts w:ascii="Arial" w:cs="Arial" w:eastAsia="Arial" w:hAnsi="Arial"/>
                <w:sz w:val="14"/>
                <w:szCs w:val="14"/>
                <w:color w:val="auto"/>
              </w:rPr>
              <w:t>Reserve at Waples Mill, Oakton</w:t>
            </w:r>
          </w:p>
        </w:tc>
        <w:tc>
          <w:tcPr>
            <w:tcW w:w="900" w:type="dxa"/>
            <w:vAlign w:val="bottom"/>
          </w:tcPr>
          <w:p>
            <w:pPr>
              <w:jc w:val="center"/>
              <w:spacing w:after="0"/>
              <w:rPr>
                <w:sz w:val="20"/>
                <w:szCs w:val="20"/>
                <w:color w:val="auto"/>
              </w:rPr>
            </w:pPr>
            <w:r>
              <w:rPr>
                <w:rFonts w:ascii="Arial" w:cs="Arial" w:eastAsia="Arial" w:hAnsi="Arial"/>
                <w:sz w:val="14"/>
                <w:szCs w:val="14"/>
                <w:color w:val="auto"/>
                <w:w w:val="83"/>
              </w:rPr>
              <w:t>2013</w:t>
            </w:r>
          </w:p>
        </w:tc>
        <w:tc>
          <w:tcPr>
            <w:tcW w:w="120" w:type="dxa"/>
            <w:vAlign w:val="bottom"/>
          </w:tcPr>
          <w:p>
            <w:pPr>
              <w:spacing w:after="0"/>
              <w:rPr>
                <w:sz w:val="14"/>
                <w:szCs w:val="14"/>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28</w:t>
            </w:r>
          </w:p>
        </w:tc>
        <w:tc>
          <w:tcPr>
            <w:tcW w:w="220" w:type="dxa"/>
            <w:vAlign w:val="bottom"/>
          </w:tcPr>
          <w:p>
            <w:pPr>
              <w:spacing w:after="0"/>
              <w:rPr>
                <w:sz w:val="14"/>
                <w:szCs w:val="14"/>
                <w:color w:val="auto"/>
              </w:rPr>
            </w:pPr>
          </w:p>
        </w:tc>
        <w:tc>
          <w:tcPr>
            <w:tcW w:w="860" w:type="dxa"/>
            <w:vAlign w:val="bottom"/>
          </w:tcPr>
          <w:p>
            <w:pPr>
              <w:jc w:val="right"/>
              <w:spacing w:after="0"/>
              <w:rPr>
                <w:sz w:val="20"/>
                <w:szCs w:val="20"/>
                <w:color w:val="auto"/>
              </w:rPr>
            </w:pPr>
            <w:r>
              <w:rPr>
                <w:rFonts w:ascii="Arial" w:cs="Arial" w:eastAsia="Arial" w:hAnsi="Arial"/>
                <w:sz w:val="14"/>
                <w:szCs w:val="14"/>
                <w:color w:val="auto"/>
              </w:rPr>
              <w:t>17</w:t>
            </w:r>
          </w:p>
        </w:tc>
        <w:tc>
          <w:tcPr>
            <w:tcW w:w="220" w:type="dxa"/>
            <w:vAlign w:val="bottom"/>
          </w:tcPr>
          <w:p>
            <w:pPr>
              <w:spacing w:after="0"/>
              <w:rPr>
                <w:sz w:val="14"/>
                <w:szCs w:val="14"/>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11</w:t>
            </w:r>
          </w:p>
        </w:tc>
        <w:tc>
          <w:tcPr>
            <w:tcW w:w="220" w:type="dxa"/>
            <w:vAlign w:val="bottom"/>
          </w:tcPr>
          <w:p>
            <w:pPr>
              <w:spacing w:after="0"/>
              <w:rPr>
                <w:sz w:val="14"/>
                <w:szCs w:val="14"/>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6</w:t>
            </w:r>
          </w:p>
        </w:tc>
        <w:tc>
          <w:tcPr>
            <w:tcW w:w="220" w:type="dxa"/>
            <w:vAlign w:val="bottom"/>
          </w:tcPr>
          <w:p>
            <w:pPr>
              <w:spacing w:after="0"/>
              <w:rPr>
                <w:sz w:val="14"/>
                <w:szCs w:val="14"/>
                <w:color w:val="auto"/>
              </w:rPr>
            </w:pPr>
          </w:p>
        </w:tc>
        <w:tc>
          <w:tcPr>
            <w:tcW w:w="980" w:type="dxa"/>
            <w:vAlign w:val="bottom"/>
          </w:tcPr>
          <w:p>
            <w:pPr>
              <w:jc w:val="right"/>
              <w:spacing w:after="0"/>
              <w:rPr>
                <w:sz w:val="20"/>
                <w:szCs w:val="20"/>
                <w:color w:val="auto"/>
              </w:rPr>
            </w:pPr>
            <w:r>
              <w:rPr>
                <w:rFonts w:ascii="Arial" w:cs="Arial" w:eastAsia="Arial" w:hAnsi="Arial"/>
                <w:sz w:val="14"/>
                <w:szCs w:val="14"/>
                <w:color w:val="auto"/>
              </w:rPr>
              <w:t>-</w:t>
            </w:r>
          </w:p>
        </w:tc>
        <w:tc>
          <w:tcPr>
            <w:tcW w:w="620" w:type="dxa"/>
            <w:vAlign w:val="bottom"/>
            <w:gridSpan w:val="2"/>
          </w:tcPr>
          <w:p>
            <w:pPr>
              <w:jc w:val="right"/>
              <w:spacing w:after="0"/>
              <w:rPr>
                <w:sz w:val="20"/>
                <w:szCs w:val="20"/>
                <w:color w:val="auto"/>
              </w:rPr>
            </w:pPr>
            <w:r>
              <w:rPr>
                <w:rFonts w:ascii="Arial" w:cs="Arial" w:eastAsia="Arial" w:hAnsi="Arial"/>
                <w:sz w:val="14"/>
                <w:szCs w:val="14"/>
                <w:color w:val="auto"/>
              </w:rPr>
              <w:t>$1,243</w:t>
            </w:r>
          </w:p>
        </w:tc>
        <w:tc>
          <w:tcPr>
            <w:tcW w:w="500" w:type="dxa"/>
            <w:vAlign w:val="bottom"/>
          </w:tcPr>
          <w:p>
            <w:pPr>
              <w:ind w:left="20"/>
              <w:spacing w:after="0"/>
              <w:rPr>
                <w:sz w:val="20"/>
                <w:szCs w:val="20"/>
                <w:color w:val="auto"/>
              </w:rPr>
            </w:pPr>
            <w:r>
              <w:rPr>
                <w:rFonts w:ascii="Arial" w:cs="Arial" w:eastAsia="Arial" w:hAnsi="Arial"/>
                <w:sz w:val="14"/>
                <w:szCs w:val="14"/>
                <w:color w:val="auto"/>
                <w:w w:val="89"/>
              </w:rPr>
              <w:t>- $1,530</w:t>
            </w:r>
          </w:p>
        </w:tc>
        <w:tc>
          <w:tcPr>
            <w:tcW w:w="0" w:type="dxa"/>
            <w:vAlign w:val="bottom"/>
          </w:tcPr>
          <w:p>
            <w:pPr>
              <w:spacing w:after="0"/>
              <w:rPr>
                <w:sz w:val="1"/>
                <w:szCs w:val="1"/>
                <w:color w:val="auto"/>
              </w:rPr>
            </w:pPr>
          </w:p>
        </w:tc>
      </w:tr>
      <w:tr>
        <w:trPr>
          <w:trHeight w:val="162"/>
        </w:trPr>
        <w:tc>
          <w:tcPr>
            <w:tcW w:w="4220" w:type="dxa"/>
            <w:vAlign w:val="bottom"/>
            <w:gridSpan w:val="2"/>
            <w:shd w:val="clear" w:color="auto" w:fill="CFF0FC"/>
          </w:tcPr>
          <w:p>
            <w:pPr>
              <w:ind w:left="260"/>
              <w:spacing w:after="0"/>
              <w:rPr>
                <w:sz w:val="20"/>
                <w:szCs w:val="20"/>
                <w:color w:val="auto"/>
              </w:rPr>
            </w:pPr>
            <w:r>
              <w:rPr>
                <w:rFonts w:ascii="Arial" w:cs="Arial" w:eastAsia="Arial" w:hAnsi="Arial"/>
                <w:sz w:val="14"/>
                <w:szCs w:val="14"/>
                <w:color w:val="auto"/>
              </w:rPr>
              <w:t>Stuart Mill &amp; Timber Lake, Oakton</w:t>
            </w:r>
          </w:p>
        </w:tc>
        <w:tc>
          <w:tcPr>
            <w:tcW w:w="900" w:type="dxa"/>
            <w:vAlign w:val="bottom"/>
            <w:shd w:val="clear" w:color="auto" w:fill="CFF0FC"/>
          </w:tcPr>
          <w:p>
            <w:pPr>
              <w:jc w:val="center"/>
              <w:spacing w:after="0"/>
              <w:rPr>
                <w:sz w:val="20"/>
                <w:szCs w:val="20"/>
                <w:color w:val="auto"/>
              </w:rPr>
            </w:pPr>
            <w:r>
              <w:rPr>
                <w:rFonts w:ascii="Arial" w:cs="Arial" w:eastAsia="Arial" w:hAnsi="Arial"/>
                <w:sz w:val="14"/>
                <w:szCs w:val="14"/>
                <w:color w:val="auto"/>
                <w:w w:val="83"/>
              </w:rPr>
              <w:t>2014</w:t>
            </w:r>
          </w:p>
        </w:tc>
        <w:tc>
          <w:tcPr>
            <w:tcW w:w="120" w:type="dxa"/>
            <w:vAlign w:val="bottom"/>
            <w:shd w:val="clear" w:color="auto" w:fill="CFF0FC"/>
          </w:tcPr>
          <w:p>
            <w:pPr>
              <w:spacing w:after="0"/>
              <w:rPr>
                <w:sz w:val="14"/>
                <w:szCs w:val="14"/>
                <w:color w:val="auto"/>
              </w:rPr>
            </w:pPr>
          </w:p>
        </w:tc>
        <w:tc>
          <w:tcPr>
            <w:tcW w:w="7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19</w:t>
            </w:r>
          </w:p>
        </w:tc>
        <w:tc>
          <w:tcPr>
            <w:tcW w:w="220" w:type="dxa"/>
            <w:vAlign w:val="bottom"/>
            <w:shd w:val="clear" w:color="auto" w:fill="CFF0FC"/>
          </w:tcPr>
          <w:p>
            <w:pPr>
              <w:spacing w:after="0"/>
              <w:rPr>
                <w:sz w:val="14"/>
                <w:szCs w:val="14"/>
                <w:color w:val="auto"/>
              </w:rPr>
            </w:pPr>
          </w:p>
        </w:tc>
        <w:tc>
          <w:tcPr>
            <w:tcW w:w="860" w:type="dxa"/>
            <w:vAlign w:val="bottom"/>
            <w:shd w:val="clear" w:color="auto" w:fill="CFF0FC"/>
          </w:tcPr>
          <w:p>
            <w:pPr>
              <w:jc w:val="right"/>
              <w:spacing w:after="0"/>
              <w:rPr>
                <w:sz w:val="20"/>
                <w:szCs w:val="20"/>
                <w:color w:val="auto"/>
              </w:rPr>
            </w:pPr>
            <w:r>
              <w:rPr>
                <w:rFonts w:ascii="Arial" w:cs="Arial" w:eastAsia="Arial" w:hAnsi="Arial"/>
                <w:sz w:val="14"/>
                <w:szCs w:val="14"/>
                <w:color w:val="auto"/>
              </w:rPr>
              <w:t>3</w:t>
            </w:r>
          </w:p>
        </w:tc>
        <w:tc>
          <w:tcPr>
            <w:tcW w:w="220" w:type="dxa"/>
            <w:vAlign w:val="bottom"/>
            <w:shd w:val="clear" w:color="auto" w:fill="CFF0FC"/>
          </w:tcPr>
          <w:p>
            <w:pPr>
              <w:spacing w:after="0"/>
              <w:rPr>
                <w:sz w:val="14"/>
                <w:szCs w:val="14"/>
                <w:color w:val="auto"/>
              </w:rPr>
            </w:pPr>
          </w:p>
        </w:tc>
        <w:tc>
          <w:tcPr>
            <w:tcW w:w="7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16</w:t>
            </w:r>
          </w:p>
        </w:tc>
        <w:tc>
          <w:tcPr>
            <w:tcW w:w="220" w:type="dxa"/>
            <w:vAlign w:val="bottom"/>
            <w:shd w:val="clear" w:color="auto" w:fill="CFF0FC"/>
          </w:tcPr>
          <w:p>
            <w:pPr>
              <w:spacing w:after="0"/>
              <w:rPr>
                <w:sz w:val="14"/>
                <w:szCs w:val="14"/>
                <w:color w:val="auto"/>
              </w:rPr>
            </w:pPr>
          </w:p>
        </w:tc>
        <w:tc>
          <w:tcPr>
            <w:tcW w:w="7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2</w:t>
            </w:r>
          </w:p>
        </w:tc>
        <w:tc>
          <w:tcPr>
            <w:tcW w:w="220" w:type="dxa"/>
            <w:vAlign w:val="bottom"/>
            <w:shd w:val="clear" w:color="auto" w:fill="CFF0FC"/>
          </w:tcPr>
          <w:p>
            <w:pPr>
              <w:spacing w:after="0"/>
              <w:rPr>
                <w:sz w:val="14"/>
                <w:szCs w:val="14"/>
                <w:color w:val="auto"/>
              </w:rPr>
            </w:pPr>
          </w:p>
        </w:tc>
        <w:tc>
          <w:tcPr>
            <w:tcW w:w="9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1</w:t>
            </w:r>
          </w:p>
        </w:tc>
        <w:tc>
          <w:tcPr>
            <w:tcW w:w="620" w:type="dxa"/>
            <w:vAlign w:val="bottom"/>
            <w:gridSpan w:val="2"/>
            <w:shd w:val="clear" w:color="auto" w:fill="CFF0FC"/>
          </w:tcPr>
          <w:p>
            <w:pPr>
              <w:jc w:val="right"/>
              <w:spacing w:after="0"/>
              <w:rPr>
                <w:sz w:val="20"/>
                <w:szCs w:val="20"/>
                <w:color w:val="auto"/>
              </w:rPr>
            </w:pPr>
            <w:r>
              <w:rPr>
                <w:rFonts w:ascii="Arial" w:cs="Arial" w:eastAsia="Arial" w:hAnsi="Arial"/>
                <w:sz w:val="14"/>
                <w:szCs w:val="14"/>
                <w:color w:val="auto"/>
              </w:rPr>
              <w:t>$1,363</w:t>
            </w:r>
          </w:p>
        </w:tc>
        <w:tc>
          <w:tcPr>
            <w:tcW w:w="500" w:type="dxa"/>
            <w:vAlign w:val="bottom"/>
            <w:shd w:val="clear" w:color="auto" w:fill="CFF0FC"/>
          </w:tcPr>
          <w:p>
            <w:pPr>
              <w:ind w:left="20"/>
              <w:spacing w:after="0"/>
              <w:rPr>
                <w:sz w:val="20"/>
                <w:szCs w:val="20"/>
                <w:color w:val="auto"/>
              </w:rPr>
            </w:pPr>
            <w:r>
              <w:rPr>
                <w:rFonts w:ascii="Arial" w:cs="Arial" w:eastAsia="Arial" w:hAnsi="Arial"/>
                <w:sz w:val="14"/>
                <w:szCs w:val="14"/>
                <w:color w:val="auto"/>
                <w:w w:val="89"/>
              </w:rPr>
              <w:t>- $1,650</w:t>
            </w:r>
          </w:p>
        </w:tc>
        <w:tc>
          <w:tcPr>
            <w:tcW w:w="0" w:type="dxa"/>
            <w:vAlign w:val="bottom"/>
          </w:tcPr>
          <w:p>
            <w:pPr>
              <w:spacing w:after="0"/>
              <w:rPr>
                <w:sz w:val="1"/>
                <w:szCs w:val="1"/>
                <w:color w:val="auto"/>
              </w:rPr>
            </w:pPr>
          </w:p>
        </w:tc>
      </w:tr>
      <w:tr>
        <w:trPr>
          <w:trHeight w:val="162"/>
        </w:trPr>
        <w:tc>
          <w:tcPr>
            <w:tcW w:w="4220" w:type="dxa"/>
            <w:vAlign w:val="bottom"/>
            <w:gridSpan w:val="2"/>
          </w:tcPr>
          <w:p>
            <w:pPr>
              <w:spacing w:after="0"/>
              <w:rPr>
                <w:sz w:val="20"/>
                <w:szCs w:val="20"/>
                <w:color w:val="auto"/>
              </w:rPr>
            </w:pPr>
            <w:r>
              <w:rPr>
                <w:rFonts w:ascii="Arial" w:cs="Arial" w:eastAsia="Arial" w:hAnsi="Arial"/>
                <w:sz w:val="14"/>
                <w:szCs w:val="14"/>
                <w:color w:val="auto"/>
              </w:rPr>
              <w:t>Henrico County:</w:t>
            </w:r>
          </w:p>
        </w:tc>
        <w:tc>
          <w:tcPr>
            <w:tcW w:w="9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4220" w:type="dxa"/>
            <w:vAlign w:val="bottom"/>
            <w:gridSpan w:val="2"/>
            <w:shd w:val="clear" w:color="auto" w:fill="CFF0FC"/>
          </w:tcPr>
          <w:p>
            <w:pPr>
              <w:ind w:left="260"/>
              <w:spacing w:after="0"/>
              <w:rPr>
                <w:sz w:val="20"/>
                <w:szCs w:val="20"/>
                <w:color w:val="auto"/>
              </w:rPr>
            </w:pPr>
            <w:r>
              <w:rPr>
                <w:rFonts w:ascii="Arial" w:cs="Arial" w:eastAsia="Arial" w:hAnsi="Arial"/>
                <w:sz w:val="14"/>
                <w:szCs w:val="14"/>
                <w:color w:val="auto"/>
              </w:rPr>
              <w:t>Stable Hill, Glen Allen</w:t>
            </w:r>
          </w:p>
        </w:tc>
        <w:tc>
          <w:tcPr>
            <w:tcW w:w="900" w:type="dxa"/>
            <w:vAlign w:val="bottom"/>
            <w:shd w:val="clear" w:color="auto" w:fill="CFF0FC"/>
          </w:tcPr>
          <w:p>
            <w:pPr>
              <w:jc w:val="center"/>
              <w:spacing w:after="0"/>
              <w:rPr>
                <w:sz w:val="20"/>
                <w:szCs w:val="20"/>
                <w:color w:val="auto"/>
              </w:rPr>
            </w:pPr>
            <w:r>
              <w:rPr>
                <w:rFonts w:ascii="Arial" w:cs="Arial" w:eastAsia="Arial" w:hAnsi="Arial"/>
                <w:sz w:val="14"/>
                <w:szCs w:val="14"/>
                <w:color w:val="auto"/>
                <w:w w:val="83"/>
              </w:rPr>
              <w:t>2013</w:t>
            </w:r>
          </w:p>
        </w:tc>
        <w:tc>
          <w:tcPr>
            <w:tcW w:w="120" w:type="dxa"/>
            <w:vAlign w:val="bottom"/>
            <w:shd w:val="clear" w:color="auto" w:fill="CFF0FC"/>
          </w:tcPr>
          <w:p>
            <w:pPr>
              <w:spacing w:after="0"/>
              <w:rPr>
                <w:sz w:val="14"/>
                <w:szCs w:val="14"/>
                <w:color w:val="auto"/>
              </w:rPr>
            </w:pPr>
          </w:p>
        </w:tc>
        <w:tc>
          <w:tcPr>
            <w:tcW w:w="7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49</w:t>
            </w:r>
          </w:p>
        </w:tc>
        <w:tc>
          <w:tcPr>
            <w:tcW w:w="220" w:type="dxa"/>
            <w:vAlign w:val="bottom"/>
            <w:shd w:val="clear" w:color="auto" w:fill="CFF0FC"/>
          </w:tcPr>
          <w:p>
            <w:pPr>
              <w:spacing w:after="0"/>
              <w:rPr>
                <w:sz w:val="14"/>
                <w:szCs w:val="14"/>
                <w:color w:val="auto"/>
              </w:rPr>
            </w:pPr>
          </w:p>
        </w:tc>
        <w:tc>
          <w:tcPr>
            <w:tcW w:w="860" w:type="dxa"/>
            <w:vAlign w:val="bottom"/>
            <w:shd w:val="clear" w:color="auto" w:fill="CFF0FC"/>
          </w:tcPr>
          <w:p>
            <w:pPr>
              <w:jc w:val="right"/>
              <w:spacing w:after="0"/>
              <w:rPr>
                <w:sz w:val="20"/>
                <w:szCs w:val="20"/>
                <w:color w:val="auto"/>
              </w:rPr>
            </w:pPr>
            <w:r>
              <w:rPr>
                <w:rFonts w:ascii="Arial" w:cs="Arial" w:eastAsia="Arial" w:hAnsi="Arial"/>
                <w:sz w:val="14"/>
                <w:szCs w:val="14"/>
                <w:color w:val="auto"/>
              </w:rPr>
              <w:t>38</w:t>
            </w:r>
          </w:p>
        </w:tc>
        <w:tc>
          <w:tcPr>
            <w:tcW w:w="220" w:type="dxa"/>
            <w:vAlign w:val="bottom"/>
            <w:shd w:val="clear" w:color="auto" w:fill="CFF0FC"/>
          </w:tcPr>
          <w:p>
            <w:pPr>
              <w:spacing w:after="0"/>
              <w:rPr>
                <w:sz w:val="14"/>
                <w:szCs w:val="14"/>
                <w:color w:val="auto"/>
              </w:rPr>
            </w:pPr>
          </w:p>
        </w:tc>
        <w:tc>
          <w:tcPr>
            <w:tcW w:w="7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11</w:t>
            </w:r>
          </w:p>
        </w:tc>
        <w:tc>
          <w:tcPr>
            <w:tcW w:w="220" w:type="dxa"/>
            <w:vAlign w:val="bottom"/>
            <w:shd w:val="clear" w:color="auto" w:fill="CFF0FC"/>
          </w:tcPr>
          <w:p>
            <w:pPr>
              <w:spacing w:after="0"/>
              <w:rPr>
                <w:sz w:val="14"/>
                <w:szCs w:val="14"/>
                <w:color w:val="auto"/>
              </w:rPr>
            </w:pPr>
          </w:p>
        </w:tc>
        <w:tc>
          <w:tcPr>
            <w:tcW w:w="7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9</w:t>
            </w:r>
          </w:p>
        </w:tc>
        <w:tc>
          <w:tcPr>
            <w:tcW w:w="220" w:type="dxa"/>
            <w:vAlign w:val="bottom"/>
            <w:shd w:val="clear" w:color="auto" w:fill="CFF0FC"/>
          </w:tcPr>
          <w:p>
            <w:pPr>
              <w:spacing w:after="0"/>
              <w:rPr>
                <w:sz w:val="14"/>
                <w:szCs w:val="14"/>
                <w:color w:val="auto"/>
              </w:rPr>
            </w:pPr>
          </w:p>
        </w:tc>
        <w:tc>
          <w:tcPr>
            <w:tcW w:w="9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2</w:t>
            </w:r>
          </w:p>
        </w:tc>
        <w:tc>
          <w:tcPr>
            <w:tcW w:w="620" w:type="dxa"/>
            <w:vAlign w:val="bottom"/>
            <w:gridSpan w:val="2"/>
            <w:shd w:val="clear" w:color="auto" w:fill="CFF0FC"/>
          </w:tcPr>
          <w:p>
            <w:pPr>
              <w:jc w:val="right"/>
              <w:spacing w:after="0"/>
              <w:rPr>
                <w:sz w:val="20"/>
                <w:szCs w:val="20"/>
                <w:color w:val="auto"/>
              </w:rPr>
            </w:pPr>
            <w:r>
              <w:rPr>
                <w:rFonts w:ascii="Arial" w:cs="Arial" w:eastAsia="Arial" w:hAnsi="Arial"/>
                <w:sz w:val="14"/>
                <w:szCs w:val="14"/>
                <w:color w:val="auto"/>
              </w:rPr>
              <w:t>$484</w:t>
            </w:r>
          </w:p>
        </w:tc>
        <w:tc>
          <w:tcPr>
            <w:tcW w:w="500" w:type="dxa"/>
            <w:vAlign w:val="bottom"/>
            <w:shd w:val="clear" w:color="auto" w:fill="CFF0FC"/>
          </w:tcPr>
          <w:p>
            <w:pPr>
              <w:ind w:left="20"/>
              <w:spacing w:after="0"/>
              <w:rPr>
                <w:sz w:val="20"/>
                <w:szCs w:val="20"/>
                <w:color w:val="auto"/>
              </w:rPr>
            </w:pPr>
            <w:r>
              <w:rPr>
                <w:rFonts w:ascii="Arial" w:cs="Arial" w:eastAsia="Arial" w:hAnsi="Arial"/>
                <w:sz w:val="14"/>
                <w:szCs w:val="14"/>
                <w:color w:val="auto"/>
              </w:rPr>
              <w:t>- $535</w:t>
            </w:r>
          </w:p>
        </w:tc>
        <w:tc>
          <w:tcPr>
            <w:tcW w:w="0" w:type="dxa"/>
            <w:vAlign w:val="bottom"/>
          </w:tcPr>
          <w:p>
            <w:pPr>
              <w:spacing w:after="0"/>
              <w:rPr>
                <w:sz w:val="1"/>
                <w:szCs w:val="1"/>
                <w:color w:val="auto"/>
              </w:rPr>
            </w:pPr>
          </w:p>
        </w:tc>
      </w:tr>
      <w:tr>
        <w:trPr>
          <w:trHeight w:val="162"/>
        </w:trPr>
        <w:tc>
          <w:tcPr>
            <w:tcW w:w="4220" w:type="dxa"/>
            <w:vAlign w:val="bottom"/>
            <w:gridSpan w:val="2"/>
          </w:tcPr>
          <w:p>
            <w:pPr>
              <w:spacing w:after="0"/>
              <w:rPr>
                <w:sz w:val="20"/>
                <w:szCs w:val="20"/>
                <w:color w:val="auto"/>
              </w:rPr>
            </w:pPr>
            <w:r>
              <w:rPr>
                <w:rFonts w:ascii="Arial" w:cs="Arial" w:eastAsia="Arial" w:hAnsi="Arial"/>
                <w:sz w:val="14"/>
                <w:szCs w:val="14"/>
                <w:color w:val="auto"/>
              </w:rPr>
              <w:t>Prince William County:</w:t>
            </w:r>
          </w:p>
        </w:tc>
        <w:tc>
          <w:tcPr>
            <w:tcW w:w="9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4220" w:type="dxa"/>
            <w:vAlign w:val="bottom"/>
            <w:gridSpan w:val="2"/>
            <w:shd w:val="clear" w:color="auto" w:fill="CFF0FC"/>
          </w:tcPr>
          <w:p>
            <w:pPr>
              <w:ind w:left="260"/>
              <w:spacing w:after="0"/>
              <w:rPr>
                <w:sz w:val="20"/>
                <w:szCs w:val="20"/>
                <w:color w:val="auto"/>
              </w:rPr>
            </w:pPr>
            <w:r>
              <w:rPr>
                <w:rFonts w:ascii="Arial" w:cs="Arial" w:eastAsia="Arial" w:hAnsi="Arial"/>
                <w:sz w:val="14"/>
                <w:szCs w:val="14"/>
                <w:color w:val="auto"/>
              </w:rPr>
              <w:t>Villages of Piedmont</w:t>
            </w:r>
          </w:p>
        </w:tc>
        <w:tc>
          <w:tcPr>
            <w:tcW w:w="900" w:type="dxa"/>
            <w:vAlign w:val="bottom"/>
            <w:shd w:val="clear" w:color="auto" w:fill="CFF0FC"/>
          </w:tcPr>
          <w:p>
            <w:pPr>
              <w:jc w:val="center"/>
              <w:spacing w:after="0"/>
              <w:rPr>
                <w:sz w:val="20"/>
                <w:szCs w:val="20"/>
                <w:color w:val="auto"/>
              </w:rPr>
            </w:pPr>
            <w:r>
              <w:rPr>
                <w:rFonts w:ascii="Arial" w:cs="Arial" w:eastAsia="Arial" w:hAnsi="Arial"/>
                <w:sz w:val="14"/>
                <w:szCs w:val="14"/>
                <w:color w:val="auto"/>
                <w:w w:val="83"/>
              </w:rPr>
              <w:t>2015</w:t>
            </w:r>
          </w:p>
        </w:tc>
        <w:tc>
          <w:tcPr>
            <w:tcW w:w="120" w:type="dxa"/>
            <w:vAlign w:val="bottom"/>
            <w:shd w:val="clear" w:color="auto" w:fill="CFF0FC"/>
          </w:tcPr>
          <w:p>
            <w:pPr>
              <w:spacing w:after="0"/>
              <w:rPr>
                <w:sz w:val="14"/>
                <w:szCs w:val="14"/>
                <w:color w:val="auto"/>
              </w:rPr>
            </w:pPr>
          </w:p>
        </w:tc>
        <w:tc>
          <w:tcPr>
            <w:tcW w:w="7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168</w:t>
            </w:r>
          </w:p>
        </w:tc>
        <w:tc>
          <w:tcPr>
            <w:tcW w:w="220" w:type="dxa"/>
            <w:vAlign w:val="bottom"/>
            <w:shd w:val="clear" w:color="auto" w:fill="CFF0FC"/>
          </w:tcPr>
          <w:p>
            <w:pPr>
              <w:spacing w:after="0"/>
              <w:rPr>
                <w:sz w:val="14"/>
                <w:szCs w:val="14"/>
                <w:color w:val="auto"/>
              </w:rPr>
            </w:pPr>
          </w:p>
        </w:tc>
        <w:tc>
          <w:tcPr>
            <w:tcW w:w="860" w:type="dxa"/>
            <w:vAlign w:val="bottom"/>
            <w:shd w:val="clear" w:color="auto" w:fill="CFF0FC"/>
          </w:tcPr>
          <w:p>
            <w:pPr>
              <w:jc w:val="right"/>
              <w:spacing w:after="0"/>
              <w:rPr>
                <w:sz w:val="20"/>
                <w:szCs w:val="20"/>
                <w:color w:val="auto"/>
              </w:rPr>
            </w:pPr>
            <w:r>
              <w:rPr>
                <w:rFonts w:ascii="Arial" w:cs="Arial" w:eastAsia="Arial" w:hAnsi="Arial"/>
                <w:sz w:val="14"/>
                <w:szCs w:val="14"/>
                <w:color w:val="auto"/>
              </w:rPr>
              <w:t>-</w:t>
            </w:r>
          </w:p>
        </w:tc>
        <w:tc>
          <w:tcPr>
            <w:tcW w:w="220" w:type="dxa"/>
            <w:vAlign w:val="bottom"/>
            <w:shd w:val="clear" w:color="auto" w:fill="CFF0FC"/>
          </w:tcPr>
          <w:p>
            <w:pPr>
              <w:spacing w:after="0"/>
              <w:rPr>
                <w:sz w:val="14"/>
                <w:szCs w:val="14"/>
                <w:color w:val="auto"/>
              </w:rPr>
            </w:pPr>
          </w:p>
        </w:tc>
        <w:tc>
          <w:tcPr>
            <w:tcW w:w="7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168</w:t>
            </w:r>
          </w:p>
        </w:tc>
        <w:tc>
          <w:tcPr>
            <w:tcW w:w="220" w:type="dxa"/>
            <w:vAlign w:val="bottom"/>
            <w:shd w:val="clear" w:color="auto" w:fill="CFF0FC"/>
          </w:tcPr>
          <w:p>
            <w:pPr>
              <w:spacing w:after="0"/>
              <w:rPr>
                <w:sz w:val="14"/>
                <w:szCs w:val="14"/>
                <w:color w:val="auto"/>
              </w:rPr>
            </w:pPr>
          </w:p>
        </w:tc>
        <w:tc>
          <w:tcPr>
            <w:tcW w:w="7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2</w:t>
            </w:r>
          </w:p>
        </w:tc>
        <w:tc>
          <w:tcPr>
            <w:tcW w:w="220" w:type="dxa"/>
            <w:vAlign w:val="bottom"/>
            <w:shd w:val="clear" w:color="auto" w:fill="CFF0FC"/>
          </w:tcPr>
          <w:p>
            <w:pPr>
              <w:spacing w:after="0"/>
              <w:rPr>
                <w:sz w:val="14"/>
                <w:szCs w:val="14"/>
                <w:color w:val="auto"/>
              </w:rPr>
            </w:pPr>
          </w:p>
        </w:tc>
        <w:tc>
          <w:tcPr>
            <w:tcW w:w="9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w:t>
            </w:r>
          </w:p>
        </w:tc>
        <w:tc>
          <w:tcPr>
            <w:tcW w:w="620" w:type="dxa"/>
            <w:vAlign w:val="bottom"/>
            <w:gridSpan w:val="2"/>
            <w:shd w:val="clear" w:color="auto" w:fill="CFF0FC"/>
          </w:tcPr>
          <w:p>
            <w:pPr>
              <w:jc w:val="right"/>
              <w:spacing w:after="0"/>
              <w:rPr>
                <w:sz w:val="20"/>
                <w:szCs w:val="20"/>
                <w:color w:val="auto"/>
              </w:rPr>
            </w:pPr>
            <w:r>
              <w:rPr>
                <w:rFonts w:ascii="Arial" w:cs="Arial" w:eastAsia="Arial" w:hAnsi="Arial"/>
                <w:sz w:val="14"/>
                <w:szCs w:val="14"/>
                <w:color w:val="auto"/>
              </w:rPr>
              <w:t>$376</w:t>
            </w:r>
          </w:p>
        </w:tc>
        <w:tc>
          <w:tcPr>
            <w:tcW w:w="500" w:type="dxa"/>
            <w:vAlign w:val="bottom"/>
            <w:shd w:val="clear" w:color="auto" w:fill="CFF0FC"/>
          </w:tcPr>
          <w:p>
            <w:pPr>
              <w:ind w:left="20"/>
              <w:spacing w:after="0"/>
              <w:rPr>
                <w:sz w:val="20"/>
                <w:szCs w:val="20"/>
                <w:color w:val="auto"/>
              </w:rPr>
            </w:pPr>
            <w:r>
              <w:rPr>
                <w:rFonts w:ascii="Arial" w:cs="Arial" w:eastAsia="Arial" w:hAnsi="Arial"/>
                <w:sz w:val="14"/>
                <w:szCs w:val="14"/>
                <w:color w:val="auto"/>
              </w:rPr>
              <w:t>- $435</w:t>
            </w:r>
          </w:p>
        </w:tc>
        <w:tc>
          <w:tcPr>
            <w:tcW w:w="0" w:type="dxa"/>
            <w:vAlign w:val="bottom"/>
          </w:tcPr>
          <w:p>
            <w:pPr>
              <w:spacing w:after="0"/>
              <w:rPr>
                <w:sz w:val="1"/>
                <w:szCs w:val="1"/>
                <w:color w:val="auto"/>
              </w:rPr>
            </w:pPr>
          </w:p>
        </w:tc>
      </w:tr>
      <w:tr>
        <w:trPr>
          <w:trHeight w:val="162"/>
        </w:trPr>
        <w:tc>
          <w:tcPr>
            <w:tcW w:w="4220" w:type="dxa"/>
            <w:vAlign w:val="bottom"/>
            <w:gridSpan w:val="2"/>
          </w:tcPr>
          <w:p>
            <w:pPr>
              <w:spacing w:after="0"/>
              <w:rPr>
                <w:sz w:val="20"/>
                <w:szCs w:val="20"/>
                <w:color w:val="auto"/>
              </w:rPr>
            </w:pPr>
            <w:r>
              <w:rPr>
                <w:rFonts w:ascii="Arial" w:cs="Arial" w:eastAsia="Arial" w:hAnsi="Arial"/>
                <w:sz w:val="14"/>
                <w:szCs w:val="14"/>
                <w:color w:val="auto"/>
              </w:rPr>
              <w:t>Loudoun County:</w:t>
            </w:r>
          </w:p>
        </w:tc>
        <w:tc>
          <w:tcPr>
            <w:tcW w:w="9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4220" w:type="dxa"/>
            <w:vAlign w:val="bottom"/>
            <w:gridSpan w:val="2"/>
            <w:shd w:val="clear" w:color="auto" w:fill="CFF0FC"/>
          </w:tcPr>
          <w:p>
            <w:pPr>
              <w:ind w:left="260"/>
              <w:spacing w:after="0"/>
              <w:rPr>
                <w:sz w:val="20"/>
                <w:szCs w:val="20"/>
                <w:color w:val="auto"/>
              </w:rPr>
            </w:pPr>
            <w:r>
              <w:rPr>
                <w:rFonts w:ascii="Arial" w:cs="Arial" w:eastAsia="Arial" w:hAnsi="Arial"/>
                <w:sz w:val="14"/>
                <w:szCs w:val="14"/>
                <w:color w:val="auto"/>
              </w:rPr>
              <w:t>Willowsford Greens, Aldie</w:t>
            </w:r>
          </w:p>
        </w:tc>
        <w:tc>
          <w:tcPr>
            <w:tcW w:w="900" w:type="dxa"/>
            <w:vAlign w:val="bottom"/>
            <w:shd w:val="clear" w:color="auto" w:fill="CFF0FC"/>
          </w:tcPr>
          <w:p>
            <w:pPr>
              <w:jc w:val="center"/>
              <w:spacing w:after="0"/>
              <w:rPr>
                <w:sz w:val="20"/>
                <w:szCs w:val="20"/>
                <w:color w:val="auto"/>
              </w:rPr>
            </w:pPr>
            <w:r>
              <w:rPr>
                <w:rFonts w:ascii="Arial" w:cs="Arial" w:eastAsia="Arial" w:hAnsi="Arial"/>
                <w:sz w:val="14"/>
                <w:szCs w:val="14"/>
                <w:color w:val="auto"/>
                <w:w w:val="83"/>
              </w:rPr>
              <w:t>2014</w:t>
            </w:r>
          </w:p>
        </w:tc>
        <w:tc>
          <w:tcPr>
            <w:tcW w:w="120" w:type="dxa"/>
            <w:vAlign w:val="bottom"/>
            <w:shd w:val="clear" w:color="auto" w:fill="CFF0FC"/>
          </w:tcPr>
          <w:p>
            <w:pPr>
              <w:spacing w:after="0"/>
              <w:rPr>
                <w:sz w:val="14"/>
                <w:szCs w:val="14"/>
                <w:color w:val="auto"/>
              </w:rPr>
            </w:pPr>
          </w:p>
        </w:tc>
        <w:tc>
          <w:tcPr>
            <w:tcW w:w="7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38</w:t>
            </w:r>
          </w:p>
        </w:tc>
        <w:tc>
          <w:tcPr>
            <w:tcW w:w="220" w:type="dxa"/>
            <w:vAlign w:val="bottom"/>
            <w:shd w:val="clear" w:color="auto" w:fill="CFF0FC"/>
          </w:tcPr>
          <w:p>
            <w:pPr>
              <w:spacing w:after="0"/>
              <w:rPr>
                <w:sz w:val="14"/>
                <w:szCs w:val="14"/>
                <w:color w:val="auto"/>
              </w:rPr>
            </w:pPr>
          </w:p>
        </w:tc>
        <w:tc>
          <w:tcPr>
            <w:tcW w:w="860" w:type="dxa"/>
            <w:vAlign w:val="bottom"/>
            <w:shd w:val="clear" w:color="auto" w:fill="CFF0FC"/>
          </w:tcPr>
          <w:p>
            <w:pPr>
              <w:jc w:val="right"/>
              <w:spacing w:after="0"/>
              <w:rPr>
                <w:sz w:val="20"/>
                <w:szCs w:val="20"/>
                <w:color w:val="auto"/>
              </w:rPr>
            </w:pPr>
            <w:r>
              <w:rPr>
                <w:rFonts w:ascii="Arial" w:cs="Arial" w:eastAsia="Arial" w:hAnsi="Arial"/>
                <w:sz w:val="14"/>
                <w:szCs w:val="14"/>
                <w:color w:val="auto"/>
              </w:rPr>
              <w:t>11</w:t>
            </w:r>
          </w:p>
        </w:tc>
        <w:tc>
          <w:tcPr>
            <w:tcW w:w="220" w:type="dxa"/>
            <w:vAlign w:val="bottom"/>
            <w:shd w:val="clear" w:color="auto" w:fill="CFF0FC"/>
          </w:tcPr>
          <w:p>
            <w:pPr>
              <w:spacing w:after="0"/>
              <w:rPr>
                <w:sz w:val="14"/>
                <w:szCs w:val="14"/>
                <w:color w:val="auto"/>
              </w:rPr>
            </w:pPr>
          </w:p>
        </w:tc>
        <w:tc>
          <w:tcPr>
            <w:tcW w:w="7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27</w:t>
            </w:r>
          </w:p>
        </w:tc>
        <w:tc>
          <w:tcPr>
            <w:tcW w:w="220" w:type="dxa"/>
            <w:vAlign w:val="bottom"/>
            <w:shd w:val="clear" w:color="auto" w:fill="CFF0FC"/>
          </w:tcPr>
          <w:p>
            <w:pPr>
              <w:spacing w:after="0"/>
              <w:rPr>
                <w:sz w:val="14"/>
                <w:szCs w:val="14"/>
                <w:color w:val="auto"/>
              </w:rPr>
            </w:pPr>
          </w:p>
        </w:tc>
        <w:tc>
          <w:tcPr>
            <w:tcW w:w="7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11</w:t>
            </w:r>
          </w:p>
        </w:tc>
        <w:tc>
          <w:tcPr>
            <w:tcW w:w="220" w:type="dxa"/>
            <w:vAlign w:val="bottom"/>
            <w:shd w:val="clear" w:color="auto" w:fill="CFF0FC"/>
          </w:tcPr>
          <w:p>
            <w:pPr>
              <w:spacing w:after="0"/>
              <w:rPr>
                <w:sz w:val="14"/>
                <w:szCs w:val="14"/>
                <w:color w:val="auto"/>
              </w:rPr>
            </w:pPr>
          </w:p>
        </w:tc>
        <w:tc>
          <w:tcPr>
            <w:tcW w:w="9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2</w:t>
            </w:r>
          </w:p>
        </w:tc>
        <w:tc>
          <w:tcPr>
            <w:tcW w:w="620" w:type="dxa"/>
            <w:vAlign w:val="bottom"/>
            <w:gridSpan w:val="2"/>
            <w:shd w:val="clear" w:color="auto" w:fill="CFF0FC"/>
          </w:tcPr>
          <w:p>
            <w:pPr>
              <w:jc w:val="right"/>
              <w:spacing w:after="0"/>
              <w:rPr>
                <w:sz w:val="20"/>
                <w:szCs w:val="20"/>
                <w:color w:val="auto"/>
              </w:rPr>
            </w:pPr>
            <w:r>
              <w:rPr>
                <w:rFonts w:ascii="Arial" w:cs="Arial" w:eastAsia="Arial" w:hAnsi="Arial"/>
                <w:sz w:val="14"/>
                <w:szCs w:val="14"/>
                <w:color w:val="auto"/>
              </w:rPr>
              <w:t>$750</w:t>
            </w:r>
          </w:p>
        </w:tc>
        <w:tc>
          <w:tcPr>
            <w:tcW w:w="500" w:type="dxa"/>
            <w:vAlign w:val="bottom"/>
            <w:shd w:val="clear" w:color="auto" w:fill="CFF0FC"/>
          </w:tcPr>
          <w:p>
            <w:pPr>
              <w:ind w:left="20"/>
              <w:spacing w:after="0"/>
              <w:rPr>
                <w:sz w:val="20"/>
                <w:szCs w:val="20"/>
                <w:color w:val="auto"/>
              </w:rPr>
            </w:pPr>
            <w:r>
              <w:rPr>
                <w:rFonts w:ascii="Arial" w:cs="Arial" w:eastAsia="Arial" w:hAnsi="Arial"/>
                <w:sz w:val="14"/>
                <w:szCs w:val="14"/>
                <w:color w:val="auto"/>
              </w:rPr>
              <w:t>- $810</w:t>
            </w:r>
          </w:p>
        </w:tc>
        <w:tc>
          <w:tcPr>
            <w:tcW w:w="0" w:type="dxa"/>
            <w:vAlign w:val="bottom"/>
          </w:tcPr>
          <w:p>
            <w:pPr>
              <w:spacing w:after="0"/>
              <w:rPr>
                <w:sz w:val="1"/>
                <w:szCs w:val="1"/>
                <w:color w:val="auto"/>
              </w:rPr>
            </w:pPr>
          </w:p>
        </w:tc>
      </w:tr>
      <w:tr>
        <w:trPr>
          <w:trHeight w:val="162"/>
        </w:trPr>
        <w:tc>
          <w:tcPr>
            <w:tcW w:w="4220" w:type="dxa"/>
            <w:vAlign w:val="bottom"/>
            <w:gridSpan w:val="2"/>
          </w:tcPr>
          <w:p>
            <w:pPr>
              <w:ind w:left="260"/>
              <w:spacing w:after="0"/>
              <w:rPr>
                <w:sz w:val="20"/>
                <w:szCs w:val="20"/>
                <w:color w:val="auto"/>
              </w:rPr>
            </w:pPr>
            <w:r>
              <w:rPr>
                <w:rFonts w:ascii="Arial" w:cs="Arial" w:eastAsia="Arial" w:hAnsi="Arial"/>
                <w:sz w:val="14"/>
                <w:szCs w:val="14"/>
                <w:color w:val="auto"/>
              </w:rPr>
              <w:t>Brambleton, Ashburn</w:t>
            </w:r>
          </w:p>
        </w:tc>
        <w:tc>
          <w:tcPr>
            <w:tcW w:w="9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4220" w:type="dxa"/>
            <w:vAlign w:val="bottom"/>
            <w:gridSpan w:val="2"/>
            <w:shd w:val="clear" w:color="auto" w:fill="CFF0FC"/>
          </w:tcPr>
          <w:p>
            <w:pPr>
              <w:ind w:left="500"/>
              <w:spacing w:after="0"/>
              <w:rPr>
                <w:sz w:val="20"/>
                <w:szCs w:val="20"/>
                <w:color w:val="auto"/>
              </w:rPr>
            </w:pPr>
            <w:r>
              <w:rPr>
                <w:rFonts w:ascii="Arial" w:cs="Arial" w:eastAsia="Arial" w:hAnsi="Arial"/>
                <w:sz w:val="14"/>
                <w:szCs w:val="14"/>
                <w:color w:val="auto"/>
              </w:rPr>
              <w:t>English Manor Towns</w:t>
            </w:r>
          </w:p>
        </w:tc>
        <w:tc>
          <w:tcPr>
            <w:tcW w:w="900" w:type="dxa"/>
            <w:vAlign w:val="bottom"/>
            <w:shd w:val="clear" w:color="auto" w:fill="CFF0FC"/>
          </w:tcPr>
          <w:p>
            <w:pPr>
              <w:jc w:val="center"/>
              <w:spacing w:after="0"/>
              <w:rPr>
                <w:sz w:val="20"/>
                <w:szCs w:val="20"/>
                <w:color w:val="auto"/>
              </w:rPr>
            </w:pPr>
            <w:r>
              <w:rPr>
                <w:rFonts w:ascii="Arial" w:cs="Arial" w:eastAsia="Arial" w:hAnsi="Arial"/>
                <w:sz w:val="14"/>
                <w:szCs w:val="14"/>
                <w:color w:val="auto"/>
                <w:w w:val="83"/>
              </w:rPr>
              <w:t>2014</w:t>
            </w:r>
          </w:p>
        </w:tc>
        <w:tc>
          <w:tcPr>
            <w:tcW w:w="120" w:type="dxa"/>
            <w:vAlign w:val="bottom"/>
            <w:shd w:val="clear" w:color="auto" w:fill="CFF0FC"/>
          </w:tcPr>
          <w:p>
            <w:pPr>
              <w:spacing w:after="0"/>
              <w:rPr>
                <w:sz w:val="14"/>
                <w:szCs w:val="14"/>
                <w:color w:val="auto"/>
              </w:rPr>
            </w:pPr>
          </w:p>
        </w:tc>
        <w:tc>
          <w:tcPr>
            <w:tcW w:w="7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28</w:t>
            </w:r>
          </w:p>
        </w:tc>
        <w:tc>
          <w:tcPr>
            <w:tcW w:w="220" w:type="dxa"/>
            <w:vAlign w:val="bottom"/>
            <w:shd w:val="clear" w:color="auto" w:fill="CFF0FC"/>
          </w:tcPr>
          <w:p>
            <w:pPr>
              <w:spacing w:after="0"/>
              <w:rPr>
                <w:sz w:val="14"/>
                <w:szCs w:val="14"/>
                <w:color w:val="auto"/>
              </w:rPr>
            </w:pPr>
          </w:p>
        </w:tc>
        <w:tc>
          <w:tcPr>
            <w:tcW w:w="860" w:type="dxa"/>
            <w:vAlign w:val="bottom"/>
            <w:shd w:val="clear" w:color="auto" w:fill="CFF0FC"/>
          </w:tcPr>
          <w:p>
            <w:pPr>
              <w:jc w:val="right"/>
              <w:spacing w:after="0"/>
              <w:rPr>
                <w:sz w:val="20"/>
                <w:szCs w:val="20"/>
                <w:color w:val="auto"/>
              </w:rPr>
            </w:pPr>
            <w:r>
              <w:rPr>
                <w:rFonts w:ascii="Arial" w:cs="Arial" w:eastAsia="Arial" w:hAnsi="Arial"/>
                <w:sz w:val="14"/>
                <w:szCs w:val="14"/>
                <w:color w:val="auto"/>
              </w:rPr>
              <w:t>9</w:t>
            </w:r>
          </w:p>
        </w:tc>
        <w:tc>
          <w:tcPr>
            <w:tcW w:w="220" w:type="dxa"/>
            <w:vAlign w:val="bottom"/>
            <w:shd w:val="clear" w:color="auto" w:fill="CFF0FC"/>
          </w:tcPr>
          <w:p>
            <w:pPr>
              <w:spacing w:after="0"/>
              <w:rPr>
                <w:sz w:val="14"/>
                <w:szCs w:val="14"/>
                <w:color w:val="auto"/>
              </w:rPr>
            </w:pPr>
          </w:p>
        </w:tc>
        <w:tc>
          <w:tcPr>
            <w:tcW w:w="7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19</w:t>
            </w:r>
          </w:p>
        </w:tc>
        <w:tc>
          <w:tcPr>
            <w:tcW w:w="220" w:type="dxa"/>
            <w:vAlign w:val="bottom"/>
            <w:shd w:val="clear" w:color="auto" w:fill="CFF0FC"/>
          </w:tcPr>
          <w:p>
            <w:pPr>
              <w:spacing w:after="0"/>
              <w:rPr>
                <w:sz w:val="14"/>
                <w:szCs w:val="14"/>
                <w:color w:val="auto"/>
              </w:rPr>
            </w:pPr>
          </w:p>
        </w:tc>
        <w:tc>
          <w:tcPr>
            <w:tcW w:w="7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4</w:t>
            </w:r>
          </w:p>
        </w:tc>
        <w:tc>
          <w:tcPr>
            <w:tcW w:w="220" w:type="dxa"/>
            <w:vAlign w:val="bottom"/>
            <w:shd w:val="clear" w:color="auto" w:fill="CFF0FC"/>
          </w:tcPr>
          <w:p>
            <w:pPr>
              <w:spacing w:after="0"/>
              <w:rPr>
                <w:sz w:val="14"/>
                <w:szCs w:val="14"/>
                <w:color w:val="auto"/>
              </w:rPr>
            </w:pPr>
          </w:p>
        </w:tc>
        <w:tc>
          <w:tcPr>
            <w:tcW w:w="9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2</w:t>
            </w:r>
          </w:p>
        </w:tc>
        <w:tc>
          <w:tcPr>
            <w:tcW w:w="620" w:type="dxa"/>
            <w:vAlign w:val="bottom"/>
            <w:gridSpan w:val="2"/>
            <w:shd w:val="clear" w:color="auto" w:fill="CFF0FC"/>
          </w:tcPr>
          <w:p>
            <w:pPr>
              <w:jc w:val="right"/>
              <w:spacing w:after="0"/>
              <w:rPr>
                <w:sz w:val="20"/>
                <w:szCs w:val="20"/>
                <w:color w:val="auto"/>
              </w:rPr>
            </w:pPr>
            <w:r>
              <w:rPr>
                <w:rFonts w:ascii="Arial" w:cs="Arial" w:eastAsia="Arial" w:hAnsi="Arial"/>
                <w:sz w:val="14"/>
                <w:szCs w:val="14"/>
                <w:color w:val="auto"/>
              </w:rPr>
              <w:t>$490</w:t>
            </w:r>
          </w:p>
        </w:tc>
        <w:tc>
          <w:tcPr>
            <w:tcW w:w="500" w:type="dxa"/>
            <w:vAlign w:val="bottom"/>
            <w:shd w:val="clear" w:color="auto" w:fill="CFF0FC"/>
          </w:tcPr>
          <w:p>
            <w:pPr>
              <w:ind w:left="20"/>
              <w:spacing w:after="0"/>
              <w:rPr>
                <w:sz w:val="20"/>
                <w:szCs w:val="20"/>
                <w:color w:val="auto"/>
              </w:rPr>
            </w:pPr>
            <w:r>
              <w:rPr>
                <w:rFonts w:ascii="Arial" w:cs="Arial" w:eastAsia="Arial" w:hAnsi="Arial"/>
                <w:sz w:val="14"/>
                <w:szCs w:val="14"/>
                <w:color w:val="auto"/>
              </w:rPr>
              <w:t>- $530</w:t>
            </w:r>
          </w:p>
        </w:tc>
        <w:tc>
          <w:tcPr>
            <w:tcW w:w="0" w:type="dxa"/>
            <w:vAlign w:val="bottom"/>
          </w:tcPr>
          <w:p>
            <w:pPr>
              <w:spacing w:after="0"/>
              <w:rPr>
                <w:sz w:val="1"/>
                <w:szCs w:val="1"/>
                <w:color w:val="auto"/>
              </w:rPr>
            </w:pPr>
          </w:p>
        </w:tc>
      </w:tr>
      <w:tr>
        <w:trPr>
          <w:trHeight w:val="162"/>
        </w:trPr>
        <w:tc>
          <w:tcPr>
            <w:tcW w:w="4220" w:type="dxa"/>
            <w:vAlign w:val="bottom"/>
            <w:gridSpan w:val="2"/>
          </w:tcPr>
          <w:p>
            <w:pPr>
              <w:ind w:left="500"/>
              <w:spacing w:after="0"/>
              <w:rPr>
                <w:sz w:val="20"/>
                <w:szCs w:val="20"/>
                <w:color w:val="auto"/>
              </w:rPr>
            </w:pPr>
            <w:r>
              <w:rPr>
                <w:rFonts w:ascii="Arial" w:cs="Arial" w:eastAsia="Arial" w:hAnsi="Arial"/>
                <w:sz w:val="14"/>
                <w:szCs w:val="14"/>
                <w:color w:val="auto"/>
              </w:rPr>
              <w:t>Glenmere at Brambleton SFD</w:t>
            </w:r>
          </w:p>
        </w:tc>
        <w:tc>
          <w:tcPr>
            <w:tcW w:w="900" w:type="dxa"/>
            <w:vAlign w:val="bottom"/>
          </w:tcPr>
          <w:p>
            <w:pPr>
              <w:jc w:val="center"/>
              <w:spacing w:after="0"/>
              <w:rPr>
                <w:sz w:val="20"/>
                <w:szCs w:val="20"/>
                <w:color w:val="auto"/>
              </w:rPr>
            </w:pPr>
            <w:r>
              <w:rPr>
                <w:rFonts w:ascii="Arial" w:cs="Arial" w:eastAsia="Arial" w:hAnsi="Arial"/>
                <w:sz w:val="14"/>
                <w:szCs w:val="14"/>
                <w:color w:val="auto"/>
                <w:w w:val="83"/>
              </w:rPr>
              <w:t>2014</w:t>
            </w:r>
          </w:p>
        </w:tc>
        <w:tc>
          <w:tcPr>
            <w:tcW w:w="120" w:type="dxa"/>
            <w:vAlign w:val="bottom"/>
          </w:tcPr>
          <w:p>
            <w:pPr>
              <w:spacing w:after="0"/>
              <w:rPr>
                <w:sz w:val="14"/>
                <w:szCs w:val="14"/>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48</w:t>
            </w:r>
          </w:p>
        </w:tc>
        <w:tc>
          <w:tcPr>
            <w:tcW w:w="220" w:type="dxa"/>
            <w:vAlign w:val="bottom"/>
          </w:tcPr>
          <w:p>
            <w:pPr>
              <w:spacing w:after="0"/>
              <w:rPr>
                <w:sz w:val="14"/>
                <w:szCs w:val="14"/>
                <w:color w:val="auto"/>
              </w:rPr>
            </w:pPr>
          </w:p>
        </w:tc>
        <w:tc>
          <w:tcPr>
            <w:tcW w:w="860" w:type="dxa"/>
            <w:vAlign w:val="bottom"/>
          </w:tcPr>
          <w:p>
            <w:pPr>
              <w:jc w:val="right"/>
              <w:spacing w:after="0"/>
              <w:rPr>
                <w:sz w:val="20"/>
                <w:szCs w:val="20"/>
                <w:color w:val="auto"/>
              </w:rPr>
            </w:pPr>
            <w:r>
              <w:rPr>
                <w:rFonts w:ascii="Arial" w:cs="Arial" w:eastAsia="Arial" w:hAnsi="Arial"/>
                <w:sz w:val="14"/>
                <w:szCs w:val="14"/>
                <w:color w:val="auto"/>
              </w:rPr>
              <w:t>30</w:t>
            </w:r>
          </w:p>
        </w:tc>
        <w:tc>
          <w:tcPr>
            <w:tcW w:w="220" w:type="dxa"/>
            <w:vAlign w:val="bottom"/>
          </w:tcPr>
          <w:p>
            <w:pPr>
              <w:spacing w:after="0"/>
              <w:rPr>
                <w:sz w:val="14"/>
                <w:szCs w:val="14"/>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18</w:t>
            </w:r>
          </w:p>
        </w:tc>
        <w:tc>
          <w:tcPr>
            <w:tcW w:w="220" w:type="dxa"/>
            <w:vAlign w:val="bottom"/>
          </w:tcPr>
          <w:p>
            <w:pPr>
              <w:spacing w:after="0"/>
              <w:rPr>
                <w:sz w:val="14"/>
                <w:szCs w:val="14"/>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23</w:t>
            </w:r>
          </w:p>
        </w:tc>
        <w:tc>
          <w:tcPr>
            <w:tcW w:w="220" w:type="dxa"/>
            <w:vAlign w:val="bottom"/>
          </w:tcPr>
          <w:p>
            <w:pPr>
              <w:spacing w:after="0"/>
              <w:rPr>
                <w:sz w:val="14"/>
                <w:szCs w:val="14"/>
                <w:color w:val="auto"/>
              </w:rPr>
            </w:pPr>
          </w:p>
        </w:tc>
        <w:tc>
          <w:tcPr>
            <w:tcW w:w="980" w:type="dxa"/>
            <w:vAlign w:val="bottom"/>
          </w:tcPr>
          <w:p>
            <w:pPr>
              <w:jc w:val="right"/>
              <w:spacing w:after="0"/>
              <w:rPr>
                <w:sz w:val="20"/>
                <w:szCs w:val="20"/>
                <w:color w:val="auto"/>
              </w:rPr>
            </w:pPr>
            <w:r>
              <w:rPr>
                <w:rFonts w:ascii="Arial" w:cs="Arial" w:eastAsia="Arial" w:hAnsi="Arial"/>
                <w:sz w:val="14"/>
                <w:szCs w:val="14"/>
                <w:color w:val="auto"/>
              </w:rPr>
              <w:t>8</w:t>
            </w:r>
          </w:p>
        </w:tc>
        <w:tc>
          <w:tcPr>
            <w:tcW w:w="620" w:type="dxa"/>
            <w:vAlign w:val="bottom"/>
            <w:gridSpan w:val="2"/>
          </w:tcPr>
          <w:p>
            <w:pPr>
              <w:jc w:val="right"/>
              <w:spacing w:after="0"/>
              <w:rPr>
                <w:sz w:val="20"/>
                <w:szCs w:val="20"/>
                <w:color w:val="auto"/>
              </w:rPr>
            </w:pPr>
            <w:r>
              <w:rPr>
                <w:rFonts w:ascii="Arial" w:cs="Arial" w:eastAsia="Arial" w:hAnsi="Arial"/>
                <w:sz w:val="14"/>
                <w:szCs w:val="14"/>
                <w:color w:val="auto"/>
              </w:rPr>
              <w:t>$580</w:t>
            </w:r>
          </w:p>
        </w:tc>
        <w:tc>
          <w:tcPr>
            <w:tcW w:w="500" w:type="dxa"/>
            <w:vAlign w:val="bottom"/>
          </w:tcPr>
          <w:p>
            <w:pPr>
              <w:ind w:left="20"/>
              <w:spacing w:after="0"/>
              <w:rPr>
                <w:sz w:val="20"/>
                <w:szCs w:val="20"/>
                <w:color w:val="auto"/>
              </w:rPr>
            </w:pPr>
            <w:r>
              <w:rPr>
                <w:rFonts w:ascii="Arial" w:cs="Arial" w:eastAsia="Arial" w:hAnsi="Arial"/>
                <w:sz w:val="14"/>
                <w:szCs w:val="14"/>
                <w:color w:val="auto"/>
              </w:rPr>
              <w:t>- $693</w:t>
            </w:r>
          </w:p>
        </w:tc>
        <w:tc>
          <w:tcPr>
            <w:tcW w:w="0" w:type="dxa"/>
            <w:vAlign w:val="bottom"/>
          </w:tcPr>
          <w:p>
            <w:pPr>
              <w:spacing w:after="0"/>
              <w:rPr>
                <w:sz w:val="1"/>
                <w:szCs w:val="1"/>
                <w:color w:val="auto"/>
              </w:rPr>
            </w:pPr>
          </w:p>
        </w:tc>
      </w:tr>
      <w:tr>
        <w:trPr>
          <w:trHeight w:val="162"/>
        </w:trPr>
        <w:tc>
          <w:tcPr>
            <w:tcW w:w="4220" w:type="dxa"/>
            <w:vAlign w:val="bottom"/>
            <w:gridSpan w:val="2"/>
            <w:shd w:val="clear" w:color="auto" w:fill="CFF0FC"/>
          </w:tcPr>
          <w:p>
            <w:pPr>
              <w:ind w:left="500"/>
              <w:spacing w:after="0"/>
              <w:rPr>
                <w:sz w:val="20"/>
                <w:szCs w:val="20"/>
                <w:color w:val="auto"/>
              </w:rPr>
            </w:pPr>
            <w:r>
              <w:rPr>
                <w:rFonts w:ascii="Arial" w:cs="Arial" w:eastAsia="Arial" w:hAnsi="Arial"/>
                <w:sz w:val="14"/>
                <w:szCs w:val="14"/>
                <w:color w:val="auto"/>
              </w:rPr>
              <w:t>Glenmere at Brambleton Townhomes</w:t>
            </w:r>
          </w:p>
        </w:tc>
        <w:tc>
          <w:tcPr>
            <w:tcW w:w="900" w:type="dxa"/>
            <w:vAlign w:val="bottom"/>
            <w:shd w:val="clear" w:color="auto" w:fill="CFF0FC"/>
          </w:tcPr>
          <w:p>
            <w:pPr>
              <w:jc w:val="center"/>
              <w:spacing w:after="0"/>
              <w:rPr>
                <w:sz w:val="20"/>
                <w:szCs w:val="20"/>
                <w:color w:val="auto"/>
              </w:rPr>
            </w:pPr>
            <w:r>
              <w:rPr>
                <w:rFonts w:ascii="Arial" w:cs="Arial" w:eastAsia="Arial" w:hAnsi="Arial"/>
                <w:sz w:val="14"/>
                <w:szCs w:val="14"/>
                <w:color w:val="auto"/>
                <w:w w:val="83"/>
              </w:rPr>
              <w:t>2014</w:t>
            </w:r>
          </w:p>
        </w:tc>
        <w:tc>
          <w:tcPr>
            <w:tcW w:w="120" w:type="dxa"/>
            <w:vAlign w:val="bottom"/>
            <w:shd w:val="clear" w:color="auto" w:fill="CFF0FC"/>
          </w:tcPr>
          <w:p>
            <w:pPr>
              <w:spacing w:after="0"/>
              <w:rPr>
                <w:sz w:val="14"/>
                <w:szCs w:val="14"/>
                <w:color w:val="auto"/>
              </w:rPr>
            </w:pPr>
          </w:p>
        </w:tc>
        <w:tc>
          <w:tcPr>
            <w:tcW w:w="7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58</w:t>
            </w:r>
          </w:p>
        </w:tc>
        <w:tc>
          <w:tcPr>
            <w:tcW w:w="220" w:type="dxa"/>
            <w:vAlign w:val="bottom"/>
            <w:shd w:val="clear" w:color="auto" w:fill="CFF0FC"/>
          </w:tcPr>
          <w:p>
            <w:pPr>
              <w:spacing w:after="0"/>
              <w:rPr>
                <w:sz w:val="14"/>
                <w:szCs w:val="14"/>
                <w:color w:val="auto"/>
              </w:rPr>
            </w:pPr>
          </w:p>
        </w:tc>
        <w:tc>
          <w:tcPr>
            <w:tcW w:w="860" w:type="dxa"/>
            <w:vAlign w:val="bottom"/>
            <w:shd w:val="clear" w:color="auto" w:fill="CFF0FC"/>
          </w:tcPr>
          <w:p>
            <w:pPr>
              <w:jc w:val="right"/>
              <w:spacing w:after="0"/>
              <w:rPr>
                <w:sz w:val="20"/>
                <w:szCs w:val="20"/>
                <w:color w:val="auto"/>
              </w:rPr>
            </w:pPr>
            <w:r>
              <w:rPr>
                <w:rFonts w:ascii="Arial" w:cs="Arial" w:eastAsia="Arial" w:hAnsi="Arial"/>
                <w:sz w:val="14"/>
                <w:szCs w:val="14"/>
                <w:color w:val="auto"/>
              </w:rPr>
              <w:t>41</w:t>
            </w:r>
          </w:p>
        </w:tc>
        <w:tc>
          <w:tcPr>
            <w:tcW w:w="220" w:type="dxa"/>
            <w:vAlign w:val="bottom"/>
            <w:shd w:val="clear" w:color="auto" w:fill="CFF0FC"/>
          </w:tcPr>
          <w:p>
            <w:pPr>
              <w:spacing w:after="0"/>
              <w:rPr>
                <w:sz w:val="14"/>
                <w:szCs w:val="14"/>
                <w:color w:val="auto"/>
              </w:rPr>
            </w:pPr>
          </w:p>
        </w:tc>
        <w:tc>
          <w:tcPr>
            <w:tcW w:w="7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17</w:t>
            </w:r>
          </w:p>
        </w:tc>
        <w:tc>
          <w:tcPr>
            <w:tcW w:w="220" w:type="dxa"/>
            <w:vAlign w:val="bottom"/>
            <w:shd w:val="clear" w:color="auto" w:fill="CFF0FC"/>
          </w:tcPr>
          <w:p>
            <w:pPr>
              <w:spacing w:after="0"/>
              <w:rPr>
                <w:sz w:val="14"/>
                <w:szCs w:val="14"/>
                <w:color w:val="auto"/>
              </w:rPr>
            </w:pPr>
          </w:p>
        </w:tc>
        <w:tc>
          <w:tcPr>
            <w:tcW w:w="7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11</w:t>
            </w:r>
          </w:p>
        </w:tc>
        <w:tc>
          <w:tcPr>
            <w:tcW w:w="220" w:type="dxa"/>
            <w:vAlign w:val="bottom"/>
            <w:shd w:val="clear" w:color="auto" w:fill="CFF0FC"/>
          </w:tcPr>
          <w:p>
            <w:pPr>
              <w:spacing w:after="0"/>
              <w:rPr>
                <w:sz w:val="14"/>
                <w:szCs w:val="14"/>
                <w:color w:val="auto"/>
              </w:rPr>
            </w:pPr>
          </w:p>
        </w:tc>
        <w:tc>
          <w:tcPr>
            <w:tcW w:w="9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13</w:t>
            </w:r>
          </w:p>
        </w:tc>
        <w:tc>
          <w:tcPr>
            <w:tcW w:w="620" w:type="dxa"/>
            <w:vAlign w:val="bottom"/>
            <w:gridSpan w:val="2"/>
            <w:shd w:val="clear" w:color="auto" w:fill="CFF0FC"/>
          </w:tcPr>
          <w:p>
            <w:pPr>
              <w:jc w:val="right"/>
              <w:spacing w:after="0"/>
              <w:rPr>
                <w:sz w:val="20"/>
                <w:szCs w:val="20"/>
                <w:color w:val="auto"/>
              </w:rPr>
            </w:pPr>
            <w:r>
              <w:rPr>
                <w:rFonts w:ascii="Arial" w:cs="Arial" w:eastAsia="Arial" w:hAnsi="Arial"/>
                <w:sz w:val="14"/>
                <w:szCs w:val="14"/>
                <w:color w:val="auto"/>
              </w:rPr>
              <w:t>$453</w:t>
            </w:r>
          </w:p>
        </w:tc>
        <w:tc>
          <w:tcPr>
            <w:tcW w:w="500" w:type="dxa"/>
            <w:vAlign w:val="bottom"/>
            <w:shd w:val="clear" w:color="auto" w:fill="CFF0FC"/>
          </w:tcPr>
          <w:p>
            <w:pPr>
              <w:ind w:left="20"/>
              <w:spacing w:after="0"/>
              <w:rPr>
                <w:sz w:val="20"/>
                <w:szCs w:val="20"/>
                <w:color w:val="auto"/>
              </w:rPr>
            </w:pPr>
            <w:r>
              <w:rPr>
                <w:rFonts w:ascii="Arial" w:cs="Arial" w:eastAsia="Arial" w:hAnsi="Arial"/>
                <w:sz w:val="14"/>
                <w:szCs w:val="14"/>
                <w:color w:val="auto"/>
              </w:rPr>
              <w:t>- $457</w:t>
            </w:r>
          </w:p>
        </w:tc>
        <w:tc>
          <w:tcPr>
            <w:tcW w:w="0" w:type="dxa"/>
            <w:vAlign w:val="bottom"/>
          </w:tcPr>
          <w:p>
            <w:pPr>
              <w:spacing w:after="0"/>
              <w:rPr>
                <w:sz w:val="1"/>
                <w:szCs w:val="1"/>
                <w:color w:val="auto"/>
              </w:rPr>
            </w:pPr>
          </w:p>
        </w:tc>
      </w:tr>
      <w:tr>
        <w:trPr>
          <w:trHeight w:val="162"/>
        </w:trPr>
        <w:tc>
          <w:tcPr>
            <w:tcW w:w="4220" w:type="dxa"/>
            <w:vAlign w:val="bottom"/>
            <w:gridSpan w:val="2"/>
          </w:tcPr>
          <w:p>
            <w:pPr>
              <w:ind w:left="500"/>
              <w:spacing w:after="0"/>
              <w:rPr>
                <w:sz w:val="20"/>
                <w:szCs w:val="20"/>
                <w:color w:val="auto"/>
              </w:rPr>
            </w:pPr>
            <w:r>
              <w:rPr>
                <w:rFonts w:ascii="Arial" w:cs="Arial" w:eastAsia="Arial" w:hAnsi="Arial"/>
                <w:sz w:val="14"/>
                <w:szCs w:val="14"/>
                <w:color w:val="auto"/>
              </w:rPr>
              <w:t>West Park at Brambleton</w:t>
            </w:r>
          </w:p>
        </w:tc>
        <w:tc>
          <w:tcPr>
            <w:tcW w:w="900" w:type="dxa"/>
            <w:vAlign w:val="bottom"/>
          </w:tcPr>
          <w:p>
            <w:pPr>
              <w:jc w:val="center"/>
              <w:spacing w:after="0"/>
              <w:rPr>
                <w:sz w:val="20"/>
                <w:szCs w:val="20"/>
                <w:color w:val="auto"/>
              </w:rPr>
            </w:pPr>
            <w:r>
              <w:rPr>
                <w:rFonts w:ascii="Arial" w:cs="Arial" w:eastAsia="Arial" w:hAnsi="Arial"/>
                <w:sz w:val="14"/>
                <w:szCs w:val="14"/>
                <w:color w:val="auto"/>
                <w:w w:val="83"/>
              </w:rPr>
              <w:t>2013</w:t>
            </w:r>
          </w:p>
        </w:tc>
        <w:tc>
          <w:tcPr>
            <w:tcW w:w="120" w:type="dxa"/>
            <w:vAlign w:val="bottom"/>
          </w:tcPr>
          <w:p>
            <w:pPr>
              <w:spacing w:after="0"/>
              <w:rPr>
                <w:sz w:val="14"/>
                <w:szCs w:val="14"/>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45</w:t>
            </w:r>
          </w:p>
        </w:tc>
        <w:tc>
          <w:tcPr>
            <w:tcW w:w="220" w:type="dxa"/>
            <w:vAlign w:val="bottom"/>
          </w:tcPr>
          <w:p>
            <w:pPr>
              <w:spacing w:after="0"/>
              <w:rPr>
                <w:sz w:val="14"/>
                <w:szCs w:val="14"/>
                <w:color w:val="auto"/>
              </w:rPr>
            </w:pPr>
          </w:p>
        </w:tc>
        <w:tc>
          <w:tcPr>
            <w:tcW w:w="860" w:type="dxa"/>
            <w:vAlign w:val="bottom"/>
          </w:tcPr>
          <w:p>
            <w:pPr>
              <w:jc w:val="right"/>
              <w:spacing w:after="0"/>
              <w:rPr>
                <w:sz w:val="20"/>
                <w:szCs w:val="20"/>
                <w:color w:val="auto"/>
              </w:rPr>
            </w:pPr>
            <w:r>
              <w:rPr>
                <w:rFonts w:ascii="Arial" w:cs="Arial" w:eastAsia="Arial" w:hAnsi="Arial"/>
                <w:sz w:val="14"/>
                <w:szCs w:val="14"/>
                <w:color w:val="auto"/>
              </w:rPr>
              <w:t>39</w:t>
            </w:r>
          </w:p>
        </w:tc>
        <w:tc>
          <w:tcPr>
            <w:tcW w:w="220" w:type="dxa"/>
            <w:vAlign w:val="bottom"/>
          </w:tcPr>
          <w:p>
            <w:pPr>
              <w:spacing w:after="0"/>
              <w:rPr>
                <w:sz w:val="14"/>
                <w:szCs w:val="14"/>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6</w:t>
            </w:r>
          </w:p>
        </w:tc>
        <w:tc>
          <w:tcPr>
            <w:tcW w:w="220" w:type="dxa"/>
            <w:vAlign w:val="bottom"/>
          </w:tcPr>
          <w:p>
            <w:pPr>
              <w:spacing w:after="0"/>
              <w:rPr>
                <w:sz w:val="14"/>
                <w:szCs w:val="14"/>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6</w:t>
            </w:r>
          </w:p>
        </w:tc>
        <w:tc>
          <w:tcPr>
            <w:tcW w:w="220" w:type="dxa"/>
            <w:vAlign w:val="bottom"/>
          </w:tcPr>
          <w:p>
            <w:pPr>
              <w:spacing w:after="0"/>
              <w:rPr>
                <w:sz w:val="14"/>
                <w:szCs w:val="14"/>
                <w:color w:val="auto"/>
              </w:rPr>
            </w:pPr>
          </w:p>
        </w:tc>
        <w:tc>
          <w:tcPr>
            <w:tcW w:w="980" w:type="dxa"/>
            <w:vAlign w:val="bottom"/>
          </w:tcPr>
          <w:p>
            <w:pPr>
              <w:jc w:val="right"/>
              <w:spacing w:after="0"/>
              <w:rPr>
                <w:sz w:val="20"/>
                <w:szCs w:val="20"/>
                <w:color w:val="auto"/>
              </w:rPr>
            </w:pPr>
            <w:r>
              <w:rPr>
                <w:rFonts w:ascii="Arial" w:cs="Arial" w:eastAsia="Arial" w:hAnsi="Arial"/>
                <w:sz w:val="14"/>
                <w:szCs w:val="14"/>
                <w:color w:val="auto"/>
              </w:rPr>
              <w:t>4</w:t>
            </w:r>
          </w:p>
        </w:tc>
        <w:tc>
          <w:tcPr>
            <w:tcW w:w="1120" w:type="dxa"/>
            <w:vAlign w:val="bottom"/>
            <w:gridSpan w:val="3"/>
          </w:tcPr>
          <w:p>
            <w:pPr>
              <w:jc w:val="center"/>
              <w:ind w:left="133"/>
              <w:spacing w:after="0"/>
              <w:rPr>
                <w:sz w:val="20"/>
                <w:szCs w:val="20"/>
                <w:color w:val="auto"/>
              </w:rPr>
            </w:pPr>
            <w:r>
              <w:rPr>
                <w:rFonts w:ascii="Arial" w:cs="Arial" w:eastAsia="Arial" w:hAnsi="Arial"/>
                <w:sz w:val="14"/>
                <w:szCs w:val="14"/>
                <w:color w:val="auto"/>
                <w:w w:val="85"/>
              </w:rPr>
              <w:t>$720 - $811</w:t>
            </w:r>
          </w:p>
        </w:tc>
        <w:tc>
          <w:tcPr>
            <w:tcW w:w="0" w:type="dxa"/>
            <w:vAlign w:val="bottom"/>
          </w:tcPr>
          <w:p>
            <w:pPr>
              <w:spacing w:after="0"/>
              <w:rPr>
                <w:sz w:val="1"/>
                <w:szCs w:val="1"/>
                <w:color w:val="auto"/>
              </w:rPr>
            </w:pPr>
          </w:p>
        </w:tc>
      </w:tr>
      <w:tr>
        <w:trPr>
          <w:trHeight w:val="162"/>
        </w:trPr>
        <w:tc>
          <w:tcPr>
            <w:tcW w:w="4220" w:type="dxa"/>
            <w:vAlign w:val="bottom"/>
            <w:gridSpan w:val="2"/>
            <w:shd w:val="clear" w:color="auto" w:fill="CFF0FC"/>
          </w:tcPr>
          <w:p>
            <w:pPr>
              <w:ind w:left="260"/>
              <w:spacing w:after="0"/>
              <w:rPr>
                <w:sz w:val="20"/>
                <w:szCs w:val="20"/>
                <w:color w:val="auto"/>
              </w:rPr>
            </w:pPr>
            <w:r>
              <w:rPr>
                <w:rFonts w:ascii="Arial" w:cs="Arial" w:eastAsia="Arial" w:hAnsi="Arial"/>
                <w:sz w:val="14"/>
                <w:szCs w:val="14"/>
                <w:color w:val="auto"/>
              </w:rPr>
              <w:t>One Loudoun, Ashburn</w:t>
            </w:r>
          </w:p>
        </w:tc>
        <w:tc>
          <w:tcPr>
            <w:tcW w:w="900" w:type="dxa"/>
            <w:vAlign w:val="bottom"/>
            <w:shd w:val="clear" w:color="auto" w:fill="CFF0FC"/>
          </w:tcPr>
          <w:p>
            <w:pPr>
              <w:spacing w:after="0"/>
              <w:rPr>
                <w:sz w:val="14"/>
                <w:szCs w:val="14"/>
                <w:color w:val="auto"/>
              </w:rPr>
            </w:pPr>
          </w:p>
        </w:tc>
        <w:tc>
          <w:tcPr>
            <w:tcW w:w="120" w:type="dxa"/>
            <w:vAlign w:val="bottom"/>
            <w:shd w:val="clear" w:color="auto" w:fill="CFF0FC"/>
          </w:tcPr>
          <w:p>
            <w:pPr>
              <w:spacing w:after="0"/>
              <w:rPr>
                <w:sz w:val="14"/>
                <w:szCs w:val="14"/>
                <w:color w:val="auto"/>
              </w:rPr>
            </w:pPr>
          </w:p>
        </w:tc>
        <w:tc>
          <w:tcPr>
            <w:tcW w:w="780" w:type="dxa"/>
            <w:vAlign w:val="bottom"/>
            <w:shd w:val="clear" w:color="auto" w:fill="CFF0FC"/>
          </w:tcPr>
          <w:p>
            <w:pPr>
              <w:spacing w:after="0"/>
              <w:rPr>
                <w:sz w:val="14"/>
                <w:szCs w:val="14"/>
                <w:color w:val="auto"/>
              </w:rPr>
            </w:pPr>
          </w:p>
        </w:tc>
        <w:tc>
          <w:tcPr>
            <w:tcW w:w="220" w:type="dxa"/>
            <w:vAlign w:val="bottom"/>
            <w:shd w:val="clear" w:color="auto" w:fill="CFF0FC"/>
          </w:tcPr>
          <w:p>
            <w:pPr>
              <w:spacing w:after="0"/>
              <w:rPr>
                <w:sz w:val="14"/>
                <w:szCs w:val="14"/>
                <w:color w:val="auto"/>
              </w:rPr>
            </w:pPr>
          </w:p>
        </w:tc>
        <w:tc>
          <w:tcPr>
            <w:tcW w:w="860" w:type="dxa"/>
            <w:vAlign w:val="bottom"/>
            <w:shd w:val="clear" w:color="auto" w:fill="CFF0FC"/>
          </w:tcPr>
          <w:p>
            <w:pPr>
              <w:spacing w:after="0"/>
              <w:rPr>
                <w:sz w:val="14"/>
                <w:szCs w:val="14"/>
                <w:color w:val="auto"/>
              </w:rPr>
            </w:pPr>
          </w:p>
        </w:tc>
        <w:tc>
          <w:tcPr>
            <w:tcW w:w="220" w:type="dxa"/>
            <w:vAlign w:val="bottom"/>
            <w:shd w:val="clear" w:color="auto" w:fill="CFF0FC"/>
          </w:tcPr>
          <w:p>
            <w:pPr>
              <w:spacing w:after="0"/>
              <w:rPr>
                <w:sz w:val="14"/>
                <w:szCs w:val="14"/>
                <w:color w:val="auto"/>
              </w:rPr>
            </w:pPr>
          </w:p>
        </w:tc>
        <w:tc>
          <w:tcPr>
            <w:tcW w:w="780" w:type="dxa"/>
            <w:vAlign w:val="bottom"/>
            <w:shd w:val="clear" w:color="auto" w:fill="CFF0FC"/>
          </w:tcPr>
          <w:p>
            <w:pPr>
              <w:spacing w:after="0"/>
              <w:rPr>
                <w:sz w:val="14"/>
                <w:szCs w:val="14"/>
                <w:color w:val="auto"/>
              </w:rPr>
            </w:pPr>
          </w:p>
        </w:tc>
        <w:tc>
          <w:tcPr>
            <w:tcW w:w="220" w:type="dxa"/>
            <w:vAlign w:val="bottom"/>
            <w:shd w:val="clear" w:color="auto" w:fill="CFF0FC"/>
          </w:tcPr>
          <w:p>
            <w:pPr>
              <w:spacing w:after="0"/>
              <w:rPr>
                <w:sz w:val="14"/>
                <w:szCs w:val="14"/>
                <w:color w:val="auto"/>
              </w:rPr>
            </w:pPr>
          </w:p>
        </w:tc>
        <w:tc>
          <w:tcPr>
            <w:tcW w:w="780" w:type="dxa"/>
            <w:vAlign w:val="bottom"/>
            <w:shd w:val="clear" w:color="auto" w:fill="CFF0FC"/>
          </w:tcPr>
          <w:p>
            <w:pPr>
              <w:spacing w:after="0"/>
              <w:rPr>
                <w:sz w:val="14"/>
                <w:szCs w:val="14"/>
                <w:color w:val="auto"/>
              </w:rPr>
            </w:pPr>
          </w:p>
        </w:tc>
        <w:tc>
          <w:tcPr>
            <w:tcW w:w="220" w:type="dxa"/>
            <w:vAlign w:val="bottom"/>
            <w:shd w:val="clear" w:color="auto" w:fill="CFF0FC"/>
          </w:tcPr>
          <w:p>
            <w:pPr>
              <w:spacing w:after="0"/>
              <w:rPr>
                <w:sz w:val="14"/>
                <w:szCs w:val="14"/>
                <w:color w:val="auto"/>
              </w:rPr>
            </w:pPr>
          </w:p>
        </w:tc>
        <w:tc>
          <w:tcPr>
            <w:tcW w:w="980" w:type="dxa"/>
            <w:vAlign w:val="bottom"/>
            <w:shd w:val="clear" w:color="auto" w:fill="CFF0FC"/>
          </w:tcPr>
          <w:p>
            <w:pPr>
              <w:spacing w:after="0"/>
              <w:rPr>
                <w:sz w:val="14"/>
                <w:szCs w:val="14"/>
                <w:color w:val="auto"/>
              </w:rPr>
            </w:pPr>
          </w:p>
        </w:tc>
        <w:tc>
          <w:tcPr>
            <w:tcW w:w="220" w:type="dxa"/>
            <w:vAlign w:val="bottom"/>
            <w:shd w:val="clear" w:color="auto" w:fill="CFF0FC"/>
          </w:tcPr>
          <w:p>
            <w:pPr>
              <w:spacing w:after="0"/>
              <w:rPr>
                <w:sz w:val="14"/>
                <w:szCs w:val="14"/>
                <w:color w:val="auto"/>
              </w:rPr>
            </w:pPr>
          </w:p>
        </w:tc>
        <w:tc>
          <w:tcPr>
            <w:tcW w:w="400" w:type="dxa"/>
            <w:vAlign w:val="bottom"/>
            <w:shd w:val="clear" w:color="auto" w:fill="CFF0FC"/>
          </w:tcPr>
          <w:p>
            <w:pPr>
              <w:spacing w:after="0"/>
              <w:rPr>
                <w:sz w:val="14"/>
                <w:szCs w:val="14"/>
                <w:color w:val="auto"/>
              </w:rPr>
            </w:pPr>
          </w:p>
        </w:tc>
        <w:tc>
          <w:tcPr>
            <w:tcW w:w="500" w:type="dxa"/>
            <w:vAlign w:val="bottom"/>
            <w:shd w:val="clear" w:color="auto" w:fill="CFF0FC"/>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4220" w:type="dxa"/>
            <w:vAlign w:val="bottom"/>
            <w:gridSpan w:val="2"/>
          </w:tcPr>
          <w:p>
            <w:pPr>
              <w:ind w:left="500"/>
              <w:spacing w:after="0"/>
              <w:rPr>
                <w:sz w:val="20"/>
                <w:szCs w:val="20"/>
                <w:color w:val="auto"/>
              </w:rPr>
            </w:pPr>
            <w:r>
              <w:rPr>
                <w:rFonts w:ascii="Arial" w:cs="Arial" w:eastAsia="Arial" w:hAnsi="Arial"/>
                <w:sz w:val="14"/>
                <w:szCs w:val="14"/>
                <w:color w:val="auto"/>
              </w:rPr>
              <w:t>One Loudoun Chicago Series</w:t>
            </w:r>
          </w:p>
        </w:tc>
        <w:tc>
          <w:tcPr>
            <w:tcW w:w="900" w:type="dxa"/>
            <w:vAlign w:val="bottom"/>
          </w:tcPr>
          <w:p>
            <w:pPr>
              <w:jc w:val="center"/>
              <w:spacing w:after="0"/>
              <w:rPr>
                <w:sz w:val="20"/>
                <w:szCs w:val="20"/>
                <w:color w:val="auto"/>
              </w:rPr>
            </w:pPr>
            <w:r>
              <w:rPr>
                <w:rFonts w:ascii="Arial" w:cs="Arial" w:eastAsia="Arial" w:hAnsi="Arial"/>
                <w:sz w:val="14"/>
                <w:szCs w:val="14"/>
                <w:color w:val="auto"/>
                <w:w w:val="83"/>
              </w:rPr>
              <w:t>2012</w:t>
            </w:r>
          </w:p>
        </w:tc>
        <w:tc>
          <w:tcPr>
            <w:tcW w:w="120" w:type="dxa"/>
            <w:vAlign w:val="bottom"/>
          </w:tcPr>
          <w:p>
            <w:pPr>
              <w:spacing w:after="0"/>
              <w:rPr>
                <w:sz w:val="14"/>
                <w:szCs w:val="14"/>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43</w:t>
            </w:r>
          </w:p>
        </w:tc>
        <w:tc>
          <w:tcPr>
            <w:tcW w:w="220" w:type="dxa"/>
            <w:vAlign w:val="bottom"/>
          </w:tcPr>
          <w:p>
            <w:pPr>
              <w:spacing w:after="0"/>
              <w:rPr>
                <w:sz w:val="14"/>
                <w:szCs w:val="14"/>
                <w:color w:val="auto"/>
              </w:rPr>
            </w:pPr>
          </w:p>
        </w:tc>
        <w:tc>
          <w:tcPr>
            <w:tcW w:w="860" w:type="dxa"/>
            <w:vAlign w:val="bottom"/>
          </w:tcPr>
          <w:p>
            <w:pPr>
              <w:jc w:val="right"/>
              <w:spacing w:after="0"/>
              <w:rPr>
                <w:sz w:val="20"/>
                <w:szCs w:val="20"/>
                <w:color w:val="auto"/>
              </w:rPr>
            </w:pPr>
            <w:r>
              <w:rPr>
                <w:rFonts w:ascii="Arial" w:cs="Arial" w:eastAsia="Arial" w:hAnsi="Arial"/>
                <w:sz w:val="14"/>
                <w:szCs w:val="14"/>
                <w:color w:val="auto"/>
              </w:rPr>
              <w:t>42</w:t>
            </w:r>
          </w:p>
        </w:tc>
        <w:tc>
          <w:tcPr>
            <w:tcW w:w="220" w:type="dxa"/>
            <w:vAlign w:val="bottom"/>
          </w:tcPr>
          <w:p>
            <w:pPr>
              <w:spacing w:after="0"/>
              <w:rPr>
                <w:sz w:val="14"/>
                <w:szCs w:val="14"/>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1</w:t>
            </w:r>
          </w:p>
        </w:tc>
        <w:tc>
          <w:tcPr>
            <w:tcW w:w="220" w:type="dxa"/>
            <w:vAlign w:val="bottom"/>
          </w:tcPr>
          <w:p>
            <w:pPr>
              <w:spacing w:after="0"/>
              <w:rPr>
                <w:sz w:val="14"/>
                <w:szCs w:val="14"/>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1</w:t>
            </w:r>
          </w:p>
        </w:tc>
        <w:tc>
          <w:tcPr>
            <w:tcW w:w="220" w:type="dxa"/>
            <w:vAlign w:val="bottom"/>
          </w:tcPr>
          <w:p>
            <w:pPr>
              <w:spacing w:after="0"/>
              <w:rPr>
                <w:sz w:val="14"/>
                <w:szCs w:val="14"/>
                <w:color w:val="auto"/>
              </w:rPr>
            </w:pPr>
          </w:p>
        </w:tc>
        <w:tc>
          <w:tcPr>
            <w:tcW w:w="980" w:type="dxa"/>
            <w:vAlign w:val="bottom"/>
          </w:tcPr>
          <w:p>
            <w:pPr>
              <w:jc w:val="right"/>
              <w:spacing w:after="0"/>
              <w:rPr>
                <w:sz w:val="20"/>
                <w:szCs w:val="20"/>
                <w:color w:val="auto"/>
              </w:rPr>
            </w:pPr>
            <w:r>
              <w:rPr>
                <w:rFonts w:ascii="Arial" w:cs="Arial" w:eastAsia="Arial" w:hAnsi="Arial"/>
                <w:sz w:val="14"/>
                <w:szCs w:val="14"/>
                <w:color w:val="auto"/>
              </w:rPr>
              <w:t>1</w:t>
            </w:r>
          </w:p>
        </w:tc>
        <w:tc>
          <w:tcPr>
            <w:tcW w:w="620" w:type="dxa"/>
            <w:vAlign w:val="bottom"/>
            <w:gridSpan w:val="2"/>
          </w:tcPr>
          <w:p>
            <w:pPr>
              <w:jc w:val="right"/>
              <w:spacing w:after="0"/>
              <w:rPr>
                <w:sz w:val="20"/>
                <w:szCs w:val="20"/>
                <w:color w:val="auto"/>
              </w:rPr>
            </w:pPr>
            <w:r>
              <w:rPr>
                <w:rFonts w:ascii="Arial" w:cs="Arial" w:eastAsia="Arial" w:hAnsi="Arial"/>
                <w:sz w:val="14"/>
                <w:szCs w:val="14"/>
                <w:color w:val="auto"/>
              </w:rPr>
              <w:t>$675</w:t>
            </w:r>
          </w:p>
        </w:tc>
        <w:tc>
          <w:tcPr>
            <w:tcW w:w="500" w:type="dxa"/>
            <w:vAlign w:val="bottom"/>
          </w:tcPr>
          <w:p>
            <w:pPr>
              <w:ind w:left="20"/>
              <w:spacing w:after="0"/>
              <w:rPr>
                <w:sz w:val="20"/>
                <w:szCs w:val="20"/>
                <w:color w:val="auto"/>
              </w:rPr>
            </w:pPr>
            <w:r>
              <w:rPr>
                <w:rFonts w:ascii="Arial" w:cs="Arial" w:eastAsia="Arial" w:hAnsi="Arial"/>
                <w:sz w:val="14"/>
                <w:szCs w:val="14"/>
                <w:color w:val="auto"/>
              </w:rPr>
              <w:t>- $680</w:t>
            </w:r>
          </w:p>
        </w:tc>
        <w:tc>
          <w:tcPr>
            <w:tcW w:w="0" w:type="dxa"/>
            <w:vAlign w:val="bottom"/>
          </w:tcPr>
          <w:p>
            <w:pPr>
              <w:spacing w:after="0"/>
              <w:rPr>
                <w:sz w:val="1"/>
                <w:szCs w:val="1"/>
                <w:color w:val="auto"/>
              </w:rPr>
            </w:pPr>
          </w:p>
        </w:tc>
      </w:tr>
      <w:tr>
        <w:trPr>
          <w:trHeight w:val="162"/>
        </w:trPr>
        <w:tc>
          <w:tcPr>
            <w:tcW w:w="4220" w:type="dxa"/>
            <w:vAlign w:val="bottom"/>
            <w:gridSpan w:val="2"/>
            <w:shd w:val="clear" w:color="auto" w:fill="CFF0FC"/>
          </w:tcPr>
          <w:p>
            <w:pPr>
              <w:ind w:left="500"/>
              <w:spacing w:after="0"/>
              <w:rPr>
                <w:sz w:val="20"/>
                <w:szCs w:val="20"/>
                <w:color w:val="auto"/>
              </w:rPr>
            </w:pPr>
            <w:r>
              <w:rPr>
                <w:rFonts w:ascii="Arial" w:cs="Arial" w:eastAsia="Arial" w:hAnsi="Arial"/>
                <w:sz w:val="14"/>
                <w:szCs w:val="14"/>
                <w:color w:val="auto"/>
              </w:rPr>
              <w:t>One Loudoun Brooklyn Series</w:t>
            </w:r>
          </w:p>
        </w:tc>
        <w:tc>
          <w:tcPr>
            <w:tcW w:w="900" w:type="dxa"/>
            <w:vAlign w:val="bottom"/>
            <w:shd w:val="clear" w:color="auto" w:fill="CFF0FC"/>
          </w:tcPr>
          <w:p>
            <w:pPr>
              <w:jc w:val="center"/>
              <w:spacing w:after="0"/>
              <w:rPr>
                <w:sz w:val="20"/>
                <w:szCs w:val="20"/>
                <w:color w:val="auto"/>
              </w:rPr>
            </w:pPr>
            <w:r>
              <w:rPr>
                <w:rFonts w:ascii="Arial" w:cs="Arial" w:eastAsia="Arial" w:hAnsi="Arial"/>
                <w:sz w:val="14"/>
                <w:szCs w:val="14"/>
                <w:color w:val="auto"/>
                <w:w w:val="83"/>
              </w:rPr>
              <w:t>2014</w:t>
            </w:r>
          </w:p>
        </w:tc>
        <w:tc>
          <w:tcPr>
            <w:tcW w:w="120" w:type="dxa"/>
            <w:vAlign w:val="bottom"/>
            <w:shd w:val="clear" w:color="auto" w:fill="CFF0FC"/>
          </w:tcPr>
          <w:p>
            <w:pPr>
              <w:spacing w:after="0"/>
              <w:rPr>
                <w:sz w:val="14"/>
                <w:szCs w:val="14"/>
                <w:color w:val="auto"/>
              </w:rPr>
            </w:pPr>
          </w:p>
        </w:tc>
        <w:tc>
          <w:tcPr>
            <w:tcW w:w="7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31</w:t>
            </w:r>
          </w:p>
        </w:tc>
        <w:tc>
          <w:tcPr>
            <w:tcW w:w="220" w:type="dxa"/>
            <w:vAlign w:val="bottom"/>
            <w:shd w:val="clear" w:color="auto" w:fill="CFF0FC"/>
          </w:tcPr>
          <w:p>
            <w:pPr>
              <w:spacing w:after="0"/>
              <w:rPr>
                <w:sz w:val="14"/>
                <w:szCs w:val="14"/>
                <w:color w:val="auto"/>
              </w:rPr>
            </w:pPr>
          </w:p>
        </w:tc>
        <w:tc>
          <w:tcPr>
            <w:tcW w:w="860" w:type="dxa"/>
            <w:vAlign w:val="bottom"/>
            <w:shd w:val="clear" w:color="auto" w:fill="CFF0FC"/>
          </w:tcPr>
          <w:p>
            <w:pPr>
              <w:jc w:val="right"/>
              <w:spacing w:after="0"/>
              <w:rPr>
                <w:sz w:val="20"/>
                <w:szCs w:val="20"/>
                <w:color w:val="auto"/>
              </w:rPr>
            </w:pPr>
            <w:r>
              <w:rPr>
                <w:rFonts w:ascii="Arial" w:cs="Arial" w:eastAsia="Arial" w:hAnsi="Arial"/>
                <w:sz w:val="14"/>
                <w:szCs w:val="14"/>
                <w:color w:val="auto"/>
              </w:rPr>
              <w:t>18</w:t>
            </w:r>
          </w:p>
        </w:tc>
        <w:tc>
          <w:tcPr>
            <w:tcW w:w="220" w:type="dxa"/>
            <w:vAlign w:val="bottom"/>
            <w:shd w:val="clear" w:color="auto" w:fill="CFF0FC"/>
          </w:tcPr>
          <w:p>
            <w:pPr>
              <w:spacing w:after="0"/>
              <w:rPr>
                <w:sz w:val="14"/>
                <w:szCs w:val="14"/>
                <w:color w:val="auto"/>
              </w:rPr>
            </w:pPr>
          </w:p>
        </w:tc>
        <w:tc>
          <w:tcPr>
            <w:tcW w:w="7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13</w:t>
            </w:r>
          </w:p>
        </w:tc>
        <w:tc>
          <w:tcPr>
            <w:tcW w:w="220" w:type="dxa"/>
            <w:vAlign w:val="bottom"/>
            <w:shd w:val="clear" w:color="auto" w:fill="CFF0FC"/>
          </w:tcPr>
          <w:p>
            <w:pPr>
              <w:spacing w:after="0"/>
              <w:rPr>
                <w:sz w:val="14"/>
                <w:szCs w:val="14"/>
                <w:color w:val="auto"/>
              </w:rPr>
            </w:pPr>
          </w:p>
        </w:tc>
        <w:tc>
          <w:tcPr>
            <w:tcW w:w="7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5</w:t>
            </w:r>
          </w:p>
        </w:tc>
        <w:tc>
          <w:tcPr>
            <w:tcW w:w="220" w:type="dxa"/>
            <w:vAlign w:val="bottom"/>
            <w:shd w:val="clear" w:color="auto" w:fill="CFF0FC"/>
          </w:tcPr>
          <w:p>
            <w:pPr>
              <w:spacing w:after="0"/>
              <w:rPr>
                <w:sz w:val="14"/>
                <w:szCs w:val="14"/>
                <w:color w:val="auto"/>
              </w:rPr>
            </w:pPr>
          </w:p>
        </w:tc>
        <w:tc>
          <w:tcPr>
            <w:tcW w:w="9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4</w:t>
            </w:r>
          </w:p>
        </w:tc>
        <w:tc>
          <w:tcPr>
            <w:tcW w:w="620" w:type="dxa"/>
            <w:vAlign w:val="bottom"/>
            <w:gridSpan w:val="2"/>
            <w:shd w:val="clear" w:color="auto" w:fill="CFF0FC"/>
          </w:tcPr>
          <w:p>
            <w:pPr>
              <w:jc w:val="right"/>
              <w:spacing w:after="0"/>
              <w:rPr>
                <w:sz w:val="20"/>
                <w:szCs w:val="20"/>
                <w:color w:val="auto"/>
              </w:rPr>
            </w:pPr>
            <w:r>
              <w:rPr>
                <w:rFonts w:ascii="Arial" w:cs="Arial" w:eastAsia="Arial" w:hAnsi="Arial"/>
                <w:sz w:val="14"/>
                <w:szCs w:val="14"/>
                <w:color w:val="auto"/>
              </w:rPr>
              <w:t>$680</w:t>
            </w:r>
          </w:p>
        </w:tc>
        <w:tc>
          <w:tcPr>
            <w:tcW w:w="500" w:type="dxa"/>
            <w:vAlign w:val="bottom"/>
            <w:shd w:val="clear" w:color="auto" w:fill="CFF0FC"/>
          </w:tcPr>
          <w:p>
            <w:pPr>
              <w:ind w:left="20"/>
              <w:spacing w:after="0"/>
              <w:rPr>
                <w:sz w:val="20"/>
                <w:szCs w:val="20"/>
                <w:color w:val="auto"/>
              </w:rPr>
            </w:pPr>
            <w:r>
              <w:rPr>
                <w:rFonts w:ascii="Arial" w:cs="Arial" w:eastAsia="Arial" w:hAnsi="Arial"/>
                <w:sz w:val="14"/>
                <w:szCs w:val="14"/>
                <w:color w:val="auto"/>
              </w:rPr>
              <w:t>- $710</w:t>
            </w:r>
          </w:p>
        </w:tc>
        <w:tc>
          <w:tcPr>
            <w:tcW w:w="0" w:type="dxa"/>
            <w:vAlign w:val="bottom"/>
          </w:tcPr>
          <w:p>
            <w:pPr>
              <w:spacing w:after="0"/>
              <w:rPr>
                <w:sz w:val="1"/>
                <w:szCs w:val="1"/>
                <w:color w:val="auto"/>
              </w:rPr>
            </w:pPr>
          </w:p>
        </w:tc>
      </w:tr>
      <w:tr>
        <w:trPr>
          <w:trHeight w:val="162"/>
        </w:trPr>
        <w:tc>
          <w:tcPr>
            <w:tcW w:w="4220" w:type="dxa"/>
            <w:vAlign w:val="bottom"/>
            <w:gridSpan w:val="2"/>
          </w:tcPr>
          <w:p>
            <w:pPr>
              <w:ind w:left="500"/>
              <w:spacing w:after="0"/>
              <w:rPr>
                <w:sz w:val="20"/>
                <w:szCs w:val="20"/>
                <w:color w:val="auto"/>
              </w:rPr>
            </w:pPr>
            <w:r>
              <w:rPr>
                <w:rFonts w:ascii="Arial" w:cs="Arial" w:eastAsia="Arial" w:hAnsi="Arial"/>
                <w:sz w:val="14"/>
                <w:szCs w:val="14"/>
                <w:color w:val="auto"/>
              </w:rPr>
              <w:t>One Loudoun Manhattan Series</w:t>
            </w:r>
          </w:p>
        </w:tc>
        <w:tc>
          <w:tcPr>
            <w:tcW w:w="900" w:type="dxa"/>
            <w:vAlign w:val="bottom"/>
          </w:tcPr>
          <w:p>
            <w:pPr>
              <w:jc w:val="center"/>
              <w:spacing w:after="0"/>
              <w:rPr>
                <w:sz w:val="20"/>
                <w:szCs w:val="20"/>
                <w:color w:val="auto"/>
              </w:rPr>
            </w:pPr>
            <w:r>
              <w:rPr>
                <w:rFonts w:ascii="Arial" w:cs="Arial" w:eastAsia="Arial" w:hAnsi="Arial"/>
                <w:sz w:val="14"/>
                <w:szCs w:val="14"/>
                <w:color w:val="auto"/>
                <w:w w:val="83"/>
              </w:rPr>
              <w:t>2013</w:t>
            </w:r>
          </w:p>
        </w:tc>
        <w:tc>
          <w:tcPr>
            <w:tcW w:w="120" w:type="dxa"/>
            <w:vAlign w:val="bottom"/>
          </w:tcPr>
          <w:p>
            <w:pPr>
              <w:spacing w:after="0"/>
              <w:rPr>
                <w:sz w:val="14"/>
                <w:szCs w:val="14"/>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30</w:t>
            </w:r>
          </w:p>
        </w:tc>
        <w:tc>
          <w:tcPr>
            <w:tcW w:w="220" w:type="dxa"/>
            <w:vAlign w:val="bottom"/>
          </w:tcPr>
          <w:p>
            <w:pPr>
              <w:spacing w:after="0"/>
              <w:rPr>
                <w:sz w:val="14"/>
                <w:szCs w:val="14"/>
                <w:color w:val="auto"/>
              </w:rPr>
            </w:pPr>
          </w:p>
        </w:tc>
        <w:tc>
          <w:tcPr>
            <w:tcW w:w="860" w:type="dxa"/>
            <w:vAlign w:val="bottom"/>
          </w:tcPr>
          <w:p>
            <w:pPr>
              <w:jc w:val="right"/>
              <w:spacing w:after="0"/>
              <w:rPr>
                <w:sz w:val="20"/>
                <w:szCs w:val="20"/>
                <w:color w:val="auto"/>
              </w:rPr>
            </w:pPr>
            <w:r>
              <w:rPr>
                <w:rFonts w:ascii="Arial" w:cs="Arial" w:eastAsia="Arial" w:hAnsi="Arial"/>
                <w:sz w:val="14"/>
                <w:szCs w:val="14"/>
                <w:color w:val="auto"/>
              </w:rPr>
              <w:t>30</w:t>
            </w:r>
          </w:p>
        </w:tc>
        <w:tc>
          <w:tcPr>
            <w:tcW w:w="220" w:type="dxa"/>
            <w:vAlign w:val="bottom"/>
          </w:tcPr>
          <w:p>
            <w:pPr>
              <w:spacing w:after="0"/>
              <w:rPr>
                <w:sz w:val="14"/>
                <w:szCs w:val="14"/>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w:t>
            </w:r>
          </w:p>
        </w:tc>
        <w:tc>
          <w:tcPr>
            <w:tcW w:w="220" w:type="dxa"/>
            <w:vAlign w:val="bottom"/>
          </w:tcPr>
          <w:p>
            <w:pPr>
              <w:spacing w:after="0"/>
              <w:rPr>
                <w:sz w:val="14"/>
                <w:szCs w:val="14"/>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6</w:t>
            </w:r>
          </w:p>
        </w:tc>
        <w:tc>
          <w:tcPr>
            <w:tcW w:w="220" w:type="dxa"/>
            <w:vAlign w:val="bottom"/>
          </w:tcPr>
          <w:p>
            <w:pPr>
              <w:spacing w:after="0"/>
              <w:rPr>
                <w:sz w:val="14"/>
                <w:szCs w:val="14"/>
                <w:color w:val="auto"/>
              </w:rPr>
            </w:pPr>
          </w:p>
        </w:tc>
        <w:tc>
          <w:tcPr>
            <w:tcW w:w="980" w:type="dxa"/>
            <w:vAlign w:val="bottom"/>
          </w:tcPr>
          <w:p>
            <w:pPr>
              <w:jc w:val="right"/>
              <w:spacing w:after="0"/>
              <w:rPr>
                <w:sz w:val="20"/>
                <w:szCs w:val="20"/>
                <w:color w:val="auto"/>
              </w:rPr>
            </w:pPr>
            <w:r>
              <w:rPr>
                <w:rFonts w:ascii="Arial" w:cs="Arial" w:eastAsia="Arial" w:hAnsi="Arial"/>
                <w:sz w:val="14"/>
                <w:szCs w:val="14"/>
                <w:color w:val="auto"/>
              </w:rPr>
              <w:t>3</w:t>
            </w:r>
          </w:p>
        </w:tc>
        <w:tc>
          <w:tcPr>
            <w:tcW w:w="1120" w:type="dxa"/>
            <w:vAlign w:val="bottom"/>
            <w:gridSpan w:val="3"/>
          </w:tcPr>
          <w:p>
            <w:pPr>
              <w:jc w:val="center"/>
              <w:ind w:left="133"/>
              <w:spacing w:after="0"/>
              <w:rPr>
                <w:sz w:val="20"/>
                <w:szCs w:val="20"/>
                <w:color w:val="auto"/>
              </w:rPr>
            </w:pPr>
            <w:r>
              <w:rPr>
                <w:rFonts w:ascii="Arial" w:cs="Arial" w:eastAsia="Arial" w:hAnsi="Arial"/>
                <w:sz w:val="14"/>
                <w:szCs w:val="14"/>
                <w:color w:val="auto"/>
                <w:w w:val="89"/>
              </w:rPr>
              <w:t>$690</w:t>
            </w:r>
          </w:p>
        </w:tc>
        <w:tc>
          <w:tcPr>
            <w:tcW w:w="0" w:type="dxa"/>
            <w:vAlign w:val="bottom"/>
          </w:tcPr>
          <w:p>
            <w:pPr>
              <w:spacing w:after="0"/>
              <w:rPr>
                <w:sz w:val="1"/>
                <w:szCs w:val="1"/>
                <w:color w:val="auto"/>
              </w:rPr>
            </w:pPr>
          </w:p>
        </w:tc>
      </w:tr>
      <w:tr>
        <w:trPr>
          <w:trHeight w:val="162"/>
        </w:trPr>
        <w:tc>
          <w:tcPr>
            <w:tcW w:w="4220" w:type="dxa"/>
            <w:vAlign w:val="bottom"/>
            <w:gridSpan w:val="2"/>
            <w:shd w:val="clear" w:color="auto" w:fill="CFF0FC"/>
          </w:tcPr>
          <w:p>
            <w:pPr>
              <w:ind w:left="260"/>
              <w:spacing w:after="0"/>
              <w:rPr>
                <w:sz w:val="20"/>
                <w:szCs w:val="20"/>
                <w:color w:val="auto"/>
              </w:rPr>
            </w:pPr>
            <w:r>
              <w:rPr>
                <w:rFonts w:ascii="Arial" w:cs="Arial" w:eastAsia="Arial" w:hAnsi="Arial"/>
                <w:sz w:val="14"/>
                <w:szCs w:val="14"/>
                <w:color w:val="auto"/>
              </w:rPr>
              <w:t>Vistas at Lansdowne, Lansdowne</w:t>
            </w:r>
          </w:p>
        </w:tc>
        <w:tc>
          <w:tcPr>
            <w:tcW w:w="900" w:type="dxa"/>
            <w:vAlign w:val="bottom"/>
            <w:shd w:val="clear" w:color="auto" w:fill="CFF0FC"/>
          </w:tcPr>
          <w:p>
            <w:pPr>
              <w:jc w:val="center"/>
              <w:spacing w:after="0"/>
              <w:rPr>
                <w:sz w:val="20"/>
                <w:szCs w:val="20"/>
                <w:color w:val="auto"/>
              </w:rPr>
            </w:pPr>
            <w:r>
              <w:rPr>
                <w:rFonts w:ascii="Arial" w:cs="Arial" w:eastAsia="Arial" w:hAnsi="Arial"/>
                <w:sz w:val="14"/>
                <w:szCs w:val="14"/>
                <w:color w:val="auto"/>
                <w:w w:val="83"/>
              </w:rPr>
              <w:t>2015</w:t>
            </w:r>
          </w:p>
        </w:tc>
        <w:tc>
          <w:tcPr>
            <w:tcW w:w="120" w:type="dxa"/>
            <w:vAlign w:val="bottom"/>
            <w:shd w:val="clear" w:color="auto" w:fill="CFF0FC"/>
          </w:tcPr>
          <w:p>
            <w:pPr>
              <w:spacing w:after="0"/>
              <w:rPr>
                <w:sz w:val="14"/>
                <w:szCs w:val="14"/>
                <w:color w:val="auto"/>
              </w:rPr>
            </w:pPr>
          </w:p>
        </w:tc>
        <w:tc>
          <w:tcPr>
            <w:tcW w:w="7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120</w:t>
            </w:r>
          </w:p>
        </w:tc>
        <w:tc>
          <w:tcPr>
            <w:tcW w:w="220" w:type="dxa"/>
            <w:vAlign w:val="bottom"/>
            <w:shd w:val="clear" w:color="auto" w:fill="CFF0FC"/>
          </w:tcPr>
          <w:p>
            <w:pPr>
              <w:spacing w:after="0"/>
              <w:rPr>
                <w:sz w:val="14"/>
                <w:szCs w:val="14"/>
                <w:color w:val="auto"/>
              </w:rPr>
            </w:pPr>
          </w:p>
        </w:tc>
        <w:tc>
          <w:tcPr>
            <w:tcW w:w="860" w:type="dxa"/>
            <w:vAlign w:val="bottom"/>
            <w:shd w:val="clear" w:color="auto" w:fill="CFF0FC"/>
          </w:tcPr>
          <w:p>
            <w:pPr>
              <w:jc w:val="right"/>
              <w:spacing w:after="0"/>
              <w:rPr>
                <w:sz w:val="20"/>
                <w:szCs w:val="20"/>
                <w:color w:val="auto"/>
              </w:rPr>
            </w:pPr>
            <w:r>
              <w:rPr>
                <w:rFonts w:ascii="Arial" w:cs="Arial" w:eastAsia="Arial" w:hAnsi="Arial"/>
                <w:sz w:val="14"/>
                <w:szCs w:val="14"/>
                <w:color w:val="auto"/>
              </w:rPr>
              <w:t>-</w:t>
            </w:r>
          </w:p>
        </w:tc>
        <w:tc>
          <w:tcPr>
            <w:tcW w:w="220" w:type="dxa"/>
            <w:vAlign w:val="bottom"/>
            <w:shd w:val="clear" w:color="auto" w:fill="CFF0FC"/>
          </w:tcPr>
          <w:p>
            <w:pPr>
              <w:spacing w:after="0"/>
              <w:rPr>
                <w:sz w:val="14"/>
                <w:szCs w:val="14"/>
                <w:color w:val="auto"/>
              </w:rPr>
            </w:pPr>
          </w:p>
        </w:tc>
        <w:tc>
          <w:tcPr>
            <w:tcW w:w="7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120</w:t>
            </w:r>
          </w:p>
        </w:tc>
        <w:tc>
          <w:tcPr>
            <w:tcW w:w="220" w:type="dxa"/>
            <w:vAlign w:val="bottom"/>
            <w:shd w:val="clear" w:color="auto" w:fill="CFF0FC"/>
          </w:tcPr>
          <w:p>
            <w:pPr>
              <w:spacing w:after="0"/>
              <w:rPr>
                <w:sz w:val="14"/>
                <w:szCs w:val="14"/>
                <w:color w:val="auto"/>
              </w:rPr>
            </w:pPr>
          </w:p>
        </w:tc>
        <w:tc>
          <w:tcPr>
            <w:tcW w:w="7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11</w:t>
            </w:r>
          </w:p>
        </w:tc>
        <w:tc>
          <w:tcPr>
            <w:tcW w:w="220" w:type="dxa"/>
            <w:vAlign w:val="bottom"/>
            <w:shd w:val="clear" w:color="auto" w:fill="CFF0FC"/>
          </w:tcPr>
          <w:p>
            <w:pPr>
              <w:spacing w:after="0"/>
              <w:rPr>
                <w:sz w:val="14"/>
                <w:szCs w:val="14"/>
                <w:color w:val="auto"/>
              </w:rPr>
            </w:pPr>
          </w:p>
        </w:tc>
        <w:tc>
          <w:tcPr>
            <w:tcW w:w="9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w:t>
            </w:r>
          </w:p>
        </w:tc>
        <w:tc>
          <w:tcPr>
            <w:tcW w:w="620" w:type="dxa"/>
            <w:vAlign w:val="bottom"/>
            <w:gridSpan w:val="2"/>
            <w:shd w:val="clear" w:color="auto" w:fill="CFF0FC"/>
          </w:tcPr>
          <w:p>
            <w:pPr>
              <w:jc w:val="right"/>
              <w:spacing w:after="0"/>
              <w:rPr>
                <w:sz w:val="20"/>
                <w:szCs w:val="20"/>
                <w:color w:val="auto"/>
              </w:rPr>
            </w:pPr>
            <w:r>
              <w:rPr>
                <w:rFonts w:ascii="Arial" w:cs="Arial" w:eastAsia="Arial" w:hAnsi="Arial"/>
                <w:sz w:val="14"/>
                <w:szCs w:val="14"/>
                <w:color w:val="auto"/>
              </w:rPr>
              <w:t>$569</w:t>
            </w:r>
          </w:p>
        </w:tc>
        <w:tc>
          <w:tcPr>
            <w:tcW w:w="500" w:type="dxa"/>
            <w:vAlign w:val="bottom"/>
            <w:shd w:val="clear" w:color="auto" w:fill="CFF0FC"/>
          </w:tcPr>
          <w:p>
            <w:pPr>
              <w:ind w:left="20"/>
              <w:spacing w:after="0"/>
              <w:rPr>
                <w:sz w:val="20"/>
                <w:szCs w:val="20"/>
                <w:color w:val="auto"/>
              </w:rPr>
            </w:pPr>
            <w:r>
              <w:rPr>
                <w:rFonts w:ascii="Arial" w:cs="Arial" w:eastAsia="Arial" w:hAnsi="Arial"/>
                <w:sz w:val="14"/>
                <w:szCs w:val="14"/>
                <w:color w:val="auto"/>
              </w:rPr>
              <w:t>- $598</w:t>
            </w:r>
          </w:p>
        </w:tc>
        <w:tc>
          <w:tcPr>
            <w:tcW w:w="0" w:type="dxa"/>
            <w:vAlign w:val="bottom"/>
          </w:tcPr>
          <w:p>
            <w:pPr>
              <w:spacing w:after="0"/>
              <w:rPr>
                <w:sz w:val="1"/>
                <w:szCs w:val="1"/>
                <w:color w:val="auto"/>
              </w:rPr>
            </w:pPr>
          </w:p>
        </w:tc>
      </w:tr>
      <w:tr>
        <w:trPr>
          <w:trHeight w:val="162"/>
        </w:trPr>
        <w:tc>
          <w:tcPr>
            <w:tcW w:w="4220" w:type="dxa"/>
            <w:vAlign w:val="bottom"/>
            <w:tcBorders>
              <w:bottom w:val="single" w:sz="8" w:color="CFF0FC"/>
            </w:tcBorders>
            <w:gridSpan w:val="2"/>
          </w:tcPr>
          <w:p>
            <w:pPr>
              <w:ind w:left="260"/>
              <w:spacing w:after="0"/>
              <w:rPr>
                <w:sz w:val="20"/>
                <w:szCs w:val="20"/>
                <w:color w:val="auto"/>
              </w:rPr>
            </w:pPr>
            <w:r>
              <w:rPr>
                <w:rFonts w:ascii="Arial" w:cs="Arial" w:eastAsia="Arial" w:hAnsi="Arial"/>
                <w:sz w:val="14"/>
                <w:szCs w:val="14"/>
                <w:color w:val="auto"/>
              </w:rPr>
              <w:t>Willowsford Grant, Leesburg</w:t>
            </w:r>
          </w:p>
        </w:tc>
        <w:tc>
          <w:tcPr>
            <w:tcW w:w="900" w:type="dxa"/>
            <w:vAlign w:val="bottom"/>
            <w:tcBorders>
              <w:bottom w:val="single" w:sz="8" w:color="CFF0FC"/>
            </w:tcBorders>
          </w:tcPr>
          <w:p>
            <w:pPr>
              <w:jc w:val="center"/>
              <w:spacing w:after="0"/>
              <w:rPr>
                <w:sz w:val="20"/>
                <w:szCs w:val="20"/>
                <w:color w:val="auto"/>
              </w:rPr>
            </w:pPr>
            <w:r>
              <w:rPr>
                <w:rFonts w:ascii="Arial" w:cs="Arial" w:eastAsia="Arial" w:hAnsi="Arial"/>
                <w:sz w:val="14"/>
                <w:szCs w:val="14"/>
                <w:color w:val="auto"/>
                <w:w w:val="83"/>
              </w:rPr>
              <w:t>2013</w:t>
            </w:r>
          </w:p>
        </w:tc>
        <w:tc>
          <w:tcPr>
            <w:tcW w:w="120" w:type="dxa"/>
            <w:vAlign w:val="bottom"/>
            <w:tcBorders>
              <w:bottom w:val="single" w:sz="8" w:color="CFF0FC"/>
            </w:tcBorders>
          </w:tcPr>
          <w:p>
            <w:pPr>
              <w:spacing w:after="0"/>
              <w:rPr>
                <w:sz w:val="14"/>
                <w:szCs w:val="14"/>
                <w:color w:val="auto"/>
              </w:rPr>
            </w:pPr>
          </w:p>
        </w:tc>
        <w:tc>
          <w:tcPr>
            <w:tcW w:w="7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36</w:t>
            </w:r>
          </w:p>
        </w:tc>
        <w:tc>
          <w:tcPr>
            <w:tcW w:w="220" w:type="dxa"/>
            <w:vAlign w:val="bottom"/>
            <w:tcBorders>
              <w:bottom w:val="single" w:sz="8" w:color="CFF0FC"/>
            </w:tcBorders>
          </w:tcPr>
          <w:p>
            <w:pPr>
              <w:spacing w:after="0"/>
              <w:rPr>
                <w:sz w:val="14"/>
                <w:szCs w:val="14"/>
                <w:color w:val="auto"/>
              </w:rPr>
            </w:pPr>
          </w:p>
        </w:tc>
        <w:tc>
          <w:tcPr>
            <w:tcW w:w="8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29</w:t>
            </w:r>
          </w:p>
        </w:tc>
        <w:tc>
          <w:tcPr>
            <w:tcW w:w="220" w:type="dxa"/>
            <w:vAlign w:val="bottom"/>
            <w:tcBorders>
              <w:bottom w:val="single" w:sz="8" w:color="CFF0FC"/>
            </w:tcBorders>
          </w:tcPr>
          <w:p>
            <w:pPr>
              <w:spacing w:after="0"/>
              <w:rPr>
                <w:sz w:val="14"/>
                <w:szCs w:val="14"/>
                <w:color w:val="auto"/>
              </w:rPr>
            </w:pPr>
          </w:p>
        </w:tc>
        <w:tc>
          <w:tcPr>
            <w:tcW w:w="7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7</w:t>
            </w:r>
          </w:p>
        </w:tc>
        <w:tc>
          <w:tcPr>
            <w:tcW w:w="220" w:type="dxa"/>
            <w:vAlign w:val="bottom"/>
            <w:tcBorders>
              <w:bottom w:val="single" w:sz="8" w:color="CFF0FC"/>
            </w:tcBorders>
          </w:tcPr>
          <w:p>
            <w:pPr>
              <w:spacing w:after="0"/>
              <w:rPr>
                <w:sz w:val="14"/>
                <w:szCs w:val="14"/>
                <w:color w:val="auto"/>
              </w:rPr>
            </w:pPr>
          </w:p>
        </w:tc>
        <w:tc>
          <w:tcPr>
            <w:tcW w:w="7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4</w:t>
            </w:r>
          </w:p>
        </w:tc>
        <w:tc>
          <w:tcPr>
            <w:tcW w:w="220" w:type="dxa"/>
            <w:vAlign w:val="bottom"/>
            <w:tcBorders>
              <w:bottom w:val="single" w:sz="8" w:color="CFF0FC"/>
            </w:tcBorders>
          </w:tcPr>
          <w:p>
            <w:pPr>
              <w:spacing w:after="0"/>
              <w:rPr>
                <w:sz w:val="14"/>
                <w:szCs w:val="14"/>
                <w:color w:val="auto"/>
              </w:rPr>
            </w:pPr>
          </w:p>
        </w:tc>
        <w:tc>
          <w:tcPr>
            <w:tcW w:w="9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2</w:t>
            </w:r>
          </w:p>
        </w:tc>
        <w:tc>
          <w:tcPr>
            <w:tcW w:w="620" w:type="dxa"/>
            <w:vAlign w:val="bottom"/>
            <w:tcBorders>
              <w:bottom w:val="single" w:sz="8" w:color="CFF0FC"/>
            </w:tcBorders>
            <w:gridSpan w:val="2"/>
          </w:tcPr>
          <w:p>
            <w:pPr>
              <w:jc w:val="right"/>
              <w:spacing w:after="0"/>
              <w:rPr>
                <w:sz w:val="20"/>
                <w:szCs w:val="20"/>
                <w:color w:val="auto"/>
              </w:rPr>
            </w:pPr>
            <w:r>
              <w:rPr>
                <w:rFonts w:ascii="Arial" w:cs="Arial" w:eastAsia="Arial" w:hAnsi="Arial"/>
                <w:sz w:val="14"/>
                <w:szCs w:val="14"/>
                <w:color w:val="auto"/>
              </w:rPr>
              <w:t>$855</w:t>
            </w:r>
          </w:p>
        </w:tc>
        <w:tc>
          <w:tcPr>
            <w:tcW w:w="500" w:type="dxa"/>
            <w:vAlign w:val="bottom"/>
            <w:tcBorders>
              <w:bottom w:val="single" w:sz="8" w:color="CFF0FC"/>
            </w:tcBorders>
          </w:tcPr>
          <w:p>
            <w:pPr>
              <w:ind w:left="20"/>
              <w:spacing w:after="0"/>
              <w:rPr>
                <w:sz w:val="20"/>
                <w:szCs w:val="20"/>
                <w:color w:val="auto"/>
              </w:rPr>
            </w:pPr>
            <w:r>
              <w:rPr>
                <w:rFonts w:ascii="Arial" w:cs="Arial" w:eastAsia="Arial" w:hAnsi="Arial"/>
                <w:sz w:val="14"/>
                <w:szCs w:val="14"/>
                <w:color w:val="auto"/>
              </w:rPr>
              <w:t>- $915</w:t>
            </w:r>
          </w:p>
        </w:tc>
        <w:tc>
          <w:tcPr>
            <w:tcW w:w="0" w:type="dxa"/>
            <w:vAlign w:val="bottom"/>
          </w:tcPr>
          <w:p>
            <w:pPr>
              <w:spacing w:after="0"/>
              <w:rPr>
                <w:sz w:val="1"/>
                <w:szCs w:val="1"/>
                <w:color w:val="auto"/>
              </w:rPr>
            </w:pPr>
          </w:p>
        </w:tc>
      </w:tr>
      <w:tr>
        <w:trPr>
          <w:trHeight w:val="156"/>
        </w:trPr>
        <w:tc>
          <w:tcPr>
            <w:tcW w:w="4220" w:type="dxa"/>
            <w:vAlign w:val="bottom"/>
            <w:gridSpan w:val="2"/>
            <w:shd w:val="clear" w:color="auto" w:fill="CFF0FC"/>
          </w:tcPr>
          <w:p>
            <w:pPr>
              <w:spacing w:after="0" w:line="155" w:lineRule="exact"/>
              <w:rPr>
                <w:sz w:val="20"/>
                <w:szCs w:val="20"/>
                <w:color w:val="auto"/>
              </w:rPr>
            </w:pPr>
            <w:r>
              <w:rPr>
                <w:rFonts w:ascii="Arial" w:cs="Arial" w:eastAsia="Arial" w:hAnsi="Arial"/>
                <w:sz w:val="14"/>
                <w:szCs w:val="14"/>
                <w:b w:val="1"/>
                <w:bCs w:val="1"/>
                <w:color w:val="auto"/>
              </w:rPr>
              <w:t>Virginia Total</w:t>
            </w:r>
          </w:p>
        </w:tc>
        <w:tc>
          <w:tcPr>
            <w:tcW w:w="900" w:type="dxa"/>
            <w:vAlign w:val="bottom"/>
            <w:shd w:val="clear" w:color="auto" w:fill="CFF0FC"/>
          </w:tcPr>
          <w:p>
            <w:pPr>
              <w:spacing w:after="0"/>
              <w:rPr>
                <w:sz w:val="13"/>
                <w:szCs w:val="13"/>
                <w:color w:val="auto"/>
              </w:rPr>
            </w:pPr>
          </w:p>
        </w:tc>
        <w:tc>
          <w:tcPr>
            <w:tcW w:w="120" w:type="dxa"/>
            <w:vAlign w:val="bottom"/>
            <w:shd w:val="clear" w:color="auto" w:fill="CFF0FC"/>
          </w:tcPr>
          <w:p>
            <w:pPr>
              <w:spacing w:after="0"/>
              <w:rPr>
                <w:sz w:val="13"/>
                <w:szCs w:val="13"/>
                <w:color w:val="auto"/>
              </w:rPr>
            </w:pPr>
          </w:p>
        </w:tc>
        <w:tc>
          <w:tcPr>
            <w:tcW w:w="780" w:type="dxa"/>
            <w:vAlign w:val="bottom"/>
            <w:tcBorders>
              <w:bottom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b w:val="1"/>
                <w:bCs w:val="1"/>
                <w:color w:val="auto"/>
              </w:rPr>
              <w:t>744</w:t>
            </w:r>
          </w:p>
        </w:tc>
        <w:tc>
          <w:tcPr>
            <w:tcW w:w="220" w:type="dxa"/>
            <w:vAlign w:val="bottom"/>
            <w:shd w:val="clear" w:color="auto" w:fill="CFF0FC"/>
          </w:tcPr>
          <w:p>
            <w:pPr>
              <w:spacing w:after="0"/>
              <w:rPr>
                <w:sz w:val="13"/>
                <w:szCs w:val="13"/>
                <w:color w:val="auto"/>
              </w:rPr>
            </w:pPr>
          </w:p>
        </w:tc>
        <w:tc>
          <w:tcPr>
            <w:tcW w:w="860" w:type="dxa"/>
            <w:vAlign w:val="bottom"/>
            <w:tcBorders>
              <w:bottom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b w:val="1"/>
                <w:bCs w:val="1"/>
                <w:color w:val="auto"/>
              </w:rPr>
              <w:t>309</w:t>
            </w:r>
          </w:p>
        </w:tc>
        <w:tc>
          <w:tcPr>
            <w:tcW w:w="220" w:type="dxa"/>
            <w:vAlign w:val="bottom"/>
            <w:shd w:val="clear" w:color="auto" w:fill="CFF0FC"/>
          </w:tcPr>
          <w:p>
            <w:pPr>
              <w:spacing w:after="0"/>
              <w:rPr>
                <w:sz w:val="13"/>
                <w:szCs w:val="13"/>
                <w:color w:val="auto"/>
              </w:rPr>
            </w:pPr>
          </w:p>
        </w:tc>
        <w:tc>
          <w:tcPr>
            <w:tcW w:w="780" w:type="dxa"/>
            <w:vAlign w:val="bottom"/>
            <w:tcBorders>
              <w:bottom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b w:val="1"/>
                <w:bCs w:val="1"/>
                <w:color w:val="auto"/>
              </w:rPr>
              <w:t>435</w:t>
            </w:r>
          </w:p>
        </w:tc>
        <w:tc>
          <w:tcPr>
            <w:tcW w:w="220" w:type="dxa"/>
            <w:vAlign w:val="bottom"/>
            <w:shd w:val="clear" w:color="auto" w:fill="CFF0FC"/>
          </w:tcPr>
          <w:p>
            <w:pPr>
              <w:spacing w:after="0"/>
              <w:rPr>
                <w:sz w:val="13"/>
                <w:szCs w:val="13"/>
                <w:color w:val="auto"/>
              </w:rPr>
            </w:pPr>
          </w:p>
        </w:tc>
        <w:tc>
          <w:tcPr>
            <w:tcW w:w="780" w:type="dxa"/>
            <w:vAlign w:val="bottom"/>
            <w:tcBorders>
              <w:bottom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b w:val="1"/>
                <w:bCs w:val="1"/>
                <w:color w:val="auto"/>
              </w:rPr>
              <w:t>102</w:t>
            </w:r>
          </w:p>
        </w:tc>
        <w:tc>
          <w:tcPr>
            <w:tcW w:w="220" w:type="dxa"/>
            <w:vAlign w:val="bottom"/>
            <w:shd w:val="clear" w:color="auto" w:fill="CFF0FC"/>
          </w:tcPr>
          <w:p>
            <w:pPr>
              <w:spacing w:after="0"/>
              <w:rPr>
                <w:sz w:val="13"/>
                <w:szCs w:val="13"/>
                <w:color w:val="auto"/>
              </w:rPr>
            </w:pPr>
          </w:p>
        </w:tc>
        <w:tc>
          <w:tcPr>
            <w:tcW w:w="980" w:type="dxa"/>
            <w:vAlign w:val="bottom"/>
            <w:tcBorders>
              <w:bottom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b w:val="1"/>
                <w:bCs w:val="1"/>
                <w:color w:val="auto"/>
              </w:rPr>
              <w:t>44</w:t>
            </w:r>
          </w:p>
        </w:tc>
        <w:tc>
          <w:tcPr>
            <w:tcW w:w="220" w:type="dxa"/>
            <w:vAlign w:val="bottom"/>
            <w:shd w:val="clear" w:color="auto" w:fill="CFF0FC"/>
          </w:tcPr>
          <w:p>
            <w:pPr>
              <w:spacing w:after="0"/>
              <w:rPr>
                <w:sz w:val="13"/>
                <w:szCs w:val="13"/>
                <w:color w:val="auto"/>
              </w:rPr>
            </w:pPr>
          </w:p>
        </w:tc>
        <w:tc>
          <w:tcPr>
            <w:tcW w:w="400" w:type="dxa"/>
            <w:vAlign w:val="bottom"/>
            <w:shd w:val="clear" w:color="auto" w:fill="CFF0FC"/>
          </w:tcPr>
          <w:p>
            <w:pPr>
              <w:spacing w:after="0"/>
              <w:rPr>
                <w:sz w:val="13"/>
                <w:szCs w:val="13"/>
                <w:color w:val="auto"/>
              </w:rPr>
            </w:pPr>
          </w:p>
        </w:tc>
        <w:tc>
          <w:tcPr>
            <w:tcW w:w="500" w:type="dxa"/>
            <w:vAlign w:val="bottom"/>
            <w:shd w:val="clear" w:color="auto" w:fill="CFF0FC"/>
          </w:tcPr>
          <w:p>
            <w:pPr>
              <w:spacing w:after="0"/>
              <w:rPr>
                <w:sz w:val="13"/>
                <w:szCs w:val="13"/>
                <w:color w:val="auto"/>
              </w:rPr>
            </w:pPr>
          </w:p>
        </w:tc>
        <w:tc>
          <w:tcPr>
            <w:tcW w:w="0" w:type="dxa"/>
            <w:vAlign w:val="bottom"/>
          </w:tcPr>
          <w:p>
            <w:pPr>
              <w:spacing w:after="0"/>
              <w:rPr>
                <w:sz w:val="1"/>
                <w:szCs w:val="1"/>
                <w:color w:val="auto"/>
              </w:rPr>
            </w:pPr>
          </w:p>
        </w:tc>
      </w:tr>
      <w:tr>
        <w:trPr>
          <w:trHeight w:val="196"/>
        </w:trPr>
        <w:tc>
          <w:tcPr>
            <w:tcW w:w="4220" w:type="dxa"/>
            <w:vAlign w:val="bottom"/>
            <w:tcBorders>
              <w:bottom w:val="single" w:sz="8" w:color="CFF0FC"/>
            </w:tcBorders>
            <w:gridSpan w:val="2"/>
          </w:tcPr>
          <w:p>
            <w:pPr>
              <w:spacing w:after="0" w:line="155" w:lineRule="exact"/>
              <w:rPr>
                <w:sz w:val="20"/>
                <w:szCs w:val="20"/>
                <w:color w:val="auto"/>
              </w:rPr>
            </w:pPr>
            <w:r>
              <w:rPr>
                <w:rFonts w:ascii="Arial" w:cs="Arial" w:eastAsia="Arial" w:hAnsi="Arial"/>
                <w:sz w:val="14"/>
                <w:szCs w:val="14"/>
                <w:b w:val="1"/>
                <w:bCs w:val="1"/>
                <w:color w:val="auto"/>
              </w:rPr>
              <w:t>Winchester Total</w:t>
            </w:r>
          </w:p>
        </w:tc>
        <w:tc>
          <w:tcPr>
            <w:tcW w:w="900" w:type="dxa"/>
            <w:vAlign w:val="bottom"/>
            <w:tcBorders>
              <w:bottom w:val="single" w:sz="8" w:color="CFF0FC"/>
            </w:tcBorders>
          </w:tcPr>
          <w:p>
            <w:pPr>
              <w:spacing w:after="0"/>
              <w:rPr>
                <w:sz w:val="17"/>
                <w:szCs w:val="17"/>
                <w:color w:val="auto"/>
              </w:rPr>
            </w:pPr>
          </w:p>
        </w:tc>
        <w:tc>
          <w:tcPr>
            <w:tcW w:w="120" w:type="dxa"/>
            <w:vAlign w:val="bottom"/>
            <w:tcBorders>
              <w:bottom w:val="single" w:sz="8" w:color="CFF0FC"/>
            </w:tcBorders>
          </w:tcPr>
          <w:p>
            <w:pPr>
              <w:spacing w:after="0"/>
              <w:rPr>
                <w:sz w:val="17"/>
                <w:szCs w:val="17"/>
                <w:color w:val="auto"/>
              </w:rPr>
            </w:pPr>
          </w:p>
        </w:tc>
        <w:tc>
          <w:tcPr>
            <w:tcW w:w="780" w:type="dxa"/>
            <w:vAlign w:val="bottom"/>
            <w:tcBorders>
              <w:bottom w:val="single" w:sz="8" w:color="auto"/>
            </w:tcBorders>
          </w:tcPr>
          <w:p>
            <w:pPr>
              <w:jc w:val="right"/>
              <w:spacing w:after="0" w:line="155" w:lineRule="exact"/>
              <w:rPr>
                <w:sz w:val="20"/>
                <w:szCs w:val="20"/>
                <w:color w:val="auto"/>
              </w:rPr>
            </w:pPr>
            <w:r>
              <w:rPr>
                <w:rFonts w:ascii="Arial" w:cs="Arial" w:eastAsia="Arial" w:hAnsi="Arial"/>
                <w:sz w:val="14"/>
                <w:szCs w:val="14"/>
                <w:b w:val="1"/>
                <w:bCs w:val="1"/>
                <w:color w:val="auto"/>
              </w:rPr>
              <w:t>2,944</w:t>
            </w:r>
          </w:p>
        </w:tc>
        <w:tc>
          <w:tcPr>
            <w:tcW w:w="220" w:type="dxa"/>
            <w:vAlign w:val="bottom"/>
            <w:tcBorders>
              <w:bottom w:val="single" w:sz="8" w:color="CFF0FC"/>
            </w:tcBorders>
          </w:tcPr>
          <w:p>
            <w:pPr>
              <w:spacing w:after="0"/>
              <w:rPr>
                <w:sz w:val="17"/>
                <w:szCs w:val="17"/>
                <w:color w:val="auto"/>
              </w:rPr>
            </w:pPr>
          </w:p>
        </w:tc>
        <w:tc>
          <w:tcPr>
            <w:tcW w:w="860" w:type="dxa"/>
            <w:vAlign w:val="bottom"/>
            <w:tcBorders>
              <w:bottom w:val="single" w:sz="8" w:color="auto"/>
            </w:tcBorders>
          </w:tcPr>
          <w:p>
            <w:pPr>
              <w:jc w:val="right"/>
              <w:spacing w:after="0" w:line="155" w:lineRule="exact"/>
              <w:rPr>
                <w:sz w:val="20"/>
                <w:szCs w:val="20"/>
                <w:color w:val="auto"/>
              </w:rPr>
            </w:pPr>
            <w:r>
              <w:rPr>
                <w:rFonts w:ascii="Arial" w:cs="Arial" w:eastAsia="Arial" w:hAnsi="Arial"/>
                <w:sz w:val="14"/>
                <w:szCs w:val="14"/>
                <w:b w:val="1"/>
                <w:bCs w:val="1"/>
                <w:color w:val="auto"/>
              </w:rPr>
              <w:t>678</w:t>
            </w:r>
          </w:p>
        </w:tc>
        <w:tc>
          <w:tcPr>
            <w:tcW w:w="220" w:type="dxa"/>
            <w:vAlign w:val="bottom"/>
            <w:tcBorders>
              <w:bottom w:val="single" w:sz="8" w:color="CFF0FC"/>
            </w:tcBorders>
          </w:tcPr>
          <w:p>
            <w:pPr>
              <w:spacing w:after="0"/>
              <w:rPr>
                <w:sz w:val="17"/>
                <w:szCs w:val="17"/>
                <w:color w:val="auto"/>
              </w:rPr>
            </w:pPr>
          </w:p>
        </w:tc>
        <w:tc>
          <w:tcPr>
            <w:tcW w:w="780" w:type="dxa"/>
            <w:vAlign w:val="bottom"/>
            <w:tcBorders>
              <w:bottom w:val="single" w:sz="8" w:color="auto"/>
            </w:tcBorders>
          </w:tcPr>
          <w:p>
            <w:pPr>
              <w:jc w:val="right"/>
              <w:spacing w:after="0" w:line="155" w:lineRule="exact"/>
              <w:rPr>
                <w:sz w:val="20"/>
                <w:szCs w:val="20"/>
                <w:color w:val="auto"/>
              </w:rPr>
            </w:pPr>
            <w:r>
              <w:rPr>
                <w:rFonts w:ascii="Arial" w:cs="Arial" w:eastAsia="Arial" w:hAnsi="Arial"/>
                <w:sz w:val="14"/>
                <w:szCs w:val="14"/>
                <w:b w:val="1"/>
                <w:bCs w:val="1"/>
                <w:color w:val="auto"/>
              </w:rPr>
              <w:t>2,337</w:t>
            </w:r>
          </w:p>
        </w:tc>
        <w:tc>
          <w:tcPr>
            <w:tcW w:w="220" w:type="dxa"/>
            <w:vAlign w:val="bottom"/>
            <w:tcBorders>
              <w:bottom w:val="single" w:sz="8" w:color="CFF0FC"/>
            </w:tcBorders>
          </w:tcPr>
          <w:p>
            <w:pPr>
              <w:spacing w:after="0"/>
              <w:rPr>
                <w:sz w:val="17"/>
                <w:szCs w:val="17"/>
                <w:color w:val="auto"/>
              </w:rPr>
            </w:pPr>
          </w:p>
        </w:tc>
        <w:tc>
          <w:tcPr>
            <w:tcW w:w="780" w:type="dxa"/>
            <w:vAlign w:val="bottom"/>
            <w:tcBorders>
              <w:bottom w:val="single" w:sz="8" w:color="auto"/>
            </w:tcBorders>
          </w:tcPr>
          <w:p>
            <w:pPr>
              <w:jc w:val="right"/>
              <w:spacing w:after="0" w:line="155" w:lineRule="exact"/>
              <w:rPr>
                <w:sz w:val="20"/>
                <w:szCs w:val="20"/>
                <w:color w:val="auto"/>
              </w:rPr>
            </w:pPr>
            <w:r>
              <w:rPr>
                <w:rFonts w:ascii="Arial" w:cs="Arial" w:eastAsia="Arial" w:hAnsi="Arial"/>
                <w:sz w:val="14"/>
                <w:szCs w:val="14"/>
                <w:b w:val="1"/>
                <w:bCs w:val="1"/>
                <w:color w:val="auto"/>
              </w:rPr>
              <w:t>167</w:t>
            </w:r>
          </w:p>
        </w:tc>
        <w:tc>
          <w:tcPr>
            <w:tcW w:w="220" w:type="dxa"/>
            <w:vAlign w:val="bottom"/>
            <w:tcBorders>
              <w:bottom w:val="single" w:sz="8" w:color="CFF0FC"/>
            </w:tcBorders>
          </w:tcPr>
          <w:p>
            <w:pPr>
              <w:spacing w:after="0"/>
              <w:rPr>
                <w:sz w:val="17"/>
                <w:szCs w:val="17"/>
                <w:color w:val="auto"/>
              </w:rPr>
            </w:pPr>
          </w:p>
        </w:tc>
        <w:tc>
          <w:tcPr>
            <w:tcW w:w="980" w:type="dxa"/>
            <w:vAlign w:val="bottom"/>
            <w:tcBorders>
              <w:bottom w:val="single" w:sz="8" w:color="auto"/>
            </w:tcBorders>
          </w:tcPr>
          <w:p>
            <w:pPr>
              <w:jc w:val="right"/>
              <w:spacing w:after="0" w:line="155" w:lineRule="exact"/>
              <w:rPr>
                <w:sz w:val="20"/>
                <w:szCs w:val="20"/>
                <w:color w:val="auto"/>
              </w:rPr>
            </w:pPr>
            <w:r>
              <w:rPr>
                <w:rFonts w:ascii="Arial" w:cs="Arial" w:eastAsia="Arial" w:hAnsi="Arial"/>
                <w:sz w:val="14"/>
                <w:szCs w:val="14"/>
                <w:b w:val="1"/>
                <w:bCs w:val="1"/>
                <w:color w:val="auto"/>
              </w:rPr>
              <w:t>75</w:t>
            </w:r>
          </w:p>
        </w:tc>
        <w:tc>
          <w:tcPr>
            <w:tcW w:w="220" w:type="dxa"/>
            <w:vAlign w:val="bottom"/>
            <w:tcBorders>
              <w:bottom w:val="single" w:sz="8" w:color="CFF0FC"/>
            </w:tcBorders>
          </w:tcPr>
          <w:p>
            <w:pPr>
              <w:spacing w:after="0"/>
              <w:rPr>
                <w:sz w:val="17"/>
                <w:szCs w:val="17"/>
                <w:color w:val="auto"/>
              </w:rPr>
            </w:pPr>
          </w:p>
        </w:tc>
        <w:tc>
          <w:tcPr>
            <w:tcW w:w="400" w:type="dxa"/>
            <w:vAlign w:val="bottom"/>
            <w:tcBorders>
              <w:bottom w:val="single" w:sz="8" w:color="CFF0FC"/>
            </w:tcBorders>
          </w:tcPr>
          <w:p>
            <w:pPr>
              <w:spacing w:after="0"/>
              <w:rPr>
                <w:sz w:val="17"/>
                <w:szCs w:val="17"/>
                <w:color w:val="auto"/>
              </w:rPr>
            </w:pPr>
          </w:p>
        </w:tc>
        <w:tc>
          <w:tcPr>
            <w:tcW w:w="500" w:type="dxa"/>
            <w:vAlign w:val="bottom"/>
            <w:tcBorders>
              <w:bottom w:val="single" w:sz="8" w:color="CFF0FC"/>
            </w:tcBorders>
          </w:tcPr>
          <w:p>
            <w:pPr>
              <w:spacing w:after="0"/>
              <w:rPr>
                <w:sz w:val="17"/>
                <w:szCs w:val="17"/>
                <w:color w:val="auto"/>
              </w:rPr>
            </w:pPr>
          </w:p>
        </w:tc>
        <w:tc>
          <w:tcPr>
            <w:tcW w:w="0" w:type="dxa"/>
            <w:vAlign w:val="bottom"/>
          </w:tcPr>
          <w:p>
            <w:pPr>
              <w:spacing w:after="0"/>
              <w:rPr>
                <w:sz w:val="1"/>
                <w:szCs w:val="1"/>
                <w:color w:val="auto"/>
              </w:rPr>
            </w:pPr>
          </w:p>
        </w:tc>
      </w:tr>
      <w:tr>
        <w:trPr>
          <w:trHeight w:val="143"/>
        </w:trPr>
        <w:tc>
          <w:tcPr>
            <w:tcW w:w="4220" w:type="dxa"/>
            <w:vAlign w:val="bottom"/>
            <w:tcBorders>
              <w:bottom w:val="single" w:sz="8" w:color="CFF0FC"/>
            </w:tcBorders>
            <w:gridSpan w:val="2"/>
            <w:shd w:val="clear" w:color="auto" w:fill="CFF0FC"/>
          </w:tcPr>
          <w:p>
            <w:pPr>
              <w:spacing w:after="0" w:line="143" w:lineRule="exact"/>
              <w:rPr>
                <w:sz w:val="20"/>
                <w:szCs w:val="20"/>
                <w:color w:val="auto"/>
              </w:rPr>
            </w:pPr>
            <w:r>
              <w:rPr>
                <w:rFonts w:ascii="Arial" w:cs="Arial" w:eastAsia="Arial" w:hAnsi="Arial"/>
                <w:sz w:val="14"/>
                <w:szCs w:val="14"/>
                <w:b w:val="1"/>
                <w:bCs w:val="1"/>
                <w:color w:val="auto"/>
              </w:rPr>
              <w:t>Combined Company Total</w:t>
            </w:r>
          </w:p>
        </w:tc>
        <w:tc>
          <w:tcPr>
            <w:tcW w:w="900" w:type="dxa"/>
            <w:vAlign w:val="bottom"/>
            <w:tcBorders>
              <w:bottom w:val="single" w:sz="8" w:color="CFF0FC"/>
            </w:tcBorders>
            <w:shd w:val="clear" w:color="auto" w:fill="CFF0FC"/>
          </w:tcPr>
          <w:p>
            <w:pPr>
              <w:spacing w:after="0"/>
              <w:rPr>
                <w:sz w:val="12"/>
                <w:szCs w:val="12"/>
                <w:color w:val="auto"/>
              </w:rPr>
            </w:pPr>
          </w:p>
        </w:tc>
        <w:tc>
          <w:tcPr>
            <w:tcW w:w="120" w:type="dxa"/>
            <w:vAlign w:val="bottom"/>
            <w:tcBorders>
              <w:bottom w:val="single" w:sz="8" w:color="CFF0FC"/>
            </w:tcBorders>
            <w:shd w:val="clear" w:color="auto" w:fill="CFF0FC"/>
          </w:tcPr>
          <w:p>
            <w:pPr>
              <w:spacing w:after="0"/>
              <w:rPr>
                <w:sz w:val="12"/>
                <w:szCs w:val="12"/>
                <w:color w:val="auto"/>
              </w:rPr>
            </w:pPr>
          </w:p>
        </w:tc>
        <w:tc>
          <w:tcPr>
            <w:tcW w:w="780" w:type="dxa"/>
            <w:vAlign w:val="bottom"/>
            <w:tcBorders>
              <w:bottom w:val="single" w:sz="8" w:color="auto"/>
            </w:tcBorders>
            <w:shd w:val="clear" w:color="auto" w:fill="CFF0FC"/>
          </w:tcPr>
          <w:p>
            <w:pPr>
              <w:jc w:val="right"/>
              <w:spacing w:after="0" w:line="143" w:lineRule="exact"/>
              <w:rPr>
                <w:sz w:val="20"/>
                <w:szCs w:val="20"/>
                <w:color w:val="auto"/>
              </w:rPr>
            </w:pPr>
            <w:r>
              <w:rPr>
                <w:rFonts w:ascii="Arial" w:cs="Arial" w:eastAsia="Arial" w:hAnsi="Arial"/>
                <w:sz w:val="14"/>
                <w:szCs w:val="14"/>
                <w:b w:val="1"/>
                <w:bCs w:val="1"/>
                <w:color w:val="auto"/>
              </w:rPr>
              <w:t>32,153</w:t>
            </w:r>
          </w:p>
        </w:tc>
        <w:tc>
          <w:tcPr>
            <w:tcW w:w="220" w:type="dxa"/>
            <w:vAlign w:val="bottom"/>
            <w:tcBorders>
              <w:bottom w:val="single" w:sz="8" w:color="CFF0FC"/>
            </w:tcBorders>
            <w:shd w:val="clear" w:color="auto" w:fill="CFF0FC"/>
          </w:tcPr>
          <w:p>
            <w:pPr>
              <w:spacing w:after="0"/>
              <w:rPr>
                <w:sz w:val="12"/>
                <w:szCs w:val="12"/>
                <w:color w:val="auto"/>
              </w:rPr>
            </w:pPr>
          </w:p>
        </w:tc>
        <w:tc>
          <w:tcPr>
            <w:tcW w:w="860" w:type="dxa"/>
            <w:vAlign w:val="bottom"/>
            <w:tcBorders>
              <w:bottom w:val="single" w:sz="8" w:color="auto"/>
            </w:tcBorders>
            <w:shd w:val="clear" w:color="auto" w:fill="CFF0FC"/>
          </w:tcPr>
          <w:p>
            <w:pPr>
              <w:jc w:val="right"/>
              <w:spacing w:after="0" w:line="143" w:lineRule="exact"/>
              <w:rPr>
                <w:sz w:val="20"/>
                <w:szCs w:val="20"/>
                <w:color w:val="auto"/>
              </w:rPr>
            </w:pPr>
            <w:r>
              <w:rPr>
                <w:rFonts w:ascii="Arial" w:cs="Arial" w:eastAsia="Arial" w:hAnsi="Arial"/>
                <w:sz w:val="14"/>
                <w:szCs w:val="14"/>
                <w:b w:val="1"/>
                <w:bCs w:val="1"/>
                <w:color w:val="auto"/>
              </w:rPr>
              <w:t>6,127</w:t>
            </w:r>
          </w:p>
        </w:tc>
        <w:tc>
          <w:tcPr>
            <w:tcW w:w="220" w:type="dxa"/>
            <w:vAlign w:val="bottom"/>
            <w:tcBorders>
              <w:bottom w:val="single" w:sz="8" w:color="CFF0FC"/>
            </w:tcBorders>
            <w:shd w:val="clear" w:color="auto" w:fill="CFF0FC"/>
          </w:tcPr>
          <w:p>
            <w:pPr>
              <w:spacing w:after="0"/>
              <w:rPr>
                <w:sz w:val="12"/>
                <w:szCs w:val="12"/>
                <w:color w:val="auto"/>
              </w:rPr>
            </w:pPr>
          </w:p>
        </w:tc>
        <w:tc>
          <w:tcPr>
            <w:tcW w:w="780" w:type="dxa"/>
            <w:vAlign w:val="bottom"/>
            <w:tcBorders>
              <w:bottom w:val="single" w:sz="8" w:color="auto"/>
            </w:tcBorders>
            <w:shd w:val="clear" w:color="auto" w:fill="CFF0FC"/>
          </w:tcPr>
          <w:p>
            <w:pPr>
              <w:jc w:val="right"/>
              <w:spacing w:after="0" w:line="143" w:lineRule="exact"/>
              <w:rPr>
                <w:sz w:val="20"/>
                <w:szCs w:val="20"/>
                <w:color w:val="auto"/>
              </w:rPr>
            </w:pPr>
            <w:r>
              <w:rPr>
                <w:rFonts w:ascii="Arial" w:cs="Arial" w:eastAsia="Arial" w:hAnsi="Arial"/>
                <w:sz w:val="14"/>
                <w:szCs w:val="14"/>
                <w:b w:val="1"/>
                <w:bCs w:val="1"/>
                <w:color w:val="auto"/>
              </w:rPr>
              <w:t>25,750</w:t>
            </w:r>
          </w:p>
        </w:tc>
        <w:tc>
          <w:tcPr>
            <w:tcW w:w="220" w:type="dxa"/>
            <w:vAlign w:val="bottom"/>
            <w:tcBorders>
              <w:bottom w:val="single" w:sz="8" w:color="CFF0FC"/>
            </w:tcBorders>
            <w:shd w:val="clear" w:color="auto" w:fill="CFF0FC"/>
          </w:tcPr>
          <w:p>
            <w:pPr>
              <w:spacing w:after="0"/>
              <w:rPr>
                <w:sz w:val="12"/>
                <w:szCs w:val="12"/>
                <w:color w:val="auto"/>
              </w:rPr>
            </w:pPr>
          </w:p>
        </w:tc>
        <w:tc>
          <w:tcPr>
            <w:tcW w:w="780" w:type="dxa"/>
            <w:vAlign w:val="bottom"/>
            <w:tcBorders>
              <w:bottom w:val="single" w:sz="8" w:color="auto"/>
            </w:tcBorders>
            <w:shd w:val="clear" w:color="auto" w:fill="CFF0FC"/>
          </w:tcPr>
          <w:p>
            <w:pPr>
              <w:jc w:val="right"/>
              <w:spacing w:after="0" w:line="143" w:lineRule="exact"/>
              <w:rPr>
                <w:sz w:val="20"/>
                <w:szCs w:val="20"/>
                <w:color w:val="auto"/>
              </w:rPr>
            </w:pPr>
            <w:r>
              <w:rPr>
                <w:rFonts w:ascii="Arial" w:cs="Arial" w:eastAsia="Arial" w:hAnsi="Arial"/>
                <w:sz w:val="14"/>
                <w:szCs w:val="14"/>
                <w:b w:val="1"/>
                <w:bCs w:val="1"/>
                <w:color w:val="auto"/>
              </w:rPr>
              <w:t>1,558</w:t>
            </w:r>
          </w:p>
        </w:tc>
        <w:tc>
          <w:tcPr>
            <w:tcW w:w="220" w:type="dxa"/>
            <w:vAlign w:val="bottom"/>
            <w:tcBorders>
              <w:bottom w:val="single" w:sz="8" w:color="CFF0FC"/>
            </w:tcBorders>
            <w:shd w:val="clear" w:color="auto" w:fill="CFF0FC"/>
          </w:tcPr>
          <w:p>
            <w:pPr>
              <w:spacing w:after="0"/>
              <w:rPr>
                <w:sz w:val="12"/>
                <w:szCs w:val="12"/>
                <w:color w:val="auto"/>
              </w:rPr>
            </w:pPr>
          </w:p>
        </w:tc>
        <w:tc>
          <w:tcPr>
            <w:tcW w:w="980" w:type="dxa"/>
            <w:vAlign w:val="bottom"/>
            <w:tcBorders>
              <w:bottom w:val="single" w:sz="8" w:color="auto"/>
            </w:tcBorders>
            <w:shd w:val="clear" w:color="auto" w:fill="CFF0FC"/>
          </w:tcPr>
          <w:p>
            <w:pPr>
              <w:jc w:val="right"/>
              <w:spacing w:after="0" w:line="143" w:lineRule="exact"/>
              <w:rPr>
                <w:sz w:val="20"/>
                <w:szCs w:val="20"/>
                <w:color w:val="auto"/>
              </w:rPr>
            </w:pPr>
            <w:r>
              <w:rPr>
                <w:rFonts w:ascii="Arial" w:cs="Arial" w:eastAsia="Arial" w:hAnsi="Arial"/>
                <w:sz w:val="14"/>
                <w:szCs w:val="14"/>
                <w:b w:val="1"/>
                <w:bCs w:val="1"/>
                <w:color w:val="auto"/>
              </w:rPr>
              <w:t>668</w:t>
            </w:r>
          </w:p>
        </w:tc>
        <w:tc>
          <w:tcPr>
            <w:tcW w:w="220" w:type="dxa"/>
            <w:vAlign w:val="bottom"/>
            <w:tcBorders>
              <w:bottom w:val="single" w:sz="8" w:color="CFF0FC"/>
            </w:tcBorders>
            <w:shd w:val="clear" w:color="auto" w:fill="CFF0FC"/>
          </w:tcPr>
          <w:p>
            <w:pPr>
              <w:spacing w:after="0"/>
              <w:rPr>
                <w:sz w:val="12"/>
                <w:szCs w:val="12"/>
                <w:color w:val="auto"/>
              </w:rPr>
            </w:pPr>
          </w:p>
        </w:tc>
        <w:tc>
          <w:tcPr>
            <w:tcW w:w="400" w:type="dxa"/>
            <w:vAlign w:val="bottom"/>
            <w:tcBorders>
              <w:bottom w:val="single" w:sz="8" w:color="CFF0FC"/>
            </w:tcBorders>
            <w:shd w:val="clear" w:color="auto" w:fill="CFF0FC"/>
          </w:tcPr>
          <w:p>
            <w:pPr>
              <w:spacing w:after="0"/>
              <w:rPr>
                <w:sz w:val="12"/>
                <w:szCs w:val="12"/>
                <w:color w:val="auto"/>
              </w:rPr>
            </w:pPr>
          </w:p>
        </w:tc>
        <w:tc>
          <w:tcPr>
            <w:tcW w:w="500" w:type="dxa"/>
            <w:vAlign w:val="bottom"/>
            <w:tcBorders>
              <w:bottom w:val="single" w:sz="8" w:color="CFF0FC"/>
            </w:tcBorders>
            <w:shd w:val="clear" w:color="auto" w:fill="CFF0FC"/>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1220" w:type="dxa"/>
            <w:vAlign w:val="bottom"/>
          </w:tcPr>
          <w:p>
            <w:pPr>
              <w:spacing w:after="0" w:line="20" w:lineRule="exact"/>
              <w:rPr>
                <w:sz w:val="1"/>
                <w:szCs w:val="1"/>
                <w:color w:val="auto"/>
              </w:rPr>
            </w:pPr>
          </w:p>
        </w:tc>
        <w:tc>
          <w:tcPr>
            <w:tcW w:w="3000" w:type="dxa"/>
            <w:vAlign w:val="bottom"/>
          </w:tcPr>
          <w:p>
            <w:pPr>
              <w:spacing w:after="0" w:line="20" w:lineRule="exact"/>
              <w:rPr>
                <w:sz w:val="1"/>
                <w:szCs w:val="1"/>
                <w:color w:val="auto"/>
              </w:rPr>
            </w:pPr>
          </w:p>
        </w:tc>
        <w:tc>
          <w:tcPr>
            <w:tcW w:w="9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656"/>
        </w:trPr>
        <w:tc>
          <w:tcPr>
            <w:tcW w:w="1220" w:type="dxa"/>
            <w:vAlign w:val="bottom"/>
          </w:tcPr>
          <w:p>
            <w:pPr>
              <w:spacing w:after="0"/>
              <w:rPr>
                <w:sz w:val="24"/>
                <w:szCs w:val="24"/>
                <w:color w:val="auto"/>
              </w:rPr>
            </w:pPr>
          </w:p>
        </w:tc>
        <w:tc>
          <w:tcPr>
            <w:tcW w:w="300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780" w:type="dxa"/>
            <w:vAlign w:val="bottom"/>
          </w:tcPr>
          <w:p>
            <w:pPr>
              <w:jc w:val="right"/>
              <w:ind w:right="52"/>
              <w:spacing w:after="0"/>
              <w:rPr>
                <w:sz w:val="20"/>
                <w:szCs w:val="20"/>
                <w:color w:val="auto"/>
              </w:rPr>
            </w:pPr>
            <w:r>
              <w:rPr>
                <w:rFonts w:ascii="Arial" w:cs="Arial" w:eastAsia="Arial" w:hAnsi="Arial"/>
                <w:sz w:val="18"/>
                <w:szCs w:val="18"/>
                <w:color w:val="auto"/>
              </w:rPr>
              <w:t>- 44 -</w:t>
            </w:r>
          </w:p>
        </w:tc>
        <w:tc>
          <w:tcPr>
            <w:tcW w:w="22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287" w:right="239" w:bottom="1440" w:gutter="0" w:footer="0" w:header="0"/>
        </w:sectPr>
      </w:pPr>
    </w:p>
    <w:bookmarkStart w:id="44" w:name="page45"/>
    <w:bookmarkEnd w:id="44"/>
    <w:p>
      <w:pPr>
        <w:ind w:left="540" w:hanging="532"/>
        <w:spacing w:after="0"/>
        <w:tabs>
          <w:tab w:leader="none" w:pos="540" w:val="left"/>
        </w:tabs>
        <w:numPr>
          <w:ilvl w:val="0"/>
          <w:numId w:val="28"/>
        </w:numPr>
        <w:rPr>
          <w:rFonts w:ascii="Arial" w:cs="Arial" w:eastAsia="Arial" w:hAnsi="Arial"/>
          <w:sz w:val="15"/>
          <w:szCs w:val="15"/>
          <w:color w:val="auto"/>
        </w:rPr>
      </w:pPr>
      <w:r>
        <w:rPr>
          <w:rFonts w:ascii="Arial" w:cs="Arial" w:eastAsia="Arial" w:hAnsi="Arial"/>
          <w:sz w:val="18"/>
          <w:szCs w:val="18"/>
          <w:color w:val="auto"/>
        </w:rPr>
        <w:t>Year of first delivery for future periods is based upon management’s estimates and is subject to change.</w:t>
      </w:r>
    </w:p>
    <w:p>
      <w:pPr>
        <w:spacing w:after="0" w:line="23" w:lineRule="exact"/>
        <w:rPr>
          <w:rFonts w:ascii="Arial" w:cs="Arial" w:eastAsia="Arial" w:hAnsi="Arial"/>
          <w:sz w:val="15"/>
          <w:szCs w:val="15"/>
          <w:color w:val="auto"/>
        </w:rPr>
      </w:pPr>
    </w:p>
    <w:p>
      <w:pPr>
        <w:ind w:left="540" w:hanging="532"/>
        <w:spacing w:after="0"/>
        <w:tabs>
          <w:tab w:leader="none" w:pos="540" w:val="left"/>
        </w:tabs>
        <w:numPr>
          <w:ilvl w:val="0"/>
          <w:numId w:val="28"/>
        </w:numPr>
        <w:rPr>
          <w:rFonts w:ascii="Arial" w:cs="Arial" w:eastAsia="Arial" w:hAnsi="Arial"/>
          <w:sz w:val="15"/>
          <w:szCs w:val="15"/>
          <w:color w:val="auto"/>
        </w:rPr>
      </w:pPr>
      <w:r>
        <w:rPr>
          <w:rFonts w:ascii="Arial" w:cs="Arial" w:eastAsia="Arial" w:hAnsi="Arial"/>
          <w:sz w:val="18"/>
          <w:szCs w:val="18"/>
          <w:color w:val="auto"/>
        </w:rPr>
        <w:t>The number of homes to be built at completion is subject to change, and there can be no assurance that we will build these homes.</w:t>
      </w:r>
    </w:p>
    <w:p>
      <w:pPr>
        <w:spacing w:after="0" w:line="9" w:lineRule="exact"/>
        <w:rPr>
          <w:rFonts w:ascii="Arial" w:cs="Arial" w:eastAsia="Arial" w:hAnsi="Arial"/>
          <w:sz w:val="15"/>
          <w:szCs w:val="15"/>
          <w:color w:val="auto"/>
        </w:rPr>
      </w:pPr>
    </w:p>
    <w:p>
      <w:pPr>
        <w:ind w:left="540" w:hanging="532"/>
        <w:spacing w:after="0"/>
        <w:tabs>
          <w:tab w:leader="none" w:pos="540" w:val="left"/>
        </w:tabs>
        <w:numPr>
          <w:ilvl w:val="0"/>
          <w:numId w:val="28"/>
        </w:numPr>
        <w:rPr>
          <w:rFonts w:ascii="Arial" w:cs="Arial" w:eastAsia="Arial" w:hAnsi="Arial"/>
          <w:sz w:val="15"/>
          <w:szCs w:val="15"/>
          <w:color w:val="auto"/>
        </w:rPr>
      </w:pPr>
      <w:r>
        <w:rPr>
          <w:rFonts w:ascii="Arial" w:cs="Arial" w:eastAsia="Arial" w:hAnsi="Arial"/>
          <w:sz w:val="18"/>
          <w:szCs w:val="18"/>
          <w:color w:val="auto"/>
        </w:rPr>
        <w:t>Owned lots as of March 31, 2015 include owned lots in backlog as of March 31, 2015.</w:t>
      </w:r>
    </w:p>
    <w:p>
      <w:pPr>
        <w:spacing w:after="0" w:line="9" w:lineRule="exact"/>
        <w:rPr>
          <w:rFonts w:ascii="Arial" w:cs="Arial" w:eastAsia="Arial" w:hAnsi="Arial"/>
          <w:sz w:val="15"/>
          <w:szCs w:val="15"/>
          <w:color w:val="auto"/>
        </w:rPr>
      </w:pPr>
    </w:p>
    <w:p>
      <w:pPr>
        <w:ind w:left="540" w:hanging="532"/>
        <w:spacing w:after="0"/>
        <w:tabs>
          <w:tab w:leader="none" w:pos="540" w:val="left"/>
        </w:tabs>
        <w:numPr>
          <w:ilvl w:val="0"/>
          <w:numId w:val="28"/>
        </w:numPr>
        <w:rPr>
          <w:rFonts w:ascii="Arial" w:cs="Arial" w:eastAsia="Arial" w:hAnsi="Arial"/>
          <w:sz w:val="14"/>
          <w:szCs w:val="14"/>
          <w:color w:val="auto"/>
        </w:rPr>
      </w:pPr>
      <w:r>
        <w:rPr>
          <w:rFonts w:ascii="Arial" w:cs="Arial" w:eastAsia="Arial" w:hAnsi="Arial"/>
          <w:sz w:val="16"/>
          <w:szCs w:val="16"/>
          <w:color w:val="auto"/>
        </w:rPr>
        <w:t>Backlog consists of homes under sales contracts that had not yet been delivered, and there can be no assurance that delivery of sold homes will occur.</w:t>
      </w:r>
    </w:p>
    <w:p>
      <w:pPr>
        <w:spacing w:after="0" w:line="32" w:lineRule="exact"/>
        <w:rPr>
          <w:rFonts w:ascii="Arial" w:cs="Arial" w:eastAsia="Arial" w:hAnsi="Arial"/>
          <w:sz w:val="14"/>
          <w:szCs w:val="14"/>
          <w:color w:val="auto"/>
        </w:rPr>
      </w:pPr>
    </w:p>
    <w:p>
      <w:pPr>
        <w:ind w:left="540" w:right="40" w:hanging="532"/>
        <w:spacing w:after="0" w:line="250" w:lineRule="auto"/>
        <w:tabs>
          <w:tab w:leader="none" w:pos="540" w:val="left"/>
        </w:tabs>
        <w:numPr>
          <w:ilvl w:val="0"/>
          <w:numId w:val="28"/>
        </w:numPr>
        <w:rPr>
          <w:rFonts w:ascii="Arial" w:cs="Arial" w:eastAsia="Arial" w:hAnsi="Arial"/>
          <w:sz w:val="15"/>
          <w:szCs w:val="15"/>
          <w:color w:val="auto"/>
        </w:rPr>
      </w:pPr>
      <w:r>
        <w:rPr>
          <w:rFonts w:ascii="Arial" w:cs="Arial" w:eastAsia="Arial" w:hAnsi="Arial"/>
          <w:sz w:val="18"/>
          <w:szCs w:val="18"/>
          <w:color w:val="auto"/>
        </w:rPr>
        <w:t>Of the total homes subject to pending sales contracts that have not been delivered as of March 31, 2015, 933 homes are under construction, 210 homes have completed construction, and 415 homes have not started construction.</w:t>
      </w:r>
    </w:p>
    <w:p>
      <w:pPr>
        <w:ind w:left="540" w:hanging="532"/>
        <w:spacing w:after="0" w:line="255" w:lineRule="auto"/>
        <w:tabs>
          <w:tab w:leader="none" w:pos="540" w:val="left"/>
        </w:tabs>
        <w:numPr>
          <w:ilvl w:val="0"/>
          <w:numId w:val="28"/>
        </w:numPr>
        <w:rPr>
          <w:rFonts w:ascii="Arial" w:cs="Arial" w:eastAsia="Arial" w:hAnsi="Arial"/>
          <w:sz w:val="15"/>
          <w:szCs w:val="15"/>
          <w:color w:val="auto"/>
        </w:rPr>
      </w:pPr>
      <w:r>
        <w:rPr>
          <w:rFonts w:ascii="Arial" w:cs="Arial" w:eastAsia="Arial" w:hAnsi="Arial"/>
          <w:sz w:val="18"/>
          <w:szCs w:val="18"/>
          <w:color w:val="auto"/>
        </w:rPr>
        <w:t>Sales price range reflects base price only and excludes any lot premium, buyer incentives and buyer-selected options, which may vary from project to project. Sales prices for homes required to be sold pursuant to affordable housing requirements are excluded from sales price range. Sales prices reflect current pricing and might not be indicative of past or future pricing.</w:t>
      </w:r>
    </w:p>
    <w:p>
      <w:pPr>
        <w:spacing w:after="0" w:line="29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Critical Accounting Policies</w:t>
      </w:r>
    </w:p>
    <w:p>
      <w:pPr>
        <w:spacing w:after="0" w:line="121" w:lineRule="exact"/>
        <w:rPr>
          <w:sz w:val="20"/>
          <w:szCs w:val="20"/>
          <w:color w:val="auto"/>
        </w:rPr>
      </w:pPr>
    </w:p>
    <w:p>
      <w:pPr>
        <w:ind w:left="520"/>
        <w:spacing w:after="0"/>
        <w:rPr>
          <w:sz w:val="20"/>
          <w:szCs w:val="20"/>
          <w:color w:val="auto"/>
        </w:rPr>
      </w:pPr>
      <w:r>
        <w:rPr>
          <w:rFonts w:ascii="Arial" w:cs="Arial" w:eastAsia="Arial" w:hAnsi="Arial"/>
          <w:sz w:val="16"/>
          <w:szCs w:val="16"/>
          <w:color w:val="auto"/>
        </w:rPr>
        <w:t>See Note 1 to the accompanying condensed notes to unaudited condensed consolidated financial statements included in this Quarterly Report on Form</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10-Q.</w:t>
      </w:r>
    </w:p>
    <w:p>
      <w:pPr>
        <w:spacing w:after="0" w:line="31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Recently Issued Accounting Standards</w:t>
      </w:r>
    </w:p>
    <w:p>
      <w:pPr>
        <w:spacing w:after="0" w:line="121" w:lineRule="exact"/>
        <w:rPr>
          <w:sz w:val="20"/>
          <w:szCs w:val="20"/>
          <w:color w:val="auto"/>
        </w:rPr>
      </w:pPr>
    </w:p>
    <w:p>
      <w:pPr>
        <w:ind w:left="520"/>
        <w:spacing w:after="0"/>
        <w:rPr>
          <w:sz w:val="20"/>
          <w:szCs w:val="20"/>
          <w:color w:val="auto"/>
        </w:rPr>
      </w:pPr>
      <w:r>
        <w:rPr>
          <w:rFonts w:ascii="Arial" w:cs="Arial" w:eastAsia="Arial" w:hAnsi="Arial"/>
          <w:sz w:val="16"/>
          <w:szCs w:val="16"/>
          <w:color w:val="auto"/>
        </w:rPr>
        <w:t>See Note 1 to the accompanying condensed notes to unaudited condensed consolidated financial statements included in this Quarterly Report on Form</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10-Q.</w:t>
      </w:r>
    </w:p>
    <w:p>
      <w:pPr>
        <w:spacing w:after="0" w:line="315" w:lineRule="exact"/>
        <w:rPr>
          <w:sz w:val="20"/>
          <w:szCs w:val="20"/>
          <w:color w:val="auto"/>
        </w:rPr>
      </w:pPr>
    </w:p>
    <w:p>
      <w:pPr>
        <w:ind w:left="100"/>
        <w:spacing w:after="0"/>
        <w:rPr>
          <w:sz w:val="20"/>
          <w:szCs w:val="20"/>
          <w:color w:val="auto"/>
        </w:rPr>
      </w:pPr>
      <w:r>
        <w:rPr>
          <w:rFonts w:ascii="Arial" w:cs="Arial" w:eastAsia="Arial" w:hAnsi="Arial"/>
          <w:sz w:val="18"/>
          <w:szCs w:val="18"/>
          <w:b w:val="1"/>
          <w:bCs w:val="1"/>
          <w:color w:val="auto"/>
        </w:rPr>
        <w:t>Related Party Transactions</w:t>
      </w:r>
    </w:p>
    <w:p>
      <w:pPr>
        <w:spacing w:after="0" w:line="121" w:lineRule="exact"/>
        <w:rPr>
          <w:sz w:val="20"/>
          <w:szCs w:val="20"/>
          <w:color w:val="auto"/>
        </w:rPr>
      </w:pPr>
    </w:p>
    <w:p>
      <w:pPr>
        <w:ind w:right="420" w:firstLine="518"/>
        <w:spacing w:after="0" w:line="277" w:lineRule="auto"/>
        <w:rPr>
          <w:sz w:val="20"/>
          <w:szCs w:val="20"/>
          <w:color w:val="auto"/>
        </w:rPr>
      </w:pPr>
      <w:r>
        <w:rPr>
          <w:rFonts w:ascii="Arial" w:cs="Arial" w:eastAsia="Arial" w:hAnsi="Arial"/>
          <w:sz w:val="18"/>
          <w:szCs w:val="18"/>
          <w:color w:val="auto"/>
        </w:rPr>
        <w:t>See Note 18 to the accompanying condensed notes to unaudited condensed consolidated financial statements included in this Quarterly Report on Form 10-Q.</w:t>
      </w:r>
    </w:p>
    <w:p>
      <w:pPr>
        <w:spacing w:after="0" w:line="275" w:lineRule="exact"/>
        <w:rPr>
          <w:sz w:val="20"/>
          <w:szCs w:val="20"/>
          <w:color w:val="auto"/>
        </w:rPr>
      </w:pPr>
    </w:p>
    <w:p>
      <w:pPr>
        <w:spacing w:after="0"/>
        <w:tabs>
          <w:tab w:leader="none" w:pos="1160" w:val="left"/>
        </w:tabs>
        <w:rPr>
          <w:sz w:val="20"/>
          <w:szCs w:val="20"/>
          <w:color w:val="auto"/>
        </w:rPr>
      </w:pPr>
      <w:r>
        <w:rPr>
          <w:rFonts w:ascii="Arial" w:cs="Arial" w:eastAsia="Arial" w:hAnsi="Arial"/>
          <w:sz w:val="18"/>
          <w:szCs w:val="18"/>
          <w:b w:val="1"/>
          <w:bCs w:val="1"/>
          <w:color w:val="auto"/>
        </w:rPr>
        <w:t>Item 3.</w:t>
      </w:r>
      <w:r>
        <w:rPr>
          <w:sz w:val="20"/>
          <w:szCs w:val="20"/>
          <w:color w:val="auto"/>
        </w:rPr>
        <w:tab/>
      </w:r>
      <w:r>
        <w:rPr>
          <w:rFonts w:ascii="Arial" w:cs="Arial" w:eastAsia="Arial" w:hAnsi="Arial"/>
          <w:sz w:val="16"/>
          <w:szCs w:val="16"/>
          <w:b w:val="1"/>
          <w:bCs w:val="1"/>
          <w:color w:val="auto"/>
        </w:rPr>
        <w:t>Quantitative and Qualitative Disclosures about Market Risk</w:t>
      </w:r>
    </w:p>
    <w:p>
      <w:pPr>
        <w:spacing w:after="0" w:line="121" w:lineRule="exact"/>
        <w:rPr>
          <w:sz w:val="20"/>
          <w:szCs w:val="20"/>
          <w:color w:val="auto"/>
        </w:rPr>
      </w:pPr>
    </w:p>
    <w:p>
      <w:pPr>
        <w:ind w:right="20" w:firstLine="518"/>
        <w:spacing w:after="0" w:line="276" w:lineRule="auto"/>
        <w:rPr>
          <w:sz w:val="20"/>
          <w:szCs w:val="20"/>
          <w:color w:val="auto"/>
        </w:rPr>
      </w:pPr>
      <w:r>
        <w:rPr>
          <w:rFonts w:ascii="Arial" w:cs="Arial" w:eastAsia="Arial" w:hAnsi="Arial"/>
          <w:sz w:val="17"/>
          <w:szCs w:val="17"/>
          <w:color w:val="auto"/>
        </w:rPr>
        <w:t>We are exposed to market risks related to fluctuations in interest rates on our outstanding variable rate debt. In addition, our operations are interest rate sensitive as higher mortgage interest rates could negatively affect housing demand. We did not utilize swaps, forward or option contracts on interest rates or commodities, or other types of derivative financial instruments as of or during the three months ended March 31, 2015. We have not entered into and currently do not hold derivatives for trading or speculative purposes. Many of the statements contained in this section are forward looking and should be read in conjunction with our disclosures under the heading “Cautionary Note Concerning Forward-Looking Statements.”</w:t>
      </w:r>
    </w:p>
    <w:p>
      <w:pPr>
        <w:spacing w:after="0" w:line="277" w:lineRule="exact"/>
        <w:rPr>
          <w:sz w:val="20"/>
          <w:szCs w:val="20"/>
          <w:color w:val="auto"/>
        </w:rPr>
      </w:pPr>
    </w:p>
    <w:p>
      <w:pPr>
        <w:spacing w:after="0"/>
        <w:tabs>
          <w:tab w:leader="none" w:pos="1160" w:val="left"/>
        </w:tabs>
        <w:rPr>
          <w:sz w:val="20"/>
          <w:szCs w:val="20"/>
          <w:color w:val="auto"/>
        </w:rPr>
      </w:pPr>
      <w:r>
        <w:rPr>
          <w:rFonts w:ascii="Arial" w:cs="Arial" w:eastAsia="Arial" w:hAnsi="Arial"/>
          <w:sz w:val="18"/>
          <w:szCs w:val="18"/>
          <w:b w:val="1"/>
          <w:bCs w:val="1"/>
          <w:color w:val="auto"/>
        </w:rPr>
        <w:t>Item 4.</w:t>
      </w:r>
      <w:r>
        <w:rPr>
          <w:sz w:val="20"/>
          <w:szCs w:val="20"/>
          <w:color w:val="auto"/>
        </w:rPr>
        <w:tab/>
      </w:r>
      <w:r>
        <w:rPr>
          <w:rFonts w:ascii="Arial" w:cs="Arial" w:eastAsia="Arial" w:hAnsi="Arial"/>
          <w:sz w:val="16"/>
          <w:szCs w:val="16"/>
          <w:b w:val="1"/>
          <w:bCs w:val="1"/>
          <w:color w:val="auto"/>
        </w:rPr>
        <w:t>Controls and Procedures</w:t>
      </w:r>
    </w:p>
    <w:p>
      <w:pPr>
        <w:spacing w:after="0" w:line="121" w:lineRule="exact"/>
        <w:rPr>
          <w:sz w:val="20"/>
          <w:szCs w:val="20"/>
          <w:color w:val="auto"/>
        </w:rPr>
      </w:pPr>
    </w:p>
    <w:p>
      <w:pPr>
        <w:ind w:right="180" w:firstLine="518"/>
        <w:spacing w:after="0" w:line="291" w:lineRule="auto"/>
        <w:rPr>
          <w:sz w:val="20"/>
          <w:szCs w:val="20"/>
          <w:color w:val="auto"/>
        </w:rPr>
      </w:pPr>
      <w:r>
        <w:rPr>
          <w:rFonts w:ascii="Arial" w:cs="Arial" w:eastAsia="Arial" w:hAnsi="Arial"/>
          <w:sz w:val="16"/>
          <w:szCs w:val="16"/>
          <w:color w:val="auto"/>
        </w:rPr>
        <w:t>Our management, with the participation of our chief executive officer and chief financial officer, has reviewed and evaluated the effectiveness of our disclosure controls and procedures, as defined in Securities Exchange Act Rules 13a-15(e) and 15d-15(e), as of the end of the period covered by this Quarterly Report on Form 10-Q (the “Evaluation Date”). Based on such evaluation, management has concluded that our disclosure controls and procedures were effective as of the Evaluation Date. In designing and evaluating the disclosure controls and procedures, management recognized that any controls and procedures, no matter how well designed and operated, can provide only reasonable assurance of achieving the desired control objectives, and management necessarily was required to apply its judgment in evaluating the cost-benefit relationship of possible controls and procedures. Our disclosure controls and procedures are designed to provide a reasonable level of assurance of reaching our desired disclosure control objectives.</w:t>
      </w:r>
    </w:p>
    <w:p>
      <w:pPr>
        <w:spacing w:after="0" w:line="167" w:lineRule="exact"/>
        <w:rPr>
          <w:sz w:val="20"/>
          <w:szCs w:val="20"/>
          <w:color w:val="auto"/>
        </w:rPr>
      </w:pPr>
    </w:p>
    <w:p>
      <w:pPr>
        <w:ind w:right="20" w:firstLine="518"/>
        <w:spacing w:after="0" w:line="277" w:lineRule="auto"/>
        <w:rPr>
          <w:sz w:val="20"/>
          <w:szCs w:val="20"/>
          <w:color w:val="auto"/>
        </w:rPr>
      </w:pPr>
      <w:r>
        <w:rPr>
          <w:rFonts w:ascii="Arial" w:cs="Arial" w:eastAsia="Arial" w:hAnsi="Arial"/>
          <w:sz w:val="18"/>
          <w:szCs w:val="18"/>
          <w:color w:val="auto"/>
        </w:rPr>
        <w:t>During the fiscal quarter covered by this Quarterly Report on Form 10-Q, there has not been any change in our internal control over financial reporting that has materially affected, or that is reasonably likely to materially affect, our internal control over financial reporting.</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- 45 -</w:t>
      </w:r>
    </w:p>
    <w:p>
      <w:pPr>
        <w:sectPr>
          <w:pgSz w:w="11900" w:h="16838" w:orient="portrait"/>
          <w:cols w:equalWidth="0" w:num="1">
            <w:col w:w="11420"/>
          </w:cols>
          <w:pgMar w:left="240" w:top="355" w:right="239" w:bottom="1440" w:gutter="0" w:footer="0" w:header="0"/>
        </w:sectPr>
      </w:pPr>
    </w:p>
    <w:bookmarkStart w:id="45" w:name="page46"/>
    <w:bookmarkEnd w:id="45"/>
    <w:p>
      <w:pPr>
        <w:spacing w:after="0"/>
        <w:rPr>
          <w:sz w:val="20"/>
          <w:szCs w:val="20"/>
          <w:color w:val="auto"/>
        </w:rPr>
      </w:pPr>
      <w:r>
        <w:rPr>
          <w:rFonts w:ascii="Arial" w:cs="Arial" w:eastAsia="Arial" w:hAnsi="Arial"/>
          <w:sz w:val="18"/>
          <w:szCs w:val="18"/>
          <w:b w:val="1"/>
          <w:bCs w:val="1"/>
          <w:color w:val="auto"/>
        </w:rPr>
        <w:t>PART II. OTHER INFORMATION</w:t>
      </w:r>
    </w:p>
    <w:p>
      <w:pPr>
        <w:spacing w:after="0" w:line="117" w:lineRule="exact"/>
        <w:rPr>
          <w:sz w:val="20"/>
          <w:szCs w:val="20"/>
          <w:color w:val="auto"/>
        </w:rPr>
      </w:pPr>
    </w:p>
    <w:p>
      <w:pPr>
        <w:spacing w:after="0"/>
        <w:tabs>
          <w:tab w:leader="none" w:pos="1160" w:val="left"/>
        </w:tabs>
        <w:rPr>
          <w:sz w:val="20"/>
          <w:szCs w:val="20"/>
          <w:color w:val="auto"/>
        </w:rPr>
      </w:pPr>
      <w:r>
        <w:rPr>
          <w:rFonts w:ascii="Arial" w:cs="Arial" w:eastAsia="Arial" w:hAnsi="Arial"/>
          <w:sz w:val="18"/>
          <w:szCs w:val="18"/>
          <w:b w:val="1"/>
          <w:bCs w:val="1"/>
          <w:color w:val="auto"/>
        </w:rPr>
        <w:t>Item 1.</w:t>
      </w:r>
      <w:r>
        <w:rPr>
          <w:sz w:val="20"/>
          <w:szCs w:val="20"/>
          <w:color w:val="auto"/>
        </w:rPr>
        <w:tab/>
      </w:r>
      <w:r>
        <w:rPr>
          <w:rFonts w:ascii="Arial" w:cs="Arial" w:eastAsia="Arial" w:hAnsi="Arial"/>
          <w:sz w:val="15"/>
          <w:szCs w:val="15"/>
          <w:b w:val="1"/>
          <w:bCs w:val="1"/>
          <w:color w:val="auto"/>
        </w:rPr>
        <w:t>Legal Proceedings</w:t>
      </w:r>
    </w:p>
    <w:p>
      <w:pPr>
        <w:spacing w:after="0" w:line="121" w:lineRule="exact"/>
        <w:rPr>
          <w:sz w:val="20"/>
          <w:szCs w:val="20"/>
          <w:color w:val="auto"/>
        </w:rPr>
      </w:pPr>
    </w:p>
    <w:p>
      <w:pPr>
        <w:jc w:val="both"/>
        <w:ind w:right="360" w:firstLine="518"/>
        <w:spacing w:after="0" w:line="221" w:lineRule="exact"/>
        <w:rPr>
          <w:sz w:val="20"/>
          <w:szCs w:val="20"/>
          <w:color w:val="auto"/>
        </w:rPr>
      </w:pPr>
      <w:r>
        <w:rPr>
          <w:rFonts w:ascii="Arial" w:cs="Arial" w:eastAsia="Arial" w:hAnsi="Arial"/>
          <w:sz w:val="18"/>
          <w:szCs w:val="18"/>
          <w:color w:val="auto"/>
        </w:rPr>
        <w:t xml:space="preserve">Various claims and actions that we consider normal to our business have been asserted and are pending against us. See Note 15, </w:t>
      </w:r>
      <w:r>
        <w:rPr>
          <w:rFonts w:ascii="Arial" w:cs="Arial" w:eastAsia="Arial" w:hAnsi="Arial"/>
          <w:sz w:val="18"/>
          <w:szCs w:val="18"/>
          <w:i w:val="1"/>
          <w:iCs w:val="1"/>
          <w:color w:val="auto"/>
        </w:rPr>
        <w:t>Commitments and</w:t>
      </w:r>
      <w:r>
        <w:rPr>
          <w:rFonts w:ascii="Arial" w:cs="Arial" w:eastAsia="Arial" w:hAnsi="Arial"/>
          <w:sz w:val="18"/>
          <w:szCs w:val="18"/>
          <w:color w:val="auto"/>
        </w:rPr>
        <w:t xml:space="preserve"> </w:t>
      </w:r>
      <w:r>
        <w:rPr>
          <w:rFonts w:ascii="Arial" w:cs="Arial" w:eastAsia="Arial" w:hAnsi="Arial"/>
          <w:sz w:val="18"/>
          <w:szCs w:val="18"/>
          <w:i w:val="1"/>
          <w:iCs w:val="1"/>
          <w:color w:val="auto"/>
        </w:rPr>
        <w:t>Contingencies</w:t>
      </w:r>
      <w:r>
        <w:rPr>
          <w:rFonts w:ascii="Arial" w:cs="Arial" w:eastAsia="Arial" w:hAnsi="Arial"/>
          <w:sz w:val="18"/>
          <w:szCs w:val="18"/>
          <w:color w:val="auto"/>
        </w:rPr>
        <w:t>, of the condensed notes to the unaudited financial statements included in Part I, Item 1 of this Quarterly Report on Form 10</w:t>
      </w:r>
      <w:r>
        <w:rPr>
          <w:rFonts w:ascii="MS PGothic" w:cs="MS PGothic" w:eastAsia="MS PGothic" w:hAnsi="MS PGothic"/>
          <w:sz w:val="18"/>
          <w:szCs w:val="18"/>
          <w:color w:val="auto"/>
        </w:rPr>
        <w:t>‑</w:t>
      </w:r>
      <w:r>
        <w:rPr>
          <w:rFonts w:ascii="Arial" w:cs="Arial" w:eastAsia="Arial" w:hAnsi="Arial"/>
          <w:sz w:val="18"/>
          <w:szCs w:val="18"/>
          <w:color w:val="auto"/>
        </w:rPr>
        <w:t>Q. We do not</w:t>
      </w:r>
      <w:r>
        <w:rPr>
          <w:rFonts w:ascii="Arial" w:cs="Arial" w:eastAsia="Arial" w:hAnsi="Arial"/>
          <w:sz w:val="18"/>
          <w:szCs w:val="18"/>
          <w:i w:val="1"/>
          <w:iCs w:val="1"/>
          <w:color w:val="auto"/>
        </w:rPr>
        <w:t xml:space="preserve"> </w:t>
      </w:r>
      <w:r>
        <w:rPr>
          <w:rFonts w:ascii="Arial" w:cs="Arial" w:eastAsia="Arial" w:hAnsi="Arial"/>
          <w:sz w:val="18"/>
          <w:szCs w:val="18"/>
          <w:color w:val="auto"/>
        </w:rPr>
        <w:t>believe that any of such claims and actions are material to our financial statements.</w:t>
      </w:r>
    </w:p>
    <w:p>
      <w:pPr>
        <w:spacing w:after="0" w:line="306" w:lineRule="exact"/>
        <w:rPr>
          <w:sz w:val="20"/>
          <w:szCs w:val="20"/>
          <w:color w:val="auto"/>
        </w:rPr>
      </w:pPr>
    </w:p>
    <w:p>
      <w:pPr>
        <w:spacing w:after="0"/>
        <w:tabs>
          <w:tab w:leader="none" w:pos="1160" w:val="left"/>
        </w:tabs>
        <w:rPr>
          <w:sz w:val="20"/>
          <w:szCs w:val="20"/>
          <w:color w:val="auto"/>
        </w:rPr>
      </w:pPr>
      <w:r>
        <w:rPr>
          <w:rFonts w:ascii="Arial" w:cs="Arial" w:eastAsia="Arial" w:hAnsi="Arial"/>
          <w:sz w:val="18"/>
          <w:szCs w:val="18"/>
          <w:b w:val="1"/>
          <w:bCs w:val="1"/>
          <w:color w:val="auto"/>
        </w:rPr>
        <w:t>Item 1A.</w:t>
      </w:r>
      <w:r>
        <w:rPr>
          <w:sz w:val="20"/>
          <w:szCs w:val="20"/>
          <w:color w:val="auto"/>
        </w:rPr>
        <w:tab/>
      </w:r>
      <w:r>
        <w:rPr>
          <w:rFonts w:ascii="Arial" w:cs="Arial" w:eastAsia="Arial" w:hAnsi="Arial"/>
          <w:sz w:val="16"/>
          <w:szCs w:val="16"/>
          <w:b w:val="1"/>
          <w:bCs w:val="1"/>
          <w:color w:val="auto"/>
        </w:rPr>
        <w:t>Risk Factors</w:t>
      </w:r>
    </w:p>
    <w:p>
      <w:pPr>
        <w:spacing w:after="0" w:line="121" w:lineRule="exact"/>
        <w:rPr>
          <w:sz w:val="20"/>
          <w:szCs w:val="20"/>
          <w:color w:val="auto"/>
        </w:rPr>
      </w:pPr>
    </w:p>
    <w:p>
      <w:pPr>
        <w:jc w:val="both"/>
        <w:ind w:firstLine="518"/>
        <w:spacing w:after="0" w:line="255" w:lineRule="auto"/>
        <w:rPr>
          <w:sz w:val="20"/>
          <w:szCs w:val="20"/>
          <w:color w:val="auto"/>
        </w:rPr>
      </w:pPr>
      <w:r>
        <w:rPr>
          <w:rFonts w:ascii="Arial" w:cs="Arial" w:eastAsia="Arial" w:hAnsi="Arial"/>
          <w:sz w:val="18"/>
          <w:szCs w:val="18"/>
          <w:i w:val="1"/>
          <w:iCs w:val="1"/>
          <w:color w:val="auto"/>
        </w:rPr>
        <w:t>The following supplements and updates the risk factors in Part I, Item 1A "Risk Factors," in our Annual Report on Form 10-K for the year ended December 31, 2014. If any of the risks discussed below or in our Annual Report on Form 10-K occur, our business, prospects, liquidity, financial condition and results of operations could be materially and adversely affected, in which case the trading price of our common stock could decline significantly and you could lose all or a part of your investment. Some statements in this Quarterly Report on Form 10-Q, including statements in the following risk factors, constitute forward-looking statements. Please refer to Part I, Item 2 of this Quarterly Report on Form 10-Q entitled "Cautionary Note Concerning Forward-Looking Statements."</w:t>
      </w:r>
    </w:p>
    <w:p>
      <w:pPr>
        <w:spacing w:after="0" w:line="29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Risks Related to Our Business</w:t>
      </w:r>
    </w:p>
    <w:p>
      <w:pPr>
        <w:spacing w:after="0" w:line="121" w:lineRule="exact"/>
        <w:rPr>
          <w:sz w:val="20"/>
          <w:szCs w:val="20"/>
          <w:color w:val="auto"/>
        </w:rPr>
      </w:pPr>
    </w:p>
    <w:p>
      <w:pPr>
        <w:ind w:left="520"/>
        <w:spacing w:after="0"/>
        <w:rPr>
          <w:sz w:val="20"/>
          <w:szCs w:val="20"/>
          <w:color w:val="auto"/>
        </w:rPr>
      </w:pPr>
      <w:r>
        <w:rPr>
          <w:rFonts w:ascii="Arial" w:cs="Arial" w:eastAsia="Arial" w:hAnsi="Arial"/>
          <w:sz w:val="18"/>
          <w:szCs w:val="18"/>
          <w:b w:val="1"/>
          <w:bCs w:val="1"/>
          <w:i w:val="1"/>
          <w:iCs w:val="1"/>
          <w:color w:val="auto"/>
        </w:rPr>
        <w:t>Adverse weather and natural disasters may increase costs, cause project delays and reduce consumer demand for housing.</w:t>
      </w:r>
    </w:p>
    <w:p>
      <w:pPr>
        <w:spacing w:after="0" w:line="117" w:lineRule="exact"/>
        <w:rPr>
          <w:sz w:val="20"/>
          <w:szCs w:val="20"/>
          <w:color w:val="auto"/>
        </w:rPr>
      </w:pPr>
    </w:p>
    <w:p>
      <w:pPr>
        <w:ind w:right="20" w:firstLine="518"/>
        <w:spacing w:after="0" w:line="271" w:lineRule="auto"/>
        <w:rPr>
          <w:sz w:val="20"/>
          <w:szCs w:val="20"/>
          <w:color w:val="auto"/>
        </w:rPr>
      </w:pPr>
      <w:r>
        <w:rPr>
          <w:rFonts w:ascii="Arial" w:cs="Arial" w:eastAsia="Arial" w:hAnsi="Arial"/>
          <w:sz w:val="17"/>
          <w:szCs w:val="17"/>
          <w:color w:val="auto"/>
        </w:rPr>
        <w:t>As a homebuilder and land developer, we are subject to the risks associated with numerous weather-related events and natural disasters that are beyond our control. These weather-related events and natural disasters include, but are not limited to, droughts, floods, wildfires, landslides, soil subsidence, hurricanes, tornadoes and earthquakes. The occurrence of any of these events could damage our land and projects, cause delays in, or prevent, completion of our projects, reduce consumer demand for housing, and cause shortages and price increases in labor or raw materials, any of which could materially and adversely affect our sales and profitability. We have substantial operations in Southern and Northern California that have historically experienced significant earthquake activity and seasonal wildfires. Our markets in Colorado have also experienced seasonal wildfires, floods and soil subsidence. In addition, our Washington market has historically experienced significant earthquake, volcanic and seismic activity and our Texas market occasionally experiences extreme weather conditions such as tornadoes and hurricanes.</w:t>
      </w:r>
    </w:p>
    <w:p>
      <w:pPr>
        <w:spacing w:after="0" w:line="179" w:lineRule="exact"/>
        <w:rPr>
          <w:sz w:val="20"/>
          <w:szCs w:val="20"/>
          <w:color w:val="auto"/>
        </w:rPr>
      </w:pPr>
    </w:p>
    <w:p>
      <w:pPr>
        <w:ind w:right="240" w:firstLine="518"/>
        <w:spacing w:after="0" w:line="286" w:lineRule="auto"/>
        <w:rPr>
          <w:sz w:val="20"/>
          <w:szCs w:val="20"/>
          <w:color w:val="auto"/>
        </w:rPr>
      </w:pPr>
      <w:r>
        <w:rPr>
          <w:rFonts w:ascii="Arial" w:cs="Arial" w:eastAsia="Arial" w:hAnsi="Arial"/>
          <w:sz w:val="17"/>
          <w:szCs w:val="17"/>
          <w:color w:val="auto"/>
        </w:rPr>
        <w:t>In addition to directly damaging our land or projects, earthquakes, hurricanes, tornadoes, volcanoes, floods, wildfires or other natural events could damage roads and highways providing access to those assets or affect the desirability of our land or projects, thereby materially and adversely affecting our ability to market homes or sell land in those areas and possibly increasing the cost to complete construction of our homes.</w:t>
      </w:r>
    </w:p>
    <w:p>
      <w:pPr>
        <w:spacing w:after="0" w:line="166" w:lineRule="exact"/>
        <w:rPr>
          <w:sz w:val="20"/>
          <w:szCs w:val="20"/>
          <w:color w:val="auto"/>
        </w:rPr>
      </w:pPr>
    </w:p>
    <w:p>
      <w:pPr>
        <w:ind w:right="60" w:firstLine="518"/>
        <w:spacing w:after="0" w:line="286" w:lineRule="auto"/>
        <w:rPr>
          <w:sz w:val="20"/>
          <w:szCs w:val="20"/>
          <w:color w:val="auto"/>
        </w:rPr>
      </w:pPr>
      <w:r>
        <w:rPr>
          <w:rFonts w:ascii="Arial" w:cs="Arial" w:eastAsia="Arial" w:hAnsi="Arial"/>
          <w:sz w:val="17"/>
          <w:szCs w:val="17"/>
          <w:color w:val="auto"/>
        </w:rPr>
        <w:t>There are some risks of loss for which we may be unable to purchase insurance coverage. For example, losses associated with landslides, earthquakes and other geologic events may not be insurable and other losses, such as those arising from terrorism, may not be economically insurable. A sizeable uninsured loss could materially and adversely affect our business, liquidity, financial condition and results of operations.</w:t>
      </w:r>
    </w:p>
    <w:p>
      <w:pPr>
        <w:spacing w:after="0" w:line="166" w:lineRule="exact"/>
        <w:rPr>
          <w:sz w:val="20"/>
          <w:szCs w:val="20"/>
          <w:color w:val="auto"/>
        </w:rPr>
      </w:pPr>
    </w:p>
    <w:p>
      <w:pPr>
        <w:ind w:right="680" w:firstLine="518"/>
        <w:spacing w:after="0" w:line="277" w:lineRule="auto"/>
        <w:rPr>
          <w:sz w:val="20"/>
          <w:szCs w:val="20"/>
          <w:color w:val="auto"/>
        </w:rPr>
      </w:pPr>
      <w:r>
        <w:rPr>
          <w:rFonts w:ascii="Arial" w:cs="Arial" w:eastAsia="Arial" w:hAnsi="Arial"/>
          <w:sz w:val="18"/>
          <w:szCs w:val="18"/>
          <w:b w:val="1"/>
          <w:bCs w:val="1"/>
          <w:i w:val="1"/>
          <w:iCs w:val="1"/>
          <w:color w:val="auto"/>
        </w:rPr>
        <w:t>Continuing drought conditions in California and other areas in which we operate may negatively impact the economy, increase the risk of wildfires, cause us to incur additional costs, and delay or prevent new home deliveries.</w:t>
      </w:r>
    </w:p>
    <w:p>
      <w:pPr>
        <w:spacing w:after="0" w:line="170" w:lineRule="exact"/>
        <w:rPr>
          <w:sz w:val="20"/>
          <w:szCs w:val="20"/>
          <w:color w:val="auto"/>
        </w:rPr>
      </w:pPr>
    </w:p>
    <w:p>
      <w:pPr>
        <w:ind w:right="560" w:firstLine="518"/>
        <w:spacing w:after="0" w:line="277" w:lineRule="auto"/>
        <w:rPr>
          <w:sz w:val="20"/>
          <w:szCs w:val="20"/>
          <w:color w:val="auto"/>
        </w:rPr>
      </w:pPr>
      <w:r>
        <w:rPr>
          <w:rFonts w:ascii="Arial" w:cs="Arial" w:eastAsia="Arial" w:hAnsi="Arial"/>
          <w:sz w:val="18"/>
          <w:szCs w:val="18"/>
          <w:color w:val="auto"/>
        </w:rPr>
        <w:t>Certain of the areas in which we operate, particularly in California, have experienced drought conditions from time to time. Continuing drought conditions could negatively impact the economy and environment as well as increase greatly the risk of wildfires.</w:t>
      </w:r>
    </w:p>
    <w:p>
      <w:pPr>
        <w:spacing w:after="0" w:line="170" w:lineRule="exact"/>
        <w:rPr>
          <w:sz w:val="20"/>
          <w:szCs w:val="20"/>
          <w:color w:val="auto"/>
        </w:rPr>
      </w:pPr>
    </w:p>
    <w:p>
      <w:pPr>
        <w:ind w:right="100" w:firstLine="518"/>
        <w:spacing w:after="0" w:line="253" w:lineRule="auto"/>
        <w:rPr>
          <w:sz w:val="20"/>
          <w:szCs w:val="20"/>
          <w:color w:val="auto"/>
        </w:rPr>
      </w:pPr>
      <w:r>
        <w:rPr>
          <w:rFonts w:ascii="Arial" w:cs="Arial" w:eastAsia="Arial" w:hAnsi="Arial"/>
          <w:sz w:val="18"/>
          <w:szCs w:val="18"/>
          <w:color w:val="auto"/>
        </w:rPr>
        <w:t>Last year, the Governor of California proclaimed a Drought State of Emergency warning that drought conditions may place drinking water supplies at risk in many California communities. In April 2015, the Governor issued an executive order that, among other things, directs the State Water Resources Control Board to implement mandatory water reductions in cities and towns across California to reduce water usage by 25 percent and to prohibit irrigation with potable water outside newly constructed homes that is not delivered by drip or micro-spray systems. The Governor's order also calls on local water agencies to adjust their rate structures to implement conservation pricing, directs the Department of Water Resources to update the Model Water Efficient Landscape Ordinance, and directs the California Energy Commission to adopt emergency regulations establishing standards to improve the efficiency of water appliances such as toilets and faucets. These and other measures that are instituted to respond to drought conditions could cause us to incur additional costs. In addition, new home deliveries in some areas may be delayed or prevented due to the unavailability of water, even when we have obtained water rights for those projects.</w:t>
      </w:r>
    </w:p>
    <w:p>
      <w:pPr>
        <w:spacing w:after="0" w:line="200" w:lineRule="exact"/>
        <w:rPr>
          <w:sz w:val="20"/>
          <w:szCs w:val="20"/>
          <w:color w:val="auto"/>
        </w:rPr>
      </w:pPr>
    </w:p>
    <w:p>
      <w:pPr>
        <w:spacing w:after="0" w:line="24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- 46 -</w:t>
      </w:r>
    </w:p>
    <w:p>
      <w:pPr>
        <w:sectPr>
          <w:pgSz w:w="11900" w:h="16838" w:orient="portrait"/>
          <w:cols w:equalWidth="0" w:num="1">
            <w:col w:w="11420"/>
          </w:cols>
          <w:pgMar w:left="240" w:top="135" w:right="239" w:bottom="1440" w:gutter="0" w:footer="0" w:header="0"/>
        </w:sectPr>
      </w:pPr>
    </w:p>
    <w:bookmarkStart w:id="46" w:name="page47"/>
    <w:bookmarkEnd w:id="46"/>
    <w:p>
      <w:pPr>
        <w:ind w:left="520"/>
        <w:spacing w:after="0"/>
        <w:rPr>
          <w:sz w:val="20"/>
          <w:szCs w:val="20"/>
          <w:color w:val="auto"/>
        </w:rPr>
      </w:pPr>
      <w:r>
        <w:rPr>
          <w:rFonts w:ascii="Arial" w:cs="Arial" w:eastAsia="Arial" w:hAnsi="Arial"/>
          <w:sz w:val="18"/>
          <w:szCs w:val="18"/>
          <w:b w:val="1"/>
          <w:bCs w:val="1"/>
          <w:i w:val="1"/>
          <w:iCs w:val="1"/>
          <w:color w:val="auto"/>
        </w:rPr>
        <w:t>Utility shortages or price increases could have an adverse impact on operations.</w:t>
      </w:r>
    </w:p>
    <w:p>
      <w:pPr>
        <w:spacing w:after="0" w:line="117" w:lineRule="exact"/>
        <w:rPr>
          <w:sz w:val="20"/>
          <w:szCs w:val="20"/>
          <w:color w:val="auto"/>
        </w:rPr>
      </w:pPr>
    </w:p>
    <w:p>
      <w:pPr>
        <w:ind w:firstLine="518"/>
        <w:spacing w:after="0" w:line="293" w:lineRule="auto"/>
        <w:rPr>
          <w:sz w:val="20"/>
          <w:szCs w:val="20"/>
          <w:color w:val="auto"/>
        </w:rPr>
      </w:pPr>
      <w:r>
        <w:rPr>
          <w:rFonts w:ascii="Arial" w:cs="Arial" w:eastAsia="Arial" w:hAnsi="Arial"/>
          <w:sz w:val="16"/>
          <w:szCs w:val="16"/>
          <w:color w:val="auto"/>
        </w:rPr>
        <w:t>Certain of the markets in which we operate, including California, have experienced power shortages, including mandatory periods without electrical power, as well as significant increases in utility costs. Reduced water supplies as a result of drought conditions may negatively affect electric power generation. Additionally, municipalities may restrict or place moratoriums on the availability of utilities, such as water and sewer taps. We may incur additional costs and may not be able to complete construction on a timely basis if such utility shortages, restrictions, moratoriums and rate increases continue. In addition, these utility issues may adversely affect the local economies in which we operate, which may reduce demand for housing in those markets. Our results of operations may be materially and adversely impacted if further utility shortages, restrictions, moratoriums or rate increases occur in our markets.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6"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- 47 -</w:t>
      </w:r>
    </w:p>
    <w:p>
      <w:pPr>
        <w:sectPr>
          <w:pgSz w:w="11900" w:h="16838" w:orient="portrait"/>
          <w:cols w:equalWidth="0" w:num="1">
            <w:col w:w="11380"/>
          </w:cols>
          <w:pgMar w:left="240" w:top="463" w:right="279" w:bottom="1440" w:gutter="0" w:footer="0" w:header="0"/>
        </w:sectPr>
      </w:pPr>
    </w:p>
    <w:bookmarkStart w:id="47" w:name="page48"/>
    <w:bookmarkEnd w:id="47"/>
    <w:tbl>
      <w:tblPr>
        <w:tblLayout w:type="fixed"/>
        <w:tblInd w:w="0" w:type="dxa"/>
        <w:tblCellMar>
          <w:top w:w="0" w:type="dxa"/>
          <w:left w:w="0" w:type="dxa"/>
          <w:bottom w:w="0" w:type="dxa"/>
          <w:right w:w="0" w:type="dxa"/>
        </w:tblCellMar>
      </w:tblPr>
      <w:tr>
        <w:trPr>
          <w:trHeight w:val="234"/>
        </w:trPr>
        <w:tc>
          <w:tcPr>
            <w:tcW w:w="760" w:type="dxa"/>
            <w:vAlign w:val="bottom"/>
          </w:tcPr>
          <w:p>
            <w:pPr>
              <w:spacing w:after="0"/>
              <w:rPr>
                <w:sz w:val="20"/>
                <w:szCs w:val="20"/>
                <w:color w:val="auto"/>
              </w:rPr>
            </w:pPr>
            <w:r>
              <w:rPr>
                <w:rFonts w:ascii="Arial" w:cs="Arial" w:eastAsia="Arial" w:hAnsi="Arial"/>
                <w:sz w:val="18"/>
                <w:szCs w:val="18"/>
                <w:b w:val="1"/>
                <w:bCs w:val="1"/>
                <w:color w:val="auto"/>
              </w:rPr>
              <w:t>Item 6.</w:t>
            </w:r>
          </w:p>
        </w:tc>
        <w:tc>
          <w:tcPr>
            <w:tcW w:w="10640" w:type="dxa"/>
            <w:vAlign w:val="bottom"/>
          </w:tcPr>
          <w:p>
            <w:pPr>
              <w:ind w:left="420"/>
              <w:spacing w:after="0"/>
              <w:rPr>
                <w:sz w:val="20"/>
                <w:szCs w:val="20"/>
                <w:color w:val="auto"/>
              </w:rPr>
            </w:pPr>
            <w:r>
              <w:rPr>
                <w:rFonts w:ascii="Arial" w:cs="Arial" w:eastAsia="Arial" w:hAnsi="Arial"/>
                <w:sz w:val="18"/>
                <w:szCs w:val="18"/>
                <w:b w:val="1"/>
                <w:bCs w:val="1"/>
                <w:color w:val="auto"/>
              </w:rPr>
              <w:t>Exhibits</w:t>
            </w:r>
          </w:p>
        </w:tc>
      </w:tr>
      <w:tr>
        <w:trPr>
          <w:trHeight w:val="346"/>
        </w:trPr>
        <w:tc>
          <w:tcPr>
            <w:tcW w:w="760" w:type="dxa"/>
            <w:vAlign w:val="bottom"/>
          </w:tcPr>
          <w:p>
            <w:pPr>
              <w:spacing w:after="0"/>
              <w:rPr>
                <w:sz w:val="20"/>
                <w:szCs w:val="20"/>
                <w:color w:val="auto"/>
              </w:rPr>
            </w:pPr>
            <w:r>
              <w:rPr>
                <w:rFonts w:ascii="Arial" w:cs="Arial" w:eastAsia="Arial" w:hAnsi="Arial"/>
                <w:sz w:val="14"/>
                <w:szCs w:val="14"/>
                <w:color w:val="auto"/>
              </w:rPr>
              <w:t>Exhibit</w:t>
            </w:r>
          </w:p>
        </w:tc>
        <w:tc>
          <w:tcPr>
            <w:tcW w:w="10640" w:type="dxa"/>
            <w:vAlign w:val="bottom"/>
          </w:tcPr>
          <w:p>
            <w:pPr>
              <w:spacing w:after="0"/>
              <w:rPr>
                <w:sz w:val="24"/>
                <w:szCs w:val="24"/>
                <w:color w:val="auto"/>
              </w:rPr>
            </w:pPr>
          </w:p>
        </w:tc>
      </w:tr>
      <w:tr>
        <w:trPr>
          <w:trHeight w:val="182"/>
        </w:trPr>
        <w:tc>
          <w:tcPr>
            <w:tcW w:w="760" w:type="dxa"/>
            <w:vAlign w:val="bottom"/>
          </w:tcPr>
          <w:p>
            <w:pPr>
              <w:spacing w:after="0"/>
              <w:rPr>
                <w:sz w:val="20"/>
                <w:szCs w:val="20"/>
                <w:color w:val="auto"/>
              </w:rPr>
            </w:pPr>
            <w:r>
              <w:rPr>
                <w:rFonts w:ascii="Arial" w:cs="Arial" w:eastAsia="Arial" w:hAnsi="Arial"/>
                <w:sz w:val="14"/>
                <w:szCs w:val="14"/>
                <w:color w:val="auto"/>
              </w:rPr>
              <w:t>Number</w:t>
            </w:r>
          </w:p>
        </w:tc>
        <w:tc>
          <w:tcPr>
            <w:tcW w:w="10640" w:type="dxa"/>
            <w:vAlign w:val="bottom"/>
          </w:tcPr>
          <w:p>
            <w:pPr>
              <w:ind w:left="160"/>
              <w:spacing w:after="0"/>
              <w:rPr>
                <w:sz w:val="20"/>
                <w:szCs w:val="20"/>
                <w:color w:val="auto"/>
              </w:rPr>
            </w:pPr>
            <w:r>
              <w:rPr>
                <w:rFonts w:ascii="Arial" w:cs="Arial" w:eastAsia="Arial" w:hAnsi="Arial"/>
                <w:sz w:val="14"/>
                <w:szCs w:val="14"/>
                <w:color w:val="auto"/>
              </w:rPr>
              <w:t>Exhibit Description</w:t>
            </w:r>
          </w:p>
        </w:tc>
      </w:tr>
      <w:tr>
        <w:trPr>
          <w:trHeight w:val="308"/>
        </w:trPr>
        <w:tc>
          <w:tcPr>
            <w:tcW w:w="760" w:type="dxa"/>
            <w:vAlign w:val="bottom"/>
          </w:tcPr>
          <w:p>
            <w:pPr>
              <w:ind w:left="180"/>
              <w:spacing w:after="0"/>
              <w:rPr>
                <w:sz w:val="20"/>
                <w:szCs w:val="20"/>
                <w:color w:val="auto"/>
              </w:rPr>
            </w:pPr>
            <w:r>
              <w:rPr>
                <w:rFonts w:ascii="Arial" w:cs="Arial" w:eastAsia="Arial" w:hAnsi="Arial"/>
                <w:sz w:val="18"/>
                <w:szCs w:val="18"/>
                <w:color w:val="auto"/>
              </w:rPr>
              <w:t>2.1</w:t>
            </w:r>
          </w:p>
        </w:tc>
        <w:tc>
          <w:tcPr>
            <w:tcW w:w="10640" w:type="dxa"/>
            <w:vAlign w:val="bottom"/>
          </w:tcPr>
          <w:p>
            <w:pPr>
              <w:ind w:left="160"/>
              <w:spacing w:after="0"/>
              <w:rPr>
                <w:sz w:val="20"/>
                <w:szCs w:val="20"/>
                <w:color w:val="auto"/>
              </w:rPr>
            </w:pPr>
            <w:r>
              <w:rPr>
                <w:rFonts w:ascii="Arial" w:cs="Arial" w:eastAsia="Arial" w:hAnsi="Arial"/>
                <w:sz w:val="18"/>
                <w:szCs w:val="18"/>
                <w:color w:val="auto"/>
                <w:w w:val="92"/>
              </w:rPr>
              <w:t>Transaction Agreement, dated as of November 3, 2013, among TRI Pointe Homes, Inc., Weyerhaeuser Company, Weyerhaeuser Real Estate</w:t>
            </w:r>
          </w:p>
        </w:tc>
      </w:tr>
      <w:tr>
        <w:trPr>
          <w:trHeight w:val="216"/>
        </w:trPr>
        <w:tc>
          <w:tcPr>
            <w:tcW w:w="760" w:type="dxa"/>
            <w:vAlign w:val="bottom"/>
          </w:tcPr>
          <w:p>
            <w:pPr>
              <w:spacing w:after="0"/>
              <w:rPr>
                <w:sz w:val="18"/>
                <w:szCs w:val="18"/>
                <w:color w:val="auto"/>
              </w:rPr>
            </w:pPr>
          </w:p>
        </w:tc>
        <w:tc>
          <w:tcPr>
            <w:tcW w:w="10640" w:type="dxa"/>
            <w:vAlign w:val="bottom"/>
          </w:tcPr>
          <w:p>
            <w:pPr>
              <w:ind w:left="160"/>
              <w:spacing w:after="0"/>
              <w:rPr>
                <w:sz w:val="20"/>
                <w:szCs w:val="20"/>
                <w:color w:val="auto"/>
              </w:rPr>
            </w:pPr>
            <w:r>
              <w:rPr>
                <w:rFonts w:ascii="Arial" w:cs="Arial" w:eastAsia="Arial" w:hAnsi="Arial"/>
                <w:sz w:val="18"/>
                <w:szCs w:val="18"/>
                <w:color w:val="auto"/>
                <w:w w:val="94"/>
              </w:rPr>
              <w:t>Company, and Topaz Acquisition, Inc. (incorporated by reference to Exhibit 2.1 to the Company’s Registration Statement on Form S-4 (filed</w:t>
            </w:r>
          </w:p>
        </w:tc>
      </w:tr>
      <w:tr>
        <w:trPr>
          <w:trHeight w:val="230"/>
        </w:trPr>
        <w:tc>
          <w:tcPr>
            <w:tcW w:w="760" w:type="dxa"/>
            <w:vAlign w:val="bottom"/>
          </w:tcPr>
          <w:p>
            <w:pPr>
              <w:spacing w:after="0"/>
              <w:rPr>
                <w:sz w:val="20"/>
                <w:szCs w:val="20"/>
                <w:color w:val="auto"/>
              </w:rPr>
            </w:pPr>
          </w:p>
        </w:tc>
        <w:tc>
          <w:tcPr>
            <w:tcW w:w="10640" w:type="dxa"/>
            <w:vAlign w:val="bottom"/>
          </w:tcPr>
          <w:p>
            <w:pPr>
              <w:ind w:left="160"/>
              <w:spacing w:after="0"/>
              <w:rPr>
                <w:sz w:val="20"/>
                <w:szCs w:val="20"/>
                <w:color w:val="auto"/>
              </w:rPr>
            </w:pPr>
            <w:r>
              <w:rPr>
                <w:rFonts w:ascii="Arial" w:cs="Arial" w:eastAsia="Arial" w:hAnsi="Arial"/>
                <w:sz w:val="18"/>
                <w:szCs w:val="18"/>
                <w:color w:val="auto"/>
              </w:rPr>
              <w:t>Mar. 28, 2014))</w:t>
            </w:r>
          </w:p>
        </w:tc>
      </w:tr>
      <w:tr>
        <w:trPr>
          <w:trHeight w:val="323"/>
        </w:trPr>
        <w:tc>
          <w:tcPr>
            <w:tcW w:w="760" w:type="dxa"/>
            <w:vAlign w:val="bottom"/>
          </w:tcPr>
          <w:p>
            <w:pPr>
              <w:ind w:left="180"/>
              <w:spacing w:after="0"/>
              <w:rPr>
                <w:sz w:val="20"/>
                <w:szCs w:val="20"/>
                <w:color w:val="auto"/>
              </w:rPr>
            </w:pPr>
            <w:r>
              <w:rPr>
                <w:rFonts w:ascii="Arial" w:cs="Arial" w:eastAsia="Arial" w:hAnsi="Arial"/>
                <w:sz w:val="18"/>
                <w:szCs w:val="18"/>
                <w:color w:val="auto"/>
              </w:rPr>
              <w:t>3.1</w:t>
            </w:r>
          </w:p>
        </w:tc>
        <w:tc>
          <w:tcPr>
            <w:tcW w:w="10640" w:type="dxa"/>
            <w:vAlign w:val="bottom"/>
          </w:tcPr>
          <w:p>
            <w:pPr>
              <w:ind w:left="160"/>
              <w:spacing w:after="0"/>
              <w:rPr>
                <w:sz w:val="20"/>
                <w:szCs w:val="20"/>
                <w:color w:val="auto"/>
              </w:rPr>
            </w:pPr>
            <w:r>
              <w:rPr>
                <w:rFonts w:ascii="Arial" w:cs="Arial" w:eastAsia="Arial" w:hAnsi="Arial"/>
                <w:sz w:val="18"/>
                <w:szCs w:val="18"/>
                <w:color w:val="auto"/>
                <w:w w:val="96"/>
              </w:rPr>
              <w:t>Amended and Restated Certificate of Incorporation of TRI Pointe Homes, Inc. (incorporated by reference to Exhibit 3.1 to the Company’s</w:t>
            </w:r>
          </w:p>
        </w:tc>
      </w:tr>
      <w:tr>
        <w:trPr>
          <w:trHeight w:val="230"/>
        </w:trPr>
        <w:tc>
          <w:tcPr>
            <w:tcW w:w="760" w:type="dxa"/>
            <w:vAlign w:val="bottom"/>
          </w:tcPr>
          <w:p>
            <w:pPr>
              <w:spacing w:after="0"/>
              <w:rPr>
                <w:sz w:val="20"/>
                <w:szCs w:val="20"/>
                <w:color w:val="auto"/>
              </w:rPr>
            </w:pPr>
          </w:p>
        </w:tc>
        <w:tc>
          <w:tcPr>
            <w:tcW w:w="10640" w:type="dxa"/>
            <w:vAlign w:val="bottom"/>
          </w:tcPr>
          <w:p>
            <w:pPr>
              <w:ind w:left="160"/>
              <w:spacing w:after="0"/>
              <w:rPr>
                <w:sz w:val="20"/>
                <w:szCs w:val="20"/>
                <w:color w:val="auto"/>
              </w:rPr>
            </w:pPr>
            <w:r>
              <w:rPr>
                <w:rFonts w:ascii="Arial" w:cs="Arial" w:eastAsia="Arial" w:hAnsi="Arial"/>
                <w:sz w:val="18"/>
                <w:szCs w:val="18"/>
                <w:color w:val="auto"/>
              </w:rPr>
              <w:t>Annual Report on Form 10-K (filed Mar. 28, 2013))</w:t>
            </w:r>
          </w:p>
        </w:tc>
      </w:tr>
      <w:tr>
        <w:trPr>
          <w:trHeight w:val="323"/>
        </w:trPr>
        <w:tc>
          <w:tcPr>
            <w:tcW w:w="760" w:type="dxa"/>
            <w:vAlign w:val="bottom"/>
          </w:tcPr>
          <w:p>
            <w:pPr>
              <w:ind w:left="180"/>
              <w:spacing w:after="0"/>
              <w:rPr>
                <w:sz w:val="20"/>
                <w:szCs w:val="20"/>
                <w:color w:val="auto"/>
              </w:rPr>
            </w:pPr>
            <w:r>
              <w:rPr>
                <w:rFonts w:ascii="Arial" w:cs="Arial" w:eastAsia="Arial" w:hAnsi="Arial"/>
                <w:sz w:val="18"/>
                <w:szCs w:val="18"/>
                <w:color w:val="auto"/>
              </w:rPr>
              <w:t>3.2</w:t>
            </w:r>
          </w:p>
        </w:tc>
        <w:tc>
          <w:tcPr>
            <w:tcW w:w="10640" w:type="dxa"/>
            <w:vAlign w:val="bottom"/>
          </w:tcPr>
          <w:p>
            <w:pPr>
              <w:ind w:left="160"/>
              <w:spacing w:after="0"/>
              <w:rPr>
                <w:sz w:val="20"/>
                <w:szCs w:val="20"/>
                <w:color w:val="auto"/>
              </w:rPr>
            </w:pPr>
            <w:r>
              <w:rPr>
                <w:rFonts w:ascii="Arial" w:cs="Arial" w:eastAsia="Arial" w:hAnsi="Arial"/>
                <w:sz w:val="18"/>
                <w:szCs w:val="18"/>
                <w:color w:val="auto"/>
                <w:w w:val="91"/>
              </w:rPr>
              <w:t>Amended and Restated Bylaws of TRI Pointe Homes, Inc. (incorporated by reference to Exhibit 3.2 to the Company’s Quarterly Report on Form</w:t>
            </w:r>
          </w:p>
        </w:tc>
      </w:tr>
      <w:tr>
        <w:trPr>
          <w:trHeight w:val="230"/>
        </w:trPr>
        <w:tc>
          <w:tcPr>
            <w:tcW w:w="760" w:type="dxa"/>
            <w:vAlign w:val="bottom"/>
          </w:tcPr>
          <w:p>
            <w:pPr>
              <w:spacing w:after="0"/>
              <w:rPr>
                <w:sz w:val="20"/>
                <w:szCs w:val="20"/>
                <w:color w:val="auto"/>
              </w:rPr>
            </w:pPr>
          </w:p>
        </w:tc>
        <w:tc>
          <w:tcPr>
            <w:tcW w:w="10640" w:type="dxa"/>
            <w:vAlign w:val="bottom"/>
          </w:tcPr>
          <w:p>
            <w:pPr>
              <w:ind w:left="160"/>
              <w:spacing w:after="0"/>
              <w:rPr>
                <w:sz w:val="20"/>
                <w:szCs w:val="20"/>
                <w:color w:val="auto"/>
              </w:rPr>
            </w:pPr>
            <w:r>
              <w:rPr>
                <w:rFonts w:ascii="Arial" w:cs="Arial" w:eastAsia="Arial" w:hAnsi="Arial"/>
                <w:sz w:val="18"/>
                <w:szCs w:val="18"/>
                <w:color w:val="auto"/>
              </w:rPr>
              <w:t>10-Q (filed Aug. 13, 2013))</w:t>
            </w:r>
          </w:p>
        </w:tc>
      </w:tr>
      <w:tr>
        <w:trPr>
          <w:trHeight w:val="323"/>
        </w:trPr>
        <w:tc>
          <w:tcPr>
            <w:tcW w:w="760" w:type="dxa"/>
            <w:vAlign w:val="bottom"/>
          </w:tcPr>
          <w:p>
            <w:pPr>
              <w:ind w:left="180"/>
              <w:spacing w:after="0"/>
              <w:rPr>
                <w:sz w:val="20"/>
                <w:szCs w:val="20"/>
                <w:color w:val="auto"/>
              </w:rPr>
            </w:pPr>
            <w:r>
              <w:rPr>
                <w:rFonts w:ascii="Arial" w:cs="Arial" w:eastAsia="Arial" w:hAnsi="Arial"/>
                <w:sz w:val="18"/>
                <w:szCs w:val="18"/>
                <w:color w:val="auto"/>
              </w:rPr>
              <w:t>3.3</w:t>
            </w:r>
          </w:p>
        </w:tc>
        <w:tc>
          <w:tcPr>
            <w:tcW w:w="10640" w:type="dxa"/>
            <w:vAlign w:val="bottom"/>
          </w:tcPr>
          <w:p>
            <w:pPr>
              <w:ind w:left="160"/>
              <w:spacing w:after="0"/>
              <w:rPr>
                <w:sz w:val="20"/>
                <w:szCs w:val="20"/>
                <w:color w:val="auto"/>
              </w:rPr>
            </w:pPr>
            <w:r>
              <w:rPr>
                <w:rFonts w:ascii="Arial" w:cs="Arial" w:eastAsia="Arial" w:hAnsi="Arial"/>
                <w:sz w:val="18"/>
                <w:szCs w:val="18"/>
                <w:color w:val="auto"/>
                <w:w w:val="93"/>
              </w:rPr>
              <w:t>Amendment to Amended and Restated Bylaws of TRI Pointe Homes, Inc. (incorporated by reference to Exhibit 3.1 to the Company’s Current</w:t>
            </w:r>
          </w:p>
        </w:tc>
      </w:tr>
      <w:tr>
        <w:trPr>
          <w:trHeight w:val="230"/>
        </w:trPr>
        <w:tc>
          <w:tcPr>
            <w:tcW w:w="760" w:type="dxa"/>
            <w:vAlign w:val="bottom"/>
          </w:tcPr>
          <w:p>
            <w:pPr>
              <w:spacing w:after="0"/>
              <w:rPr>
                <w:sz w:val="20"/>
                <w:szCs w:val="20"/>
                <w:color w:val="auto"/>
              </w:rPr>
            </w:pPr>
          </w:p>
        </w:tc>
        <w:tc>
          <w:tcPr>
            <w:tcW w:w="10640" w:type="dxa"/>
            <w:vAlign w:val="bottom"/>
          </w:tcPr>
          <w:p>
            <w:pPr>
              <w:ind w:left="160"/>
              <w:spacing w:after="0"/>
              <w:rPr>
                <w:sz w:val="20"/>
                <w:szCs w:val="20"/>
                <w:color w:val="auto"/>
              </w:rPr>
            </w:pPr>
            <w:r>
              <w:rPr>
                <w:rFonts w:ascii="Arial" w:cs="Arial" w:eastAsia="Arial" w:hAnsi="Arial"/>
                <w:sz w:val="18"/>
                <w:szCs w:val="18"/>
                <w:color w:val="auto"/>
              </w:rPr>
              <w:t>Report on Form 8-K (filed August 6, 2014)</w:t>
            </w:r>
          </w:p>
        </w:tc>
      </w:tr>
      <w:tr>
        <w:trPr>
          <w:trHeight w:val="323"/>
        </w:trPr>
        <w:tc>
          <w:tcPr>
            <w:tcW w:w="760" w:type="dxa"/>
            <w:vAlign w:val="bottom"/>
          </w:tcPr>
          <w:p>
            <w:pPr>
              <w:ind w:left="180"/>
              <w:spacing w:after="0"/>
              <w:rPr>
                <w:sz w:val="20"/>
                <w:szCs w:val="20"/>
                <w:color w:val="auto"/>
              </w:rPr>
            </w:pPr>
            <w:r>
              <w:rPr>
                <w:rFonts w:ascii="Arial" w:cs="Arial" w:eastAsia="Arial" w:hAnsi="Arial"/>
                <w:sz w:val="18"/>
                <w:szCs w:val="18"/>
                <w:color w:val="auto"/>
              </w:rPr>
              <w:t>4.1</w:t>
            </w:r>
          </w:p>
        </w:tc>
        <w:tc>
          <w:tcPr>
            <w:tcW w:w="10640" w:type="dxa"/>
            <w:vAlign w:val="bottom"/>
          </w:tcPr>
          <w:p>
            <w:pPr>
              <w:ind w:left="160"/>
              <w:spacing w:after="0"/>
              <w:rPr>
                <w:sz w:val="20"/>
                <w:szCs w:val="20"/>
                <w:color w:val="auto"/>
              </w:rPr>
            </w:pPr>
            <w:r>
              <w:rPr>
                <w:rFonts w:ascii="Arial" w:cs="Arial" w:eastAsia="Arial" w:hAnsi="Arial"/>
                <w:sz w:val="18"/>
                <w:szCs w:val="18"/>
                <w:color w:val="auto"/>
                <w:w w:val="97"/>
              </w:rPr>
              <w:t>Specimen Common Stock Certificate of TRI Pointe Homes, Inc. (incorporated by reference to Exhibit 4.1 to the Company’s Registration</w:t>
            </w:r>
          </w:p>
        </w:tc>
      </w:tr>
      <w:tr>
        <w:trPr>
          <w:trHeight w:val="230"/>
        </w:trPr>
        <w:tc>
          <w:tcPr>
            <w:tcW w:w="760" w:type="dxa"/>
            <w:vAlign w:val="bottom"/>
          </w:tcPr>
          <w:p>
            <w:pPr>
              <w:spacing w:after="0"/>
              <w:rPr>
                <w:sz w:val="20"/>
                <w:szCs w:val="20"/>
                <w:color w:val="auto"/>
              </w:rPr>
            </w:pPr>
          </w:p>
        </w:tc>
        <w:tc>
          <w:tcPr>
            <w:tcW w:w="10640" w:type="dxa"/>
            <w:vAlign w:val="bottom"/>
          </w:tcPr>
          <w:p>
            <w:pPr>
              <w:ind w:left="160"/>
              <w:spacing w:after="0"/>
              <w:rPr>
                <w:sz w:val="20"/>
                <w:szCs w:val="20"/>
                <w:color w:val="auto"/>
              </w:rPr>
            </w:pPr>
            <w:r>
              <w:rPr>
                <w:rFonts w:ascii="Arial" w:cs="Arial" w:eastAsia="Arial" w:hAnsi="Arial"/>
                <w:sz w:val="18"/>
                <w:szCs w:val="18"/>
                <w:color w:val="auto"/>
              </w:rPr>
              <w:t>Statement on Form S-1 (filed Dec. 21, 2012))</w:t>
            </w:r>
          </w:p>
        </w:tc>
      </w:tr>
      <w:tr>
        <w:trPr>
          <w:trHeight w:val="323"/>
        </w:trPr>
        <w:tc>
          <w:tcPr>
            <w:tcW w:w="760" w:type="dxa"/>
            <w:vAlign w:val="bottom"/>
          </w:tcPr>
          <w:p>
            <w:pPr>
              <w:ind w:left="180"/>
              <w:spacing w:after="0"/>
              <w:rPr>
                <w:sz w:val="20"/>
                <w:szCs w:val="20"/>
                <w:color w:val="auto"/>
              </w:rPr>
            </w:pPr>
            <w:r>
              <w:rPr>
                <w:rFonts w:ascii="Arial" w:cs="Arial" w:eastAsia="Arial" w:hAnsi="Arial"/>
                <w:sz w:val="18"/>
                <w:szCs w:val="18"/>
                <w:color w:val="auto"/>
              </w:rPr>
              <w:t>4.2</w:t>
            </w:r>
          </w:p>
        </w:tc>
        <w:tc>
          <w:tcPr>
            <w:tcW w:w="10640" w:type="dxa"/>
            <w:vAlign w:val="bottom"/>
          </w:tcPr>
          <w:p>
            <w:pPr>
              <w:ind w:left="160"/>
              <w:spacing w:after="0"/>
              <w:rPr>
                <w:sz w:val="20"/>
                <w:szCs w:val="20"/>
                <w:color w:val="auto"/>
              </w:rPr>
            </w:pPr>
            <w:r>
              <w:rPr>
                <w:rFonts w:ascii="Arial" w:cs="Arial" w:eastAsia="Arial" w:hAnsi="Arial"/>
                <w:sz w:val="18"/>
                <w:szCs w:val="18"/>
                <w:color w:val="auto"/>
                <w:w w:val="91"/>
              </w:rPr>
              <w:t>Investor Rights Agreement, dated as of January 30, 2013, by and among TRI Pointe Homes, Inc., VIII/TPC Holdings, L.L.C., BMG Homes, Inc.,</w:t>
            </w:r>
          </w:p>
        </w:tc>
      </w:tr>
      <w:tr>
        <w:trPr>
          <w:trHeight w:val="216"/>
        </w:trPr>
        <w:tc>
          <w:tcPr>
            <w:tcW w:w="760" w:type="dxa"/>
            <w:vAlign w:val="bottom"/>
          </w:tcPr>
          <w:p>
            <w:pPr>
              <w:spacing w:after="0"/>
              <w:rPr>
                <w:sz w:val="18"/>
                <w:szCs w:val="18"/>
                <w:color w:val="auto"/>
              </w:rPr>
            </w:pPr>
          </w:p>
        </w:tc>
        <w:tc>
          <w:tcPr>
            <w:tcW w:w="10640" w:type="dxa"/>
            <w:vAlign w:val="bottom"/>
          </w:tcPr>
          <w:p>
            <w:pPr>
              <w:ind w:left="160"/>
              <w:spacing w:after="0"/>
              <w:rPr>
                <w:sz w:val="20"/>
                <w:szCs w:val="20"/>
                <w:color w:val="auto"/>
              </w:rPr>
            </w:pPr>
            <w:r>
              <w:rPr>
                <w:rFonts w:ascii="Arial" w:cs="Arial" w:eastAsia="Arial" w:hAnsi="Arial"/>
                <w:sz w:val="18"/>
                <w:szCs w:val="18"/>
                <w:color w:val="auto"/>
                <w:w w:val="95"/>
              </w:rPr>
              <w:t>The Bauer Revocable Trust U/D/T Dated December 31, 2003, Grubbs Family Trust Dated June 22, 2012, The Mitchell Family Trust U/D/T</w:t>
            </w:r>
          </w:p>
        </w:tc>
      </w:tr>
      <w:tr>
        <w:trPr>
          <w:trHeight w:val="216"/>
        </w:trPr>
        <w:tc>
          <w:tcPr>
            <w:tcW w:w="760" w:type="dxa"/>
            <w:vAlign w:val="bottom"/>
          </w:tcPr>
          <w:p>
            <w:pPr>
              <w:spacing w:after="0"/>
              <w:rPr>
                <w:sz w:val="18"/>
                <w:szCs w:val="18"/>
                <w:color w:val="auto"/>
              </w:rPr>
            </w:pPr>
          </w:p>
        </w:tc>
        <w:tc>
          <w:tcPr>
            <w:tcW w:w="10640" w:type="dxa"/>
            <w:vAlign w:val="bottom"/>
          </w:tcPr>
          <w:p>
            <w:pPr>
              <w:ind w:left="160"/>
              <w:spacing w:after="0"/>
              <w:rPr>
                <w:sz w:val="20"/>
                <w:szCs w:val="20"/>
                <w:color w:val="auto"/>
              </w:rPr>
            </w:pPr>
            <w:r>
              <w:rPr>
                <w:rFonts w:ascii="Arial" w:cs="Arial" w:eastAsia="Arial" w:hAnsi="Arial"/>
                <w:sz w:val="18"/>
                <w:szCs w:val="18"/>
                <w:color w:val="auto"/>
                <w:w w:val="97"/>
              </w:rPr>
              <w:t>Dated February 8, 2000, Douglas J. Bauer, Thomas J. Mitchell and Michael D. Grubbs. (incorporated by reference to Exhibit 4.2 to the</w:t>
            </w:r>
          </w:p>
        </w:tc>
      </w:tr>
      <w:tr>
        <w:trPr>
          <w:trHeight w:val="230"/>
        </w:trPr>
        <w:tc>
          <w:tcPr>
            <w:tcW w:w="760" w:type="dxa"/>
            <w:vAlign w:val="bottom"/>
          </w:tcPr>
          <w:p>
            <w:pPr>
              <w:spacing w:after="0"/>
              <w:rPr>
                <w:sz w:val="20"/>
                <w:szCs w:val="20"/>
                <w:color w:val="auto"/>
              </w:rPr>
            </w:pPr>
          </w:p>
        </w:tc>
        <w:tc>
          <w:tcPr>
            <w:tcW w:w="10640" w:type="dxa"/>
            <w:vAlign w:val="bottom"/>
          </w:tcPr>
          <w:p>
            <w:pPr>
              <w:ind w:left="160"/>
              <w:spacing w:after="0"/>
              <w:rPr>
                <w:sz w:val="20"/>
                <w:szCs w:val="20"/>
                <w:color w:val="auto"/>
              </w:rPr>
            </w:pPr>
            <w:r>
              <w:rPr>
                <w:rFonts w:ascii="Arial" w:cs="Arial" w:eastAsia="Arial" w:hAnsi="Arial"/>
                <w:sz w:val="18"/>
                <w:szCs w:val="18"/>
                <w:color w:val="auto"/>
              </w:rPr>
              <w:t>Company’s Registration Statement on Form S-4 (filed Jan. 9, 2014))</w:t>
            </w:r>
          </w:p>
        </w:tc>
      </w:tr>
      <w:tr>
        <w:trPr>
          <w:trHeight w:val="323"/>
        </w:trPr>
        <w:tc>
          <w:tcPr>
            <w:tcW w:w="760" w:type="dxa"/>
            <w:vAlign w:val="bottom"/>
          </w:tcPr>
          <w:p>
            <w:pPr>
              <w:ind w:left="180"/>
              <w:spacing w:after="0"/>
              <w:rPr>
                <w:sz w:val="20"/>
                <w:szCs w:val="20"/>
                <w:color w:val="auto"/>
              </w:rPr>
            </w:pPr>
            <w:r>
              <w:rPr>
                <w:rFonts w:ascii="Arial" w:cs="Arial" w:eastAsia="Arial" w:hAnsi="Arial"/>
                <w:sz w:val="18"/>
                <w:szCs w:val="18"/>
                <w:color w:val="auto"/>
              </w:rPr>
              <w:t>4.3</w:t>
            </w:r>
          </w:p>
        </w:tc>
        <w:tc>
          <w:tcPr>
            <w:tcW w:w="10640" w:type="dxa"/>
            <w:vAlign w:val="bottom"/>
          </w:tcPr>
          <w:p>
            <w:pPr>
              <w:ind w:left="160"/>
              <w:spacing w:after="0"/>
              <w:rPr>
                <w:sz w:val="20"/>
                <w:szCs w:val="20"/>
                <w:color w:val="auto"/>
              </w:rPr>
            </w:pPr>
            <w:r>
              <w:rPr>
                <w:rFonts w:ascii="Arial" w:cs="Arial" w:eastAsia="Arial" w:hAnsi="Arial"/>
                <w:sz w:val="18"/>
                <w:szCs w:val="18"/>
                <w:color w:val="auto"/>
                <w:w w:val="95"/>
              </w:rPr>
              <w:t>First Amendment to Investor Rights Agreement, dated as of November 3, 2013, by and among TRI Pointe Homes, Inc., VIII/TPC Holdings,</w:t>
            </w:r>
          </w:p>
        </w:tc>
      </w:tr>
      <w:tr>
        <w:trPr>
          <w:trHeight w:val="216"/>
        </w:trPr>
        <w:tc>
          <w:tcPr>
            <w:tcW w:w="760" w:type="dxa"/>
            <w:vAlign w:val="bottom"/>
          </w:tcPr>
          <w:p>
            <w:pPr>
              <w:spacing w:after="0"/>
              <w:rPr>
                <w:sz w:val="18"/>
                <w:szCs w:val="18"/>
                <w:color w:val="auto"/>
              </w:rPr>
            </w:pPr>
          </w:p>
        </w:tc>
        <w:tc>
          <w:tcPr>
            <w:tcW w:w="10640" w:type="dxa"/>
            <w:vAlign w:val="bottom"/>
          </w:tcPr>
          <w:p>
            <w:pPr>
              <w:ind w:left="160"/>
              <w:spacing w:after="0"/>
              <w:rPr>
                <w:sz w:val="20"/>
                <w:szCs w:val="20"/>
                <w:color w:val="auto"/>
              </w:rPr>
            </w:pPr>
            <w:r>
              <w:rPr>
                <w:rFonts w:ascii="Arial" w:cs="Arial" w:eastAsia="Arial" w:hAnsi="Arial"/>
                <w:sz w:val="18"/>
                <w:szCs w:val="18"/>
                <w:color w:val="auto"/>
                <w:w w:val="96"/>
              </w:rPr>
              <w:t>L.L.C., BMG Homes, Inc., The Bauer Revocable Trust U/D/T Dated December 31, 2003, Grubbs Family Trust Dated June 22, 2012, The</w:t>
            </w:r>
          </w:p>
        </w:tc>
      </w:tr>
      <w:tr>
        <w:trPr>
          <w:trHeight w:val="216"/>
        </w:trPr>
        <w:tc>
          <w:tcPr>
            <w:tcW w:w="760" w:type="dxa"/>
            <w:vAlign w:val="bottom"/>
          </w:tcPr>
          <w:p>
            <w:pPr>
              <w:spacing w:after="0"/>
              <w:rPr>
                <w:sz w:val="18"/>
                <w:szCs w:val="18"/>
                <w:color w:val="auto"/>
              </w:rPr>
            </w:pPr>
          </w:p>
        </w:tc>
        <w:tc>
          <w:tcPr>
            <w:tcW w:w="10640" w:type="dxa"/>
            <w:vAlign w:val="bottom"/>
          </w:tcPr>
          <w:p>
            <w:pPr>
              <w:ind w:left="160"/>
              <w:spacing w:after="0"/>
              <w:rPr>
                <w:sz w:val="20"/>
                <w:szCs w:val="20"/>
                <w:color w:val="auto"/>
              </w:rPr>
            </w:pPr>
            <w:r>
              <w:rPr>
                <w:rFonts w:ascii="Arial" w:cs="Arial" w:eastAsia="Arial" w:hAnsi="Arial"/>
                <w:sz w:val="18"/>
                <w:szCs w:val="18"/>
                <w:color w:val="auto"/>
                <w:w w:val="92"/>
              </w:rPr>
              <w:t>Mitchell Family Trust U/D/T Dated February 8, 2000, Douglas F. Bauer, Thomas J. Mitchell and Michael D. Grubbs (incorporated by reference</w:t>
            </w:r>
          </w:p>
        </w:tc>
      </w:tr>
      <w:tr>
        <w:trPr>
          <w:trHeight w:val="230"/>
        </w:trPr>
        <w:tc>
          <w:tcPr>
            <w:tcW w:w="760" w:type="dxa"/>
            <w:vAlign w:val="bottom"/>
          </w:tcPr>
          <w:p>
            <w:pPr>
              <w:spacing w:after="0"/>
              <w:rPr>
                <w:sz w:val="20"/>
                <w:szCs w:val="20"/>
                <w:color w:val="auto"/>
              </w:rPr>
            </w:pPr>
          </w:p>
        </w:tc>
        <w:tc>
          <w:tcPr>
            <w:tcW w:w="10640" w:type="dxa"/>
            <w:vAlign w:val="bottom"/>
          </w:tcPr>
          <w:p>
            <w:pPr>
              <w:ind w:left="160"/>
              <w:spacing w:after="0"/>
              <w:rPr>
                <w:sz w:val="20"/>
                <w:szCs w:val="20"/>
                <w:color w:val="auto"/>
              </w:rPr>
            </w:pPr>
            <w:r>
              <w:rPr>
                <w:rFonts w:ascii="Arial" w:cs="Arial" w:eastAsia="Arial" w:hAnsi="Arial"/>
                <w:sz w:val="18"/>
                <w:szCs w:val="18"/>
                <w:color w:val="auto"/>
              </w:rPr>
              <w:t>to Exhibit 10.9 to the Company’s Current Report on Form 8-K (filed Nov. 4, 2013))</w:t>
            </w:r>
          </w:p>
        </w:tc>
      </w:tr>
      <w:tr>
        <w:trPr>
          <w:trHeight w:val="323"/>
        </w:trPr>
        <w:tc>
          <w:tcPr>
            <w:tcW w:w="760" w:type="dxa"/>
            <w:vAlign w:val="bottom"/>
          </w:tcPr>
          <w:p>
            <w:pPr>
              <w:ind w:left="180"/>
              <w:spacing w:after="0"/>
              <w:rPr>
                <w:sz w:val="20"/>
                <w:szCs w:val="20"/>
                <w:color w:val="auto"/>
              </w:rPr>
            </w:pPr>
            <w:r>
              <w:rPr>
                <w:rFonts w:ascii="Arial" w:cs="Arial" w:eastAsia="Arial" w:hAnsi="Arial"/>
                <w:sz w:val="18"/>
                <w:szCs w:val="18"/>
                <w:color w:val="auto"/>
              </w:rPr>
              <w:t>4.4</w:t>
            </w:r>
          </w:p>
        </w:tc>
        <w:tc>
          <w:tcPr>
            <w:tcW w:w="10640" w:type="dxa"/>
            <w:vAlign w:val="bottom"/>
          </w:tcPr>
          <w:p>
            <w:pPr>
              <w:ind w:left="160"/>
              <w:spacing w:after="0"/>
              <w:rPr>
                <w:sz w:val="20"/>
                <w:szCs w:val="20"/>
                <w:color w:val="auto"/>
              </w:rPr>
            </w:pPr>
            <w:r>
              <w:rPr>
                <w:rFonts w:ascii="Arial" w:cs="Arial" w:eastAsia="Arial" w:hAnsi="Arial"/>
                <w:sz w:val="18"/>
                <w:szCs w:val="18"/>
                <w:color w:val="auto"/>
                <w:w w:val="96"/>
              </w:rPr>
              <w:t>Registration Rights Agreement, dated as of January 30, 2013, among TRI Pointe Homes, Inc., VIII/TPC Holdings, L.L.C., and certain TRI</w:t>
            </w:r>
          </w:p>
        </w:tc>
      </w:tr>
      <w:tr>
        <w:trPr>
          <w:trHeight w:val="216"/>
        </w:trPr>
        <w:tc>
          <w:tcPr>
            <w:tcW w:w="760" w:type="dxa"/>
            <w:vAlign w:val="bottom"/>
          </w:tcPr>
          <w:p>
            <w:pPr>
              <w:spacing w:after="0"/>
              <w:rPr>
                <w:sz w:val="18"/>
                <w:szCs w:val="18"/>
                <w:color w:val="auto"/>
              </w:rPr>
            </w:pPr>
          </w:p>
        </w:tc>
        <w:tc>
          <w:tcPr>
            <w:tcW w:w="10640" w:type="dxa"/>
            <w:vAlign w:val="bottom"/>
          </w:tcPr>
          <w:p>
            <w:pPr>
              <w:ind w:left="160"/>
              <w:spacing w:after="0"/>
              <w:rPr>
                <w:sz w:val="20"/>
                <w:szCs w:val="20"/>
                <w:color w:val="auto"/>
              </w:rPr>
            </w:pPr>
            <w:r>
              <w:rPr>
                <w:rFonts w:ascii="Arial" w:cs="Arial" w:eastAsia="Arial" w:hAnsi="Arial"/>
                <w:sz w:val="18"/>
                <w:szCs w:val="18"/>
                <w:color w:val="auto"/>
                <w:w w:val="93"/>
              </w:rPr>
              <w:t>Pointe Homes, Inc. stockholders (incorporated by reference to Exhibit 4.4 to the Company’s Registration Statement on Form S-4 (filed Jan. 9,</w:t>
            </w:r>
          </w:p>
        </w:tc>
      </w:tr>
      <w:tr>
        <w:trPr>
          <w:trHeight w:val="230"/>
        </w:trPr>
        <w:tc>
          <w:tcPr>
            <w:tcW w:w="760" w:type="dxa"/>
            <w:vAlign w:val="bottom"/>
          </w:tcPr>
          <w:p>
            <w:pPr>
              <w:spacing w:after="0"/>
              <w:rPr>
                <w:sz w:val="20"/>
                <w:szCs w:val="20"/>
                <w:color w:val="auto"/>
              </w:rPr>
            </w:pPr>
          </w:p>
        </w:tc>
        <w:tc>
          <w:tcPr>
            <w:tcW w:w="10640" w:type="dxa"/>
            <w:vAlign w:val="bottom"/>
          </w:tcPr>
          <w:p>
            <w:pPr>
              <w:ind w:left="160"/>
              <w:spacing w:after="0"/>
              <w:rPr>
                <w:sz w:val="20"/>
                <w:szCs w:val="20"/>
                <w:color w:val="auto"/>
              </w:rPr>
            </w:pPr>
            <w:r>
              <w:rPr>
                <w:rFonts w:ascii="Arial" w:cs="Arial" w:eastAsia="Arial" w:hAnsi="Arial"/>
                <w:sz w:val="18"/>
                <w:szCs w:val="18"/>
                <w:color w:val="auto"/>
              </w:rPr>
              <w:t>2014))</w:t>
            </w:r>
          </w:p>
        </w:tc>
      </w:tr>
      <w:tr>
        <w:trPr>
          <w:trHeight w:val="323"/>
        </w:trPr>
        <w:tc>
          <w:tcPr>
            <w:tcW w:w="760" w:type="dxa"/>
            <w:vAlign w:val="bottom"/>
          </w:tcPr>
          <w:p>
            <w:pPr>
              <w:ind w:left="180"/>
              <w:spacing w:after="0"/>
              <w:rPr>
                <w:sz w:val="20"/>
                <w:szCs w:val="20"/>
                <w:color w:val="auto"/>
              </w:rPr>
            </w:pPr>
            <w:r>
              <w:rPr>
                <w:rFonts w:ascii="Arial" w:cs="Arial" w:eastAsia="Arial" w:hAnsi="Arial"/>
                <w:sz w:val="18"/>
                <w:szCs w:val="18"/>
                <w:color w:val="auto"/>
              </w:rPr>
              <w:t>4.5</w:t>
            </w:r>
          </w:p>
        </w:tc>
        <w:tc>
          <w:tcPr>
            <w:tcW w:w="10640" w:type="dxa"/>
            <w:vAlign w:val="bottom"/>
          </w:tcPr>
          <w:p>
            <w:pPr>
              <w:ind w:left="160"/>
              <w:spacing w:after="0"/>
              <w:rPr>
                <w:sz w:val="20"/>
                <w:szCs w:val="20"/>
                <w:color w:val="auto"/>
              </w:rPr>
            </w:pPr>
            <w:r>
              <w:rPr>
                <w:rFonts w:ascii="Arial" w:cs="Arial" w:eastAsia="Arial" w:hAnsi="Arial"/>
                <w:sz w:val="18"/>
                <w:szCs w:val="18"/>
                <w:color w:val="auto"/>
                <w:w w:val="95"/>
              </w:rPr>
              <w:t>Indenture, dated as of June 13, 2014, by and among Weyerhaeuser Real Estate Company and U.S. Bank National Association, as trustee</w:t>
            </w:r>
          </w:p>
        </w:tc>
      </w:tr>
      <w:tr>
        <w:trPr>
          <w:trHeight w:val="216"/>
        </w:trPr>
        <w:tc>
          <w:tcPr>
            <w:tcW w:w="760" w:type="dxa"/>
            <w:vAlign w:val="bottom"/>
          </w:tcPr>
          <w:p>
            <w:pPr>
              <w:spacing w:after="0"/>
              <w:rPr>
                <w:sz w:val="18"/>
                <w:szCs w:val="18"/>
                <w:color w:val="auto"/>
              </w:rPr>
            </w:pPr>
          </w:p>
        </w:tc>
        <w:tc>
          <w:tcPr>
            <w:tcW w:w="10640" w:type="dxa"/>
            <w:vAlign w:val="bottom"/>
          </w:tcPr>
          <w:p>
            <w:pPr>
              <w:ind w:left="160"/>
              <w:spacing w:after="0"/>
              <w:rPr>
                <w:sz w:val="20"/>
                <w:szCs w:val="20"/>
                <w:color w:val="auto"/>
              </w:rPr>
            </w:pPr>
            <w:r>
              <w:rPr>
                <w:rFonts w:ascii="Arial" w:cs="Arial" w:eastAsia="Arial" w:hAnsi="Arial"/>
                <w:sz w:val="18"/>
                <w:szCs w:val="18"/>
                <w:color w:val="auto"/>
                <w:w w:val="92"/>
              </w:rPr>
              <w:t>(including form of 4.375% Senior Note due 2019) (incorporated by reference to Exhibit 4.1 to the Company’s Current Report on Form 8-K (filed</w:t>
            </w:r>
          </w:p>
        </w:tc>
      </w:tr>
      <w:tr>
        <w:trPr>
          <w:trHeight w:val="230"/>
        </w:trPr>
        <w:tc>
          <w:tcPr>
            <w:tcW w:w="760" w:type="dxa"/>
            <w:vAlign w:val="bottom"/>
          </w:tcPr>
          <w:p>
            <w:pPr>
              <w:spacing w:after="0"/>
              <w:rPr>
                <w:sz w:val="20"/>
                <w:szCs w:val="20"/>
                <w:color w:val="auto"/>
              </w:rPr>
            </w:pPr>
          </w:p>
        </w:tc>
        <w:tc>
          <w:tcPr>
            <w:tcW w:w="10640" w:type="dxa"/>
            <w:vAlign w:val="bottom"/>
          </w:tcPr>
          <w:p>
            <w:pPr>
              <w:ind w:left="160"/>
              <w:spacing w:after="0"/>
              <w:rPr>
                <w:sz w:val="20"/>
                <w:szCs w:val="20"/>
                <w:color w:val="auto"/>
              </w:rPr>
            </w:pPr>
            <w:r>
              <w:rPr>
                <w:rFonts w:ascii="Arial" w:cs="Arial" w:eastAsia="Arial" w:hAnsi="Arial"/>
                <w:sz w:val="18"/>
                <w:szCs w:val="18"/>
                <w:color w:val="auto"/>
              </w:rPr>
              <w:t>June 19, 2014))</w:t>
            </w:r>
          </w:p>
        </w:tc>
      </w:tr>
      <w:tr>
        <w:trPr>
          <w:trHeight w:val="323"/>
        </w:trPr>
        <w:tc>
          <w:tcPr>
            <w:tcW w:w="760" w:type="dxa"/>
            <w:vAlign w:val="bottom"/>
          </w:tcPr>
          <w:p>
            <w:pPr>
              <w:ind w:left="180"/>
              <w:spacing w:after="0"/>
              <w:rPr>
                <w:sz w:val="20"/>
                <w:szCs w:val="20"/>
                <w:color w:val="auto"/>
              </w:rPr>
            </w:pPr>
            <w:r>
              <w:rPr>
                <w:rFonts w:ascii="Arial" w:cs="Arial" w:eastAsia="Arial" w:hAnsi="Arial"/>
                <w:sz w:val="18"/>
                <w:szCs w:val="18"/>
                <w:color w:val="auto"/>
              </w:rPr>
              <w:t>4.6</w:t>
            </w:r>
          </w:p>
        </w:tc>
        <w:tc>
          <w:tcPr>
            <w:tcW w:w="10640" w:type="dxa"/>
            <w:vAlign w:val="bottom"/>
          </w:tcPr>
          <w:p>
            <w:pPr>
              <w:ind w:left="160"/>
              <w:spacing w:after="0"/>
              <w:rPr>
                <w:sz w:val="20"/>
                <w:szCs w:val="20"/>
                <w:color w:val="auto"/>
              </w:rPr>
            </w:pPr>
            <w:r>
              <w:rPr>
                <w:rFonts w:ascii="Arial" w:cs="Arial" w:eastAsia="Arial" w:hAnsi="Arial"/>
                <w:sz w:val="18"/>
                <w:szCs w:val="18"/>
                <w:color w:val="auto"/>
                <w:w w:val="93"/>
              </w:rPr>
              <w:t>First Supplemental Indenture, dated as of July 7, 2014, among TRI Pointe Homes, Inc., Weyerhaeuser Real Estate Company and U.S. Bank</w:t>
            </w:r>
          </w:p>
        </w:tc>
      </w:tr>
      <w:tr>
        <w:trPr>
          <w:trHeight w:val="216"/>
        </w:trPr>
        <w:tc>
          <w:tcPr>
            <w:tcW w:w="760" w:type="dxa"/>
            <w:vAlign w:val="bottom"/>
          </w:tcPr>
          <w:p>
            <w:pPr>
              <w:spacing w:after="0"/>
              <w:rPr>
                <w:sz w:val="18"/>
                <w:szCs w:val="18"/>
                <w:color w:val="auto"/>
              </w:rPr>
            </w:pPr>
          </w:p>
        </w:tc>
        <w:tc>
          <w:tcPr>
            <w:tcW w:w="10640" w:type="dxa"/>
            <w:vAlign w:val="bottom"/>
          </w:tcPr>
          <w:p>
            <w:pPr>
              <w:ind w:left="160"/>
              <w:spacing w:after="0"/>
              <w:rPr>
                <w:sz w:val="20"/>
                <w:szCs w:val="20"/>
                <w:color w:val="auto"/>
              </w:rPr>
            </w:pPr>
            <w:r>
              <w:rPr>
                <w:rFonts w:ascii="Arial" w:cs="Arial" w:eastAsia="Arial" w:hAnsi="Arial"/>
                <w:sz w:val="18"/>
                <w:szCs w:val="18"/>
                <w:color w:val="auto"/>
                <w:w w:val="95"/>
              </w:rPr>
              <w:t>National Association, as trustee, relating to the 4.375% Senior Notes due 2019 (incorporated by reference to Exhibit 4.1 to the Company’s</w:t>
            </w:r>
          </w:p>
        </w:tc>
      </w:tr>
      <w:tr>
        <w:trPr>
          <w:trHeight w:val="230"/>
        </w:trPr>
        <w:tc>
          <w:tcPr>
            <w:tcW w:w="760" w:type="dxa"/>
            <w:vAlign w:val="bottom"/>
          </w:tcPr>
          <w:p>
            <w:pPr>
              <w:spacing w:after="0"/>
              <w:rPr>
                <w:sz w:val="20"/>
                <w:szCs w:val="20"/>
                <w:color w:val="auto"/>
              </w:rPr>
            </w:pPr>
          </w:p>
        </w:tc>
        <w:tc>
          <w:tcPr>
            <w:tcW w:w="10640" w:type="dxa"/>
            <w:vAlign w:val="bottom"/>
          </w:tcPr>
          <w:p>
            <w:pPr>
              <w:ind w:left="160"/>
              <w:spacing w:after="0"/>
              <w:rPr>
                <w:sz w:val="20"/>
                <w:szCs w:val="20"/>
                <w:color w:val="auto"/>
              </w:rPr>
            </w:pPr>
            <w:r>
              <w:rPr>
                <w:rFonts w:ascii="Arial" w:cs="Arial" w:eastAsia="Arial" w:hAnsi="Arial"/>
                <w:sz w:val="18"/>
                <w:szCs w:val="18"/>
                <w:color w:val="auto"/>
              </w:rPr>
              <w:t>Current Report on Form 8-K (filed July 7, 2014))</w:t>
            </w:r>
          </w:p>
        </w:tc>
      </w:tr>
      <w:tr>
        <w:trPr>
          <w:trHeight w:val="323"/>
        </w:trPr>
        <w:tc>
          <w:tcPr>
            <w:tcW w:w="760" w:type="dxa"/>
            <w:vAlign w:val="bottom"/>
          </w:tcPr>
          <w:p>
            <w:pPr>
              <w:ind w:left="180"/>
              <w:spacing w:after="0"/>
              <w:rPr>
                <w:sz w:val="20"/>
                <w:szCs w:val="20"/>
                <w:color w:val="auto"/>
              </w:rPr>
            </w:pPr>
            <w:r>
              <w:rPr>
                <w:rFonts w:ascii="Arial" w:cs="Arial" w:eastAsia="Arial" w:hAnsi="Arial"/>
                <w:sz w:val="18"/>
                <w:szCs w:val="18"/>
                <w:color w:val="auto"/>
              </w:rPr>
              <w:t>4.7</w:t>
            </w:r>
          </w:p>
        </w:tc>
        <w:tc>
          <w:tcPr>
            <w:tcW w:w="10640" w:type="dxa"/>
            <w:vAlign w:val="bottom"/>
          </w:tcPr>
          <w:p>
            <w:pPr>
              <w:ind w:left="160"/>
              <w:spacing w:after="0"/>
              <w:rPr>
                <w:sz w:val="20"/>
                <w:szCs w:val="20"/>
                <w:color w:val="auto"/>
              </w:rPr>
            </w:pPr>
            <w:r>
              <w:rPr>
                <w:rFonts w:ascii="Arial" w:cs="Arial" w:eastAsia="Arial" w:hAnsi="Arial"/>
                <w:sz w:val="18"/>
                <w:szCs w:val="18"/>
                <w:color w:val="auto"/>
                <w:w w:val="92"/>
              </w:rPr>
              <w:t>Second Supplemental Indenture, dated as of July 7, 2014, among the guarantors party thereto and U.S. Bank National Association, as trustee,</w:t>
            </w:r>
          </w:p>
        </w:tc>
      </w:tr>
      <w:tr>
        <w:trPr>
          <w:trHeight w:val="216"/>
        </w:trPr>
        <w:tc>
          <w:tcPr>
            <w:tcW w:w="760" w:type="dxa"/>
            <w:vAlign w:val="bottom"/>
          </w:tcPr>
          <w:p>
            <w:pPr>
              <w:spacing w:after="0"/>
              <w:rPr>
                <w:sz w:val="18"/>
                <w:szCs w:val="18"/>
                <w:color w:val="auto"/>
              </w:rPr>
            </w:pPr>
          </w:p>
        </w:tc>
        <w:tc>
          <w:tcPr>
            <w:tcW w:w="10640" w:type="dxa"/>
            <w:vAlign w:val="bottom"/>
          </w:tcPr>
          <w:p>
            <w:pPr>
              <w:ind w:left="160"/>
              <w:spacing w:after="0"/>
              <w:rPr>
                <w:sz w:val="20"/>
                <w:szCs w:val="20"/>
                <w:color w:val="auto"/>
              </w:rPr>
            </w:pPr>
            <w:r>
              <w:rPr>
                <w:rFonts w:ascii="Arial" w:cs="Arial" w:eastAsia="Arial" w:hAnsi="Arial"/>
                <w:sz w:val="18"/>
                <w:szCs w:val="18"/>
                <w:color w:val="auto"/>
                <w:w w:val="91"/>
              </w:rPr>
              <w:t>relating to the 4.375% Senior Notes due 2019 (incorporated by reference to Exhibit 4.3 to the Company’s Current Report on Form 8-K (filed July</w:t>
            </w:r>
          </w:p>
        </w:tc>
      </w:tr>
      <w:tr>
        <w:trPr>
          <w:trHeight w:val="230"/>
        </w:trPr>
        <w:tc>
          <w:tcPr>
            <w:tcW w:w="760" w:type="dxa"/>
            <w:vAlign w:val="bottom"/>
          </w:tcPr>
          <w:p>
            <w:pPr>
              <w:spacing w:after="0"/>
              <w:rPr>
                <w:sz w:val="20"/>
                <w:szCs w:val="20"/>
                <w:color w:val="auto"/>
              </w:rPr>
            </w:pPr>
          </w:p>
        </w:tc>
        <w:tc>
          <w:tcPr>
            <w:tcW w:w="10640" w:type="dxa"/>
            <w:vAlign w:val="bottom"/>
          </w:tcPr>
          <w:p>
            <w:pPr>
              <w:ind w:left="160"/>
              <w:spacing w:after="0"/>
              <w:rPr>
                <w:sz w:val="20"/>
                <w:szCs w:val="20"/>
                <w:color w:val="auto"/>
              </w:rPr>
            </w:pPr>
            <w:r>
              <w:rPr>
                <w:rFonts w:ascii="Arial" w:cs="Arial" w:eastAsia="Arial" w:hAnsi="Arial"/>
                <w:sz w:val="18"/>
                <w:szCs w:val="18"/>
                <w:color w:val="auto"/>
              </w:rPr>
              <w:t>7, 2014))</w:t>
            </w:r>
          </w:p>
        </w:tc>
      </w:tr>
      <w:tr>
        <w:trPr>
          <w:trHeight w:val="323"/>
        </w:trPr>
        <w:tc>
          <w:tcPr>
            <w:tcW w:w="760" w:type="dxa"/>
            <w:vAlign w:val="bottom"/>
          </w:tcPr>
          <w:p>
            <w:pPr>
              <w:ind w:left="180"/>
              <w:spacing w:after="0"/>
              <w:rPr>
                <w:sz w:val="20"/>
                <w:szCs w:val="20"/>
                <w:color w:val="auto"/>
              </w:rPr>
            </w:pPr>
            <w:r>
              <w:rPr>
                <w:rFonts w:ascii="Arial" w:cs="Arial" w:eastAsia="Arial" w:hAnsi="Arial"/>
                <w:sz w:val="18"/>
                <w:szCs w:val="18"/>
                <w:color w:val="auto"/>
              </w:rPr>
              <w:t>4.8</w:t>
            </w:r>
          </w:p>
        </w:tc>
        <w:tc>
          <w:tcPr>
            <w:tcW w:w="10640" w:type="dxa"/>
            <w:vAlign w:val="bottom"/>
          </w:tcPr>
          <w:p>
            <w:pPr>
              <w:ind w:left="160"/>
              <w:spacing w:after="0"/>
              <w:rPr>
                <w:sz w:val="20"/>
                <w:szCs w:val="20"/>
                <w:color w:val="auto"/>
              </w:rPr>
            </w:pPr>
            <w:r>
              <w:rPr>
                <w:rFonts w:ascii="Arial" w:cs="Arial" w:eastAsia="Arial" w:hAnsi="Arial"/>
                <w:sz w:val="18"/>
                <w:szCs w:val="18"/>
                <w:color w:val="auto"/>
                <w:w w:val="95"/>
              </w:rPr>
              <w:t>Indenture, dated as of June 13, 2014, by and among Weyerhaeuser Real Estate Company and U.S. Bank National Association, as trustee</w:t>
            </w:r>
          </w:p>
        </w:tc>
      </w:tr>
      <w:tr>
        <w:trPr>
          <w:trHeight w:val="216"/>
        </w:trPr>
        <w:tc>
          <w:tcPr>
            <w:tcW w:w="760" w:type="dxa"/>
            <w:vAlign w:val="bottom"/>
          </w:tcPr>
          <w:p>
            <w:pPr>
              <w:spacing w:after="0"/>
              <w:rPr>
                <w:sz w:val="18"/>
                <w:szCs w:val="18"/>
                <w:color w:val="auto"/>
              </w:rPr>
            </w:pPr>
          </w:p>
        </w:tc>
        <w:tc>
          <w:tcPr>
            <w:tcW w:w="10640" w:type="dxa"/>
            <w:vAlign w:val="bottom"/>
          </w:tcPr>
          <w:p>
            <w:pPr>
              <w:ind w:left="160"/>
              <w:spacing w:after="0"/>
              <w:rPr>
                <w:sz w:val="20"/>
                <w:szCs w:val="20"/>
                <w:color w:val="auto"/>
              </w:rPr>
            </w:pPr>
            <w:r>
              <w:rPr>
                <w:rFonts w:ascii="Arial" w:cs="Arial" w:eastAsia="Arial" w:hAnsi="Arial"/>
                <w:sz w:val="18"/>
                <w:szCs w:val="18"/>
                <w:color w:val="auto"/>
                <w:w w:val="92"/>
              </w:rPr>
              <w:t>(including form of 5.875% Senior Note due 2024) (incorporated by reference to Exhibit 4.2 to the Company’s Current Report on Form 8-K (filed</w:t>
            </w:r>
          </w:p>
        </w:tc>
      </w:tr>
      <w:tr>
        <w:trPr>
          <w:trHeight w:val="230"/>
        </w:trPr>
        <w:tc>
          <w:tcPr>
            <w:tcW w:w="760" w:type="dxa"/>
            <w:vAlign w:val="bottom"/>
          </w:tcPr>
          <w:p>
            <w:pPr>
              <w:spacing w:after="0"/>
              <w:rPr>
                <w:sz w:val="20"/>
                <w:szCs w:val="20"/>
                <w:color w:val="auto"/>
              </w:rPr>
            </w:pPr>
          </w:p>
        </w:tc>
        <w:tc>
          <w:tcPr>
            <w:tcW w:w="10640" w:type="dxa"/>
            <w:vAlign w:val="bottom"/>
          </w:tcPr>
          <w:p>
            <w:pPr>
              <w:ind w:left="160"/>
              <w:spacing w:after="0"/>
              <w:rPr>
                <w:sz w:val="20"/>
                <w:szCs w:val="20"/>
                <w:color w:val="auto"/>
              </w:rPr>
            </w:pPr>
            <w:r>
              <w:rPr>
                <w:rFonts w:ascii="Arial" w:cs="Arial" w:eastAsia="Arial" w:hAnsi="Arial"/>
                <w:sz w:val="18"/>
                <w:szCs w:val="18"/>
                <w:color w:val="auto"/>
              </w:rPr>
              <w:t>June 19, 2014))</w:t>
            </w:r>
          </w:p>
        </w:tc>
      </w:tr>
      <w:tr>
        <w:trPr>
          <w:trHeight w:val="323"/>
        </w:trPr>
        <w:tc>
          <w:tcPr>
            <w:tcW w:w="760" w:type="dxa"/>
            <w:vAlign w:val="bottom"/>
          </w:tcPr>
          <w:p>
            <w:pPr>
              <w:ind w:left="180"/>
              <w:spacing w:after="0"/>
              <w:rPr>
                <w:sz w:val="20"/>
                <w:szCs w:val="20"/>
                <w:color w:val="auto"/>
              </w:rPr>
            </w:pPr>
            <w:r>
              <w:rPr>
                <w:rFonts w:ascii="Arial" w:cs="Arial" w:eastAsia="Arial" w:hAnsi="Arial"/>
                <w:sz w:val="18"/>
                <w:szCs w:val="18"/>
                <w:color w:val="auto"/>
              </w:rPr>
              <w:t>4.9</w:t>
            </w:r>
          </w:p>
        </w:tc>
        <w:tc>
          <w:tcPr>
            <w:tcW w:w="10640" w:type="dxa"/>
            <w:vAlign w:val="bottom"/>
          </w:tcPr>
          <w:p>
            <w:pPr>
              <w:ind w:left="160"/>
              <w:spacing w:after="0"/>
              <w:rPr>
                <w:sz w:val="20"/>
                <w:szCs w:val="20"/>
                <w:color w:val="auto"/>
              </w:rPr>
            </w:pPr>
            <w:r>
              <w:rPr>
                <w:rFonts w:ascii="Arial" w:cs="Arial" w:eastAsia="Arial" w:hAnsi="Arial"/>
                <w:sz w:val="18"/>
                <w:szCs w:val="18"/>
                <w:color w:val="auto"/>
                <w:w w:val="93"/>
              </w:rPr>
              <w:t>First Supplemental Indenture, dated as of July 7, 2014, among TRI Pointe Homes, Inc., Weyerhaeuser Real Estate Company and U.S. Bank</w:t>
            </w:r>
          </w:p>
        </w:tc>
      </w:tr>
      <w:tr>
        <w:trPr>
          <w:trHeight w:val="216"/>
        </w:trPr>
        <w:tc>
          <w:tcPr>
            <w:tcW w:w="760" w:type="dxa"/>
            <w:vAlign w:val="bottom"/>
          </w:tcPr>
          <w:p>
            <w:pPr>
              <w:spacing w:after="0"/>
              <w:rPr>
                <w:sz w:val="18"/>
                <w:szCs w:val="18"/>
                <w:color w:val="auto"/>
              </w:rPr>
            </w:pPr>
          </w:p>
        </w:tc>
        <w:tc>
          <w:tcPr>
            <w:tcW w:w="10640" w:type="dxa"/>
            <w:vAlign w:val="bottom"/>
          </w:tcPr>
          <w:p>
            <w:pPr>
              <w:ind w:left="160"/>
              <w:spacing w:after="0"/>
              <w:rPr>
                <w:sz w:val="20"/>
                <w:szCs w:val="20"/>
                <w:color w:val="auto"/>
              </w:rPr>
            </w:pPr>
            <w:r>
              <w:rPr>
                <w:rFonts w:ascii="Arial" w:cs="Arial" w:eastAsia="Arial" w:hAnsi="Arial"/>
                <w:sz w:val="18"/>
                <w:szCs w:val="18"/>
                <w:color w:val="auto"/>
                <w:w w:val="95"/>
              </w:rPr>
              <w:t>National Association, as trustee, relating to the 5.875% Senior Notes due 2024 (incorporated by reference to Exhibit 4.2 to the Company’s</w:t>
            </w:r>
          </w:p>
        </w:tc>
      </w:tr>
      <w:tr>
        <w:trPr>
          <w:trHeight w:val="230"/>
        </w:trPr>
        <w:tc>
          <w:tcPr>
            <w:tcW w:w="760" w:type="dxa"/>
            <w:vAlign w:val="bottom"/>
          </w:tcPr>
          <w:p>
            <w:pPr>
              <w:spacing w:after="0"/>
              <w:rPr>
                <w:sz w:val="20"/>
                <w:szCs w:val="20"/>
                <w:color w:val="auto"/>
              </w:rPr>
            </w:pPr>
          </w:p>
        </w:tc>
        <w:tc>
          <w:tcPr>
            <w:tcW w:w="10640" w:type="dxa"/>
            <w:vAlign w:val="bottom"/>
          </w:tcPr>
          <w:p>
            <w:pPr>
              <w:ind w:left="160"/>
              <w:spacing w:after="0"/>
              <w:rPr>
                <w:sz w:val="20"/>
                <w:szCs w:val="20"/>
                <w:color w:val="auto"/>
              </w:rPr>
            </w:pPr>
            <w:r>
              <w:rPr>
                <w:rFonts w:ascii="Arial" w:cs="Arial" w:eastAsia="Arial" w:hAnsi="Arial"/>
                <w:sz w:val="18"/>
                <w:szCs w:val="18"/>
                <w:color w:val="auto"/>
              </w:rPr>
              <w:t>Current Report on Form 8-K (filed July 7, 2014))</w:t>
            </w:r>
          </w:p>
        </w:tc>
      </w:tr>
      <w:tr>
        <w:trPr>
          <w:trHeight w:val="323"/>
        </w:trPr>
        <w:tc>
          <w:tcPr>
            <w:tcW w:w="760" w:type="dxa"/>
            <w:vAlign w:val="bottom"/>
          </w:tcPr>
          <w:p>
            <w:pPr>
              <w:ind w:left="180"/>
              <w:spacing w:after="0"/>
              <w:rPr>
                <w:sz w:val="20"/>
                <w:szCs w:val="20"/>
                <w:color w:val="auto"/>
              </w:rPr>
            </w:pPr>
            <w:r>
              <w:rPr>
                <w:rFonts w:ascii="Arial" w:cs="Arial" w:eastAsia="Arial" w:hAnsi="Arial"/>
                <w:sz w:val="18"/>
                <w:szCs w:val="18"/>
                <w:color w:val="auto"/>
              </w:rPr>
              <w:t>4.10</w:t>
            </w:r>
          </w:p>
        </w:tc>
        <w:tc>
          <w:tcPr>
            <w:tcW w:w="10640" w:type="dxa"/>
            <w:vAlign w:val="bottom"/>
          </w:tcPr>
          <w:p>
            <w:pPr>
              <w:ind w:left="160"/>
              <w:spacing w:after="0"/>
              <w:rPr>
                <w:sz w:val="20"/>
                <w:szCs w:val="20"/>
                <w:color w:val="auto"/>
              </w:rPr>
            </w:pPr>
            <w:r>
              <w:rPr>
                <w:rFonts w:ascii="Arial" w:cs="Arial" w:eastAsia="Arial" w:hAnsi="Arial"/>
                <w:sz w:val="18"/>
                <w:szCs w:val="18"/>
                <w:color w:val="auto"/>
                <w:w w:val="92"/>
              </w:rPr>
              <w:t>Second Supplemental Indenture, dated as of July 7, 2014, among the guarantors party thereto and U.S. Bank National Association, as trustee,</w:t>
            </w:r>
          </w:p>
        </w:tc>
      </w:tr>
      <w:tr>
        <w:trPr>
          <w:trHeight w:val="216"/>
        </w:trPr>
        <w:tc>
          <w:tcPr>
            <w:tcW w:w="760" w:type="dxa"/>
            <w:vAlign w:val="bottom"/>
          </w:tcPr>
          <w:p>
            <w:pPr>
              <w:spacing w:after="0"/>
              <w:rPr>
                <w:sz w:val="18"/>
                <w:szCs w:val="18"/>
                <w:color w:val="auto"/>
              </w:rPr>
            </w:pPr>
          </w:p>
        </w:tc>
        <w:tc>
          <w:tcPr>
            <w:tcW w:w="10640" w:type="dxa"/>
            <w:vAlign w:val="bottom"/>
          </w:tcPr>
          <w:p>
            <w:pPr>
              <w:ind w:left="160"/>
              <w:spacing w:after="0"/>
              <w:rPr>
                <w:sz w:val="20"/>
                <w:szCs w:val="20"/>
                <w:color w:val="auto"/>
              </w:rPr>
            </w:pPr>
            <w:r>
              <w:rPr>
                <w:rFonts w:ascii="Arial" w:cs="Arial" w:eastAsia="Arial" w:hAnsi="Arial"/>
                <w:sz w:val="18"/>
                <w:szCs w:val="18"/>
                <w:color w:val="auto"/>
                <w:w w:val="91"/>
              </w:rPr>
              <w:t>relating to the 5.875% Senior Notes due 2024 (incorporated by reference to Exhibit 4.4 to the Company’s Current Report on Form 8-K (filed July</w:t>
            </w:r>
          </w:p>
        </w:tc>
      </w:tr>
      <w:tr>
        <w:trPr>
          <w:trHeight w:val="230"/>
        </w:trPr>
        <w:tc>
          <w:tcPr>
            <w:tcW w:w="760" w:type="dxa"/>
            <w:vAlign w:val="bottom"/>
          </w:tcPr>
          <w:p>
            <w:pPr>
              <w:spacing w:after="0"/>
              <w:rPr>
                <w:sz w:val="20"/>
                <w:szCs w:val="20"/>
                <w:color w:val="auto"/>
              </w:rPr>
            </w:pPr>
          </w:p>
        </w:tc>
        <w:tc>
          <w:tcPr>
            <w:tcW w:w="10640" w:type="dxa"/>
            <w:vAlign w:val="bottom"/>
          </w:tcPr>
          <w:p>
            <w:pPr>
              <w:ind w:left="160"/>
              <w:spacing w:after="0"/>
              <w:rPr>
                <w:sz w:val="20"/>
                <w:szCs w:val="20"/>
                <w:color w:val="auto"/>
              </w:rPr>
            </w:pPr>
            <w:r>
              <w:rPr>
                <w:rFonts w:ascii="Arial" w:cs="Arial" w:eastAsia="Arial" w:hAnsi="Arial"/>
                <w:sz w:val="18"/>
                <w:szCs w:val="18"/>
                <w:color w:val="auto"/>
              </w:rPr>
              <w:t>7, 2014))</w:t>
            </w:r>
          </w:p>
        </w:tc>
      </w:tr>
      <w:tr>
        <w:trPr>
          <w:trHeight w:val="323"/>
        </w:trPr>
        <w:tc>
          <w:tcPr>
            <w:tcW w:w="760" w:type="dxa"/>
            <w:vAlign w:val="bottom"/>
          </w:tcPr>
          <w:p>
            <w:pPr>
              <w:ind w:left="180"/>
              <w:spacing w:after="0"/>
              <w:rPr>
                <w:sz w:val="20"/>
                <w:szCs w:val="20"/>
                <w:color w:val="auto"/>
              </w:rPr>
            </w:pPr>
            <w:r>
              <w:rPr>
                <w:rFonts w:ascii="Arial" w:cs="Arial" w:eastAsia="Arial" w:hAnsi="Arial"/>
                <w:sz w:val="18"/>
                <w:szCs w:val="18"/>
                <w:color w:val="auto"/>
              </w:rPr>
              <w:t>10.1*</w:t>
            </w:r>
          </w:p>
        </w:tc>
        <w:tc>
          <w:tcPr>
            <w:tcW w:w="10640" w:type="dxa"/>
            <w:vAlign w:val="bottom"/>
          </w:tcPr>
          <w:p>
            <w:pPr>
              <w:ind w:left="160"/>
              <w:spacing w:after="0"/>
              <w:rPr>
                <w:sz w:val="20"/>
                <w:szCs w:val="20"/>
                <w:color w:val="auto"/>
              </w:rPr>
            </w:pPr>
            <w:r>
              <w:rPr>
                <w:rFonts w:ascii="Arial" w:cs="Arial" w:eastAsia="Arial" w:hAnsi="Arial"/>
                <w:sz w:val="18"/>
                <w:szCs w:val="18"/>
                <w:color w:val="auto"/>
                <w:w w:val="92"/>
              </w:rPr>
              <w:t>Form of Performance-Based Cash Award Agreement (incorporated by reference to Exhibit 10.1 to the Company’s Current Report on Form 8-K</w:t>
            </w:r>
          </w:p>
        </w:tc>
      </w:tr>
      <w:tr>
        <w:trPr>
          <w:trHeight w:val="230"/>
        </w:trPr>
        <w:tc>
          <w:tcPr>
            <w:tcW w:w="760" w:type="dxa"/>
            <w:vAlign w:val="bottom"/>
          </w:tcPr>
          <w:p>
            <w:pPr>
              <w:spacing w:after="0"/>
              <w:rPr>
                <w:sz w:val="20"/>
                <w:szCs w:val="20"/>
                <w:color w:val="auto"/>
              </w:rPr>
            </w:pPr>
          </w:p>
        </w:tc>
        <w:tc>
          <w:tcPr>
            <w:tcW w:w="10640" w:type="dxa"/>
            <w:vAlign w:val="bottom"/>
          </w:tcPr>
          <w:p>
            <w:pPr>
              <w:ind w:left="160"/>
              <w:spacing w:after="0"/>
              <w:rPr>
                <w:sz w:val="20"/>
                <w:szCs w:val="20"/>
                <w:color w:val="auto"/>
              </w:rPr>
            </w:pPr>
            <w:r>
              <w:rPr>
                <w:rFonts w:ascii="Arial" w:cs="Arial" w:eastAsia="Arial" w:hAnsi="Arial"/>
                <w:sz w:val="18"/>
                <w:szCs w:val="18"/>
                <w:color w:val="auto"/>
              </w:rPr>
              <w:t>(filed March 11, 2015))</w:t>
            </w:r>
          </w:p>
        </w:tc>
      </w:tr>
      <w:tr>
        <w:trPr>
          <w:trHeight w:val="418"/>
        </w:trPr>
        <w:tc>
          <w:tcPr>
            <w:tcW w:w="760" w:type="dxa"/>
            <w:vAlign w:val="bottom"/>
          </w:tcPr>
          <w:p>
            <w:pPr>
              <w:ind w:left="180"/>
              <w:spacing w:after="0"/>
              <w:rPr>
                <w:sz w:val="20"/>
                <w:szCs w:val="20"/>
                <w:color w:val="auto"/>
              </w:rPr>
            </w:pPr>
            <w:r>
              <w:rPr>
                <w:rFonts w:ascii="Arial" w:cs="Arial" w:eastAsia="Arial" w:hAnsi="Arial"/>
                <w:sz w:val="18"/>
                <w:szCs w:val="18"/>
                <w:color w:val="auto"/>
              </w:rPr>
              <w:t>10.2*</w:t>
            </w:r>
          </w:p>
        </w:tc>
        <w:tc>
          <w:tcPr>
            <w:tcW w:w="10640" w:type="dxa"/>
            <w:vAlign w:val="bottom"/>
          </w:tcPr>
          <w:p>
            <w:pPr>
              <w:ind w:left="160"/>
              <w:spacing w:after="0"/>
              <w:rPr>
                <w:sz w:val="20"/>
                <w:szCs w:val="20"/>
                <w:color w:val="auto"/>
              </w:rPr>
            </w:pPr>
            <w:r>
              <w:rPr>
                <w:rFonts w:ascii="Arial" w:cs="Arial" w:eastAsia="Arial" w:hAnsi="Arial"/>
                <w:sz w:val="18"/>
                <w:szCs w:val="18"/>
                <w:color w:val="auto"/>
                <w:w w:val="91"/>
              </w:rPr>
              <w:t>Form of Performance-Based Restricted Stock Unit Award Agreement (total shareholder return) (incorporated by reference to Exhibit 10.2 to the</w:t>
            </w:r>
          </w:p>
        </w:tc>
      </w:tr>
      <w:tr>
        <w:trPr>
          <w:trHeight w:val="230"/>
        </w:trPr>
        <w:tc>
          <w:tcPr>
            <w:tcW w:w="760" w:type="dxa"/>
            <w:vAlign w:val="bottom"/>
          </w:tcPr>
          <w:p>
            <w:pPr>
              <w:spacing w:after="0"/>
              <w:rPr>
                <w:sz w:val="20"/>
                <w:szCs w:val="20"/>
                <w:color w:val="auto"/>
              </w:rPr>
            </w:pPr>
          </w:p>
        </w:tc>
        <w:tc>
          <w:tcPr>
            <w:tcW w:w="10640" w:type="dxa"/>
            <w:vAlign w:val="bottom"/>
          </w:tcPr>
          <w:p>
            <w:pPr>
              <w:ind w:left="160"/>
              <w:spacing w:after="0"/>
              <w:rPr>
                <w:sz w:val="20"/>
                <w:szCs w:val="20"/>
                <w:color w:val="auto"/>
              </w:rPr>
            </w:pPr>
            <w:r>
              <w:rPr>
                <w:rFonts w:ascii="Arial" w:cs="Arial" w:eastAsia="Arial" w:hAnsi="Arial"/>
                <w:sz w:val="18"/>
                <w:szCs w:val="18"/>
                <w:color w:val="auto"/>
              </w:rPr>
              <w:t>Company’s Current Report on Form 8-K (filed March 11, 2015))</w:t>
            </w:r>
          </w:p>
        </w:tc>
      </w:tr>
      <w:tr>
        <w:trPr>
          <w:trHeight w:val="797"/>
        </w:trPr>
        <w:tc>
          <w:tcPr>
            <w:tcW w:w="760" w:type="dxa"/>
            <w:vAlign w:val="bottom"/>
          </w:tcPr>
          <w:p>
            <w:pPr>
              <w:spacing w:after="0"/>
              <w:rPr>
                <w:sz w:val="24"/>
                <w:szCs w:val="24"/>
                <w:color w:val="auto"/>
              </w:rPr>
            </w:pPr>
          </w:p>
        </w:tc>
        <w:tc>
          <w:tcPr>
            <w:tcW w:w="10640" w:type="dxa"/>
            <w:vAlign w:val="bottom"/>
          </w:tcPr>
          <w:p>
            <w:pPr>
              <w:ind w:left="4760"/>
              <w:spacing w:after="0"/>
              <w:rPr>
                <w:sz w:val="20"/>
                <w:szCs w:val="20"/>
                <w:color w:val="auto"/>
              </w:rPr>
            </w:pPr>
            <w:r>
              <w:rPr>
                <w:rFonts w:ascii="Arial" w:cs="Arial" w:eastAsia="Arial" w:hAnsi="Arial"/>
                <w:sz w:val="18"/>
                <w:szCs w:val="18"/>
                <w:color w:val="auto"/>
              </w:rPr>
              <w:t>- 48 -</w:t>
            </w:r>
          </w:p>
        </w:tc>
      </w:tr>
    </w:tbl>
    <w:p>
      <w:pPr>
        <w:sectPr>
          <w:pgSz w:w="11900" w:h="16838" w:orient="portrait"/>
          <w:cols w:equalWidth="0" w:num="1">
            <w:col w:w="11400"/>
          </w:cols>
          <w:pgMar w:left="240" w:top="135" w:right="259" w:bottom="1440" w:gutter="0" w:footer="0" w:header="0"/>
        </w:sectPr>
      </w:pPr>
    </w:p>
    <w:bookmarkStart w:id="48" w:name="page49"/>
    <w:bookmarkEnd w:id="48"/>
    <w:p>
      <w:pPr>
        <w:ind w:left="920" w:right="340" w:hanging="737"/>
        <w:spacing w:after="0" w:line="277" w:lineRule="auto"/>
        <w:tabs>
          <w:tab w:leader="none" w:pos="900" w:val="left"/>
        </w:tabs>
        <w:rPr>
          <w:sz w:val="20"/>
          <w:szCs w:val="20"/>
          <w:color w:val="auto"/>
        </w:rPr>
      </w:pPr>
      <w:r>
        <w:rPr>
          <w:rFonts w:ascii="Arial" w:cs="Arial" w:eastAsia="Arial" w:hAnsi="Arial"/>
          <w:sz w:val="18"/>
          <w:szCs w:val="18"/>
          <w:color w:val="auto"/>
        </w:rPr>
        <w:t>10.3*</w:t>
      </w:r>
      <w:r>
        <w:rPr>
          <w:sz w:val="20"/>
          <w:szCs w:val="20"/>
          <w:color w:val="auto"/>
        </w:rPr>
        <w:tab/>
      </w:r>
      <w:r>
        <w:rPr>
          <w:rFonts w:ascii="Arial" w:cs="Arial" w:eastAsia="Arial" w:hAnsi="Arial"/>
          <w:sz w:val="18"/>
          <w:szCs w:val="18"/>
          <w:color w:val="auto"/>
        </w:rPr>
        <w:t>Form of Performance-Based Restricted Stock Unit Award Agreement (earnings per share) (incorporated by reference to Exhibit 10.3 to the Company’s Current Report on Form 8-K (filed March 11, 2015))</w:t>
      </w:r>
    </w:p>
    <w:p>
      <w:pPr>
        <w:spacing w:after="0" w:line="76" w:lineRule="exact"/>
        <w:rPr>
          <w:sz w:val="20"/>
          <w:szCs w:val="20"/>
          <w:color w:val="auto"/>
        </w:rPr>
      </w:pPr>
    </w:p>
    <w:p>
      <w:pPr>
        <w:ind w:left="920" w:hanging="737"/>
        <w:spacing w:after="0" w:line="277" w:lineRule="auto"/>
        <w:tabs>
          <w:tab w:leader="none" w:pos="900" w:val="left"/>
        </w:tabs>
        <w:rPr>
          <w:sz w:val="20"/>
          <w:szCs w:val="20"/>
          <w:color w:val="auto"/>
        </w:rPr>
      </w:pPr>
      <w:r>
        <w:rPr>
          <w:rFonts w:ascii="Arial" w:cs="Arial" w:eastAsia="Arial" w:hAnsi="Arial"/>
          <w:sz w:val="18"/>
          <w:szCs w:val="18"/>
          <w:color w:val="auto"/>
        </w:rPr>
        <w:t>10.4*</w:t>
      </w:r>
      <w:r>
        <w:rPr>
          <w:sz w:val="20"/>
          <w:szCs w:val="20"/>
          <w:color w:val="auto"/>
        </w:rPr>
        <w:tab/>
      </w:r>
      <w:r>
        <w:rPr>
          <w:rFonts w:ascii="Arial" w:cs="Arial" w:eastAsia="Arial" w:hAnsi="Arial"/>
          <w:sz w:val="18"/>
          <w:szCs w:val="18"/>
          <w:color w:val="auto"/>
        </w:rPr>
        <w:t>Form of Performance-Based Restricted Stock Unit Award Agreement (stock price) (incorporated by reference to Exhibit 10.4 to the Company’s Current Report on Form 8-K (filed March 11, 2015))</w:t>
      </w:r>
    </w:p>
    <w:p>
      <w:pPr>
        <w:spacing w:after="0" w:line="76" w:lineRule="exact"/>
        <w:rPr>
          <w:sz w:val="20"/>
          <w:szCs w:val="20"/>
          <w:color w:val="auto"/>
        </w:rPr>
      </w:pPr>
    </w:p>
    <w:p>
      <w:pPr>
        <w:ind w:left="180"/>
        <w:spacing w:after="0"/>
        <w:tabs>
          <w:tab w:leader="none" w:pos="900" w:val="left"/>
        </w:tabs>
        <w:rPr>
          <w:sz w:val="20"/>
          <w:szCs w:val="20"/>
          <w:color w:val="auto"/>
        </w:rPr>
      </w:pPr>
      <w:r>
        <w:rPr>
          <w:rFonts w:ascii="Arial" w:cs="Arial" w:eastAsia="Arial" w:hAnsi="Arial"/>
          <w:sz w:val="18"/>
          <w:szCs w:val="18"/>
          <w:color w:val="auto"/>
        </w:rPr>
        <w:t>10.5*</w:t>
      </w:r>
      <w:r>
        <w:rPr>
          <w:sz w:val="20"/>
          <w:szCs w:val="20"/>
          <w:color w:val="auto"/>
        </w:rPr>
        <w:tab/>
      </w:r>
      <w:r>
        <w:rPr>
          <w:rFonts w:ascii="Arial" w:cs="Arial" w:eastAsia="Arial" w:hAnsi="Arial"/>
          <w:sz w:val="16"/>
          <w:szCs w:val="16"/>
          <w:color w:val="auto"/>
        </w:rPr>
        <w:t>Summary Description of Changes in Executive Officer Compensation</w:t>
      </w:r>
    </w:p>
    <w:p>
      <w:pPr>
        <w:spacing w:after="0" w:line="131" w:lineRule="exact"/>
        <w:rPr>
          <w:sz w:val="20"/>
          <w:szCs w:val="20"/>
          <w:color w:val="auto"/>
        </w:rPr>
      </w:pPr>
    </w:p>
    <w:p>
      <w:pPr>
        <w:ind w:left="180"/>
        <w:spacing w:after="0"/>
        <w:tabs>
          <w:tab w:leader="none" w:pos="900" w:val="left"/>
        </w:tabs>
        <w:rPr>
          <w:sz w:val="20"/>
          <w:szCs w:val="20"/>
          <w:color w:val="auto"/>
        </w:rPr>
      </w:pPr>
      <w:r>
        <w:rPr>
          <w:rFonts w:ascii="Arial" w:cs="Arial" w:eastAsia="Arial" w:hAnsi="Arial"/>
          <w:sz w:val="18"/>
          <w:szCs w:val="18"/>
          <w:color w:val="auto"/>
        </w:rPr>
        <w:t>31.1</w:t>
      </w:r>
      <w:r>
        <w:rPr>
          <w:sz w:val="20"/>
          <w:szCs w:val="20"/>
          <w:color w:val="auto"/>
        </w:rPr>
        <w:tab/>
      </w:r>
      <w:r>
        <w:rPr>
          <w:rFonts w:ascii="Arial" w:cs="Arial" w:eastAsia="Arial" w:hAnsi="Arial"/>
          <w:sz w:val="16"/>
          <w:szCs w:val="16"/>
          <w:color w:val="auto"/>
        </w:rPr>
        <w:t>Chief Executive Officer Section 302 Certification of the Sarbanes-Oxley Act of 2002</w:t>
      </w:r>
    </w:p>
    <w:p>
      <w:pPr>
        <w:spacing w:after="0" w:line="131" w:lineRule="exact"/>
        <w:rPr>
          <w:sz w:val="20"/>
          <w:szCs w:val="20"/>
          <w:color w:val="auto"/>
        </w:rPr>
      </w:pPr>
    </w:p>
    <w:p>
      <w:pPr>
        <w:ind w:left="180"/>
        <w:spacing w:after="0"/>
        <w:tabs>
          <w:tab w:leader="none" w:pos="900" w:val="left"/>
        </w:tabs>
        <w:rPr>
          <w:sz w:val="20"/>
          <w:szCs w:val="20"/>
          <w:color w:val="auto"/>
        </w:rPr>
      </w:pPr>
      <w:r>
        <w:rPr>
          <w:rFonts w:ascii="Arial" w:cs="Arial" w:eastAsia="Arial" w:hAnsi="Arial"/>
          <w:sz w:val="18"/>
          <w:szCs w:val="18"/>
          <w:color w:val="auto"/>
        </w:rPr>
        <w:t>31.2</w:t>
      </w:r>
      <w:r>
        <w:rPr>
          <w:sz w:val="20"/>
          <w:szCs w:val="20"/>
          <w:color w:val="auto"/>
        </w:rPr>
        <w:tab/>
      </w:r>
      <w:r>
        <w:rPr>
          <w:rFonts w:ascii="Arial" w:cs="Arial" w:eastAsia="Arial" w:hAnsi="Arial"/>
          <w:sz w:val="16"/>
          <w:szCs w:val="16"/>
          <w:color w:val="auto"/>
        </w:rPr>
        <w:t>Chief Financial Officer Section 302 Certification of the Sarbanes-Oxley Act of 2002</w:t>
      </w:r>
    </w:p>
    <w:p>
      <w:pPr>
        <w:spacing w:after="0" w:line="131" w:lineRule="exact"/>
        <w:rPr>
          <w:sz w:val="20"/>
          <w:szCs w:val="20"/>
          <w:color w:val="auto"/>
        </w:rPr>
      </w:pPr>
    </w:p>
    <w:p>
      <w:pPr>
        <w:ind w:left="180"/>
        <w:spacing w:after="0"/>
        <w:tabs>
          <w:tab w:leader="none" w:pos="900" w:val="left"/>
        </w:tabs>
        <w:rPr>
          <w:sz w:val="20"/>
          <w:szCs w:val="20"/>
          <w:color w:val="auto"/>
        </w:rPr>
      </w:pPr>
      <w:r>
        <w:rPr>
          <w:rFonts w:ascii="Arial" w:cs="Arial" w:eastAsia="Arial" w:hAnsi="Arial"/>
          <w:sz w:val="18"/>
          <w:szCs w:val="18"/>
          <w:color w:val="auto"/>
        </w:rPr>
        <w:t>32.1</w:t>
      </w:r>
      <w:r>
        <w:rPr>
          <w:sz w:val="20"/>
          <w:szCs w:val="20"/>
          <w:color w:val="auto"/>
        </w:rPr>
        <w:tab/>
      </w:r>
      <w:r>
        <w:rPr>
          <w:rFonts w:ascii="Arial" w:cs="Arial" w:eastAsia="Arial" w:hAnsi="Arial"/>
          <w:sz w:val="16"/>
          <w:szCs w:val="16"/>
          <w:color w:val="auto"/>
        </w:rPr>
        <w:t>Chief Executive Officer Section 906 Certification of the Sarbanes-Oxley Act of 2002</w:t>
      </w:r>
    </w:p>
    <w:p>
      <w:pPr>
        <w:spacing w:after="0" w:line="131" w:lineRule="exact"/>
        <w:rPr>
          <w:sz w:val="20"/>
          <w:szCs w:val="20"/>
          <w:color w:val="auto"/>
        </w:rPr>
      </w:pPr>
    </w:p>
    <w:p>
      <w:pPr>
        <w:ind w:left="180"/>
        <w:spacing w:after="0"/>
        <w:tabs>
          <w:tab w:leader="none" w:pos="900" w:val="left"/>
        </w:tabs>
        <w:rPr>
          <w:sz w:val="20"/>
          <w:szCs w:val="20"/>
          <w:color w:val="auto"/>
        </w:rPr>
      </w:pPr>
      <w:r>
        <w:rPr>
          <w:rFonts w:ascii="Arial" w:cs="Arial" w:eastAsia="Arial" w:hAnsi="Arial"/>
          <w:sz w:val="18"/>
          <w:szCs w:val="18"/>
          <w:color w:val="auto"/>
        </w:rPr>
        <w:t>32.2</w:t>
      </w:r>
      <w:r>
        <w:rPr>
          <w:sz w:val="20"/>
          <w:szCs w:val="20"/>
          <w:color w:val="auto"/>
        </w:rPr>
        <w:tab/>
      </w:r>
      <w:r>
        <w:rPr>
          <w:rFonts w:ascii="Arial" w:cs="Arial" w:eastAsia="Arial" w:hAnsi="Arial"/>
          <w:sz w:val="16"/>
          <w:szCs w:val="16"/>
          <w:color w:val="auto"/>
        </w:rPr>
        <w:t>Chief Financial Officer Section 906 Certification of the Sarbanes-Oxley Act of 2002</w:t>
      </w:r>
    </w:p>
    <w:p>
      <w:pPr>
        <w:spacing w:after="0" w:line="131" w:lineRule="exact"/>
        <w:rPr>
          <w:sz w:val="20"/>
          <w:szCs w:val="20"/>
          <w:color w:val="auto"/>
        </w:rPr>
      </w:pPr>
    </w:p>
    <w:p>
      <w:pPr>
        <w:ind w:left="920" w:right="300" w:hanging="732"/>
        <w:spacing w:after="0" w:line="259" w:lineRule="auto"/>
        <w:tabs>
          <w:tab w:leader="none" w:pos="920" w:val="left"/>
        </w:tabs>
        <w:numPr>
          <w:ilvl w:val="1"/>
          <w:numId w:val="29"/>
        </w:numPr>
        <w:rPr>
          <w:rFonts w:ascii="Arial" w:cs="Arial" w:eastAsia="Arial" w:hAnsi="Arial"/>
          <w:sz w:val="18"/>
          <w:szCs w:val="18"/>
          <w:color w:val="auto"/>
        </w:rPr>
      </w:pPr>
      <w:r>
        <w:rPr>
          <w:rFonts w:ascii="Arial" w:cs="Arial" w:eastAsia="Arial" w:hAnsi="Arial"/>
          <w:sz w:val="18"/>
          <w:szCs w:val="18"/>
          <w:color w:val="auto"/>
        </w:rPr>
        <w:t>The following materials from TRI Pointe Homes, Inc.’s Quarterly Report on Form 10-Q for the quarter ended March 31, 2015, formatted in eXtensible Business Reporting Language (XBRL): (i) Consolidated Balance Sheets, (ii) Consolidated Statements of Operations, (iii) Consolidated Statements of Comprehensive Income, (iv) Consolidated Statement of Cash Flows, and (v) Condensed Notes to Consolidated Financial Statement.</w:t>
      </w:r>
    </w:p>
    <w:p>
      <w:pPr>
        <w:spacing w:after="0" w:line="186" w:lineRule="exact"/>
        <w:rPr>
          <w:rFonts w:ascii="Arial" w:cs="Arial" w:eastAsia="Arial" w:hAnsi="Arial"/>
          <w:sz w:val="18"/>
          <w:szCs w:val="18"/>
          <w:color w:val="auto"/>
        </w:rPr>
      </w:pPr>
    </w:p>
    <w:p>
      <w:pPr>
        <w:spacing w:after="0"/>
        <w:rPr>
          <w:rFonts w:ascii="Arial" w:cs="Arial" w:eastAsia="Arial" w:hAnsi="Arial"/>
          <w:sz w:val="18"/>
          <w:szCs w:val="18"/>
          <w:color w:val="auto"/>
        </w:rPr>
      </w:pPr>
      <w:r>
        <w:rPr>
          <w:rFonts w:ascii="Arial" w:cs="Arial" w:eastAsia="Arial" w:hAnsi="Arial"/>
          <w:sz w:val="18"/>
          <w:szCs w:val="18"/>
          <w:color w:val="auto"/>
        </w:rPr>
        <w:t>* Management Contract or Compensatory Plan or Arrangement</w:t>
      </w:r>
    </w:p>
    <w:p>
      <w:pPr>
        <w:spacing w:after="0" w:line="200" w:lineRule="exact"/>
        <w:rPr>
          <w:rFonts w:ascii="Arial" w:cs="Arial" w:eastAsia="Arial" w:hAnsi="Arial"/>
          <w:sz w:val="18"/>
          <w:szCs w:val="18"/>
          <w:color w:val="auto"/>
        </w:rPr>
      </w:pPr>
    </w:p>
    <w:p>
      <w:pPr>
        <w:spacing w:after="0" w:line="200" w:lineRule="exact"/>
        <w:rPr>
          <w:rFonts w:ascii="Arial" w:cs="Arial" w:eastAsia="Arial" w:hAnsi="Arial"/>
          <w:sz w:val="18"/>
          <w:szCs w:val="18"/>
          <w:color w:val="auto"/>
        </w:rPr>
      </w:pPr>
    </w:p>
    <w:p>
      <w:pPr>
        <w:spacing w:after="0" w:line="200" w:lineRule="exact"/>
        <w:rPr>
          <w:rFonts w:ascii="Arial" w:cs="Arial" w:eastAsia="Arial" w:hAnsi="Arial"/>
          <w:sz w:val="18"/>
          <w:szCs w:val="18"/>
          <w:color w:val="auto"/>
        </w:rPr>
      </w:pPr>
    </w:p>
    <w:p>
      <w:pPr>
        <w:spacing w:after="0" w:line="200" w:lineRule="exact"/>
        <w:rPr>
          <w:rFonts w:ascii="Arial" w:cs="Arial" w:eastAsia="Arial" w:hAnsi="Arial"/>
          <w:sz w:val="18"/>
          <w:szCs w:val="18"/>
          <w:color w:val="auto"/>
        </w:rPr>
      </w:pPr>
    </w:p>
    <w:p>
      <w:pPr>
        <w:spacing w:after="0" w:line="316" w:lineRule="exact"/>
        <w:rPr>
          <w:rFonts w:ascii="Arial" w:cs="Arial" w:eastAsia="Arial" w:hAnsi="Arial"/>
          <w:sz w:val="18"/>
          <w:szCs w:val="18"/>
          <w:color w:val="auto"/>
        </w:rPr>
      </w:pPr>
    </w:p>
    <w:p>
      <w:pPr>
        <w:ind w:left="5620" w:hanging="101"/>
        <w:spacing w:after="0"/>
        <w:tabs>
          <w:tab w:leader="none" w:pos="5620" w:val="left"/>
        </w:tabs>
        <w:numPr>
          <w:ilvl w:val="2"/>
          <w:numId w:val="29"/>
        </w:numPr>
        <w:rPr>
          <w:rFonts w:ascii="Arial" w:cs="Arial" w:eastAsia="Arial" w:hAnsi="Arial"/>
          <w:sz w:val="18"/>
          <w:szCs w:val="18"/>
          <w:color w:val="auto"/>
        </w:rPr>
      </w:pPr>
      <w:r>
        <w:rPr>
          <w:rFonts w:ascii="Arial" w:cs="Arial" w:eastAsia="Arial" w:hAnsi="Arial"/>
          <w:sz w:val="18"/>
          <w:szCs w:val="18"/>
          <w:color w:val="auto"/>
        </w:rPr>
        <w:t>49 -</w:t>
      </w:r>
    </w:p>
    <w:p>
      <w:pPr>
        <w:sectPr>
          <w:pgSz w:w="11900" w:h="16838" w:orient="portrait"/>
          <w:cols w:equalWidth="0" w:num="1">
            <w:col w:w="11280"/>
          </w:cols>
          <w:pgMar w:left="240" w:top="139" w:right="379" w:bottom="1440" w:gutter="0" w:footer="0" w:header="0"/>
        </w:sectPr>
      </w:pPr>
    </w:p>
    <w:bookmarkStart w:id="49" w:name="page50"/>
    <w:bookmarkEnd w:id="49"/>
    <w:p>
      <w:pPr>
        <w:jc w:val="center"/>
        <w:ind w:right="-619"/>
        <w:spacing w:after="0"/>
        <w:rPr>
          <w:sz w:val="20"/>
          <w:szCs w:val="20"/>
          <w:color w:val="auto"/>
        </w:rPr>
      </w:pPr>
      <w:r>
        <w:rPr>
          <w:rFonts w:ascii="Arial" w:cs="Arial" w:eastAsia="Arial" w:hAnsi="Arial"/>
          <w:sz w:val="18"/>
          <w:szCs w:val="18"/>
          <w:b w:val="1"/>
          <w:bCs w:val="1"/>
          <w:color w:val="auto"/>
        </w:rPr>
        <w:t>SIGNATURES</w:t>
      </w:r>
    </w:p>
    <w:p>
      <w:pPr>
        <w:spacing w:after="0" w:line="229" w:lineRule="exact"/>
        <w:rPr>
          <w:sz w:val="20"/>
          <w:szCs w:val="20"/>
          <w:color w:val="auto"/>
        </w:rPr>
      </w:pPr>
    </w:p>
    <w:p>
      <w:pPr>
        <w:ind w:firstLine="518"/>
        <w:spacing w:after="0" w:line="277"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thereunto duly authorized.</w:t>
      </w:r>
    </w:p>
    <w:p>
      <w:pPr>
        <w:spacing w:after="0" w:line="197" w:lineRule="exact"/>
        <w:rPr>
          <w:sz w:val="20"/>
          <w:szCs w:val="20"/>
          <w:color w:val="auto"/>
        </w:rPr>
      </w:pPr>
    </w:p>
    <w:p>
      <w:pPr>
        <w:ind w:left="5960"/>
        <w:spacing w:after="0"/>
        <w:rPr>
          <w:sz w:val="20"/>
          <w:szCs w:val="20"/>
          <w:color w:val="auto"/>
        </w:rPr>
      </w:pPr>
      <w:r>
        <w:rPr>
          <w:rFonts w:ascii="Arial" w:cs="Arial" w:eastAsia="Arial" w:hAnsi="Arial"/>
          <w:sz w:val="18"/>
          <w:szCs w:val="18"/>
          <w:color w:val="auto"/>
        </w:rPr>
        <w:t>TRI Pointe Homes, Inc.</w:t>
      </w:r>
    </w:p>
    <w:p>
      <w:pPr>
        <w:spacing w:after="0" w:line="252" w:lineRule="exact"/>
        <w:rPr>
          <w:sz w:val="20"/>
          <w:szCs w:val="20"/>
          <w:color w:val="auto"/>
        </w:rPr>
      </w:pPr>
    </w:p>
    <w:p>
      <w:pPr>
        <w:ind w:left="5960"/>
        <w:spacing w:after="0"/>
        <w:rPr>
          <w:sz w:val="20"/>
          <w:szCs w:val="20"/>
          <w:color w:val="auto"/>
        </w:rPr>
      </w:pPr>
      <w:r>
        <w:rPr>
          <w:rFonts w:ascii="Arial" w:cs="Arial" w:eastAsia="Arial" w:hAnsi="Arial"/>
          <w:sz w:val="18"/>
          <w:szCs w:val="18"/>
          <w:color w:val="auto"/>
        </w:rPr>
        <w:t>By: /s/ Douglas F. Bauer</w:t>
      </w:r>
    </w:p>
    <w:p>
      <w:pPr>
        <w:spacing w:after="0" w:line="23" w:lineRule="exact"/>
        <w:rPr>
          <w:sz w:val="20"/>
          <w:szCs w:val="20"/>
          <w:color w:val="auto"/>
        </w:rPr>
      </w:pPr>
    </w:p>
    <w:p>
      <w:pPr>
        <w:ind w:left="6280"/>
        <w:spacing w:after="0"/>
        <w:rPr>
          <w:sz w:val="20"/>
          <w:szCs w:val="20"/>
          <w:color w:val="auto"/>
        </w:rPr>
      </w:pPr>
      <w:r>
        <w:rPr>
          <w:rFonts w:ascii="Arial" w:cs="Arial" w:eastAsia="Arial" w:hAnsi="Arial"/>
          <w:sz w:val="18"/>
          <w:szCs w:val="18"/>
          <w:color w:val="auto"/>
        </w:rPr>
        <w:t>Douglas F. Bauer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3992880</wp:posOffset>
            </wp:positionH>
            <wp:positionV relativeFrom="paragraph">
              <wp:posOffset>-130810</wp:posOffset>
            </wp:positionV>
            <wp:extent cx="3258820" cy="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3258820" cy="8890"/>
                    </a:xfrm>
                    <a:prstGeom prst="rect">
                      <a:avLst/>
                    </a:prstGeom>
                    <a:noFill/>
                  </pic:spPr>
                </pic:pic>
              </a:graphicData>
            </a:graphic>
          </wp:anchor>
        </w:drawing>
      </w:r>
    </w:p>
    <w:p>
      <w:pPr>
        <w:spacing w:after="0" w:line="3" w:lineRule="exact"/>
        <w:rPr>
          <w:sz w:val="20"/>
          <w:szCs w:val="20"/>
          <w:color w:val="auto"/>
        </w:rPr>
      </w:pPr>
    </w:p>
    <w:p>
      <w:pPr>
        <w:ind w:left="6280"/>
        <w:spacing w:after="0"/>
        <w:rPr>
          <w:sz w:val="20"/>
          <w:szCs w:val="20"/>
          <w:color w:val="auto"/>
        </w:rPr>
      </w:pPr>
      <w:r>
        <w:rPr>
          <w:rFonts w:ascii="Arial" w:cs="Arial" w:eastAsia="Arial" w:hAnsi="Arial"/>
          <w:sz w:val="18"/>
          <w:szCs w:val="18"/>
          <w:color w:val="auto"/>
        </w:rPr>
        <w:t>Chief Executive Officer</w:t>
      </w:r>
    </w:p>
    <w:p>
      <w:pPr>
        <w:spacing w:after="0" w:line="238" w:lineRule="exact"/>
        <w:rPr>
          <w:sz w:val="20"/>
          <w:szCs w:val="20"/>
          <w:color w:val="auto"/>
        </w:rPr>
      </w:pPr>
    </w:p>
    <w:p>
      <w:pPr>
        <w:ind w:left="5960"/>
        <w:spacing w:after="0"/>
        <w:rPr>
          <w:sz w:val="20"/>
          <w:szCs w:val="20"/>
          <w:color w:val="auto"/>
        </w:rPr>
      </w:pPr>
      <w:r>
        <w:rPr>
          <w:rFonts w:ascii="Arial" w:cs="Arial" w:eastAsia="Arial" w:hAnsi="Arial"/>
          <w:sz w:val="18"/>
          <w:szCs w:val="18"/>
          <w:color w:val="auto"/>
        </w:rPr>
        <w:t>By: /s/ Michael D. Grubbs</w:t>
      </w:r>
    </w:p>
    <w:p>
      <w:pPr>
        <w:spacing w:after="0" w:line="23" w:lineRule="exact"/>
        <w:rPr>
          <w:sz w:val="20"/>
          <w:szCs w:val="20"/>
          <w:color w:val="auto"/>
        </w:rPr>
      </w:pPr>
    </w:p>
    <w:p>
      <w:pPr>
        <w:ind w:left="6280"/>
        <w:spacing w:after="0"/>
        <w:rPr>
          <w:sz w:val="20"/>
          <w:szCs w:val="20"/>
          <w:color w:val="auto"/>
        </w:rPr>
      </w:pPr>
      <w:r>
        <w:rPr>
          <w:rFonts w:ascii="Arial" w:cs="Arial" w:eastAsia="Arial" w:hAnsi="Arial"/>
          <w:sz w:val="18"/>
          <w:szCs w:val="18"/>
          <w:color w:val="auto"/>
        </w:rPr>
        <w:t>Michael D. Grubbs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3992880</wp:posOffset>
            </wp:positionH>
            <wp:positionV relativeFrom="paragraph">
              <wp:posOffset>-130810</wp:posOffset>
            </wp:positionV>
            <wp:extent cx="3258820" cy="88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3258820" cy="8890"/>
                    </a:xfrm>
                    <a:prstGeom prst="rect">
                      <a:avLst/>
                    </a:prstGeom>
                    <a:noFill/>
                  </pic:spPr>
                </pic:pic>
              </a:graphicData>
            </a:graphic>
          </wp:anchor>
        </w:drawing>
      </w:r>
    </w:p>
    <w:p>
      <w:pPr>
        <w:spacing w:after="0" w:line="3" w:lineRule="exact"/>
        <w:rPr>
          <w:sz w:val="20"/>
          <w:szCs w:val="20"/>
          <w:color w:val="auto"/>
        </w:rPr>
      </w:pPr>
    </w:p>
    <w:p>
      <w:pPr>
        <w:ind w:left="6280"/>
        <w:spacing w:after="0"/>
        <w:rPr>
          <w:sz w:val="20"/>
          <w:szCs w:val="20"/>
          <w:color w:val="auto"/>
        </w:rPr>
      </w:pPr>
      <w:r>
        <w:rPr>
          <w:rFonts w:ascii="Arial" w:cs="Arial" w:eastAsia="Arial" w:hAnsi="Arial"/>
          <w:sz w:val="18"/>
          <w:szCs w:val="18"/>
          <w:color w:val="auto"/>
        </w:rPr>
        <w:t>Chief Financial Officer</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Date: May 8, 2015</w:t>
      </w:r>
    </w:p>
    <w:p>
      <w:pPr>
        <w:spacing w:after="0" w:line="200" w:lineRule="exact"/>
        <w:rPr>
          <w:sz w:val="20"/>
          <w:szCs w:val="20"/>
          <w:color w:val="auto"/>
        </w:rPr>
      </w:pPr>
    </w:p>
    <w:p>
      <w:pPr>
        <w:spacing w:after="0" w:line="200" w:lineRule="exact"/>
        <w:rPr>
          <w:sz w:val="20"/>
          <w:szCs w:val="20"/>
          <w:color w:val="auto"/>
        </w:rPr>
      </w:pPr>
    </w:p>
    <w:p>
      <w:pPr>
        <w:spacing w:after="0" w:line="284" w:lineRule="exact"/>
        <w:rPr>
          <w:sz w:val="20"/>
          <w:szCs w:val="20"/>
          <w:color w:val="auto"/>
        </w:rPr>
      </w:pPr>
    </w:p>
    <w:p>
      <w:pPr>
        <w:ind w:left="5520"/>
        <w:spacing w:after="0"/>
        <w:rPr>
          <w:sz w:val="20"/>
          <w:szCs w:val="20"/>
          <w:color w:val="auto"/>
        </w:rPr>
      </w:pPr>
      <w:r>
        <w:rPr>
          <w:rFonts w:ascii="Arial" w:cs="Arial" w:eastAsia="Arial" w:hAnsi="Arial"/>
          <w:sz w:val="18"/>
          <w:szCs w:val="18"/>
          <w:color w:val="auto"/>
        </w:rPr>
        <w:t>- 50 -</w:t>
      </w:r>
    </w:p>
    <w:p>
      <w:pPr>
        <w:sectPr>
          <w:pgSz w:w="11900" w:h="16838" w:orient="portrait"/>
          <w:cols w:equalWidth="0" w:num="1">
            <w:col w:w="10800"/>
          </w:cols>
          <w:pgMar w:left="240" w:top="135" w:right="859" w:bottom="1440" w:gutter="0" w:footer="0" w:header="0"/>
        </w:sectPr>
      </w:pPr>
    </w:p>
    <w:bookmarkStart w:id="50" w:name="page51"/>
    <w:bookmarkEnd w:id="50"/>
    <w:p>
      <w:pPr>
        <w:jc w:val="right"/>
        <w:spacing w:after="0"/>
        <w:rPr>
          <w:sz w:val="20"/>
          <w:szCs w:val="20"/>
          <w:color w:val="auto"/>
        </w:rPr>
      </w:pPr>
      <w:r>
        <w:rPr>
          <w:rFonts w:ascii="Arial" w:cs="Arial" w:eastAsia="Arial" w:hAnsi="Arial"/>
          <w:sz w:val="18"/>
          <w:szCs w:val="18"/>
          <w:b w:val="1"/>
          <w:bCs w:val="1"/>
          <w:color w:val="auto"/>
        </w:rPr>
        <w:t>Exhibit 10.5</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Summary Description of Changes in Executive Officer Compensation</w:t>
      </w:r>
    </w:p>
    <w:p>
      <w:pPr>
        <w:spacing w:after="0" w:line="22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Period ended March 31, 2015</w:t>
      </w:r>
    </w:p>
    <w:p>
      <w:pPr>
        <w:spacing w:after="0" w:line="221" w:lineRule="exact"/>
        <w:rPr>
          <w:sz w:val="20"/>
          <w:szCs w:val="20"/>
          <w:color w:val="auto"/>
        </w:rPr>
      </w:pPr>
    </w:p>
    <w:p>
      <w:pPr>
        <w:ind w:left="460" w:hanging="452"/>
        <w:spacing w:after="0"/>
        <w:tabs>
          <w:tab w:leader="none" w:pos="460" w:val="left"/>
        </w:tabs>
        <w:numPr>
          <w:ilvl w:val="0"/>
          <w:numId w:val="30"/>
        </w:numPr>
        <w:rPr>
          <w:rFonts w:ascii="Arial" w:cs="Arial" w:eastAsia="Arial" w:hAnsi="Arial"/>
          <w:sz w:val="18"/>
          <w:szCs w:val="18"/>
          <w:b w:val="1"/>
          <w:bCs w:val="1"/>
          <w:color w:val="auto"/>
        </w:rPr>
      </w:pPr>
      <w:r>
        <w:rPr>
          <w:rFonts w:ascii="Arial" w:cs="Arial" w:eastAsia="Arial" w:hAnsi="Arial"/>
          <w:sz w:val="18"/>
          <w:szCs w:val="18"/>
          <w:b w:val="1"/>
          <w:bCs w:val="1"/>
          <w:color w:val="auto"/>
        </w:rPr>
        <w:t>Chief Executive Officer, President and Chief Financial Officer</w:t>
      </w:r>
    </w:p>
    <w:p>
      <w:pPr>
        <w:spacing w:after="0" w:line="121" w:lineRule="exact"/>
        <w:rPr>
          <w:sz w:val="20"/>
          <w:szCs w:val="20"/>
          <w:color w:val="auto"/>
        </w:rPr>
      </w:pPr>
    </w:p>
    <w:p>
      <w:pPr>
        <w:ind w:right="60" w:firstLine="598"/>
        <w:spacing w:after="0" w:line="308" w:lineRule="auto"/>
        <w:rPr>
          <w:sz w:val="20"/>
          <w:szCs w:val="20"/>
          <w:color w:val="auto"/>
        </w:rPr>
      </w:pPr>
      <w:r>
        <w:rPr>
          <w:rFonts w:ascii="Arial" w:cs="Arial" w:eastAsia="Arial" w:hAnsi="Arial"/>
          <w:sz w:val="17"/>
          <w:szCs w:val="17"/>
          <w:color w:val="auto"/>
        </w:rPr>
        <w:t>The Compensation Committee of the Board of Directors of TRI Pointe Homes, Inc. (the “Company”) approved cash performance awards and awards of performance-based restricted stock units (“RSUs”) to the Company’s Chief Executive Officer, President and Chief Financial Officer.</w:t>
      </w:r>
    </w:p>
    <w:p>
      <w:pPr>
        <w:spacing w:after="0" w:line="147" w:lineRule="exact"/>
        <w:rPr>
          <w:sz w:val="20"/>
          <w:szCs w:val="20"/>
          <w:color w:val="auto"/>
        </w:rPr>
      </w:pPr>
    </w:p>
    <w:p>
      <w:pPr>
        <w:ind w:right="120" w:firstLine="598"/>
        <w:spacing w:after="0" w:line="264" w:lineRule="auto"/>
        <w:rPr>
          <w:sz w:val="20"/>
          <w:szCs w:val="20"/>
          <w:color w:val="auto"/>
        </w:rPr>
      </w:pPr>
      <w:r>
        <w:rPr>
          <w:rFonts w:ascii="Arial" w:cs="Arial" w:eastAsia="Arial" w:hAnsi="Arial"/>
          <w:sz w:val="18"/>
          <w:szCs w:val="18"/>
          <w:color w:val="auto"/>
        </w:rPr>
        <w:t>The cash performance awards were made pursuant to the Company’s 2013 Long-Term Incentive Plan, with a performance period of January 1, 2015 to December 31, 2015. The payout amounts, if any, will be based on the Company’s achievement of specified earnings per share amounts and will be calculated based on percentages of each officer’s target, which is equal to 110% of that officer’s base salary.</w:t>
      </w:r>
    </w:p>
    <w:p>
      <w:pPr>
        <w:spacing w:after="0" w:line="181" w:lineRule="exact"/>
        <w:rPr>
          <w:sz w:val="20"/>
          <w:szCs w:val="20"/>
          <w:color w:val="auto"/>
        </w:rPr>
      </w:pPr>
    </w:p>
    <w:p>
      <w:pPr>
        <w:ind w:right="320" w:firstLine="598"/>
        <w:spacing w:after="0" w:line="293" w:lineRule="auto"/>
        <w:rPr>
          <w:sz w:val="20"/>
          <w:szCs w:val="20"/>
          <w:color w:val="auto"/>
        </w:rPr>
      </w:pPr>
      <w:r>
        <w:rPr>
          <w:rFonts w:ascii="Arial" w:cs="Arial" w:eastAsia="Arial" w:hAnsi="Arial"/>
          <w:sz w:val="16"/>
          <w:szCs w:val="16"/>
          <w:color w:val="auto"/>
        </w:rPr>
        <w:t>The Compensation Committee awarded 411,804, 384,351, and 274,536 performance-based RSUs to the Company’s Chief Executive Officer, President and Chief Financial Officer, respectively, with 1/3 of these RSU amounts being allocated to each of the three separate performance goals, and vesting, if at all, in each case based on the percentage of attainment of the applicable goal. The Company’s total shareholder return will be compared to a group of similarly-sized homebuilders. The performance periods for the RSUs with vesting based on total shareholder return and earnings per share are January 1, 2015 to December 31, 2017. The performance period for the RSUs with vesting based on stock price is January 1, 2016 to December 31, 2017. These performance-based RSU awards were granted pursuant to the Company’s 2013 Long-Term Incentive Plan.</w:t>
      </w:r>
    </w:p>
    <w:p>
      <w:pPr>
        <w:spacing w:after="0" w:line="165" w:lineRule="exact"/>
        <w:rPr>
          <w:sz w:val="20"/>
          <w:szCs w:val="20"/>
          <w:color w:val="auto"/>
        </w:rPr>
      </w:pPr>
    </w:p>
    <w:p>
      <w:pPr>
        <w:ind w:right="580" w:firstLine="598"/>
        <w:spacing w:after="0" w:line="277" w:lineRule="auto"/>
        <w:rPr>
          <w:sz w:val="20"/>
          <w:szCs w:val="20"/>
          <w:color w:val="auto"/>
        </w:rPr>
      </w:pPr>
      <w:r>
        <w:rPr>
          <w:rFonts w:ascii="Arial" w:cs="Arial" w:eastAsia="Arial" w:hAnsi="Arial"/>
          <w:sz w:val="18"/>
          <w:szCs w:val="18"/>
          <w:color w:val="auto"/>
        </w:rPr>
        <w:t>The Compensation Committee approved increases in the base salaries of the Chief Executive Officer, President and Chief Financial Officer of $100,000, $100,000, and $50,000, respectively.</w:t>
      </w:r>
    </w:p>
    <w:p>
      <w:pPr>
        <w:spacing w:after="0" w:line="170" w:lineRule="exact"/>
        <w:rPr>
          <w:sz w:val="20"/>
          <w:szCs w:val="20"/>
          <w:color w:val="auto"/>
        </w:rPr>
      </w:pPr>
    </w:p>
    <w:p>
      <w:pPr>
        <w:ind w:left="600"/>
        <w:spacing w:after="0"/>
        <w:rPr>
          <w:sz w:val="20"/>
          <w:szCs w:val="20"/>
          <w:color w:val="auto"/>
        </w:rPr>
      </w:pPr>
      <w:r>
        <w:rPr>
          <w:rFonts w:ascii="Arial" w:cs="Arial" w:eastAsia="Arial" w:hAnsi="Arial"/>
          <w:sz w:val="18"/>
          <w:szCs w:val="18"/>
          <w:color w:val="auto"/>
        </w:rPr>
        <w:t>These changes in target total annual compensation are summarized in the table below.</w:t>
      </w:r>
    </w:p>
    <w:p>
      <w:pPr>
        <w:spacing w:after="0" w:line="200" w:lineRule="exact"/>
        <w:rPr>
          <w:sz w:val="20"/>
          <w:szCs w:val="20"/>
          <w:color w:val="auto"/>
        </w:rPr>
      </w:pPr>
    </w:p>
    <w:p>
      <w:pPr>
        <w:spacing w:after="0" w:line="241" w:lineRule="exact"/>
        <w:rPr>
          <w:sz w:val="20"/>
          <w:szCs w:val="20"/>
          <w:color w:val="auto"/>
        </w:rPr>
      </w:pPr>
    </w:p>
    <w:tbl>
      <w:tblPr>
        <w:tblLayout w:type="fixed"/>
        <w:tblInd w:w="920" w:type="dxa"/>
        <w:tblCellMar>
          <w:top w:w="0" w:type="dxa"/>
          <w:left w:w="0" w:type="dxa"/>
          <w:bottom w:w="0" w:type="dxa"/>
          <w:right w:w="0" w:type="dxa"/>
        </w:tblCellMar>
      </w:tblPr>
      <w:tr>
        <w:trPr>
          <w:trHeight w:val="216"/>
        </w:trPr>
        <w:tc>
          <w:tcPr>
            <w:tcW w:w="566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060" w:type="dxa"/>
            <w:vAlign w:val="bottom"/>
            <w:gridSpan w:val="3"/>
          </w:tcPr>
          <w:p>
            <w:pPr>
              <w:spacing w:after="0"/>
              <w:rPr>
                <w:sz w:val="20"/>
                <w:szCs w:val="20"/>
                <w:color w:val="auto"/>
              </w:rPr>
            </w:pPr>
            <w:r>
              <w:rPr>
                <w:rFonts w:ascii="Arial" w:cs="Arial" w:eastAsia="Arial" w:hAnsi="Arial"/>
                <w:sz w:val="18"/>
                <w:szCs w:val="18"/>
                <w:color w:val="auto"/>
              </w:rPr>
              <w:t>Annualized</w:t>
            </w:r>
          </w:p>
        </w:tc>
        <w:tc>
          <w:tcPr>
            <w:tcW w:w="220" w:type="dxa"/>
            <w:vAlign w:val="bottom"/>
          </w:tcPr>
          <w:p>
            <w:pPr>
              <w:spacing w:after="0"/>
              <w:rPr>
                <w:sz w:val="18"/>
                <w:szCs w:val="18"/>
                <w:color w:val="auto"/>
              </w:rPr>
            </w:pPr>
          </w:p>
        </w:tc>
        <w:tc>
          <w:tcPr>
            <w:tcW w:w="1120" w:type="dxa"/>
            <w:vAlign w:val="bottom"/>
            <w:gridSpan w:val="2"/>
          </w:tcPr>
          <w:p>
            <w:pPr>
              <w:jc w:val="center"/>
              <w:ind w:right="460"/>
              <w:spacing w:after="0"/>
              <w:rPr>
                <w:sz w:val="20"/>
                <w:szCs w:val="20"/>
                <w:color w:val="auto"/>
              </w:rPr>
            </w:pPr>
            <w:r>
              <w:rPr>
                <w:rFonts w:ascii="Arial" w:cs="Arial" w:eastAsia="Arial" w:hAnsi="Arial"/>
                <w:sz w:val="18"/>
                <w:szCs w:val="18"/>
                <w:color w:val="auto"/>
                <w:w w:val="88"/>
              </w:rPr>
              <w:t>Target</w:t>
            </w:r>
          </w:p>
        </w:tc>
        <w:tc>
          <w:tcPr>
            <w:tcW w:w="10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660" w:type="dxa"/>
            <w:vAlign w:val="bottom"/>
            <w:vMerge w:val="restart"/>
          </w:tcPr>
          <w:p>
            <w:pPr>
              <w:spacing w:after="0"/>
              <w:rPr>
                <w:sz w:val="20"/>
                <w:szCs w:val="20"/>
                <w:color w:val="auto"/>
              </w:rPr>
            </w:pPr>
            <w:r>
              <w:rPr>
                <w:rFonts w:ascii="Arial" w:cs="Arial" w:eastAsia="Arial" w:hAnsi="Arial"/>
                <w:sz w:val="18"/>
                <w:szCs w:val="18"/>
                <w:color w:val="auto"/>
              </w:rPr>
              <w:t>Executive</w:t>
            </w:r>
          </w:p>
        </w:tc>
        <w:tc>
          <w:tcPr>
            <w:tcW w:w="3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20" w:type="dxa"/>
            <w:vAlign w:val="bottom"/>
            <w:gridSpan w:val="2"/>
          </w:tcPr>
          <w:p>
            <w:pPr>
              <w:ind w:left="100"/>
              <w:spacing w:after="0"/>
              <w:rPr>
                <w:sz w:val="20"/>
                <w:szCs w:val="20"/>
                <w:color w:val="auto"/>
              </w:rPr>
            </w:pPr>
            <w:r>
              <w:rPr>
                <w:rFonts w:ascii="Arial" w:cs="Arial" w:eastAsia="Arial" w:hAnsi="Arial"/>
                <w:sz w:val="18"/>
                <w:szCs w:val="18"/>
                <w:color w:val="auto"/>
              </w:rPr>
              <w:t>Base</w:t>
            </w:r>
          </w:p>
        </w:tc>
        <w:tc>
          <w:tcPr>
            <w:tcW w:w="220" w:type="dxa"/>
            <w:vAlign w:val="bottom"/>
          </w:tcPr>
          <w:p>
            <w:pPr>
              <w:spacing w:after="0"/>
              <w:rPr>
                <w:sz w:val="18"/>
                <w:szCs w:val="18"/>
                <w:color w:val="auto"/>
              </w:rPr>
            </w:pPr>
          </w:p>
        </w:tc>
        <w:tc>
          <w:tcPr>
            <w:tcW w:w="1120" w:type="dxa"/>
            <w:vAlign w:val="bottom"/>
            <w:gridSpan w:val="2"/>
          </w:tcPr>
          <w:p>
            <w:pPr>
              <w:jc w:val="center"/>
              <w:ind w:right="440"/>
              <w:spacing w:after="0"/>
              <w:rPr>
                <w:sz w:val="20"/>
                <w:szCs w:val="20"/>
                <w:color w:val="auto"/>
              </w:rPr>
            </w:pPr>
            <w:r>
              <w:rPr>
                <w:rFonts w:ascii="Arial" w:cs="Arial" w:eastAsia="Arial" w:hAnsi="Arial"/>
                <w:sz w:val="18"/>
                <w:szCs w:val="18"/>
                <w:color w:val="auto"/>
                <w:w w:val="92"/>
              </w:rPr>
              <w:t>Annual</w:t>
            </w:r>
          </w:p>
        </w:tc>
        <w:tc>
          <w:tcPr>
            <w:tcW w:w="1180" w:type="dxa"/>
            <w:vAlign w:val="bottom"/>
            <w:gridSpan w:val="2"/>
          </w:tcPr>
          <w:p>
            <w:pPr>
              <w:jc w:val="center"/>
              <w:ind w:right="100"/>
              <w:spacing w:after="0"/>
              <w:rPr>
                <w:sz w:val="20"/>
                <w:szCs w:val="20"/>
                <w:color w:val="auto"/>
              </w:rPr>
            </w:pPr>
            <w:r>
              <w:rPr>
                <w:rFonts w:ascii="Arial" w:cs="Arial" w:eastAsia="Arial" w:hAnsi="Arial"/>
                <w:sz w:val="18"/>
                <w:szCs w:val="18"/>
                <w:color w:val="auto"/>
                <w:w w:val="88"/>
              </w:rPr>
              <w:t>Performance-</w:t>
            </w:r>
          </w:p>
        </w:tc>
        <w:tc>
          <w:tcPr>
            <w:tcW w:w="0" w:type="dxa"/>
            <w:vAlign w:val="bottom"/>
          </w:tcPr>
          <w:p>
            <w:pPr>
              <w:spacing w:after="0"/>
              <w:rPr>
                <w:sz w:val="1"/>
                <w:szCs w:val="1"/>
                <w:color w:val="auto"/>
              </w:rPr>
            </w:pPr>
          </w:p>
        </w:tc>
      </w:tr>
      <w:tr>
        <w:trPr>
          <w:trHeight w:val="237"/>
        </w:trPr>
        <w:tc>
          <w:tcPr>
            <w:tcW w:w="5660" w:type="dxa"/>
            <w:vAlign w:val="bottom"/>
            <w:tcBorders>
              <w:bottom w:val="single" w:sz="8" w:color="auto"/>
            </w:tcBorders>
            <w:vMerge w:val="continue"/>
          </w:tcPr>
          <w:p>
            <w:pPr>
              <w:spacing w:after="0"/>
              <w:rPr>
                <w:sz w:val="20"/>
                <w:szCs w:val="20"/>
                <w:color w:val="auto"/>
              </w:rPr>
            </w:pPr>
          </w:p>
        </w:tc>
        <w:tc>
          <w:tcPr>
            <w:tcW w:w="34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920" w:type="dxa"/>
            <w:vAlign w:val="bottom"/>
            <w:gridSpan w:val="2"/>
          </w:tcPr>
          <w:p>
            <w:pPr>
              <w:ind w:left="60"/>
              <w:spacing w:after="0"/>
              <w:rPr>
                <w:sz w:val="20"/>
                <w:szCs w:val="20"/>
                <w:color w:val="auto"/>
              </w:rPr>
            </w:pPr>
            <w:r>
              <w:rPr>
                <w:rFonts w:ascii="Arial" w:cs="Arial" w:eastAsia="Arial" w:hAnsi="Arial"/>
                <w:sz w:val="18"/>
                <w:szCs w:val="18"/>
                <w:color w:val="auto"/>
              </w:rPr>
              <w:t>Salary</w:t>
            </w:r>
          </w:p>
        </w:tc>
        <w:tc>
          <w:tcPr>
            <w:tcW w:w="220" w:type="dxa"/>
            <w:vAlign w:val="bottom"/>
          </w:tcPr>
          <w:p>
            <w:pPr>
              <w:spacing w:after="0"/>
              <w:rPr>
                <w:sz w:val="20"/>
                <w:szCs w:val="20"/>
                <w:color w:val="auto"/>
              </w:rPr>
            </w:pPr>
          </w:p>
        </w:tc>
        <w:tc>
          <w:tcPr>
            <w:tcW w:w="1120" w:type="dxa"/>
            <w:vAlign w:val="bottom"/>
            <w:gridSpan w:val="2"/>
          </w:tcPr>
          <w:p>
            <w:pPr>
              <w:jc w:val="center"/>
              <w:ind w:right="440"/>
              <w:spacing w:after="0"/>
              <w:rPr>
                <w:sz w:val="20"/>
                <w:szCs w:val="20"/>
                <w:color w:val="auto"/>
              </w:rPr>
            </w:pPr>
            <w:r>
              <w:rPr>
                <w:rFonts w:ascii="Arial" w:cs="Arial" w:eastAsia="Arial" w:hAnsi="Arial"/>
                <w:sz w:val="18"/>
                <w:szCs w:val="18"/>
                <w:color w:val="auto"/>
                <w:w w:val="94"/>
              </w:rPr>
              <w:t>Incentive</w:t>
            </w:r>
          </w:p>
        </w:tc>
        <w:tc>
          <w:tcPr>
            <w:tcW w:w="1180" w:type="dxa"/>
            <w:vAlign w:val="bottom"/>
            <w:gridSpan w:val="2"/>
          </w:tcPr>
          <w:p>
            <w:pPr>
              <w:jc w:val="center"/>
              <w:ind w:right="100"/>
              <w:spacing w:after="0"/>
              <w:rPr>
                <w:sz w:val="20"/>
                <w:szCs w:val="20"/>
                <w:color w:val="auto"/>
              </w:rPr>
            </w:pPr>
            <w:r>
              <w:rPr>
                <w:rFonts w:ascii="Arial" w:cs="Arial" w:eastAsia="Arial" w:hAnsi="Arial"/>
                <w:sz w:val="18"/>
                <w:szCs w:val="18"/>
                <w:color w:val="auto"/>
                <w:w w:val="88"/>
              </w:rPr>
              <w:t>Based RSUs</w:t>
            </w:r>
            <w:r>
              <w:rPr>
                <w:rFonts w:ascii="Arial" w:cs="Arial" w:eastAsia="Arial" w:hAnsi="Arial"/>
                <w:sz w:val="15"/>
                <w:szCs w:val="15"/>
                <w:color w:val="auto"/>
                <w:w w:val="88"/>
              </w:rPr>
              <w:t>(1)</w:t>
            </w:r>
          </w:p>
        </w:tc>
        <w:tc>
          <w:tcPr>
            <w:tcW w:w="0" w:type="dxa"/>
            <w:vAlign w:val="bottom"/>
          </w:tcPr>
          <w:p>
            <w:pPr>
              <w:spacing w:after="0"/>
              <w:rPr>
                <w:sz w:val="1"/>
                <w:szCs w:val="1"/>
                <w:color w:val="auto"/>
              </w:rPr>
            </w:pPr>
          </w:p>
        </w:tc>
      </w:tr>
      <w:tr>
        <w:trPr>
          <w:trHeight w:val="203"/>
        </w:trPr>
        <w:tc>
          <w:tcPr>
            <w:tcW w:w="5660" w:type="dxa"/>
            <w:vAlign w:val="bottom"/>
            <w:tcBorders>
              <w:top w:val="single" w:sz="8" w:color="CCEEFF"/>
            </w:tcBorders>
            <w:shd w:val="clear" w:color="auto" w:fill="CCEEFF"/>
          </w:tcPr>
          <w:p>
            <w:pPr>
              <w:spacing w:after="0" w:line="203" w:lineRule="exact"/>
              <w:rPr>
                <w:sz w:val="20"/>
                <w:szCs w:val="20"/>
                <w:color w:val="auto"/>
              </w:rPr>
            </w:pPr>
            <w:r>
              <w:rPr>
                <w:rFonts w:ascii="Arial" w:cs="Arial" w:eastAsia="Arial" w:hAnsi="Arial"/>
                <w:sz w:val="18"/>
                <w:szCs w:val="18"/>
                <w:color w:val="auto"/>
              </w:rPr>
              <w:t>Douglas F. Bauer (CEO)</w:t>
            </w:r>
          </w:p>
        </w:tc>
        <w:tc>
          <w:tcPr>
            <w:tcW w:w="340" w:type="dxa"/>
            <w:vAlign w:val="bottom"/>
            <w:tcBorders>
              <w:top w:val="single" w:sz="8" w:color="CCEEFF"/>
            </w:tcBorders>
            <w:shd w:val="clear" w:color="auto" w:fill="CCEEFF"/>
          </w:tcPr>
          <w:p>
            <w:pPr>
              <w:spacing w:after="0"/>
              <w:rPr>
                <w:sz w:val="17"/>
                <w:szCs w:val="17"/>
                <w:color w:val="auto"/>
              </w:rPr>
            </w:pPr>
          </w:p>
        </w:tc>
        <w:tc>
          <w:tcPr>
            <w:tcW w:w="140" w:type="dxa"/>
            <w:vAlign w:val="bottom"/>
            <w:tcBorders>
              <w:top w:val="single" w:sz="8" w:color="auto"/>
            </w:tcBorders>
            <w:shd w:val="clear" w:color="auto" w:fill="CCEEFF"/>
          </w:tcPr>
          <w:p>
            <w:pPr>
              <w:spacing w:after="0" w:line="203" w:lineRule="exact"/>
              <w:rPr>
                <w:sz w:val="20"/>
                <w:szCs w:val="20"/>
                <w:color w:val="auto"/>
              </w:rPr>
            </w:pPr>
            <w:r>
              <w:rPr>
                <w:rFonts w:ascii="Arial" w:cs="Arial" w:eastAsia="Arial" w:hAnsi="Arial"/>
                <w:sz w:val="18"/>
                <w:szCs w:val="18"/>
                <w:color w:val="auto"/>
              </w:rPr>
              <w:t>$</w:t>
            </w:r>
          </w:p>
        </w:tc>
        <w:tc>
          <w:tcPr>
            <w:tcW w:w="700" w:type="dxa"/>
            <w:vAlign w:val="bottom"/>
            <w:tcBorders>
              <w:top w:val="single" w:sz="8" w:color="auto"/>
            </w:tcBorders>
            <w:shd w:val="clear" w:color="auto" w:fill="CCEEFF"/>
          </w:tcPr>
          <w:p>
            <w:pPr>
              <w:ind w:left="120"/>
              <w:spacing w:after="0" w:line="203" w:lineRule="exact"/>
              <w:rPr>
                <w:sz w:val="20"/>
                <w:szCs w:val="20"/>
                <w:color w:val="auto"/>
              </w:rPr>
            </w:pPr>
            <w:r>
              <w:rPr>
                <w:rFonts w:ascii="Arial" w:cs="Arial" w:eastAsia="Arial" w:hAnsi="Arial"/>
                <w:sz w:val="18"/>
                <w:szCs w:val="18"/>
                <w:color w:val="auto"/>
                <w:w w:val="86"/>
              </w:rPr>
              <w:t>600,000</w:t>
            </w:r>
          </w:p>
        </w:tc>
        <w:tc>
          <w:tcPr>
            <w:tcW w:w="220" w:type="dxa"/>
            <w:vAlign w:val="bottom"/>
            <w:tcBorders>
              <w:top w:val="single" w:sz="8" w:color="CCEEFF"/>
            </w:tcBorders>
            <w:shd w:val="clear" w:color="auto" w:fill="CCEEFF"/>
          </w:tcPr>
          <w:p>
            <w:pPr>
              <w:spacing w:after="0"/>
              <w:rPr>
                <w:sz w:val="17"/>
                <w:szCs w:val="17"/>
                <w:color w:val="auto"/>
              </w:rPr>
            </w:pPr>
          </w:p>
        </w:tc>
        <w:tc>
          <w:tcPr>
            <w:tcW w:w="220" w:type="dxa"/>
            <w:vAlign w:val="bottom"/>
            <w:tcBorders>
              <w:top w:val="single" w:sz="8" w:color="CCEEFF"/>
            </w:tcBorders>
            <w:shd w:val="clear" w:color="auto" w:fill="CCEEFF"/>
          </w:tcPr>
          <w:p>
            <w:pPr>
              <w:spacing w:after="0"/>
              <w:rPr>
                <w:sz w:val="17"/>
                <w:szCs w:val="17"/>
                <w:color w:val="auto"/>
              </w:rPr>
            </w:pPr>
          </w:p>
        </w:tc>
        <w:tc>
          <w:tcPr>
            <w:tcW w:w="680" w:type="dxa"/>
            <w:vAlign w:val="bottom"/>
            <w:tcBorders>
              <w:top w:val="single" w:sz="8" w:color="auto"/>
            </w:tcBorders>
            <w:shd w:val="clear" w:color="auto" w:fill="CCEEFF"/>
          </w:tcPr>
          <w:p>
            <w:pPr>
              <w:jc w:val="right"/>
              <w:spacing w:after="0" w:line="203" w:lineRule="exact"/>
              <w:rPr>
                <w:sz w:val="20"/>
                <w:szCs w:val="20"/>
                <w:color w:val="auto"/>
              </w:rPr>
            </w:pPr>
            <w:r>
              <w:rPr>
                <w:rFonts w:ascii="Arial" w:cs="Arial" w:eastAsia="Arial" w:hAnsi="Arial"/>
                <w:sz w:val="18"/>
                <w:szCs w:val="18"/>
                <w:color w:val="auto"/>
                <w:w w:val="87"/>
              </w:rPr>
              <w:t>$660,000</w:t>
            </w:r>
          </w:p>
        </w:tc>
        <w:tc>
          <w:tcPr>
            <w:tcW w:w="440" w:type="dxa"/>
            <w:vAlign w:val="bottom"/>
            <w:tcBorders>
              <w:top w:val="single" w:sz="8" w:color="CCEEFF"/>
            </w:tcBorders>
            <w:shd w:val="clear" w:color="auto" w:fill="CCEEFF"/>
          </w:tcPr>
          <w:p>
            <w:pPr>
              <w:spacing w:after="0"/>
              <w:rPr>
                <w:sz w:val="17"/>
                <w:szCs w:val="17"/>
                <w:color w:val="auto"/>
              </w:rPr>
            </w:pPr>
          </w:p>
        </w:tc>
        <w:tc>
          <w:tcPr>
            <w:tcW w:w="1080" w:type="dxa"/>
            <w:vAlign w:val="bottom"/>
            <w:tcBorders>
              <w:top w:val="single" w:sz="8" w:color="auto"/>
            </w:tcBorders>
            <w:shd w:val="clear" w:color="auto" w:fill="CCEEFF"/>
          </w:tcPr>
          <w:p>
            <w:pPr>
              <w:ind w:left="500"/>
              <w:spacing w:after="0" w:line="203" w:lineRule="exact"/>
              <w:rPr>
                <w:sz w:val="20"/>
                <w:szCs w:val="20"/>
                <w:color w:val="auto"/>
              </w:rPr>
            </w:pPr>
            <w:r>
              <w:rPr>
                <w:rFonts w:ascii="Arial" w:cs="Arial" w:eastAsia="Arial" w:hAnsi="Arial"/>
                <w:sz w:val="18"/>
                <w:szCs w:val="18"/>
                <w:color w:val="auto"/>
                <w:w w:val="86"/>
              </w:rPr>
              <w:t>411,804</w:t>
            </w:r>
          </w:p>
        </w:tc>
        <w:tc>
          <w:tcPr>
            <w:tcW w:w="100" w:type="dxa"/>
            <w:vAlign w:val="bottom"/>
            <w:tcBorders>
              <w:top w:val="single" w:sz="8" w:color="CCEEFF"/>
            </w:tcBorders>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5660" w:type="dxa"/>
            <w:vAlign w:val="bottom"/>
          </w:tcPr>
          <w:p>
            <w:pPr>
              <w:spacing w:after="0"/>
              <w:rPr>
                <w:sz w:val="20"/>
                <w:szCs w:val="20"/>
                <w:color w:val="auto"/>
              </w:rPr>
            </w:pPr>
            <w:r>
              <w:rPr>
                <w:rFonts w:ascii="Arial" w:cs="Arial" w:eastAsia="Arial" w:hAnsi="Arial"/>
                <w:sz w:val="18"/>
                <w:szCs w:val="18"/>
                <w:color w:val="auto"/>
              </w:rPr>
              <w:t>Thomas J. Mitchell (President)</w:t>
            </w:r>
          </w:p>
        </w:tc>
        <w:tc>
          <w:tcPr>
            <w:tcW w:w="480" w:type="dxa"/>
            <w:vAlign w:val="bottom"/>
            <w:gridSpan w:val="2"/>
          </w:tcPr>
          <w:p>
            <w:pPr>
              <w:ind w:left="340"/>
              <w:spacing w:after="0"/>
              <w:rPr>
                <w:sz w:val="20"/>
                <w:szCs w:val="20"/>
                <w:color w:val="auto"/>
              </w:rPr>
            </w:pPr>
            <w:r>
              <w:rPr>
                <w:rFonts w:ascii="Arial" w:cs="Arial" w:eastAsia="Arial" w:hAnsi="Arial"/>
                <w:sz w:val="18"/>
                <w:szCs w:val="18"/>
                <w:color w:val="auto"/>
              </w:rPr>
              <w:t>$</w:t>
            </w:r>
          </w:p>
        </w:tc>
        <w:tc>
          <w:tcPr>
            <w:tcW w:w="920" w:type="dxa"/>
            <w:vAlign w:val="bottom"/>
            <w:gridSpan w:val="2"/>
          </w:tcPr>
          <w:p>
            <w:pPr>
              <w:ind w:left="120"/>
              <w:spacing w:after="0"/>
              <w:rPr>
                <w:sz w:val="20"/>
                <w:szCs w:val="20"/>
                <w:color w:val="auto"/>
              </w:rPr>
            </w:pPr>
            <w:r>
              <w:rPr>
                <w:rFonts w:ascii="Arial" w:cs="Arial" w:eastAsia="Arial" w:hAnsi="Arial"/>
                <w:sz w:val="18"/>
                <w:szCs w:val="18"/>
                <w:color w:val="auto"/>
              </w:rPr>
              <w:t>575,000</w:t>
            </w:r>
          </w:p>
        </w:tc>
        <w:tc>
          <w:tcPr>
            <w:tcW w:w="1340" w:type="dxa"/>
            <w:vAlign w:val="bottom"/>
            <w:gridSpan w:val="3"/>
          </w:tcPr>
          <w:p>
            <w:pPr>
              <w:jc w:val="right"/>
              <w:ind w:right="440"/>
              <w:spacing w:after="0"/>
              <w:rPr>
                <w:sz w:val="20"/>
                <w:szCs w:val="20"/>
                <w:color w:val="auto"/>
              </w:rPr>
            </w:pPr>
            <w:r>
              <w:rPr>
                <w:rFonts w:ascii="Arial" w:cs="Arial" w:eastAsia="Arial" w:hAnsi="Arial"/>
                <w:sz w:val="18"/>
                <w:szCs w:val="18"/>
                <w:color w:val="auto"/>
              </w:rPr>
              <w:t>$633,000</w:t>
            </w:r>
          </w:p>
        </w:tc>
        <w:tc>
          <w:tcPr>
            <w:tcW w:w="1180" w:type="dxa"/>
            <w:vAlign w:val="bottom"/>
            <w:gridSpan w:val="2"/>
          </w:tcPr>
          <w:p>
            <w:pPr>
              <w:ind w:left="500"/>
              <w:spacing w:after="0"/>
              <w:rPr>
                <w:sz w:val="20"/>
                <w:szCs w:val="20"/>
                <w:color w:val="auto"/>
              </w:rPr>
            </w:pPr>
            <w:r>
              <w:rPr>
                <w:rFonts w:ascii="Arial" w:cs="Arial" w:eastAsia="Arial" w:hAnsi="Arial"/>
                <w:sz w:val="18"/>
                <w:szCs w:val="18"/>
                <w:color w:val="auto"/>
              </w:rPr>
              <w:t>384,351</w:t>
            </w:r>
          </w:p>
        </w:tc>
        <w:tc>
          <w:tcPr>
            <w:tcW w:w="0" w:type="dxa"/>
            <w:vAlign w:val="bottom"/>
          </w:tcPr>
          <w:p>
            <w:pPr>
              <w:spacing w:after="0"/>
              <w:rPr>
                <w:sz w:val="1"/>
                <w:szCs w:val="1"/>
                <w:color w:val="auto"/>
              </w:rPr>
            </w:pPr>
          </w:p>
        </w:tc>
      </w:tr>
      <w:tr>
        <w:trPr>
          <w:trHeight w:val="216"/>
        </w:trPr>
        <w:tc>
          <w:tcPr>
            <w:tcW w:w="5660" w:type="dxa"/>
            <w:vAlign w:val="bottom"/>
            <w:shd w:val="clear" w:color="auto" w:fill="CCEEFF"/>
          </w:tcPr>
          <w:p>
            <w:pPr>
              <w:spacing w:after="0"/>
              <w:rPr>
                <w:sz w:val="20"/>
                <w:szCs w:val="20"/>
                <w:color w:val="auto"/>
              </w:rPr>
            </w:pPr>
            <w:r>
              <w:rPr>
                <w:rFonts w:ascii="Arial" w:cs="Arial" w:eastAsia="Arial" w:hAnsi="Arial"/>
                <w:sz w:val="18"/>
                <w:szCs w:val="18"/>
                <w:color w:val="auto"/>
              </w:rPr>
              <w:t>Michael D. Grubbs (CFO)</w:t>
            </w:r>
          </w:p>
        </w:tc>
        <w:tc>
          <w:tcPr>
            <w:tcW w:w="48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rPr>
              <w:t>$</w:t>
            </w:r>
          </w:p>
        </w:tc>
        <w:tc>
          <w:tcPr>
            <w:tcW w:w="920" w:type="dxa"/>
            <w:vAlign w:val="bottom"/>
            <w:gridSpan w:val="2"/>
            <w:shd w:val="clear" w:color="auto" w:fill="CCEEFF"/>
          </w:tcPr>
          <w:p>
            <w:pPr>
              <w:ind w:left="120"/>
              <w:spacing w:after="0"/>
              <w:rPr>
                <w:sz w:val="20"/>
                <w:szCs w:val="20"/>
                <w:color w:val="auto"/>
              </w:rPr>
            </w:pPr>
            <w:r>
              <w:rPr>
                <w:rFonts w:ascii="Arial" w:cs="Arial" w:eastAsia="Arial" w:hAnsi="Arial"/>
                <w:sz w:val="18"/>
                <w:szCs w:val="18"/>
                <w:color w:val="auto"/>
              </w:rPr>
              <w:t>500,000</w:t>
            </w:r>
          </w:p>
        </w:tc>
        <w:tc>
          <w:tcPr>
            <w:tcW w:w="1340" w:type="dxa"/>
            <w:vAlign w:val="bottom"/>
            <w:gridSpan w:val="3"/>
            <w:shd w:val="clear" w:color="auto" w:fill="CCEEFF"/>
          </w:tcPr>
          <w:p>
            <w:pPr>
              <w:jc w:val="right"/>
              <w:ind w:right="440"/>
              <w:spacing w:after="0"/>
              <w:rPr>
                <w:sz w:val="20"/>
                <w:szCs w:val="20"/>
                <w:color w:val="auto"/>
              </w:rPr>
            </w:pPr>
            <w:r>
              <w:rPr>
                <w:rFonts w:ascii="Arial" w:cs="Arial" w:eastAsia="Arial" w:hAnsi="Arial"/>
                <w:sz w:val="18"/>
                <w:szCs w:val="18"/>
                <w:color w:val="auto"/>
              </w:rPr>
              <w:t>$550,000</w:t>
            </w:r>
          </w:p>
        </w:tc>
        <w:tc>
          <w:tcPr>
            <w:tcW w:w="1180" w:type="dxa"/>
            <w:vAlign w:val="bottom"/>
            <w:gridSpan w:val="2"/>
            <w:shd w:val="clear" w:color="auto" w:fill="CCEEFF"/>
          </w:tcPr>
          <w:p>
            <w:pPr>
              <w:ind w:left="500"/>
              <w:spacing w:after="0"/>
              <w:rPr>
                <w:sz w:val="20"/>
                <w:szCs w:val="20"/>
                <w:color w:val="auto"/>
              </w:rPr>
            </w:pPr>
            <w:r>
              <w:rPr>
                <w:rFonts w:ascii="Arial" w:cs="Arial" w:eastAsia="Arial" w:hAnsi="Arial"/>
                <w:sz w:val="18"/>
                <w:szCs w:val="18"/>
                <w:color w:val="auto"/>
              </w:rPr>
              <w:t>274,536</w:t>
            </w:r>
          </w:p>
        </w:tc>
        <w:tc>
          <w:tcPr>
            <w:tcW w:w="0" w:type="dxa"/>
            <w:vAlign w:val="bottom"/>
          </w:tcPr>
          <w:p>
            <w:pPr>
              <w:spacing w:after="0"/>
              <w:rPr>
                <w:sz w:val="1"/>
                <w:szCs w:val="1"/>
                <w:color w:val="auto"/>
              </w:rPr>
            </w:pPr>
          </w:p>
        </w:tc>
      </w:tr>
    </w:tbl>
    <w:p>
      <w:pPr>
        <w:spacing w:after="0" w:line="202" w:lineRule="exact"/>
        <w:rPr>
          <w:sz w:val="20"/>
          <w:szCs w:val="20"/>
          <w:color w:val="auto"/>
        </w:rPr>
      </w:pPr>
    </w:p>
    <w:p>
      <w:pPr>
        <w:ind w:left="460" w:right="80" w:hanging="452"/>
        <w:spacing w:after="0" w:line="277" w:lineRule="auto"/>
        <w:tabs>
          <w:tab w:leader="none" w:pos="460" w:val="left"/>
        </w:tabs>
        <w:numPr>
          <w:ilvl w:val="0"/>
          <w:numId w:val="31"/>
        </w:numPr>
        <w:rPr>
          <w:rFonts w:ascii="Arial" w:cs="Arial" w:eastAsia="Arial" w:hAnsi="Arial"/>
          <w:sz w:val="18"/>
          <w:szCs w:val="18"/>
          <w:color w:val="auto"/>
        </w:rPr>
      </w:pPr>
      <w:r>
        <w:rPr>
          <w:rFonts w:ascii="Arial" w:cs="Arial" w:eastAsia="Arial" w:hAnsi="Arial"/>
          <w:sz w:val="18"/>
          <w:szCs w:val="18"/>
          <w:color w:val="auto"/>
        </w:rPr>
        <w:t>The number of performance restricted stock units awarded is based on the closing price of the Company’s common stock on March 9, 2015, the date of grant.</w:t>
      </w:r>
    </w:p>
    <w:p>
      <w:pPr>
        <w:spacing w:after="0" w:line="170" w:lineRule="exact"/>
        <w:rPr>
          <w:sz w:val="20"/>
          <w:szCs w:val="20"/>
          <w:color w:val="auto"/>
        </w:rPr>
      </w:pPr>
    </w:p>
    <w:p>
      <w:pPr>
        <w:ind w:right="160" w:firstLine="598"/>
        <w:spacing w:after="0" w:line="264" w:lineRule="auto"/>
        <w:rPr>
          <w:sz w:val="20"/>
          <w:szCs w:val="20"/>
          <w:color w:val="auto"/>
        </w:rPr>
      </w:pPr>
      <w:r>
        <w:rPr>
          <w:rFonts w:ascii="Arial" w:cs="Arial" w:eastAsia="Arial" w:hAnsi="Arial"/>
          <w:sz w:val="18"/>
          <w:szCs w:val="18"/>
          <w:color w:val="auto"/>
        </w:rPr>
        <w:t>The foregoing is a brief summary of the terms of those performance-based awards, and is qualified in its entirety by reference to the forms of award agreements, copies of which are filed as Exhibits 10.1, 10.2, 10.3 and 10.4 to the Company's Current Report on Form 8-K filed with the Securities and Exchange Commission on March 11, 2015.</w:t>
      </w:r>
    </w:p>
    <w:p>
      <w:pPr>
        <w:spacing w:after="0" w:line="177" w:lineRule="exact"/>
        <w:rPr>
          <w:sz w:val="20"/>
          <w:szCs w:val="20"/>
          <w:color w:val="auto"/>
        </w:rPr>
      </w:pPr>
    </w:p>
    <w:p>
      <w:pPr>
        <w:ind w:left="460" w:hanging="452"/>
        <w:spacing w:after="0"/>
        <w:tabs>
          <w:tab w:leader="none" w:pos="460" w:val="left"/>
        </w:tabs>
        <w:numPr>
          <w:ilvl w:val="0"/>
          <w:numId w:val="32"/>
        </w:numPr>
        <w:rPr>
          <w:rFonts w:ascii="Arial" w:cs="Arial" w:eastAsia="Arial" w:hAnsi="Arial"/>
          <w:sz w:val="18"/>
          <w:szCs w:val="18"/>
          <w:b w:val="1"/>
          <w:bCs w:val="1"/>
          <w:color w:val="auto"/>
        </w:rPr>
      </w:pPr>
      <w:r>
        <w:rPr>
          <w:rFonts w:ascii="Arial" w:cs="Arial" w:eastAsia="Arial" w:hAnsi="Arial"/>
          <w:sz w:val="18"/>
          <w:szCs w:val="18"/>
          <w:b w:val="1"/>
          <w:bCs w:val="1"/>
          <w:color w:val="auto"/>
        </w:rPr>
        <w:t>Other Named Executive Officers</w:t>
      </w:r>
    </w:p>
    <w:p>
      <w:pPr>
        <w:spacing w:after="0" w:line="121" w:lineRule="exact"/>
        <w:rPr>
          <w:sz w:val="20"/>
          <w:szCs w:val="20"/>
          <w:color w:val="auto"/>
        </w:rPr>
      </w:pPr>
    </w:p>
    <w:p>
      <w:pPr>
        <w:ind w:right="60" w:firstLine="598"/>
        <w:spacing w:after="0" w:line="293" w:lineRule="auto"/>
        <w:rPr>
          <w:sz w:val="20"/>
          <w:szCs w:val="20"/>
          <w:color w:val="auto"/>
        </w:rPr>
      </w:pPr>
      <w:r>
        <w:rPr>
          <w:rFonts w:ascii="Arial" w:cs="Arial" w:eastAsia="Arial" w:hAnsi="Arial"/>
          <w:sz w:val="16"/>
          <w:szCs w:val="16"/>
          <w:color w:val="auto"/>
        </w:rPr>
        <w:t>On February 27, 2015, the Company approved increases in the base salaries of the Company’s General Counsel and Chief Accounting Officer, of $25,000, and $50,000, respectively. The Company also awarded restricted stock units to these officers, vesting 1/3 each year beginning on the first anniversary of the date of the awards. In addition, the Company established a performance metric of pre-tax income for the Company’s 2015 annual incentive program for all executive officers. The payout percentages of base salary for the General Counsel is 30% at threshold (75% of plan), 60% at target (100% of plan) and 120% at maximum (125% of plan). The payout percentages for the Chief Accounting Officer are 37.5%, 75%, and 150%, respectively at threshold, target and maximum. As long as the threshold is met, a multiple of 1.2 will be automatically applied to the payouts, subject to</w:t>
      </w:r>
    </w:p>
    <w:p>
      <w:pPr>
        <w:sectPr>
          <w:pgSz w:w="11900" w:h="16838" w:orient="portrait"/>
          <w:cols w:equalWidth="0" w:num="1">
            <w:col w:w="11420"/>
          </w:cols>
          <w:pgMar w:left="240" w:top="121" w:right="239" w:bottom="1440" w:gutter="0" w:footer="0" w:header="0"/>
        </w:sectPr>
      </w:pPr>
    </w:p>
    <w:bookmarkStart w:id="51" w:name="page52"/>
    <w:bookmarkEnd w:id="51"/>
    <w:p>
      <w:pPr>
        <w:spacing w:after="0"/>
        <w:rPr>
          <w:sz w:val="20"/>
          <w:szCs w:val="20"/>
          <w:color w:val="auto"/>
        </w:rPr>
      </w:pPr>
      <w:r>
        <w:rPr>
          <w:rFonts w:ascii="Arial" w:cs="Arial" w:eastAsia="Arial" w:hAnsi="Arial"/>
          <w:sz w:val="18"/>
          <w:szCs w:val="18"/>
          <w:color w:val="auto"/>
        </w:rPr>
        <w:t>the negative discretion of the Compensation Committee to eliminate or reduce the multiple based on individual performance.</w:t>
      </w:r>
    </w:p>
    <w:p>
      <w:pPr>
        <w:spacing w:after="0" w:line="225" w:lineRule="exact"/>
        <w:rPr>
          <w:sz w:val="20"/>
          <w:szCs w:val="20"/>
          <w:color w:val="auto"/>
        </w:rPr>
      </w:pPr>
    </w:p>
    <w:p>
      <w:pPr>
        <w:ind w:left="600"/>
        <w:spacing w:after="0"/>
        <w:rPr>
          <w:sz w:val="20"/>
          <w:szCs w:val="20"/>
          <w:color w:val="auto"/>
        </w:rPr>
      </w:pPr>
      <w:r>
        <w:rPr>
          <w:rFonts w:ascii="Arial" w:cs="Arial" w:eastAsia="Arial" w:hAnsi="Arial"/>
          <w:sz w:val="18"/>
          <w:szCs w:val="18"/>
          <w:color w:val="auto"/>
        </w:rPr>
        <w:t>These changes in target total annual compensation are summarized in the table below.</w:t>
      </w:r>
    </w:p>
    <w:p>
      <w:pPr>
        <w:spacing w:after="0" w:line="200" w:lineRule="exact"/>
        <w:rPr>
          <w:sz w:val="20"/>
          <w:szCs w:val="20"/>
          <w:color w:val="auto"/>
        </w:rPr>
      </w:pPr>
    </w:p>
    <w:p>
      <w:pPr>
        <w:spacing w:after="0" w:line="241" w:lineRule="exact"/>
        <w:rPr>
          <w:sz w:val="20"/>
          <w:szCs w:val="20"/>
          <w:color w:val="auto"/>
        </w:rPr>
      </w:pPr>
    </w:p>
    <w:p>
      <w:pPr>
        <w:jc w:val="center"/>
        <w:ind w:right="60"/>
        <w:spacing w:after="0"/>
        <w:rPr>
          <w:sz w:val="20"/>
          <w:szCs w:val="20"/>
          <w:color w:val="auto"/>
        </w:rPr>
      </w:pPr>
      <w:r>
        <w:rPr>
          <w:rFonts w:ascii="Arial" w:cs="Arial" w:eastAsia="Arial" w:hAnsi="Arial"/>
          <w:sz w:val="18"/>
          <w:szCs w:val="18"/>
          <w:color w:val="auto"/>
        </w:rPr>
        <w:t>2015 Total Target Compensation by Element</w:t>
      </w:r>
    </w:p>
    <w:p>
      <w:pPr>
        <w:spacing w:after="0" w:line="23" w:lineRule="exact"/>
        <w:rPr>
          <w:sz w:val="20"/>
          <w:szCs w:val="20"/>
          <w:color w:val="auto"/>
        </w:rPr>
      </w:pPr>
    </w:p>
    <w:tbl>
      <w:tblPr>
        <w:tblLayout w:type="fixed"/>
        <w:tblInd w:w="460" w:type="dxa"/>
        <w:tblCellMar>
          <w:top w:w="0" w:type="dxa"/>
          <w:left w:w="0" w:type="dxa"/>
          <w:bottom w:w="0" w:type="dxa"/>
          <w:right w:w="0" w:type="dxa"/>
        </w:tblCellMar>
      </w:tblPr>
      <w:tr>
        <w:trPr>
          <w:trHeight w:val="209"/>
        </w:trPr>
        <w:tc>
          <w:tcPr>
            <w:tcW w:w="5900" w:type="dxa"/>
            <w:vAlign w:val="bottom"/>
            <w:tcBorders>
              <w:top w:val="single" w:sz="8" w:color="auto"/>
            </w:tcBorders>
          </w:tcPr>
          <w:p>
            <w:pPr>
              <w:spacing w:after="0"/>
              <w:rPr>
                <w:sz w:val="18"/>
                <w:szCs w:val="18"/>
                <w:color w:val="auto"/>
              </w:rPr>
            </w:pPr>
          </w:p>
        </w:tc>
        <w:tc>
          <w:tcPr>
            <w:tcW w:w="300" w:type="dxa"/>
            <w:vAlign w:val="bottom"/>
            <w:tcBorders>
              <w:top w:val="single" w:sz="8" w:color="auto"/>
            </w:tcBorders>
          </w:tcPr>
          <w:p>
            <w:pPr>
              <w:spacing w:after="0"/>
              <w:rPr>
                <w:sz w:val="18"/>
                <w:szCs w:val="18"/>
                <w:color w:val="auto"/>
              </w:rPr>
            </w:pPr>
          </w:p>
        </w:tc>
        <w:tc>
          <w:tcPr>
            <w:tcW w:w="680" w:type="dxa"/>
            <w:vAlign w:val="bottom"/>
            <w:tcBorders>
              <w:top w:val="single" w:sz="8" w:color="auto"/>
            </w:tcBorders>
          </w:tcPr>
          <w:p>
            <w:pPr>
              <w:spacing w:after="0"/>
              <w:rPr>
                <w:sz w:val="18"/>
                <w:szCs w:val="18"/>
                <w:color w:val="auto"/>
              </w:rPr>
            </w:pPr>
          </w:p>
        </w:tc>
        <w:tc>
          <w:tcPr>
            <w:tcW w:w="380" w:type="dxa"/>
            <w:vAlign w:val="bottom"/>
            <w:tcBorders>
              <w:top w:val="single" w:sz="8" w:color="auto"/>
            </w:tcBorders>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1100" w:type="dxa"/>
            <w:vAlign w:val="bottom"/>
            <w:tcBorders>
              <w:top w:val="single" w:sz="8" w:color="auto"/>
            </w:tcBorders>
            <w:gridSpan w:val="2"/>
          </w:tcPr>
          <w:p>
            <w:pPr>
              <w:jc w:val="center"/>
              <w:ind w:right="480"/>
              <w:spacing w:after="0"/>
              <w:rPr>
                <w:sz w:val="20"/>
                <w:szCs w:val="20"/>
                <w:color w:val="auto"/>
              </w:rPr>
            </w:pPr>
            <w:r>
              <w:rPr>
                <w:rFonts w:ascii="Arial" w:cs="Arial" w:eastAsia="Arial" w:hAnsi="Arial"/>
                <w:sz w:val="18"/>
                <w:szCs w:val="18"/>
                <w:color w:val="auto"/>
                <w:w w:val="88"/>
              </w:rPr>
              <w:t>Target</w:t>
            </w:r>
          </w:p>
        </w:tc>
        <w:tc>
          <w:tcPr>
            <w:tcW w:w="180" w:type="dxa"/>
            <w:vAlign w:val="bottom"/>
            <w:tcBorders>
              <w:top w:val="single" w:sz="8" w:color="auto"/>
            </w:tcBorders>
          </w:tcPr>
          <w:p>
            <w:pPr>
              <w:spacing w:after="0"/>
              <w:rPr>
                <w:sz w:val="18"/>
                <w:szCs w:val="18"/>
                <w:color w:val="auto"/>
              </w:rPr>
            </w:pPr>
          </w:p>
        </w:tc>
        <w:tc>
          <w:tcPr>
            <w:tcW w:w="680" w:type="dxa"/>
            <w:vAlign w:val="bottom"/>
            <w:tcBorders>
              <w:top w:val="single" w:sz="8" w:color="auto"/>
            </w:tcBorders>
          </w:tcPr>
          <w:p>
            <w:pPr>
              <w:spacing w:after="0"/>
              <w:rPr>
                <w:sz w:val="18"/>
                <w:szCs w:val="18"/>
                <w:color w:val="auto"/>
              </w:rPr>
            </w:pPr>
          </w:p>
        </w:tc>
        <w:tc>
          <w:tcPr>
            <w:tcW w:w="180" w:type="dxa"/>
            <w:vAlign w:val="bottom"/>
            <w:tcBorders>
              <w:top w:val="single" w:sz="8" w:color="auto"/>
            </w:tcBorders>
          </w:tcPr>
          <w:p>
            <w:pPr>
              <w:spacing w:after="0"/>
              <w:rPr>
                <w:sz w:val="18"/>
                <w:szCs w:val="18"/>
                <w:color w:val="auto"/>
              </w:rPr>
            </w:pPr>
          </w:p>
        </w:tc>
        <w:tc>
          <w:tcPr>
            <w:tcW w:w="200" w:type="dxa"/>
            <w:vAlign w:val="bottom"/>
            <w:tcBorders>
              <w:top w:val="single" w:sz="8" w:color="auto"/>
            </w:tcBorders>
          </w:tcPr>
          <w:p>
            <w:pPr>
              <w:spacing w:after="0"/>
              <w:rPr>
                <w:sz w:val="18"/>
                <w:szCs w:val="18"/>
                <w:color w:val="auto"/>
              </w:rPr>
            </w:pPr>
          </w:p>
        </w:tc>
        <w:tc>
          <w:tcPr>
            <w:tcW w:w="68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900" w:type="dxa"/>
            <w:vAlign w:val="bottom"/>
            <w:vMerge w:val="restart"/>
          </w:tcPr>
          <w:p>
            <w:pPr>
              <w:spacing w:after="0"/>
              <w:rPr>
                <w:sz w:val="20"/>
                <w:szCs w:val="20"/>
                <w:color w:val="auto"/>
              </w:rPr>
            </w:pPr>
            <w:r>
              <w:rPr>
                <w:rFonts w:ascii="Arial" w:cs="Arial" w:eastAsia="Arial" w:hAnsi="Arial"/>
                <w:sz w:val="18"/>
                <w:szCs w:val="18"/>
                <w:color w:val="auto"/>
              </w:rPr>
              <w:t>Executive</w:t>
            </w:r>
          </w:p>
        </w:tc>
        <w:tc>
          <w:tcPr>
            <w:tcW w:w="300" w:type="dxa"/>
            <w:vAlign w:val="bottom"/>
          </w:tcPr>
          <w:p>
            <w:pPr>
              <w:spacing w:after="0"/>
              <w:rPr>
                <w:sz w:val="18"/>
                <w:szCs w:val="18"/>
                <w:color w:val="auto"/>
              </w:rPr>
            </w:pPr>
          </w:p>
        </w:tc>
        <w:tc>
          <w:tcPr>
            <w:tcW w:w="1060" w:type="dxa"/>
            <w:vAlign w:val="bottom"/>
            <w:gridSpan w:val="2"/>
          </w:tcPr>
          <w:p>
            <w:pPr>
              <w:jc w:val="right"/>
              <w:ind w:right="540"/>
              <w:spacing w:after="0"/>
              <w:rPr>
                <w:sz w:val="20"/>
                <w:szCs w:val="20"/>
                <w:color w:val="auto"/>
              </w:rPr>
            </w:pPr>
            <w:r>
              <w:rPr>
                <w:rFonts w:ascii="Arial" w:cs="Arial" w:eastAsia="Arial" w:hAnsi="Arial"/>
                <w:sz w:val="18"/>
                <w:szCs w:val="18"/>
                <w:color w:val="auto"/>
              </w:rPr>
              <w:t>Base</w:t>
            </w:r>
          </w:p>
        </w:tc>
        <w:tc>
          <w:tcPr>
            <w:tcW w:w="120" w:type="dxa"/>
            <w:vAlign w:val="bottom"/>
          </w:tcPr>
          <w:p>
            <w:pPr>
              <w:spacing w:after="0"/>
              <w:rPr>
                <w:sz w:val="18"/>
                <w:szCs w:val="18"/>
                <w:color w:val="auto"/>
              </w:rPr>
            </w:pPr>
          </w:p>
        </w:tc>
        <w:tc>
          <w:tcPr>
            <w:tcW w:w="1100" w:type="dxa"/>
            <w:vAlign w:val="bottom"/>
            <w:gridSpan w:val="2"/>
          </w:tcPr>
          <w:p>
            <w:pPr>
              <w:jc w:val="center"/>
              <w:ind w:right="500"/>
              <w:spacing w:after="0"/>
              <w:rPr>
                <w:sz w:val="20"/>
                <w:szCs w:val="20"/>
                <w:color w:val="auto"/>
              </w:rPr>
            </w:pPr>
            <w:r>
              <w:rPr>
                <w:rFonts w:ascii="Arial" w:cs="Arial" w:eastAsia="Arial" w:hAnsi="Arial"/>
                <w:sz w:val="18"/>
                <w:szCs w:val="18"/>
                <w:color w:val="auto"/>
                <w:w w:val="92"/>
              </w:rPr>
              <w:t>Annual</w:t>
            </w:r>
          </w:p>
        </w:tc>
        <w:tc>
          <w:tcPr>
            <w:tcW w:w="1040" w:type="dxa"/>
            <w:vAlign w:val="bottom"/>
            <w:gridSpan w:val="3"/>
          </w:tcPr>
          <w:p>
            <w:pPr>
              <w:ind w:left="40"/>
              <w:spacing w:after="0"/>
              <w:rPr>
                <w:sz w:val="20"/>
                <w:szCs w:val="20"/>
                <w:color w:val="auto"/>
              </w:rPr>
            </w:pPr>
            <w:r>
              <w:rPr>
                <w:rFonts w:ascii="Arial" w:cs="Arial" w:eastAsia="Arial" w:hAnsi="Arial"/>
                <w:sz w:val="18"/>
                <w:szCs w:val="18"/>
                <w:color w:val="auto"/>
              </w:rPr>
              <w:t>Long-term</w:t>
            </w:r>
          </w:p>
        </w:tc>
        <w:tc>
          <w:tcPr>
            <w:tcW w:w="200" w:type="dxa"/>
            <w:vAlign w:val="bottom"/>
          </w:tcPr>
          <w:p>
            <w:pPr>
              <w:spacing w:after="0"/>
              <w:rPr>
                <w:sz w:val="18"/>
                <w:szCs w:val="18"/>
                <w:color w:val="auto"/>
              </w:rPr>
            </w:pPr>
          </w:p>
        </w:tc>
        <w:tc>
          <w:tcPr>
            <w:tcW w:w="780" w:type="dxa"/>
            <w:vAlign w:val="bottom"/>
            <w:gridSpan w:val="2"/>
            <w:vMerge w:val="restart"/>
          </w:tcPr>
          <w:p>
            <w:pPr>
              <w:jc w:val="center"/>
              <w:ind w:right="100"/>
              <w:spacing w:after="0"/>
              <w:rPr>
                <w:sz w:val="20"/>
                <w:szCs w:val="20"/>
                <w:color w:val="auto"/>
              </w:rPr>
            </w:pPr>
            <w:r>
              <w:rPr>
                <w:rFonts w:ascii="Arial" w:cs="Arial" w:eastAsia="Arial" w:hAnsi="Arial"/>
                <w:sz w:val="18"/>
                <w:szCs w:val="18"/>
                <w:b w:val="1"/>
                <w:bCs w:val="1"/>
                <w:color w:val="auto"/>
                <w:w w:val="92"/>
              </w:rPr>
              <w:t>Total</w:t>
            </w:r>
          </w:p>
        </w:tc>
        <w:tc>
          <w:tcPr>
            <w:tcW w:w="0" w:type="dxa"/>
            <w:vAlign w:val="bottom"/>
          </w:tcPr>
          <w:p>
            <w:pPr>
              <w:spacing w:after="0"/>
              <w:rPr>
                <w:sz w:val="1"/>
                <w:szCs w:val="1"/>
                <w:color w:val="auto"/>
              </w:rPr>
            </w:pPr>
          </w:p>
        </w:tc>
      </w:tr>
      <w:tr>
        <w:trPr>
          <w:trHeight w:val="237"/>
        </w:trPr>
        <w:tc>
          <w:tcPr>
            <w:tcW w:w="5900" w:type="dxa"/>
            <w:vAlign w:val="bottom"/>
            <w:tcBorders>
              <w:bottom w:val="single" w:sz="8" w:color="auto"/>
            </w:tcBorders>
            <w:vMerge w:val="continue"/>
          </w:tcPr>
          <w:p>
            <w:pPr>
              <w:spacing w:after="0"/>
              <w:rPr>
                <w:sz w:val="20"/>
                <w:szCs w:val="20"/>
                <w:color w:val="auto"/>
              </w:rPr>
            </w:pPr>
          </w:p>
        </w:tc>
        <w:tc>
          <w:tcPr>
            <w:tcW w:w="300" w:type="dxa"/>
            <w:vAlign w:val="bottom"/>
          </w:tcPr>
          <w:p>
            <w:pPr>
              <w:spacing w:after="0"/>
              <w:rPr>
                <w:sz w:val="20"/>
                <w:szCs w:val="20"/>
                <w:color w:val="auto"/>
              </w:rPr>
            </w:pPr>
          </w:p>
        </w:tc>
        <w:tc>
          <w:tcPr>
            <w:tcW w:w="1060" w:type="dxa"/>
            <w:vAlign w:val="bottom"/>
            <w:gridSpan w:val="2"/>
          </w:tcPr>
          <w:p>
            <w:pPr>
              <w:jc w:val="right"/>
              <w:ind w:right="500"/>
              <w:spacing w:after="0"/>
              <w:rPr>
                <w:sz w:val="20"/>
                <w:szCs w:val="20"/>
                <w:color w:val="auto"/>
              </w:rPr>
            </w:pPr>
            <w:r>
              <w:rPr>
                <w:rFonts w:ascii="Arial" w:cs="Arial" w:eastAsia="Arial" w:hAnsi="Arial"/>
                <w:sz w:val="18"/>
                <w:szCs w:val="18"/>
                <w:color w:val="auto"/>
              </w:rPr>
              <w:t>Salary</w:t>
            </w:r>
          </w:p>
        </w:tc>
        <w:tc>
          <w:tcPr>
            <w:tcW w:w="1220" w:type="dxa"/>
            <w:vAlign w:val="bottom"/>
            <w:gridSpan w:val="3"/>
          </w:tcPr>
          <w:p>
            <w:pPr>
              <w:spacing w:after="0"/>
              <w:rPr>
                <w:sz w:val="20"/>
                <w:szCs w:val="20"/>
                <w:color w:val="auto"/>
              </w:rPr>
            </w:pPr>
            <w:r>
              <w:rPr>
                <w:rFonts w:ascii="Arial" w:cs="Arial" w:eastAsia="Arial" w:hAnsi="Arial"/>
                <w:sz w:val="18"/>
                <w:szCs w:val="18"/>
                <w:color w:val="auto"/>
              </w:rPr>
              <w:t>Incentive</w:t>
            </w:r>
            <w:r>
              <w:rPr>
                <w:rFonts w:ascii="Arial" w:cs="Arial" w:eastAsia="Arial" w:hAnsi="Arial"/>
                <w:sz w:val="15"/>
                <w:szCs w:val="15"/>
                <w:color w:val="auto"/>
              </w:rPr>
              <w:t>(1)</w:t>
            </w:r>
          </w:p>
        </w:tc>
        <w:tc>
          <w:tcPr>
            <w:tcW w:w="1040" w:type="dxa"/>
            <w:vAlign w:val="bottom"/>
            <w:gridSpan w:val="3"/>
          </w:tcPr>
          <w:p>
            <w:pPr>
              <w:ind w:left="20"/>
              <w:spacing w:after="0"/>
              <w:rPr>
                <w:sz w:val="20"/>
                <w:szCs w:val="20"/>
                <w:color w:val="auto"/>
              </w:rPr>
            </w:pPr>
            <w:r>
              <w:rPr>
                <w:rFonts w:ascii="Arial" w:cs="Arial" w:eastAsia="Arial" w:hAnsi="Arial"/>
                <w:sz w:val="18"/>
                <w:szCs w:val="18"/>
                <w:color w:val="auto"/>
              </w:rPr>
              <w:t>Incentive</w:t>
            </w:r>
            <w:r>
              <w:rPr>
                <w:rFonts w:ascii="Arial" w:cs="Arial" w:eastAsia="Arial" w:hAnsi="Arial"/>
                <w:sz w:val="15"/>
                <w:szCs w:val="15"/>
                <w:color w:val="auto"/>
              </w:rPr>
              <w:t>(2)</w:t>
            </w:r>
          </w:p>
        </w:tc>
        <w:tc>
          <w:tcPr>
            <w:tcW w:w="200" w:type="dxa"/>
            <w:vAlign w:val="bottom"/>
          </w:tcPr>
          <w:p>
            <w:pPr>
              <w:spacing w:after="0"/>
              <w:rPr>
                <w:sz w:val="20"/>
                <w:szCs w:val="20"/>
                <w:color w:val="auto"/>
              </w:rPr>
            </w:pPr>
          </w:p>
        </w:tc>
        <w:tc>
          <w:tcPr>
            <w:tcW w:w="780" w:type="dxa"/>
            <w:vAlign w:val="bottom"/>
            <w:gridSpan w:val="2"/>
            <w:vMerge w:val="continue"/>
          </w:tcPr>
          <w:p>
            <w:pPr>
              <w:spacing w:after="0"/>
              <w:rPr>
                <w:sz w:val="20"/>
                <w:szCs w:val="20"/>
                <w:color w:val="auto"/>
              </w:rPr>
            </w:pPr>
          </w:p>
        </w:tc>
        <w:tc>
          <w:tcPr>
            <w:tcW w:w="0" w:type="dxa"/>
            <w:vAlign w:val="bottom"/>
          </w:tcPr>
          <w:p>
            <w:pPr>
              <w:spacing w:after="0"/>
              <w:rPr>
                <w:sz w:val="1"/>
                <w:szCs w:val="1"/>
                <w:color w:val="auto"/>
              </w:rPr>
            </w:pPr>
          </w:p>
        </w:tc>
      </w:tr>
      <w:tr>
        <w:trPr>
          <w:trHeight w:val="203"/>
        </w:trPr>
        <w:tc>
          <w:tcPr>
            <w:tcW w:w="5900" w:type="dxa"/>
            <w:vAlign w:val="bottom"/>
            <w:tcBorders>
              <w:top w:val="single" w:sz="8" w:color="CCEEFF"/>
            </w:tcBorders>
            <w:shd w:val="clear" w:color="auto" w:fill="CCEEFF"/>
          </w:tcPr>
          <w:p>
            <w:pPr>
              <w:spacing w:after="0" w:line="203" w:lineRule="exact"/>
              <w:rPr>
                <w:sz w:val="20"/>
                <w:szCs w:val="20"/>
                <w:color w:val="auto"/>
              </w:rPr>
            </w:pPr>
            <w:r>
              <w:rPr>
                <w:rFonts w:ascii="Arial" w:cs="Arial" w:eastAsia="Arial" w:hAnsi="Arial"/>
                <w:sz w:val="18"/>
                <w:szCs w:val="18"/>
                <w:color w:val="auto"/>
              </w:rPr>
              <w:t>Bradley W. Blank (GC)</w:t>
            </w:r>
          </w:p>
        </w:tc>
        <w:tc>
          <w:tcPr>
            <w:tcW w:w="300" w:type="dxa"/>
            <w:vAlign w:val="bottom"/>
            <w:tcBorders>
              <w:top w:val="single" w:sz="8" w:color="CCEEFF"/>
            </w:tcBorders>
            <w:shd w:val="clear" w:color="auto" w:fill="CCEEFF"/>
          </w:tcPr>
          <w:p>
            <w:pPr>
              <w:spacing w:after="0"/>
              <w:rPr>
                <w:sz w:val="17"/>
                <w:szCs w:val="17"/>
                <w:color w:val="auto"/>
              </w:rPr>
            </w:pPr>
          </w:p>
        </w:tc>
        <w:tc>
          <w:tcPr>
            <w:tcW w:w="680" w:type="dxa"/>
            <w:vAlign w:val="bottom"/>
            <w:tcBorders>
              <w:top w:val="single" w:sz="8" w:color="auto"/>
            </w:tcBorders>
            <w:shd w:val="clear" w:color="auto" w:fill="CCEEFF"/>
          </w:tcPr>
          <w:p>
            <w:pPr>
              <w:jc w:val="right"/>
              <w:spacing w:after="0" w:line="203" w:lineRule="exact"/>
              <w:rPr>
                <w:sz w:val="20"/>
                <w:szCs w:val="20"/>
                <w:color w:val="auto"/>
              </w:rPr>
            </w:pPr>
            <w:r>
              <w:rPr>
                <w:rFonts w:ascii="Arial" w:cs="Arial" w:eastAsia="Arial" w:hAnsi="Arial"/>
                <w:sz w:val="18"/>
                <w:szCs w:val="18"/>
                <w:color w:val="auto"/>
                <w:w w:val="87"/>
              </w:rPr>
              <w:t>$350,000</w:t>
            </w:r>
          </w:p>
        </w:tc>
        <w:tc>
          <w:tcPr>
            <w:tcW w:w="380" w:type="dxa"/>
            <w:vAlign w:val="bottom"/>
            <w:tcBorders>
              <w:top w:val="single" w:sz="8" w:color="CCEEFF"/>
            </w:tcBorders>
            <w:shd w:val="clear" w:color="auto" w:fill="CCEEFF"/>
          </w:tcPr>
          <w:p>
            <w:pPr>
              <w:spacing w:after="0"/>
              <w:rPr>
                <w:sz w:val="17"/>
                <w:szCs w:val="17"/>
                <w:color w:val="auto"/>
              </w:rPr>
            </w:pPr>
          </w:p>
        </w:tc>
        <w:tc>
          <w:tcPr>
            <w:tcW w:w="120" w:type="dxa"/>
            <w:vAlign w:val="bottom"/>
            <w:tcBorders>
              <w:top w:val="single" w:sz="8" w:color="auto"/>
            </w:tcBorders>
            <w:shd w:val="clear" w:color="auto" w:fill="CCEEFF"/>
          </w:tcPr>
          <w:p>
            <w:pPr>
              <w:spacing w:after="0" w:line="203" w:lineRule="exact"/>
              <w:rPr>
                <w:sz w:val="20"/>
                <w:szCs w:val="20"/>
                <w:color w:val="auto"/>
              </w:rPr>
            </w:pPr>
            <w:r>
              <w:rPr>
                <w:rFonts w:ascii="Arial" w:cs="Arial" w:eastAsia="Arial" w:hAnsi="Arial"/>
                <w:sz w:val="18"/>
                <w:szCs w:val="18"/>
                <w:color w:val="auto"/>
                <w:w w:val="99"/>
              </w:rPr>
              <w:t>$</w:t>
            </w:r>
          </w:p>
        </w:tc>
        <w:tc>
          <w:tcPr>
            <w:tcW w:w="740" w:type="dxa"/>
            <w:vAlign w:val="bottom"/>
            <w:tcBorders>
              <w:top w:val="single" w:sz="8" w:color="auto"/>
            </w:tcBorders>
            <w:shd w:val="clear" w:color="auto" w:fill="CCEEFF"/>
          </w:tcPr>
          <w:p>
            <w:pPr>
              <w:jc w:val="right"/>
              <w:spacing w:after="0" w:line="203" w:lineRule="exact"/>
              <w:rPr>
                <w:sz w:val="20"/>
                <w:szCs w:val="20"/>
                <w:color w:val="auto"/>
              </w:rPr>
            </w:pPr>
            <w:r>
              <w:rPr>
                <w:rFonts w:ascii="Arial" w:cs="Arial" w:eastAsia="Arial" w:hAnsi="Arial"/>
                <w:sz w:val="18"/>
                <w:szCs w:val="18"/>
                <w:color w:val="auto"/>
              </w:rPr>
              <w:t>210,000</w:t>
            </w:r>
          </w:p>
        </w:tc>
        <w:tc>
          <w:tcPr>
            <w:tcW w:w="360" w:type="dxa"/>
            <w:vAlign w:val="bottom"/>
            <w:tcBorders>
              <w:top w:val="single" w:sz="8" w:color="CCEEFF"/>
            </w:tcBorders>
            <w:shd w:val="clear" w:color="auto" w:fill="CCEEFF"/>
          </w:tcPr>
          <w:p>
            <w:pPr>
              <w:spacing w:after="0"/>
              <w:rPr>
                <w:sz w:val="17"/>
                <w:szCs w:val="17"/>
                <w:color w:val="auto"/>
              </w:rPr>
            </w:pPr>
          </w:p>
        </w:tc>
        <w:tc>
          <w:tcPr>
            <w:tcW w:w="180" w:type="dxa"/>
            <w:vAlign w:val="bottom"/>
            <w:tcBorders>
              <w:top w:val="single" w:sz="8" w:color="auto"/>
            </w:tcBorders>
            <w:shd w:val="clear" w:color="auto" w:fill="CCEEFF"/>
          </w:tcPr>
          <w:p>
            <w:pPr>
              <w:spacing w:after="0" w:line="203" w:lineRule="exact"/>
              <w:rPr>
                <w:sz w:val="20"/>
                <w:szCs w:val="20"/>
                <w:color w:val="auto"/>
              </w:rPr>
            </w:pPr>
            <w:r>
              <w:rPr>
                <w:rFonts w:ascii="Arial" w:cs="Arial" w:eastAsia="Arial" w:hAnsi="Arial"/>
                <w:sz w:val="18"/>
                <w:szCs w:val="18"/>
                <w:color w:val="auto"/>
              </w:rPr>
              <w:t>$</w:t>
            </w:r>
          </w:p>
        </w:tc>
        <w:tc>
          <w:tcPr>
            <w:tcW w:w="680" w:type="dxa"/>
            <w:vAlign w:val="bottom"/>
            <w:tcBorders>
              <w:top w:val="single" w:sz="8" w:color="auto"/>
            </w:tcBorders>
            <w:shd w:val="clear" w:color="auto" w:fill="CCEEFF"/>
          </w:tcPr>
          <w:p>
            <w:pPr>
              <w:jc w:val="right"/>
              <w:spacing w:after="0" w:line="203" w:lineRule="exact"/>
              <w:rPr>
                <w:sz w:val="20"/>
                <w:szCs w:val="20"/>
                <w:color w:val="auto"/>
              </w:rPr>
            </w:pPr>
            <w:r>
              <w:rPr>
                <w:rFonts w:ascii="Arial" w:cs="Arial" w:eastAsia="Arial" w:hAnsi="Arial"/>
                <w:sz w:val="18"/>
                <w:szCs w:val="18"/>
                <w:color w:val="auto"/>
              </w:rPr>
              <w:t>200,000</w:t>
            </w:r>
          </w:p>
        </w:tc>
        <w:tc>
          <w:tcPr>
            <w:tcW w:w="180" w:type="dxa"/>
            <w:vAlign w:val="bottom"/>
            <w:tcBorders>
              <w:top w:val="single" w:sz="8" w:color="CCEEFF"/>
            </w:tcBorders>
            <w:shd w:val="clear" w:color="auto" w:fill="CCEEFF"/>
          </w:tcPr>
          <w:p>
            <w:pPr>
              <w:spacing w:after="0"/>
              <w:rPr>
                <w:sz w:val="17"/>
                <w:szCs w:val="17"/>
                <w:color w:val="auto"/>
              </w:rPr>
            </w:pPr>
          </w:p>
        </w:tc>
        <w:tc>
          <w:tcPr>
            <w:tcW w:w="200" w:type="dxa"/>
            <w:vAlign w:val="bottom"/>
            <w:tcBorders>
              <w:top w:val="single" w:sz="8" w:color="CCEEFF"/>
            </w:tcBorders>
            <w:shd w:val="clear" w:color="auto" w:fill="CCEEFF"/>
          </w:tcPr>
          <w:p>
            <w:pPr>
              <w:spacing w:after="0"/>
              <w:rPr>
                <w:sz w:val="17"/>
                <w:szCs w:val="17"/>
                <w:color w:val="auto"/>
              </w:rPr>
            </w:pPr>
          </w:p>
        </w:tc>
        <w:tc>
          <w:tcPr>
            <w:tcW w:w="680" w:type="dxa"/>
            <w:vAlign w:val="bottom"/>
            <w:tcBorders>
              <w:top w:val="single" w:sz="8" w:color="auto"/>
            </w:tcBorders>
            <w:shd w:val="clear" w:color="auto" w:fill="CCEEFF"/>
          </w:tcPr>
          <w:p>
            <w:pPr>
              <w:jc w:val="center"/>
              <w:spacing w:after="0" w:line="203" w:lineRule="exact"/>
              <w:rPr>
                <w:sz w:val="20"/>
                <w:szCs w:val="20"/>
                <w:color w:val="auto"/>
              </w:rPr>
            </w:pPr>
            <w:r>
              <w:rPr>
                <w:rFonts w:ascii="Arial" w:cs="Arial" w:eastAsia="Arial" w:hAnsi="Arial"/>
                <w:sz w:val="18"/>
                <w:szCs w:val="18"/>
                <w:color w:val="auto"/>
                <w:w w:val="90"/>
              </w:rPr>
              <w:t>$760,000</w:t>
            </w:r>
          </w:p>
        </w:tc>
        <w:tc>
          <w:tcPr>
            <w:tcW w:w="100" w:type="dxa"/>
            <w:vAlign w:val="bottom"/>
            <w:tcBorders>
              <w:top w:val="single" w:sz="8" w:color="CCEEFF"/>
            </w:tcBorders>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5900" w:type="dxa"/>
            <w:vAlign w:val="bottom"/>
          </w:tcPr>
          <w:p>
            <w:pPr>
              <w:spacing w:after="0"/>
              <w:rPr>
                <w:sz w:val="20"/>
                <w:szCs w:val="20"/>
                <w:color w:val="auto"/>
              </w:rPr>
            </w:pPr>
            <w:r>
              <w:rPr>
                <w:rFonts w:ascii="Arial" w:cs="Arial" w:eastAsia="Arial" w:hAnsi="Arial"/>
                <w:sz w:val="18"/>
                <w:szCs w:val="18"/>
                <w:color w:val="auto"/>
              </w:rPr>
              <w:t>Glenn F. Keeler (CAO)</w:t>
            </w:r>
          </w:p>
        </w:tc>
        <w:tc>
          <w:tcPr>
            <w:tcW w:w="1360" w:type="dxa"/>
            <w:vAlign w:val="bottom"/>
            <w:gridSpan w:val="3"/>
          </w:tcPr>
          <w:p>
            <w:pPr>
              <w:jc w:val="right"/>
              <w:ind w:right="380"/>
              <w:spacing w:after="0"/>
              <w:rPr>
                <w:sz w:val="20"/>
                <w:szCs w:val="20"/>
                <w:color w:val="auto"/>
              </w:rPr>
            </w:pPr>
            <w:r>
              <w:rPr>
                <w:rFonts w:ascii="Arial" w:cs="Arial" w:eastAsia="Arial" w:hAnsi="Arial"/>
                <w:sz w:val="18"/>
                <w:szCs w:val="18"/>
                <w:color w:val="auto"/>
              </w:rPr>
              <w:t>$250,000</w:t>
            </w:r>
          </w:p>
        </w:tc>
        <w:tc>
          <w:tcPr>
            <w:tcW w:w="120" w:type="dxa"/>
            <w:vAlign w:val="bottom"/>
          </w:tcPr>
          <w:p>
            <w:pPr>
              <w:spacing w:after="0"/>
              <w:rPr>
                <w:sz w:val="20"/>
                <w:szCs w:val="20"/>
                <w:color w:val="auto"/>
              </w:rPr>
            </w:pPr>
            <w:r>
              <w:rPr>
                <w:rFonts w:ascii="Arial" w:cs="Arial" w:eastAsia="Arial" w:hAnsi="Arial"/>
                <w:sz w:val="18"/>
                <w:szCs w:val="18"/>
                <w:color w:val="auto"/>
                <w:w w:val="99"/>
              </w:rPr>
              <w:t>$</w:t>
            </w:r>
          </w:p>
        </w:tc>
        <w:tc>
          <w:tcPr>
            <w:tcW w:w="1100" w:type="dxa"/>
            <w:vAlign w:val="bottom"/>
            <w:gridSpan w:val="2"/>
          </w:tcPr>
          <w:p>
            <w:pPr>
              <w:jc w:val="right"/>
              <w:ind w:right="360"/>
              <w:spacing w:after="0"/>
              <w:rPr>
                <w:sz w:val="20"/>
                <w:szCs w:val="20"/>
                <w:color w:val="auto"/>
              </w:rPr>
            </w:pPr>
            <w:r>
              <w:rPr>
                <w:rFonts w:ascii="Arial" w:cs="Arial" w:eastAsia="Arial" w:hAnsi="Arial"/>
                <w:sz w:val="18"/>
                <w:szCs w:val="18"/>
                <w:color w:val="auto"/>
              </w:rPr>
              <w:t>187,500</w:t>
            </w:r>
          </w:p>
        </w:tc>
        <w:tc>
          <w:tcPr>
            <w:tcW w:w="180" w:type="dxa"/>
            <w:vAlign w:val="bottom"/>
          </w:tcPr>
          <w:p>
            <w:pPr>
              <w:spacing w:after="0"/>
              <w:rPr>
                <w:sz w:val="20"/>
                <w:szCs w:val="20"/>
                <w:color w:val="auto"/>
              </w:rPr>
            </w:pPr>
            <w:r>
              <w:rPr>
                <w:rFonts w:ascii="Arial" w:cs="Arial" w:eastAsia="Arial" w:hAnsi="Arial"/>
                <w:sz w:val="18"/>
                <w:szCs w:val="18"/>
                <w:color w:val="auto"/>
              </w:rPr>
              <w:t>$</w:t>
            </w:r>
          </w:p>
        </w:tc>
        <w:tc>
          <w:tcPr>
            <w:tcW w:w="860" w:type="dxa"/>
            <w:vAlign w:val="bottom"/>
            <w:gridSpan w:val="2"/>
          </w:tcPr>
          <w:p>
            <w:pPr>
              <w:jc w:val="right"/>
              <w:ind w:right="180"/>
              <w:spacing w:after="0"/>
              <w:rPr>
                <w:sz w:val="20"/>
                <w:szCs w:val="20"/>
                <w:color w:val="auto"/>
              </w:rPr>
            </w:pPr>
            <w:r>
              <w:rPr>
                <w:rFonts w:ascii="Arial" w:cs="Arial" w:eastAsia="Arial" w:hAnsi="Arial"/>
                <w:sz w:val="18"/>
                <w:szCs w:val="18"/>
                <w:color w:val="auto"/>
              </w:rPr>
              <w:t>200,000</w:t>
            </w:r>
          </w:p>
        </w:tc>
        <w:tc>
          <w:tcPr>
            <w:tcW w:w="980" w:type="dxa"/>
            <w:vAlign w:val="bottom"/>
            <w:gridSpan w:val="3"/>
          </w:tcPr>
          <w:p>
            <w:pPr>
              <w:jc w:val="center"/>
              <w:ind w:left="10"/>
              <w:spacing w:after="0"/>
              <w:rPr>
                <w:sz w:val="20"/>
                <w:szCs w:val="20"/>
                <w:color w:val="auto"/>
              </w:rPr>
            </w:pPr>
            <w:r>
              <w:rPr>
                <w:rFonts w:ascii="Arial" w:cs="Arial" w:eastAsia="Arial" w:hAnsi="Arial"/>
                <w:sz w:val="18"/>
                <w:szCs w:val="18"/>
                <w:color w:val="auto"/>
                <w:w w:val="90"/>
              </w:rPr>
              <w:t>$637,500</w:t>
            </w:r>
          </w:p>
        </w:tc>
        <w:tc>
          <w:tcPr>
            <w:tcW w:w="0" w:type="dxa"/>
            <w:vAlign w:val="bottom"/>
          </w:tcPr>
          <w:p>
            <w:pPr>
              <w:spacing w:after="0"/>
              <w:rPr>
                <w:sz w:val="1"/>
                <w:szCs w:val="1"/>
                <w:color w:val="auto"/>
              </w:rPr>
            </w:pPr>
          </w:p>
        </w:tc>
      </w:tr>
    </w:tbl>
    <w:p>
      <w:pPr>
        <w:spacing w:after="0" w:line="187" w:lineRule="exact"/>
        <w:rPr>
          <w:sz w:val="20"/>
          <w:szCs w:val="20"/>
          <w:color w:val="auto"/>
        </w:rPr>
      </w:pPr>
    </w:p>
    <w:p>
      <w:pPr>
        <w:ind w:left="460" w:hanging="452"/>
        <w:spacing w:after="0"/>
        <w:tabs>
          <w:tab w:leader="none" w:pos="460" w:val="left"/>
        </w:tabs>
        <w:numPr>
          <w:ilvl w:val="0"/>
          <w:numId w:val="33"/>
        </w:numPr>
        <w:rPr>
          <w:rFonts w:ascii="Arial" w:cs="Arial" w:eastAsia="Arial" w:hAnsi="Arial"/>
          <w:sz w:val="18"/>
          <w:szCs w:val="18"/>
          <w:color w:val="auto"/>
        </w:rPr>
      </w:pPr>
      <w:r>
        <w:rPr>
          <w:rFonts w:ascii="Arial" w:cs="Arial" w:eastAsia="Arial" w:hAnsi="Arial"/>
          <w:sz w:val="18"/>
          <w:szCs w:val="18"/>
          <w:color w:val="auto"/>
        </w:rPr>
        <w:t>Before application of automatic multiple of 1.2.</w:t>
      </w:r>
    </w:p>
    <w:p>
      <w:pPr>
        <w:spacing w:after="0" w:line="225" w:lineRule="exact"/>
        <w:rPr>
          <w:rFonts w:ascii="Arial" w:cs="Arial" w:eastAsia="Arial" w:hAnsi="Arial"/>
          <w:sz w:val="18"/>
          <w:szCs w:val="18"/>
          <w:color w:val="auto"/>
        </w:rPr>
      </w:pPr>
    </w:p>
    <w:p>
      <w:pPr>
        <w:ind w:left="460" w:hanging="452"/>
        <w:spacing w:after="0" w:line="277" w:lineRule="auto"/>
        <w:tabs>
          <w:tab w:leader="none" w:pos="460" w:val="left"/>
        </w:tabs>
        <w:numPr>
          <w:ilvl w:val="0"/>
          <w:numId w:val="33"/>
        </w:numPr>
        <w:rPr>
          <w:rFonts w:ascii="Arial" w:cs="Arial" w:eastAsia="Arial" w:hAnsi="Arial"/>
          <w:sz w:val="18"/>
          <w:szCs w:val="18"/>
          <w:color w:val="auto"/>
        </w:rPr>
      </w:pPr>
      <w:r>
        <w:rPr>
          <w:rFonts w:ascii="Arial" w:cs="Arial" w:eastAsia="Arial" w:hAnsi="Arial"/>
          <w:sz w:val="18"/>
          <w:szCs w:val="18"/>
          <w:color w:val="auto"/>
        </w:rPr>
        <w:t>The number of performance restricted stock units and restricted stock units awarded will be based on the closing price of the Company’s common stock on March 5, 2015, the date of grant.</w:t>
      </w:r>
    </w:p>
    <w:p>
      <w:pPr>
        <w:sectPr>
          <w:pgSz w:w="11900" w:h="16838" w:orient="portrait"/>
          <w:cols w:equalWidth="0" w:num="1">
            <w:col w:w="11380"/>
          </w:cols>
          <w:pgMar w:left="240" w:top="449" w:right="279" w:bottom="1440" w:gutter="0" w:footer="0" w:header="0"/>
        </w:sectPr>
      </w:pPr>
    </w:p>
    <w:bookmarkStart w:id="52" w:name="page53"/>
    <w:bookmarkEnd w:id="52"/>
    <w:p>
      <w:pPr>
        <w:jc w:val="right"/>
        <w:spacing w:after="0"/>
        <w:rPr>
          <w:sz w:val="20"/>
          <w:szCs w:val="20"/>
          <w:color w:val="auto"/>
        </w:rPr>
      </w:pPr>
      <w:r>
        <w:rPr>
          <w:rFonts w:ascii="Arial" w:cs="Arial" w:eastAsia="Arial" w:hAnsi="Arial"/>
          <w:sz w:val="18"/>
          <w:szCs w:val="18"/>
          <w:b w:val="1"/>
          <w:bCs w:val="1"/>
          <w:color w:val="auto"/>
        </w:rPr>
        <w:t>Exhibit 31.1</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SECTION 302 CERTIFICATION</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I, Douglas F. Bauer, certify that:</w:t>
      </w:r>
    </w:p>
    <w:p>
      <w:pPr>
        <w:spacing w:after="0" w:line="117" w:lineRule="exact"/>
        <w:rPr>
          <w:sz w:val="20"/>
          <w:szCs w:val="20"/>
          <w:color w:val="auto"/>
        </w:rPr>
      </w:pPr>
    </w:p>
    <w:p>
      <w:pPr>
        <w:ind w:left="540" w:hanging="532"/>
        <w:spacing w:after="0"/>
        <w:tabs>
          <w:tab w:leader="none" w:pos="540" w:val="left"/>
        </w:tabs>
        <w:numPr>
          <w:ilvl w:val="0"/>
          <w:numId w:val="34"/>
        </w:numPr>
        <w:rPr>
          <w:rFonts w:ascii="Arial" w:cs="Arial" w:eastAsia="Arial" w:hAnsi="Arial"/>
          <w:sz w:val="18"/>
          <w:szCs w:val="18"/>
          <w:color w:val="auto"/>
        </w:rPr>
      </w:pPr>
      <w:r>
        <w:rPr>
          <w:rFonts w:ascii="Arial" w:cs="Arial" w:eastAsia="Arial" w:hAnsi="Arial"/>
          <w:sz w:val="18"/>
          <w:szCs w:val="18"/>
          <w:color w:val="auto"/>
        </w:rPr>
        <w:t>I have reviewed this report on Form 10-Q of TRI Pointe Homes, Inc.;</w:t>
      </w:r>
    </w:p>
    <w:p>
      <w:pPr>
        <w:spacing w:after="0" w:line="117" w:lineRule="exact"/>
        <w:rPr>
          <w:rFonts w:ascii="Arial" w:cs="Arial" w:eastAsia="Arial" w:hAnsi="Arial"/>
          <w:sz w:val="18"/>
          <w:szCs w:val="18"/>
          <w:color w:val="auto"/>
        </w:rPr>
      </w:pPr>
    </w:p>
    <w:p>
      <w:pPr>
        <w:jc w:val="both"/>
        <w:ind w:left="540" w:right="420" w:hanging="532"/>
        <w:spacing w:after="0" w:line="264" w:lineRule="auto"/>
        <w:tabs>
          <w:tab w:leader="none" w:pos="540" w:val="left"/>
        </w:tabs>
        <w:numPr>
          <w:ilvl w:val="0"/>
          <w:numId w:val="34"/>
        </w:numPr>
        <w:rPr>
          <w:rFonts w:ascii="Arial" w:cs="Arial" w:eastAsia="Arial" w:hAnsi="Arial"/>
          <w:sz w:val="18"/>
          <w:szCs w:val="18"/>
          <w:color w:val="auto"/>
        </w:rPr>
      </w:pPr>
      <w:r>
        <w:rPr>
          <w:rFonts w:ascii="Arial" w:cs="Arial" w:eastAsia="Arial" w:hAnsi="Arial"/>
          <w:sz w:val="18"/>
          <w:szCs w:val="18"/>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73" w:lineRule="exact"/>
        <w:rPr>
          <w:rFonts w:ascii="Arial" w:cs="Arial" w:eastAsia="Arial" w:hAnsi="Arial"/>
          <w:sz w:val="18"/>
          <w:szCs w:val="18"/>
          <w:color w:val="auto"/>
        </w:rPr>
      </w:pPr>
    </w:p>
    <w:p>
      <w:pPr>
        <w:ind w:left="540" w:right="380" w:hanging="532"/>
        <w:spacing w:after="0" w:line="308" w:lineRule="auto"/>
        <w:tabs>
          <w:tab w:leader="none" w:pos="540" w:val="left"/>
        </w:tabs>
        <w:numPr>
          <w:ilvl w:val="0"/>
          <w:numId w:val="34"/>
        </w:numPr>
        <w:rPr>
          <w:rFonts w:ascii="Arial" w:cs="Arial" w:eastAsia="Arial" w:hAnsi="Arial"/>
          <w:sz w:val="17"/>
          <w:szCs w:val="17"/>
          <w:color w:val="auto"/>
        </w:rPr>
      </w:pPr>
      <w:r>
        <w:rPr>
          <w:rFonts w:ascii="Arial" w:cs="Arial" w:eastAsia="Arial" w:hAnsi="Arial"/>
          <w:sz w:val="17"/>
          <w:szCs w:val="17"/>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38" w:lineRule="exact"/>
        <w:rPr>
          <w:rFonts w:ascii="Arial" w:cs="Arial" w:eastAsia="Arial" w:hAnsi="Arial"/>
          <w:sz w:val="17"/>
          <w:szCs w:val="17"/>
          <w:color w:val="auto"/>
        </w:rPr>
      </w:pPr>
    </w:p>
    <w:p>
      <w:pPr>
        <w:jc w:val="both"/>
        <w:ind w:left="540" w:right="400" w:hanging="532"/>
        <w:spacing w:after="0" w:line="264" w:lineRule="auto"/>
        <w:tabs>
          <w:tab w:leader="none" w:pos="540" w:val="left"/>
        </w:tabs>
        <w:numPr>
          <w:ilvl w:val="0"/>
          <w:numId w:val="34"/>
        </w:numPr>
        <w:rPr>
          <w:rFonts w:ascii="Arial" w:cs="Arial" w:eastAsia="Arial" w:hAnsi="Arial"/>
          <w:sz w:val="18"/>
          <w:szCs w:val="18"/>
          <w:color w:val="auto"/>
        </w:rPr>
      </w:pPr>
      <w:r>
        <w:rPr>
          <w:rFonts w:ascii="Arial" w:cs="Arial" w:eastAsia="Arial" w:hAnsi="Arial"/>
          <w:sz w:val="18"/>
          <w:szCs w:val="18"/>
          <w:color w:val="auto"/>
        </w:rPr>
        <w:t>The registrant’s other certifying officer(s) and I are responsible for establishing and maintaining disclosure controls and procedures (as defined in Exchange Act Rules 13a-15(e) and 15d-15(e)) and internal control over financial reporting (as defined in Exchange Act Rules 13a-15(f) and 15d-15(f)) for the registrant and have:</w:t>
      </w:r>
    </w:p>
    <w:p>
      <w:pPr>
        <w:spacing w:after="0" w:line="73" w:lineRule="exact"/>
        <w:rPr>
          <w:rFonts w:ascii="Arial" w:cs="Arial" w:eastAsia="Arial" w:hAnsi="Arial"/>
          <w:sz w:val="18"/>
          <w:szCs w:val="18"/>
          <w:color w:val="auto"/>
        </w:rPr>
      </w:pPr>
    </w:p>
    <w:p>
      <w:pPr>
        <w:ind w:left="1020" w:right="180" w:hanging="494"/>
        <w:spacing w:after="0" w:line="264" w:lineRule="auto"/>
        <w:tabs>
          <w:tab w:leader="none" w:pos="1020" w:val="left"/>
        </w:tabs>
        <w:numPr>
          <w:ilvl w:val="1"/>
          <w:numId w:val="34"/>
        </w:numPr>
        <w:rPr>
          <w:rFonts w:ascii="Arial" w:cs="Arial" w:eastAsia="Arial" w:hAnsi="Arial"/>
          <w:sz w:val="18"/>
          <w:szCs w:val="18"/>
          <w:color w:val="auto"/>
        </w:rPr>
      </w:pPr>
      <w:r>
        <w:rPr>
          <w:rFonts w:ascii="Arial" w:cs="Arial" w:eastAsia="Arial" w:hAnsi="Arial"/>
          <w:sz w:val="18"/>
          <w:szCs w:val="18"/>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73" w:lineRule="exact"/>
        <w:rPr>
          <w:rFonts w:ascii="Arial" w:cs="Arial" w:eastAsia="Arial" w:hAnsi="Arial"/>
          <w:sz w:val="18"/>
          <w:szCs w:val="18"/>
          <w:color w:val="auto"/>
        </w:rPr>
      </w:pPr>
    </w:p>
    <w:p>
      <w:pPr>
        <w:ind w:left="1020" w:right="500" w:hanging="494"/>
        <w:spacing w:after="0" w:line="264" w:lineRule="auto"/>
        <w:tabs>
          <w:tab w:leader="none" w:pos="1020" w:val="left"/>
        </w:tabs>
        <w:numPr>
          <w:ilvl w:val="1"/>
          <w:numId w:val="34"/>
        </w:numPr>
        <w:rPr>
          <w:rFonts w:ascii="Arial" w:cs="Arial" w:eastAsia="Arial" w:hAnsi="Arial"/>
          <w:sz w:val="18"/>
          <w:szCs w:val="18"/>
          <w:color w:val="auto"/>
        </w:rPr>
      </w:pPr>
      <w:r>
        <w:rPr>
          <w:rFonts w:ascii="Arial" w:cs="Arial" w:eastAsia="Arial" w:hAnsi="Arial"/>
          <w:sz w:val="18"/>
          <w:szCs w:val="18"/>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73" w:lineRule="exact"/>
        <w:rPr>
          <w:rFonts w:ascii="Arial" w:cs="Arial" w:eastAsia="Arial" w:hAnsi="Arial"/>
          <w:sz w:val="18"/>
          <w:szCs w:val="18"/>
          <w:color w:val="auto"/>
        </w:rPr>
      </w:pPr>
    </w:p>
    <w:p>
      <w:pPr>
        <w:jc w:val="both"/>
        <w:ind w:left="1020" w:right="660" w:hanging="494"/>
        <w:spacing w:after="0" w:line="342" w:lineRule="auto"/>
        <w:tabs>
          <w:tab w:leader="none" w:pos="1020" w:val="left"/>
        </w:tabs>
        <w:numPr>
          <w:ilvl w:val="1"/>
          <w:numId w:val="34"/>
        </w:numPr>
        <w:rPr>
          <w:rFonts w:ascii="Arial" w:cs="Arial" w:eastAsia="Arial" w:hAnsi="Arial"/>
          <w:sz w:val="16"/>
          <w:szCs w:val="16"/>
          <w:color w:val="auto"/>
        </w:rPr>
      </w:pPr>
      <w:r>
        <w:rPr>
          <w:rFonts w:ascii="Arial" w:cs="Arial" w:eastAsia="Arial" w:hAnsi="Arial"/>
          <w:sz w:val="16"/>
          <w:szCs w:val="16"/>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15" w:lineRule="exact"/>
        <w:rPr>
          <w:rFonts w:ascii="Arial" w:cs="Arial" w:eastAsia="Arial" w:hAnsi="Arial"/>
          <w:sz w:val="16"/>
          <w:szCs w:val="16"/>
          <w:color w:val="auto"/>
        </w:rPr>
      </w:pPr>
    </w:p>
    <w:p>
      <w:pPr>
        <w:ind w:left="1020" w:right="180" w:hanging="494"/>
        <w:spacing w:after="0" w:line="264" w:lineRule="auto"/>
        <w:tabs>
          <w:tab w:leader="none" w:pos="1020" w:val="left"/>
        </w:tabs>
        <w:numPr>
          <w:ilvl w:val="1"/>
          <w:numId w:val="34"/>
        </w:numPr>
        <w:rPr>
          <w:rFonts w:ascii="Arial" w:cs="Arial" w:eastAsia="Arial" w:hAnsi="Arial"/>
          <w:sz w:val="18"/>
          <w:szCs w:val="18"/>
          <w:color w:val="auto"/>
        </w:rPr>
      </w:pPr>
      <w:r>
        <w:rPr>
          <w:rFonts w:ascii="Arial" w:cs="Arial" w:eastAsia="Arial" w:hAnsi="Arial"/>
          <w:sz w:val="18"/>
          <w:szCs w:val="18"/>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73" w:lineRule="exact"/>
        <w:rPr>
          <w:rFonts w:ascii="Arial" w:cs="Arial" w:eastAsia="Arial" w:hAnsi="Arial"/>
          <w:sz w:val="18"/>
          <w:szCs w:val="18"/>
          <w:color w:val="auto"/>
        </w:rPr>
      </w:pPr>
    </w:p>
    <w:p>
      <w:pPr>
        <w:ind w:left="540" w:right="120" w:hanging="532"/>
        <w:spacing w:after="0" w:line="308" w:lineRule="auto"/>
        <w:tabs>
          <w:tab w:leader="none" w:pos="540" w:val="left"/>
        </w:tabs>
        <w:numPr>
          <w:ilvl w:val="0"/>
          <w:numId w:val="34"/>
        </w:numPr>
        <w:rPr>
          <w:rFonts w:ascii="Arial" w:cs="Arial" w:eastAsia="Arial" w:hAnsi="Arial"/>
          <w:sz w:val="17"/>
          <w:szCs w:val="17"/>
          <w:color w:val="auto"/>
        </w:rPr>
      </w:pPr>
      <w:r>
        <w:rPr>
          <w:rFonts w:ascii="Arial" w:cs="Arial" w:eastAsia="Arial" w:hAnsi="Arial"/>
          <w:sz w:val="17"/>
          <w:szCs w:val="17"/>
          <w:color w:val="auto"/>
        </w:rPr>
        <w:t>The registrant’s other certifying officer(s) and I have disclosed, based on our most recent evaluation of internal control over financial reporting, to the registrant’s auditors and the audit committee of the registrant’s board of directors (or persons performing the equivalent functions):</w:t>
      </w:r>
    </w:p>
    <w:p>
      <w:pPr>
        <w:spacing w:after="0" w:line="38" w:lineRule="exact"/>
        <w:rPr>
          <w:rFonts w:ascii="Arial" w:cs="Arial" w:eastAsia="Arial" w:hAnsi="Arial"/>
          <w:sz w:val="17"/>
          <w:szCs w:val="17"/>
          <w:color w:val="auto"/>
        </w:rPr>
      </w:pPr>
    </w:p>
    <w:p>
      <w:pPr>
        <w:ind w:left="1020" w:right="80" w:hanging="494"/>
        <w:spacing w:after="0" w:line="277" w:lineRule="auto"/>
        <w:tabs>
          <w:tab w:leader="none" w:pos="1020" w:val="left"/>
        </w:tabs>
        <w:numPr>
          <w:ilvl w:val="1"/>
          <w:numId w:val="34"/>
        </w:numPr>
        <w:rPr>
          <w:rFonts w:ascii="Arial" w:cs="Arial" w:eastAsia="Arial" w:hAnsi="Arial"/>
          <w:sz w:val="18"/>
          <w:szCs w:val="18"/>
          <w:color w:val="auto"/>
        </w:rPr>
      </w:pPr>
      <w:r>
        <w:rPr>
          <w:rFonts w:ascii="Arial" w:cs="Arial" w:eastAsia="Arial" w:hAnsi="Arial"/>
          <w:sz w:val="18"/>
          <w:szCs w:val="18"/>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62" w:lineRule="exact"/>
        <w:rPr>
          <w:rFonts w:ascii="Arial" w:cs="Arial" w:eastAsia="Arial" w:hAnsi="Arial"/>
          <w:sz w:val="18"/>
          <w:szCs w:val="18"/>
          <w:color w:val="auto"/>
        </w:rPr>
      </w:pPr>
    </w:p>
    <w:p>
      <w:pPr>
        <w:ind w:left="1020" w:right="40" w:hanging="494"/>
        <w:spacing w:after="0" w:line="277" w:lineRule="auto"/>
        <w:tabs>
          <w:tab w:leader="none" w:pos="1020" w:val="left"/>
        </w:tabs>
        <w:numPr>
          <w:ilvl w:val="1"/>
          <w:numId w:val="34"/>
        </w:numPr>
        <w:rPr>
          <w:rFonts w:ascii="Arial" w:cs="Arial" w:eastAsia="Arial" w:hAnsi="Arial"/>
          <w:sz w:val="18"/>
          <w:szCs w:val="18"/>
          <w:color w:val="auto"/>
        </w:rPr>
      </w:pPr>
      <w:r>
        <w:rPr>
          <w:rFonts w:ascii="Arial" w:cs="Arial" w:eastAsia="Arial" w:hAnsi="Arial"/>
          <w:sz w:val="18"/>
          <w:szCs w:val="18"/>
          <w:color w:val="auto"/>
        </w:rPr>
        <w:t>Any fraud, whether or not material, that involves management or other employees who have a significant role in the registrant’s internal control over financial reporting.</w:t>
      </w:r>
    </w:p>
    <w:p>
      <w:pPr>
        <w:spacing w:after="0" w:line="170"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5720" w:type="dxa"/>
            <w:vAlign w:val="bottom"/>
          </w:tcPr>
          <w:p>
            <w:pPr>
              <w:spacing w:after="0"/>
              <w:rPr>
                <w:sz w:val="20"/>
                <w:szCs w:val="20"/>
                <w:color w:val="auto"/>
              </w:rPr>
            </w:pPr>
            <w:r>
              <w:rPr>
                <w:rFonts w:ascii="Arial" w:cs="Arial" w:eastAsia="Arial" w:hAnsi="Arial"/>
                <w:sz w:val="18"/>
                <w:szCs w:val="18"/>
                <w:color w:val="auto"/>
              </w:rPr>
              <w:t>Date: May 8, 2015</w:t>
            </w:r>
          </w:p>
        </w:tc>
        <w:tc>
          <w:tcPr>
            <w:tcW w:w="570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Douglas F. Bauer</w:t>
            </w:r>
          </w:p>
        </w:tc>
      </w:tr>
      <w:tr>
        <w:trPr>
          <w:trHeight w:val="195"/>
        </w:trPr>
        <w:tc>
          <w:tcPr>
            <w:tcW w:w="5720" w:type="dxa"/>
            <w:vAlign w:val="bottom"/>
          </w:tcPr>
          <w:p>
            <w:pPr>
              <w:spacing w:after="0"/>
              <w:rPr>
                <w:sz w:val="16"/>
                <w:szCs w:val="16"/>
                <w:color w:val="auto"/>
              </w:rPr>
            </w:pPr>
          </w:p>
        </w:tc>
        <w:tc>
          <w:tcPr>
            <w:tcW w:w="5700" w:type="dxa"/>
            <w:vAlign w:val="bottom"/>
          </w:tcPr>
          <w:p>
            <w:pPr>
              <w:spacing w:after="0" w:line="195" w:lineRule="exact"/>
              <w:rPr>
                <w:sz w:val="20"/>
                <w:szCs w:val="20"/>
                <w:color w:val="auto"/>
              </w:rPr>
            </w:pPr>
            <w:r>
              <w:rPr>
                <w:rFonts w:ascii="Arial" w:cs="Arial" w:eastAsia="Arial" w:hAnsi="Arial"/>
                <w:sz w:val="18"/>
                <w:szCs w:val="18"/>
                <w:color w:val="auto"/>
              </w:rPr>
              <w:t>Douglas F. Bauer</w:t>
            </w:r>
          </w:p>
        </w:tc>
      </w:tr>
      <w:tr>
        <w:trPr>
          <w:trHeight w:val="230"/>
        </w:trPr>
        <w:tc>
          <w:tcPr>
            <w:tcW w:w="5720" w:type="dxa"/>
            <w:vAlign w:val="bottom"/>
          </w:tcPr>
          <w:p>
            <w:pPr>
              <w:spacing w:after="0"/>
              <w:rPr>
                <w:sz w:val="20"/>
                <w:szCs w:val="20"/>
                <w:color w:val="auto"/>
              </w:rPr>
            </w:pPr>
          </w:p>
        </w:tc>
        <w:tc>
          <w:tcPr>
            <w:tcW w:w="5700" w:type="dxa"/>
            <w:vAlign w:val="bottom"/>
          </w:tcPr>
          <w:p>
            <w:pPr>
              <w:spacing w:after="0"/>
              <w:rPr>
                <w:sz w:val="20"/>
                <w:szCs w:val="20"/>
                <w:color w:val="auto"/>
              </w:rPr>
            </w:pPr>
            <w:r>
              <w:rPr>
                <w:rFonts w:ascii="Arial" w:cs="Arial" w:eastAsia="Arial" w:hAnsi="Arial"/>
                <w:sz w:val="18"/>
                <w:szCs w:val="18"/>
                <w:color w:val="auto"/>
              </w:rPr>
              <w:t>Chief Executive Officer (Principal Executive Officer)</w:t>
            </w:r>
          </w:p>
        </w:tc>
      </w:tr>
    </w:tbl>
    <w:p>
      <w:pPr>
        <w:sectPr>
          <w:pgSz w:w="11900" w:h="16838" w:orient="portrait"/>
          <w:cols w:equalWidth="0" w:num="1">
            <w:col w:w="11420"/>
          </w:cols>
          <w:pgMar w:left="240" w:top="121" w:right="239" w:bottom="1440" w:gutter="0" w:footer="0" w:header="0"/>
        </w:sectPr>
      </w:pPr>
    </w:p>
    <w:bookmarkStart w:id="53" w:name="page54"/>
    <w:bookmarkEnd w:id="53"/>
    <w:p>
      <w:pPr>
        <w:jc w:val="right"/>
        <w:spacing w:after="0"/>
        <w:rPr>
          <w:sz w:val="20"/>
          <w:szCs w:val="20"/>
          <w:color w:val="auto"/>
        </w:rPr>
      </w:pPr>
      <w:r>
        <w:rPr>
          <w:rFonts w:ascii="Arial" w:cs="Arial" w:eastAsia="Arial" w:hAnsi="Arial"/>
          <w:sz w:val="18"/>
          <w:szCs w:val="18"/>
          <w:b w:val="1"/>
          <w:bCs w:val="1"/>
          <w:color w:val="auto"/>
        </w:rPr>
        <w:t>Exhibit 31.2</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SECTION 302 CERTIFICATION</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I, Michael D. Grubbs, certify that:</w:t>
      </w:r>
    </w:p>
    <w:p>
      <w:pPr>
        <w:spacing w:after="0" w:line="117" w:lineRule="exact"/>
        <w:rPr>
          <w:sz w:val="20"/>
          <w:szCs w:val="20"/>
          <w:color w:val="auto"/>
        </w:rPr>
      </w:pPr>
    </w:p>
    <w:p>
      <w:pPr>
        <w:ind w:left="540" w:hanging="532"/>
        <w:spacing w:after="0"/>
        <w:tabs>
          <w:tab w:leader="none" w:pos="540" w:val="left"/>
        </w:tabs>
        <w:numPr>
          <w:ilvl w:val="0"/>
          <w:numId w:val="35"/>
        </w:numPr>
        <w:rPr>
          <w:rFonts w:ascii="Arial" w:cs="Arial" w:eastAsia="Arial" w:hAnsi="Arial"/>
          <w:sz w:val="18"/>
          <w:szCs w:val="18"/>
          <w:color w:val="auto"/>
        </w:rPr>
      </w:pPr>
      <w:r>
        <w:rPr>
          <w:rFonts w:ascii="Arial" w:cs="Arial" w:eastAsia="Arial" w:hAnsi="Arial"/>
          <w:sz w:val="18"/>
          <w:szCs w:val="18"/>
          <w:color w:val="auto"/>
        </w:rPr>
        <w:t>I have reviewed this report on Form 10-Q of TRI Pointe Homes, Inc.;</w:t>
      </w:r>
    </w:p>
    <w:p>
      <w:pPr>
        <w:spacing w:after="0" w:line="117" w:lineRule="exact"/>
        <w:rPr>
          <w:rFonts w:ascii="Arial" w:cs="Arial" w:eastAsia="Arial" w:hAnsi="Arial"/>
          <w:sz w:val="18"/>
          <w:szCs w:val="18"/>
          <w:color w:val="auto"/>
        </w:rPr>
      </w:pPr>
    </w:p>
    <w:p>
      <w:pPr>
        <w:jc w:val="both"/>
        <w:ind w:left="540" w:right="420" w:hanging="532"/>
        <w:spacing w:after="0" w:line="264" w:lineRule="auto"/>
        <w:tabs>
          <w:tab w:leader="none" w:pos="540" w:val="left"/>
        </w:tabs>
        <w:numPr>
          <w:ilvl w:val="0"/>
          <w:numId w:val="35"/>
        </w:numPr>
        <w:rPr>
          <w:rFonts w:ascii="Arial" w:cs="Arial" w:eastAsia="Arial" w:hAnsi="Arial"/>
          <w:sz w:val="18"/>
          <w:szCs w:val="18"/>
          <w:color w:val="auto"/>
        </w:rPr>
      </w:pPr>
      <w:r>
        <w:rPr>
          <w:rFonts w:ascii="Arial" w:cs="Arial" w:eastAsia="Arial" w:hAnsi="Arial"/>
          <w:sz w:val="18"/>
          <w:szCs w:val="18"/>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73" w:lineRule="exact"/>
        <w:rPr>
          <w:rFonts w:ascii="Arial" w:cs="Arial" w:eastAsia="Arial" w:hAnsi="Arial"/>
          <w:sz w:val="18"/>
          <w:szCs w:val="18"/>
          <w:color w:val="auto"/>
        </w:rPr>
      </w:pPr>
    </w:p>
    <w:p>
      <w:pPr>
        <w:ind w:left="540" w:right="380" w:hanging="532"/>
        <w:spacing w:after="0" w:line="308" w:lineRule="auto"/>
        <w:tabs>
          <w:tab w:leader="none" w:pos="540" w:val="left"/>
        </w:tabs>
        <w:numPr>
          <w:ilvl w:val="0"/>
          <w:numId w:val="35"/>
        </w:numPr>
        <w:rPr>
          <w:rFonts w:ascii="Arial" w:cs="Arial" w:eastAsia="Arial" w:hAnsi="Arial"/>
          <w:sz w:val="17"/>
          <w:szCs w:val="17"/>
          <w:color w:val="auto"/>
        </w:rPr>
      </w:pPr>
      <w:r>
        <w:rPr>
          <w:rFonts w:ascii="Arial" w:cs="Arial" w:eastAsia="Arial" w:hAnsi="Arial"/>
          <w:sz w:val="17"/>
          <w:szCs w:val="17"/>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38" w:lineRule="exact"/>
        <w:rPr>
          <w:rFonts w:ascii="Arial" w:cs="Arial" w:eastAsia="Arial" w:hAnsi="Arial"/>
          <w:sz w:val="17"/>
          <w:szCs w:val="17"/>
          <w:color w:val="auto"/>
        </w:rPr>
      </w:pPr>
    </w:p>
    <w:p>
      <w:pPr>
        <w:jc w:val="both"/>
        <w:ind w:left="540" w:right="400" w:hanging="532"/>
        <w:spacing w:after="0" w:line="264" w:lineRule="auto"/>
        <w:tabs>
          <w:tab w:leader="none" w:pos="540" w:val="left"/>
        </w:tabs>
        <w:numPr>
          <w:ilvl w:val="0"/>
          <w:numId w:val="35"/>
        </w:numPr>
        <w:rPr>
          <w:rFonts w:ascii="Arial" w:cs="Arial" w:eastAsia="Arial" w:hAnsi="Arial"/>
          <w:sz w:val="18"/>
          <w:szCs w:val="18"/>
          <w:color w:val="auto"/>
        </w:rPr>
      </w:pPr>
      <w:r>
        <w:rPr>
          <w:rFonts w:ascii="Arial" w:cs="Arial" w:eastAsia="Arial" w:hAnsi="Arial"/>
          <w:sz w:val="18"/>
          <w:szCs w:val="18"/>
          <w:color w:val="auto"/>
        </w:rPr>
        <w:t>The registrant’s other certifying officer(s) and I are responsible for establishing and maintaining disclosure controls and procedures (as defined in Exchange Act Rules 13a-15(e) and 15d-15(e)) and internal control over financial reporting (as defined in Exchange Act Rules 13a-15(f) and 15d-15(f)) for the registrant and have:</w:t>
      </w:r>
    </w:p>
    <w:p>
      <w:pPr>
        <w:spacing w:after="0" w:line="73" w:lineRule="exact"/>
        <w:rPr>
          <w:rFonts w:ascii="Arial" w:cs="Arial" w:eastAsia="Arial" w:hAnsi="Arial"/>
          <w:sz w:val="18"/>
          <w:szCs w:val="18"/>
          <w:color w:val="auto"/>
        </w:rPr>
      </w:pPr>
    </w:p>
    <w:p>
      <w:pPr>
        <w:ind w:left="1020" w:right="180" w:hanging="494"/>
        <w:spacing w:after="0" w:line="264" w:lineRule="auto"/>
        <w:tabs>
          <w:tab w:leader="none" w:pos="1020" w:val="left"/>
        </w:tabs>
        <w:numPr>
          <w:ilvl w:val="1"/>
          <w:numId w:val="35"/>
        </w:numPr>
        <w:rPr>
          <w:rFonts w:ascii="Arial" w:cs="Arial" w:eastAsia="Arial" w:hAnsi="Arial"/>
          <w:sz w:val="18"/>
          <w:szCs w:val="18"/>
          <w:color w:val="auto"/>
        </w:rPr>
      </w:pPr>
      <w:r>
        <w:rPr>
          <w:rFonts w:ascii="Arial" w:cs="Arial" w:eastAsia="Arial" w:hAnsi="Arial"/>
          <w:sz w:val="18"/>
          <w:szCs w:val="18"/>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73" w:lineRule="exact"/>
        <w:rPr>
          <w:rFonts w:ascii="Arial" w:cs="Arial" w:eastAsia="Arial" w:hAnsi="Arial"/>
          <w:sz w:val="18"/>
          <w:szCs w:val="18"/>
          <w:color w:val="auto"/>
        </w:rPr>
      </w:pPr>
    </w:p>
    <w:p>
      <w:pPr>
        <w:ind w:left="1020" w:right="500" w:hanging="494"/>
        <w:spacing w:after="0" w:line="264" w:lineRule="auto"/>
        <w:tabs>
          <w:tab w:leader="none" w:pos="1020" w:val="left"/>
        </w:tabs>
        <w:numPr>
          <w:ilvl w:val="1"/>
          <w:numId w:val="35"/>
        </w:numPr>
        <w:rPr>
          <w:rFonts w:ascii="Arial" w:cs="Arial" w:eastAsia="Arial" w:hAnsi="Arial"/>
          <w:sz w:val="18"/>
          <w:szCs w:val="18"/>
          <w:color w:val="auto"/>
        </w:rPr>
      </w:pPr>
      <w:r>
        <w:rPr>
          <w:rFonts w:ascii="Arial" w:cs="Arial" w:eastAsia="Arial" w:hAnsi="Arial"/>
          <w:sz w:val="18"/>
          <w:szCs w:val="18"/>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73" w:lineRule="exact"/>
        <w:rPr>
          <w:rFonts w:ascii="Arial" w:cs="Arial" w:eastAsia="Arial" w:hAnsi="Arial"/>
          <w:sz w:val="18"/>
          <w:szCs w:val="18"/>
          <w:color w:val="auto"/>
        </w:rPr>
      </w:pPr>
    </w:p>
    <w:p>
      <w:pPr>
        <w:jc w:val="both"/>
        <w:ind w:left="1020" w:right="660" w:hanging="494"/>
        <w:spacing w:after="0" w:line="342" w:lineRule="auto"/>
        <w:tabs>
          <w:tab w:leader="none" w:pos="1020" w:val="left"/>
        </w:tabs>
        <w:numPr>
          <w:ilvl w:val="1"/>
          <w:numId w:val="35"/>
        </w:numPr>
        <w:rPr>
          <w:rFonts w:ascii="Arial" w:cs="Arial" w:eastAsia="Arial" w:hAnsi="Arial"/>
          <w:sz w:val="16"/>
          <w:szCs w:val="16"/>
          <w:color w:val="auto"/>
        </w:rPr>
      </w:pPr>
      <w:r>
        <w:rPr>
          <w:rFonts w:ascii="Arial" w:cs="Arial" w:eastAsia="Arial" w:hAnsi="Arial"/>
          <w:sz w:val="16"/>
          <w:szCs w:val="16"/>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15" w:lineRule="exact"/>
        <w:rPr>
          <w:rFonts w:ascii="Arial" w:cs="Arial" w:eastAsia="Arial" w:hAnsi="Arial"/>
          <w:sz w:val="16"/>
          <w:szCs w:val="16"/>
          <w:color w:val="auto"/>
        </w:rPr>
      </w:pPr>
    </w:p>
    <w:p>
      <w:pPr>
        <w:ind w:left="1020" w:right="180" w:hanging="494"/>
        <w:spacing w:after="0" w:line="264" w:lineRule="auto"/>
        <w:tabs>
          <w:tab w:leader="none" w:pos="1020" w:val="left"/>
        </w:tabs>
        <w:numPr>
          <w:ilvl w:val="1"/>
          <w:numId w:val="35"/>
        </w:numPr>
        <w:rPr>
          <w:rFonts w:ascii="Arial" w:cs="Arial" w:eastAsia="Arial" w:hAnsi="Arial"/>
          <w:sz w:val="18"/>
          <w:szCs w:val="18"/>
          <w:color w:val="auto"/>
        </w:rPr>
      </w:pPr>
      <w:r>
        <w:rPr>
          <w:rFonts w:ascii="Arial" w:cs="Arial" w:eastAsia="Arial" w:hAnsi="Arial"/>
          <w:sz w:val="18"/>
          <w:szCs w:val="18"/>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73" w:lineRule="exact"/>
        <w:rPr>
          <w:rFonts w:ascii="Arial" w:cs="Arial" w:eastAsia="Arial" w:hAnsi="Arial"/>
          <w:sz w:val="18"/>
          <w:szCs w:val="18"/>
          <w:color w:val="auto"/>
        </w:rPr>
      </w:pPr>
    </w:p>
    <w:p>
      <w:pPr>
        <w:ind w:left="540" w:right="120" w:hanging="532"/>
        <w:spacing w:after="0" w:line="308" w:lineRule="auto"/>
        <w:tabs>
          <w:tab w:leader="none" w:pos="540" w:val="left"/>
        </w:tabs>
        <w:numPr>
          <w:ilvl w:val="0"/>
          <w:numId w:val="35"/>
        </w:numPr>
        <w:rPr>
          <w:rFonts w:ascii="Arial" w:cs="Arial" w:eastAsia="Arial" w:hAnsi="Arial"/>
          <w:sz w:val="17"/>
          <w:szCs w:val="17"/>
          <w:color w:val="auto"/>
        </w:rPr>
      </w:pPr>
      <w:r>
        <w:rPr>
          <w:rFonts w:ascii="Arial" w:cs="Arial" w:eastAsia="Arial" w:hAnsi="Arial"/>
          <w:sz w:val="17"/>
          <w:szCs w:val="17"/>
          <w:color w:val="auto"/>
        </w:rPr>
        <w:t>The registrant’s other certifying officer(s) and I have disclosed, based on our most recent evaluation of internal control over financial reporting, to the registrant’s auditors and the audit committee of the registrant’s board of directors (or persons performing the equivalent functions):</w:t>
      </w:r>
    </w:p>
    <w:p>
      <w:pPr>
        <w:spacing w:after="0" w:line="38" w:lineRule="exact"/>
        <w:rPr>
          <w:rFonts w:ascii="Arial" w:cs="Arial" w:eastAsia="Arial" w:hAnsi="Arial"/>
          <w:sz w:val="17"/>
          <w:szCs w:val="17"/>
          <w:color w:val="auto"/>
        </w:rPr>
      </w:pPr>
    </w:p>
    <w:p>
      <w:pPr>
        <w:ind w:left="1020" w:right="80" w:hanging="494"/>
        <w:spacing w:after="0" w:line="277" w:lineRule="auto"/>
        <w:tabs>
          <w:tab w:leader="none" w:pos="1020" w:val="left"/>
        </w:tabs>
        <w:numPr>
          <w:ilvl w:val="1"/>
          <w:numId w:val="35"/>
        </w:numPr>
        <w:rPr>
          <w:rFonts w:ascii="Arial" w:cs="Arial" w:eastAsia="Arial" w:hAnsi="Arial"/>
          <w:sz w:val="18"/>
          <w:szCs w:val="18"/>
          <w:color w:val="auto"/>
        </w:rPr>
      </w:pPr>
      <w:r>
        <w:rPr>
          <w:rFonts w:ascii="Arial" w:cs="Arial" w:eastAsia="Arial" w:hAnsi="Arial"/>
          <w:sz w:val="18"/>
          <w:szCs w:val="18"/>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62" w:lineRule="exact"/>
        <w:rPr>
          <w:rFonts w:ascii="Arial" w:cs="Arial" w:eastAsia="Arial" w:hAnsi="Arial"/>
          <w:sz w:val="18"/>
          <w:szCs w:val="18"/>
          <w:color w:val="auto"/>
        </w:rPr>
      </w:pPr>
    </w:p>
    <w:p>
      <w:pPr>
        <w:ind w:left="1020" w:right="40" w:hanging="494"/>
        <w:spacing w:after="0" w:line="277" w:lineRule="auto"/>
        <w:tabs>
          <w:tab w:leader="none" w:pos="1020" w:val="left"/>
        </w:tabs>
        <w:numPr>
          <w:ilvl w:val="1"/>
          <w:numId w:val="35"/>
        </w:numPr>
        <w:rPr>
          <w:rFonts w:ascii="Arial" w:cs="Arial" w:eastAsia="Arial" w:hAnsi="Arial"/>
          <w:sz w:val="18"/>
          <w:szCs w:val="18"/>
          <w:color w:val="auto"/>
        </w:rPr>
      </w:pPr>
      <w:r>
        <w:rPr>
          <w:rFonts w:ascii="Arial" w:cs="Arial" w:eastAsia="Arial" w:hAnsi="Arial"/>
          <w:sz w:val="18"/>
          <w:szCs w:val="18"/>
          <w:color w:val="auto"/>
        </w:rPr>
        <w:t>Any fraud, whether or not material, that involves management or other employees who have a significant role in the registrant’s internal control over financial reporting.</w:t>
      </w:r>
    </w:p>
    <w:p>
      <w:pPr>
        <w:spacing w:after="0" w:line="170"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5720" w:type="dxa"/>
            <w:vAlign w:val="bottom"/>
          </w:tcPr>
          <w:p>
            <w:pPr>
              <w:spacing w:after="0"/>
              <w:rPr>
                <w:sz w:val="20"/>
                <w:szCs w:val="20"/>
                <w:color w:val="auto"/>
              </w:rPr>
            </w:pPr>
            <w:r>
              <w:rPr>
                <w:rFonts w:ascii="Arial" w:cs="Arial" w:eastAsia="Arial" w:hAnsi="Arial"/>
                <w:sz w:val="18"/>
                <w:szCs w:val="18"/>
                <w:color w:val="auto"/>
              </w:rPr>
              <w:t>Date: May 8, 2015</w:t>
            </w:r>
          </w:p>
        </w:tc>
        <w:tc>
          <w:tcPr>
            <w:tcW w:w="570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Michael D. Grubbs</w:t>
            </w:r>
          </w:p>
        </w:tc>
      </w:tr>
      <w:tr>
        <w:trPr>
          <w:trHeight w:val="195"/>
        </w:trPr>
        <w:tc>
          <w:tcPr>
            <w:tcW w:w="5720" w:type="dxa"/>
            <w:vAlign w:val="bottom"/>
          </w:tcPr>
          <w:p>
            <w:pPr>
              <w:spacing w:after="0"/>
              <w:rPr>
                <w:sz w:val="16"/>
                <w:szCs w:val="16"/>
                <w:color w:val="auto"/>
              </w:rPr>
            </w:pPr>
          </w:p>
        </w:tc>
        <w:tc>
          <w:tcPr>
            <w:tcW w:w="5700" w:type="dxa"/>
            <w:vAlign w:val="bottom"/>
          </w:tcPr>
          <w:p>
            <w:pPr>
              <w:spacing w:after="0" w:line="195" w:lineRule="exact"/>
              <w:rPr>
                <w:sz w:val="20"/>
                <w:szCs w:val="20"/>
                <w:color w:val="auto"/>
              </w:rPr>
            </w:pPr>
            <w:r>
              <w:rPr>
                <w:rFonts w:ascii="Arial" w:cs="Arial" w:eastAsia="Arial" w:hAnsi="Arial"/>
                <w:sz w:val="18"/>
                <w:szCs w:val="18"/>
                <w:color w:val="auto"/>
              </w:rPr>
              <w:t>Michael D. Grubbs</w:t>
            </w:r>
          </w:p>
        </w:tc>
      </w:tr>
      <w:tr>
        <w:trPr>
          <w:trHeight w:val="230"/>
        </w:trPr>
        <w:tc>
          <w:tcPr>
            <w:tcW w:w="5720" w:type="dxa"/>
            <w:vAlign w:val="bottom"/>
          </w:tcPr>
          <w:p>
            <w:pPr>
              <w:spacing w:after="0"/>
              <w:rPr>
                <w:sz w:val="20"/>
                <w:szCs w:val="20"/>
                <w:color w:val="auto"/>
              </w:rPr>
            </w:pPr>
          </w:p>
        </w:tc>
        <w:tc>
          <w:tcPr>
            <w:tcW w:w="5700" w:type="dxa"/>
            <w:vAlign w:val="bottom"/>
          </w:tcPr>
          <w:p>
            <w:pPr>
              <w:spacing w:after="0"/>
              <w:rPr>
                <w:sz w:val="20"/>
                <w:szCs w:val="20"/>
                <w:color w:val="auto"/>
              </w:rPr>
            </w:pPr>
            <w:r>
              <w:rPr>
                <w:rFonts w:ascii="Arial" w:cs="Arial" w:eastAsia="Arial" w:hAnsi="Arial"/>
                <w:sz w:val="18"/>
                <w:szCs w:val="18"/>
                <w:color w:val="auto"/>
              </w:rPr>
              <w:t>Chief Financial Officer (Principal Financial Officer)</w:t>
            </w:r>
          </w:p>
        </w:tc>
      </w:tr>
    </w:tbl>
    <w:p>
      <w:pPr>
        <w:sectPr>
          <w:pgSz w:w="11900" w:h="16838" w:orient="portrait"/>
          <w:cols w:equalWidth="0" w:num="1">
            <w:col w:w="11420"/>
          </w:cols>
          <w:pgMar w:left="240" w:top="121" w:right="239" w:bottom="1440" w:gutter="0" w:footer="0" w:header="0"/>
        </w:sectPr>
      </w:pPr>
    </w:p>
    <w:bookmarkStart w:id="54" w:name="page55"/>
    <w:bookmarkEnd w:id="54"/>
    <w:p>
      <w:pPr>
        <w:jc w:val="right"/>
        <w:spacing w:after="0"/>
        <w:rPr>
          <w:sz w:val="20"/>
          <w:szCs w:val="20"/>
          <w:color w:val="auto"/>
        </w:rPr>
      </w:pPr>
      <w:r>
        <w:rPr>
          <w:rFonts w:ascii="Arial" w:cs="Arial" w:eastAsia="Arial" w:hAnsi="Arial"/>
          <w:sz w:val="18"/>
          <w:szCs w:val="18"/>
          <w:b w:val="1"/>
          <w:bCs w:val="1"/>
          <w:color w:val="auto"/>
        </w:rPr>
        <w:t>Exhibit 32.1</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 PURSUANT TO</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18 U.S.C. SECTION 1350,</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AS ADOPTED PURSUANT TO</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SECTION 906 OF THE SARBANES-OXLEY ACT OF 2002</w:t>
      </w:r>
    </w:p>
    <w:p>
      <w:pPr>
        <w:spacing w:after="0" w:line="211" w:lineRule="exact"/>
        <w:rPr>
          <w:sz w:val="20"/>
          <w:szCs w:val="20"/>
          <w:color w:val="auto"/>
        </w:rPr>
      </w:pPr>
    </w:p>
    <w:p>
      <w:pPr>
        <w:jc w:val="both"/>
        <w:ind w:right="300"/>
        <w:spacing w:after="0" w:line="291" w:lineRule="auto"/>
        <w:rPr>
          <w:sz w:val="20"/>
          <w:szCs w:val="20"/>
          <w:color w:val="auto"/>
        </w:rPr>
      </w:pPr>
      <w:r>
        <w:rPr>
          <w:rFonts w:ascii="Arial" w:cs="Arial" w:eastAsia="Arial" w:hAnsi="Arial"/>
          <w:sz w:val="16"/>
          <w:szCs w:val="16"/>
          <w:color w:val="auto"/>
        </w:rPr>
        <w:t>In connection with the Report of TRI Pointe Homes, Inc. (the “Company”) on Form 10-Q for the period ended March 31, 2015 as filed with the Securities and Exchange Commission on the date hereof (the “Report”), I, Douglas F. Bauer, Chief Executive Officer of the Company, certify, pursuant to 18 U.S.C.</w:t>
      </w:r>
    </w:p>
    <w:p>
      <w:pPr>
        <w:ind w:left="140" w:hanging="132"/>
        <w:spacing w:after="0"/>
        <w:tabs>
          <w:tab w:leader="none" w:pos="140" w:val="left"/>
        </w:tabs>
        <w:numPr>
          <w:ilvl w:val="0"/>
          <w:numId w:val="36"/>
        </w:numPr>
        <w:rPr>
          <w:rFonts w:ascii="Arial" w:cs="Arial" w:eastAsia="Arial" w:hAnsi="Arial"/>
          <w:sz w:val="18"/>
          <w:szCs w:val="18"/>
          <w:color w:val="auto"/>
        </w:rPr>
      </w:pPr>
      <w:r>
        <w:rPr>
          <w:rFonts w:ascii="Arial" w:cs="Arial" w:eastAsia="Arial" w:hAnsi="Arial"/>
          <w:sz w:val="18"/>
          <w:szCs w:val="18"/>
          <w:color w:val="auto"/>
        </w:rPr>
        <w:t>1350, as adopted pursuant to § 906 of the Sarbanes-Oxley Act of 2002, that:</w:t>
      </w:r>
    </w:p>
    <w:p>
      <w:pPr>
        <w:spacing w:after="0" w:line="102" w:lineRule="exact"/>
        <w:rPr>
          <w:rFonts w:ascii="Arial" w:cs="Arial" w:eastAsia="Arial" w:hAnsi="Arial"/>
          <w:sz w:val="18"/>
          <w:szCs w:val="18"/>
          <w:color w:val="auto"/>
        </w:rPr>
      </w:pPr>
    </w:p>
    <w:p>
      <w:pPr>
        <w:ind w:left="1020" w:hanging="494"/>
        <w:spacing w:after="0"/>
        <w:tabs>
          <w:tab w:leader="none" w:pos="1020" w:val="left"/>
        </w:tabs>
        <w:numPr>
          <w:ilvl w:val="1"/>
          <w:numId w:val="36"/>
        </w:numPr>
        <w:rPr>
          <w:rFonts w:ascii="Arial" w:cs="Arial" w:eastAsia="Arial" w:hAnsi="Arial"/>
          <w:sz w:val="18"/>
          <w:szCs w:val="18"/>
          <w:color w:val="auto"/>
        </w:rPr>
      </w:pPr>
      <w:r>
        <w:rPr>
          <w:rFonts w:ascii="Arial" w:cs="Arial" w:eastAsia="Arial" w:hAnsi="Arial"/>
          <w:sz w:val="18"/>
          <w:szCs w:val="18"/>
          <w:color w:val="auto"/>
        </w:rPr>
        <w:t>The Report fully complies with the requirements of section 13(a) or 15(d) of the Securities Exchange Act of 1934; and</w:t>
      </w:r>
    </w:p>
    <w:p>
      <w:pPr>
        <w:spacing w:after="0" w:line="117" w:lineRule="exact"/>
        <w:rPr>
          <w:rFonts w:ascii="Arial" w:cs="Arial" w:eastAsia="Arial" w:hAnsi="Arial"/>
          <w:sz w:val="18"/>
          <w:szCs w:val="18"/>
          <w:color w:val="auto"/>
        </w:rPr>
      </w:pPr>
    </w:p>
    <w:p>
      <w:pPr>
        <w:ind w:left="1020" w:right="720" w:hanging="494"/>
        <w:spacing w:after="0" w:line="277" w:lineRule="auto"/>
        <w:tabs>
          <w:tab w:leader="none" w:pos="1020" w:val="left"/>
        </w:tabs>
        <w:numPr>
          <w:ilvl w:val="1"/>
          <w:numId w:val="36"/>
        </w:numPr>
        <w:rPr>
          <w:rFonts w:ascii="Arial" w:cs="Arial" w:eastAsia="Arial" w:hAnsi="Arial"/>
          <w:sz w:val="18"/>
          <w:szCs w:val="18"/>
          <w:color w:val="auto"/>
        </w:rPr>
      </w:pPr>
      <w:r>
        <w:rPr>
          <w:rFonts w:ascii="Arial" w:cs="Arial" w:eastAsia="Arial" w:hAnsi="Arial"/>
          <w:sz w:val="18"/>
          <w:szCs w:val="18"/>
          <w:color w:val="auto"/>
        </w:rPr>
        <w:t>The information contained in the Report fairly presents, in all material respects, the financial condition and results of operations of the Company.</w:t>
      </w:r>
    </w:p>
    <w:p>
      <w:pPr>
        <w:spacing w:after="0" w:line="170"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5720" w:type="dxa"/>
            <w:vAlign w:val="bottom"/>
          </w:tcPr>
          <w:p>
            <w:pPr>
              <w:spacing w:after="0"/>
              <w:rPr>
                <w:sz w:val="20"/>
                <w:szCs w:val="20"/>
                <w:color w:val="auto"/>
              </w:rPr>
            </w:pPr>
            <w:r>
              <w:rPr>
                <w:rFonts w:ascii="Arial" w:cs="Arial" w:eastAsia="Arial" w:hAnsi="Arial"/>
                <w:sz w:val="18"/>
                <w:szCs w:val="18"/>
                <w:color w:val="auto"/>
              </w:rPr>
              <w:t>Date: May 8, 2015</w:t>
            </w:r>
          </w:p>
        </w:tc>
        <w:tc>
          <w:tcPr>
            <w:tcW w:w="570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Douglas F. Bauer</w:t>
            </w:r>
          </w:p>
        </w:tc>
      </w:tr>
      <w:tr>
        <w:trPr>
          <w:trHeight w:val="195"/>
        </w:trPr>
        <w:tc>
          <w:tcPr>
            <w:tcW w:w="5720" w:type="dxa"/>
            <w:vAlign w:val="bottom"/>
          </w:tcPr>
          <w:p>
            <w:pPr>
              <w:spacing w:after="0"/>
              <w:rPr>
                <w:sz w:val="16"/>
                <w:szCs w:val="16"/>
                <w:color w:val="auto"/>
              </w:rPr>
            </w:pPr>
          </w:p>
        </w:tc>
        <w:tc>
          <w:tcPr>
            <w:tcW w:w="5700" w:type="dxa"/>
            <w:vAlign w:val="bottom"/>
          </w:tcPr>
          <w:p>
            <w:pPr>
              <w:spacing w:after="0" w:line="195" w:lineRule="exact"/>
              <w:rPr>
                <w:sz w:val="20"/>
                <w:szCs w:val="20"/>
                <w:color w:val="auto"/>
              </w:rPr>
            </w:pPr>
            <w:r>
              <w:rPr>
                <w:rFonts w:ascii="Arial" w:cs="Arial" w:eastAsia="Arial" w:hAnsi="Arial"/>
                <w:sz w:val="18"/>
                <w:szCs w:val="18"/>
                <w:color w:val="auto"/>
              </w:rPr>
              <w:t>Douglas F. Bauer</w:t>
            </w:r>
          </w:p>
        </w:tc>
      </w:tr>
      <w:tr>
        <w:trPr>
          <w:trHeight w:val="230"/>
        </w:trPr>
        <w:tc>
          <w:tcPr>
            <w:tcW w:w="5720" w:type="dxa"/>
            <w:vAlign w:val="bottom"/>
          </w:tcPr>
          <w:p>
            <w:pPr>
              <w:spacing w:after="0"/>
              <w:rPr>
                <w:sz w:val="20"/>
                <w:szCs w:val="20"/>
                <w:color w:val="auto"/>
              </w:rPr>
            </w:pPr>
          </w:p>
        </w:tc>
        <w:tc>
          <w:tcPr>
            <w:tcW w:w="5700" w:type="dxa"/>
            <w:vAlign w:val="bottom"/>
          </w:tcPr>
          <w:p>
            <w:pPr>
              <w:spacing w:after="0"/>
              <w:rPr>
                <w:sz w:val="20"/>
                <w:szCs w:val="20"/>
                <w:color w:val="auto"/>
              </w:rPr>
            </w:pPr>
            <w:r>
              <w:rPr>
                <w:rFonts w:ascii="Arial" w:cs="Arial" w:eastAsia="Arial" w:hAnsi="Arial"/>
                <w:sz w:val="18"/>
                <w:szCs w:val="18"/>
                <w:color w:val="auto"/>
              </w:rPr>
              <w:t>Chief Executive Officer (Principal Executive Officer)</w:t>
            </w:r>
          </w:p>
        </w:tc>
      </w:tr>
    </w:tbl>
    <w:p>
      <w:pPr>
        <w:sectPr>
          <w:pgSz w:w="11900" w:h="16838" w:orient="portrait"/>
          <w:cols w:equalWidth="0" w:num="1">
            <w:col w:w="11420"/>
          </w:cols>
          <w:pgMar w:left="240" w:top="121" w:right="239" w:bottom="1440" w:gutter="0" w:footer="0" w:header="0"/>
        </w:sectPr>
      </w:pPr>
    </w:p>
    <w:bookmarkStart w:id="55" w:name="page56"/>
    <w:bookmarkEnd w:id="55"/>
    <w:p>
      <w:pPr>
        <w:jc w:val="right"/>
        <w:spacing w:after="0"/>
        <w:rPr>
          <w:sz w:val="20"/>
          <w:szCs w:val="20"/>
          <w:color w:val="auto"/>
        </w:rPr>
      </w:pPr>
      <w:r>
        <w:rPr>
          <w:rFonts w:ascii="Arial" w:cs="Arial" w:eastAsia="Arial" w:hAnsi="Arial"/>
          <w:sz w:val="18"/>
          <w:szCs w:val="18"/>
          <w:b w:val="1"/>
          <w:bCs w:val="1"/>
          <w:color w:val="auto"/>
        </w:rPr>
        <w:t>Exhibit 32.2</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 PURSUANT TO</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18 U.S.C. SECTION 1350,</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AS ADOPTED PURSUANT TO</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SECTION 906 OF THE SARBANES-OXLEY ACT OF 2002</w:t>
      </w:r>
    </w:p>
    <w:p>
      <w:pPr>
        <w:spacing w:after="0" w:line="211" w:lineRule="exact"/>
        <w:rPr>
          <w:sz w:val="20"/>
          <w:szCs w:val="20"/>
          <w:color w:val="auto"/>
        </w:rPr>
      </w:pPr>
    </w:p>
    <w:p>
      <w:pPr>
        <w:jc w:val="both"/>
        <w:ind w:right="240"/>
        <w:spacing w:after="0" w:line="291" w:lineRule="auto"/>
        <w:rPr>
          <w:sz w:val="20"/>
          <w:szCs w:val="20"/>
          <w:color w:val="auto"/>
        </w:rPr>
      </w:pPr>
      <w:r>
        <w:rPr>
          <w:rFonts w:ascii="Arial" w:cs="Arial" w:eastAsia="Arial" w:hAnsi="Arial"/>
          <w:sz w:val="16"/>
          <w:szCs w:val="16"/>
          <w:color w:val="auto"/>
        </w:rPr>
        <w:t>In connection with the Report of TRI Pointe Homes, Inc. (the “Company”) on Form 10-Q for the period ended March 31, 2015 as filed with the Securities and Exchange Commission on the date hereof (the “Report”), I, Michael D. Grubbs, Chief Financial Officer of the Company, certify, pursuant to 18 U.S.C.</w:t>
      </w:r>
    </w:p>
    <w:p>
      <w:pPr>
        <w:ind w:left="140" w:hanging="132"/>
        <w:spacing w:after="0"/>
        <w:tabs>
          <w:tab w:leader="none" w:pos="140" w:val="left"/>
        </w:tabs>
        <w:numPr>
          <w:ilvl w:val="0"/>
          <w:numId w:val="37"/>
        </w:numPr>
        <w:rPr>
          <w:rFonts w:ascii="Arial" w:cs="Arial" w:eastAsia="Arial" w:hAnsi="Arial"/>
          <w:sz w:val="18"/>
          <w:szCs w:val="18"/>
          <w:color w:val="auto"/>
        </w:rPr>
      </w:pPr>
      <w:r>
        <w:rPr>
          <w:rFonts w:ascii="Arial" w:cs="Arial" w:eastAsia="Arial" w:hAnsi="Arial"/>
          <w:sz w:val="18"/>
          <w:szCs w:val="18"/>
          <w:color w:val="auto"/>
        </w:rPr>
        <w:t>1350, as adopted pursuant to § 906 of the Sarbanes-Oxley Act of 2002, that:</w:t>
      </w:r>
    </w:p>
    <w:p>
      <w:pPr>
        <w:spacing w:after="0" w:line="102" w:lineRule="exact"/>
        <w:rPr>
          <w:rFonts w:ascii="Arial" w:cs="Arial" w:eastAsia="Arial" w:hAnsi="Arial"/>
          <w:sz w:val="18"/>
          <w:szCs w:val="18"/>
          <w:color w:val="auto"/>
        </w:rPr>
      </w:pPr>
    </w:p>
    <w:p>
      <w:pPr>
        <w:ind w:left="1020" w:hanging="494"/>
        <w:spacing w:after="0"/>
        <w:tabs>
          <w:tab w:leader="none" w:pos="1020" w:val="left"/>
        </w:tabs>
        <w:numPr>
          <w:ilvl w:val="1"/>
          <w:numId w:val="37"/>
        </w:numPr>
        <w:rPr>
          <w:rFonts w:ascii="Arial" w:cs="Arial" w:eastAsia="Arial" w:hAnsi="Arial"/>
          <w:sz w:val="18"/>
          <w:szCs w:val="18"/>
          <w:color w:val="auto"/>
        </w:rPr>
      </w:pPr>
      <w:r>
        <w:rPr>
          <w:rFonts w:ascii="Arial" w:cs="Arial" w:eastAsia="Arial" w:hAnsi="Arial"/>
          <w:sz w:val="18"/>
          <w:szCs w:val="18"/>
          <w:color w:val="auto"/>
        </w:rPr>
        <w:t>The Report fully complies with the requirements of section 13(a) or 15(d) of the Securities Exchange Act of 1934; and</w:t>
      </w:r>
    </w:p>
    <w:p>
      <w:pPr>
        <w:spacing w:after="0" w:line="117" w:lineRule="exact"/>
        <w:rPr>
          <w:rFonts w:ascii="Arial" w:cs="Arial" w:eastAsia="Arial" w:hAnsi="Arial"/>
          <w:sz w:val="18"/>
          <w:szCs w:val="18"/>
          <w:color w:val="auto"/>
        </w:rPr>
      </w:pPr>
    </w:p>
    <w:p>
      <w:pPr>
        <w:ind w:left="1020" w:right="720" w:hanging="494"/>
        <w:spacing w:after="0" w:line="277" w:lineRule="auto"/>
        <w:tabs>
          <w:tab w:leader="none" w:pos="1020" w:val="left"/>
        </w:tabs>
        <w:numPr>
          <w:ilvl w:val="1"/>
          <w:numId w:val="37"/>
        </w:numPr>
        <w:rPr>
          <w:rFonts w:ascii="Arial" w:cs="Arial" w:eastAsia="Arial" w:hAnsi="Arial"/>
          <w:sz w:val="18"/>
          <w:szCs w:val="18"/>
          <w:color w:val="auto"/>
        </w:rPr>
      </w:pPr>
      <w:r>
        <w:rPr>
          <w:rFonts w:ascii="Arial" w:cs="Arial" w:eastAsia="Arial" w:hAnsi="Arial"/>
          <w:sz w:val="18"/>
          <w:szCs w:val="18"/>
          <w:color w:val="auto"/>
        </w:rPr>
        <w:t>The information contained in the Report fairly presents, in all material respects, the financial condition and results of operations of the Company.</w:t>
      </w:r>
    </w:p>
    <w:p>
      <w:pPr>
        <w:spacing w:after="0" w:line="170"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5720" w:type="dxa"/>
            <w:vAlign w:val="bottom"/>
          </w:tcPr>
          <w:p>
            <w:pPr>
              <w:spacing w:after="0"/>
              <w:rPr>
                <w:sz w:val="20"/>
                <w:szCs w:val="20"/>
                <w:color w:val="auto"/>
              </w:rPr>
            </w:pPr>
            <w:r>
              <w:rPr>
                <w:rFonts w:ascii="Arial" w:cs="Arial" w:eastAsia="Arial" w:hAnsi="Arial"/>
                <w:sz w:val="18"/>
                <w:szCs w:val="18"/>
                <w:color w:val="auto"/>
              </w:rPr>
              <w:t>Date: May 8, 2015</w:t>
            </w:r>
          </w:p>
        </w:tc>
        <w:tc>
          <w:tcPr>
            <w:tcW w:w="570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Michael D. Grubbs</w:t>
            </w:r>
          </w:p>
        </w:tc>
      </w:tr>
      <w:tr>
        <w:trPr>
          <w:trHeight w:val="195"/>
        </w:trPr>
        <w:tc>
          <w:tcPr>
            <w:tcW w:w="5720" w:type="dxa"/>
            <w:vAlign w:val="bottom"/>
          </w:tcPr>
          <w:p>
            <w:pPr>
              <w:spacing w:after="0"/>
              <w:rPr>
                <w:sz w:val="16"/>
                <w:szCs w:val="16"/>
                <w:color w:val="auto"/>
              </w:rPr>
            </w:pPr>
          </w:p>
        </w:tc>
        <w:tc>
          <w:tcPr>
            <w:tcW w:w="5700" w:type="dxa"/>
            <w:vAlign w:val="bottom"/>
          </w:tcPr>
          <w:p>
            <w:pPr>
              <w:spacing w:after="0" w:line="195" w:lineRule="exact"/>
              <w:rPr>
                <w:sz w:val="20"/>
                <w:szCs w:val="20"/>
                <w:color w:val="auto"/>
              </w:rPr>
            </w:pPr>
            <w:r>
              <w:rPr>
                <w:rFonts w:ascii="Arial" w:cs="Arial" w:eastAsia="Arial" w:hAnsi="Arial"/>
                <w:sz w:val="18"/>
                <w:szCs w:val="18"/>
                <w:color w:val="auto"/>
              </w:rPr>
              <w:t>Michael D. Grubbs</w:t>
            </w:r>
          </w:p>
        </w:tc>
      </w:tr>
      <w:tr>
        <w:trPr>
          <w:trHeight w:val="230"/>
        </w:trPr>
        <w:tc>
          <w:tcPr>
            <w:tcW w:w="5720" w:type="dxa"/>
            <w:vAlign w:val="bottom"/>
          </w:tcPr>
          <w:p>
            <w:pPr>
              <w:spacing w:after="0"/>
              <w:rPr>
                <w:sz w:val="20"/>
                <w:szCs w:val="20"/>
                <w:color w:val="auto"/>
              </w:rPr>
            </w:pPr>
          </w:p>
        </w:tc>
        <w:tc>
          <w:tcPr>
            <w:tcW w:w="5700" w:type="dxa"/>
            <w:vAlign w:val="bottom"/>
          </w:tcPr>
          <w:p>
            <w:pPr>
              <w:spacing w:after="0"/>
              <w:rPr>
                <w:sz w:val="20"/>
                <w:szCs w:val="20"/>
                <w:color w:val="auto"/>
              </w:rPr>
            </w:pPr>
            <w:r>
              <w:rPr>
                <w:rFonts w:ascii="Arial" w:cs="Arial" w:eastAsia="Arial" w:hAnsi="Arial"/>
                <w:sz w:val="18"/>
                <w:szCs w:val="18"/>
                <w:color w:val="auto"/>
              </w:rPr>
              <w:t>Chief Financial Officer (Principal Financial Officer)</w:t>
            </w:r>
          </w:p>
        </w:tc>
      </w:tr>
    </w:tbl>
    <w:p>
      <w:pPr>
        <w:spacing w:after="0" w:line="1" w:lineRule="exact"/>
        <w:rPr>
          <w:sz w:val="20"/>
          <w:szCs w:val="20"/>
          <w:color w:val="auto"/>
        </w:rPr>
      </w:pPr>
    </w:p>
    <w:sectPr>
      <w:pgSz w:w="11900" w:h="16838" w:orient="portrait"/>
      <w:cols w:equalWidth="0" w:num="1">
        <w:col w:w="11420"/>
      </w:cols>
      <w:pgMar w:left="240" w:top="121" w:right="2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7C83E458"/>
    <w:multiLevelType w:val="hybridMultilevel"/>
    <w:lvl w:ilvl="0">
      <w:lvlJc w:val="left"/>
      <w:lvlText w:val="☒"/>
      <w:numFmt w:val="bullet"/>
      <w:start w:val="1"/>
    </w:lvl>
  </w:abstractNum>
  <w:abstractNum w:abstractNumId="1">
    <w:nsid w:val="257130A3"/>
    <w:multiLevelType w:val="hybridMultilevel"/>
    <w:lvl w:ilvl="0">
      <w:lvlJc w:val="left"/>
      <w:lvlText w:val="o"/>
      <w:numFmt w:val="bullet"/>
      <w:start w:val="1"/>
    </w:lvl>
  </w:abstractNum>
  <w:abstractNum w:abstractNumId="2">
    <w:nsid w:val="62BBD95A"/>
    <w:multiLevelType w:val="hybridMultilevel"/>
    <w:lvl w:ilvl="0">
      <w:lvlJc w:val="left"/>
      <w:lvlText w:val="%1."/>
      <w:numFmt w:val="decimal"/>
      <w:start w:val="1"/>
    </w:lvl>
  </w:abstractNum>
  <w:abstractNum w:abstractNumId="3">
    <w:nsid w:val="436C6125"/>
    <w:multiLevelType w:val="hybridMultilevel"/>
    <w:lvl w:ilvl="0">
      <w:lvlJc w:val="left"/>
      <w:lvlText w:val="%1."/>
      <w:numFmt w:val="decimal"/>
      <w:start w:val="2"/>
    </w:lvl>
  </w:abstractNum>
  <w:abstractNum w:abstractNumId="4">
    <w:nsid w:val="628C895D"/>
    <w:multiLevelType w:val="hybridMultilevel"/>
    <w:lvl w:ilvl="0">
      <w:lvlJc w:val="left"/>
      <w:lvlText w:val="%1."/>
      <w:numFmt w:val="decimal"/>
      <w:start w:val="3"/>
    </w:lvl>
  </w:abstractNum>
  <w:abstractNum w:abstractNumId="5">
    <w:nsid w:val="333AB105"/>
    <w:multiLevelType w:val="hybridMultilevel"/>
    <w:lvl w:ilvl="0">
      <w:lvlJc w:val="left"/>
      <w:lvlText w:val="%1."/>
      <w:numFmt w:val="decimal"/>
      <w:start w:val="4"/>
    </w:lvl>
  </w:abstractNum>
  <w:abstractNum w:abstractNumId="6">
    <w:nsid w:val="721DA317"/>
    <w:multiLevelType w:val="hybridMultilevel"/>
    <w:lvl w:ilvl="0">
      <w:lvlJc w:val="left"/>
      <w:lvlText w:val="%1."/>
      <w:numFmt w:val="decimal"/>
      <w:start w:val="5"/>
    </w:lvl>
  </w:abstractNum>
  <w:abstractNum w:abstractNumId="7">
    <w:nsid w:val="2443A858"/>
    <w:multiLevelType w:val="hybridMultilevel"/>
    <w:lvl w:ilvl="0">
      <w:lvlJc w:val="left"/>
      <w:lvlText w:val="%1."/>
      <w:numFmt w:val="decimal"/>
      <w:start w:val="7"/>
    </w:lvl>
  </w:abstractNum>
  <w:abstractNum w:abstractNumId="8">
    <w:nsid w:val="2D1D5AE9"/>
    <w:multiLevelType w:val="hybridMultilevel"/>
    <w:lvl w:ilvl="0">
      <w:lvlJc w:val="left"/>
      <w:lvlText w:val="%1."/>
      <w:numFmt w:val="decimal"/>
      <w:start w:val="8"/>
    </w:lvl>
  </w:abstractNum>
  <w:abstractNum w:abstractNumId="9">
    <w:nsid w:val="6763845E"/>
    <w:multiLevelType w:val="hybridMultilevel"/>
    <w:lvl w:ilvl="0">
      <w:lvlJc w:val="left"/>
      <w:lvlText w:val="%1."/>
      <w:numFmt w:val="decimal"/>
      <w:start w:val="9"/>
    </w:lvl>
  </w:abstractNum>
  <w:abstractNum w:abstractNumId="10">
    <w:nsid w:val="75A2A8D4"/>
    <w:multiLevelType w:val="hybridMultilevel"/>
    <w:lvl w:ilvl="0">
      <w:lvlJc w:val="left"/>
      <w:lvlText w:val="%1."/>
      <w:numFmt w:val="decimal"/>
      <w:start w:val="10"/>
    </w:lvl>
  </w:abstractNum>
  <w:abstractNum w:abstractNumId="11">
    <w:nsid w:val="8EDBDAB"/>
    <w:multiLevelType w:val="hybridMultilevel"/>
    <w:lvl w:ilvl="0">
      <w:lvlJc w:val="left"/>
      <w:lvlText w:val="%1."/>
      <w:numFmt w:val="decimal"/>
      <w:start w:val="12"/>
    </w:lvl>
  </w:abstractNum>
  <w:abstractNum w:abstractNumId="12">
    <w:nsid w:val="79838CB2"/>
    <w:multiLevelType w:val="hybridMultilevel"/>
    <w:lvl w:ilvl="0">
      <w:lvlJc w:val="left"/>
      <w:lvlText w:val="%1."/>
      <w:numFmt w:val="decimal"/>
      <w:start w:val="14"/>
    </w:lvl>
  </w:abstractNum>
  <w:abstractNum w:abstractNumId="13">
    <w:nsid w:val="4353D0CD"/>
    <w:multiLevelType w:val="hybridMultilevel"/>
    <w:lvl w:ilvl="0">
      <w:lvlJc w:val="left"/>
      <w:lvlText w:val="·"/>
      <w:numFmt w:val="bullet"/>
      <w:start w:val="1"/>
    </w:lvl>
  </w:abstractNum>
  <w:abstractNum w:abstractNumId="14">
    <w:nsid w:val="B03E0C6"/>
    <w:multiLevelType w:val="hybridMultilevel"/>
    <w:lvl w:ilvl="0">
      <w:lvlJc w:val="left"/>
      <w:lvlText w:val="(%1)"/>
      <w:numFmt w:val="decimal"/>
      <w:start w:val="1"/>
    </w:lvl>
  </w:abstractNum>
  <w:abstractNum w:abstractNumId="15">
    <w:nsid w:val="189A769B"/>
    <w:multiLevelType w:val="hybridMultilevel"/>
    <w:lvl w:ilvl="0">
      <w:lvlJc w:val="left"/>
      <w:lvlText w:val="%1."/>
      <w:numFmt w:val="decimal"/>
      <w:start w:val="15"/>
    </w:lvl>
  </w:abstractNum>
  <w:abstractNum w:abstractNumId="16">
    <w:nsid w:val="54E49EB4"/>
    <w:multiLevelType w:val="hybridMultilevel"/>
    <w:lvl w:ilvl="0">
      <w:lvlJc w:val="left"/>
      <w:lvlText w:val="%1."/>
      <w:numFmt w:val="decimal"/>
      <w:start w:val="16"/>
    </w:lvl>
  </w:abstractNum>
  <w:abstractNum w:abstractNumId="17">
    <w:nsid w:val="71F32454"/>
    <w:multiLevelType w:val="hybridMultilevel"/>
    <w:lvl w:ilvl="0">
      <w:lvlJc w:val="left"/>
      <w:lvlText w:val="%1."/>
      <w:numFmt w:val="decimal"/>
      <w:start w:val="17"/>
    </w:lvl>
  </w:abstractNum>
  <w:abstractNum w:abstractNumId="18">
    <w:nsid w:val="2CA88611"/>
    <w:multiLevelType w:val="hybridMultilevel"/>
    <w:lvl w:ilvl="0">
      <w:lvlJc w:val="left"/>
      <w:lvlText w:val="%1."/>
      <w:numFmt w:val="decimal"/>
      <w:start w:val="18"/>
    </w:lvl>
  </w:abstractNum>
  <w:abstractNum w:abstractNumId="19">
    <w:nsid w:val="836C40E"/>
    <w:multiLevelType w:val="hybridMultilevel"/>
    <w:lvl w:ilvl="0">
      <w:lvlJc w:val="left"/>
      <w:lvlText w:val="%1."/>
      <w:numFmt w:val="decimal"/>
      <w:start w:val="19"/>
    </w:lvl>
  </w:abstractNum>
  <w:abstractNum w:abstractNumId="20">
    <w:nsid w:val="2901D82"/>
    <w:multiLevelType w:val="hybridMultilevel"/>
    <w:lvl w:ilvl="0">
      <w:lvlJc w:val="left"/>
      <w:lvlText w:val="·"/>
      <w:numFmt w:val="bullet"/>
      <w:start w:val="1"/>
    </w:lvl>
  </w:abstractNum>
  <w:abstractNum w:abstractNumId="21">
    <w:nsid w:val="3A95F874"/>
    <w:multiLevelType w:val="hybridMultilevel"/>
    <w:lvl w:ilvl="0">
      <w:lvlJc w:val="left"/>
      <w:lvlText w:val="·"/>
      <w:numFmt w:val="bullet"/>
      <w:start w:val="1"/>
    </w:lvl>
  </w:abstractNum>
  <w:abstractNum w:abstractNumId="22">
    <w:nsid w:val="8138641"/>
    <w:multiLevelType w:val="hybridMultilevel"/>
    <w:lvl w:ilvl="0">
      <w:lvlJc w:val="left"/>
      <w:lvlText w:val="·"/>
      <w:numFmt w:val="bullet"/>
      <w:start w:val="1"/>
    </w:lvl>
    <w:lvl w:ilvl="1">
      <w:lvlJc w:val="left"/>
      <w:lvlText w:val="-"/>
      <w:numFmt w:val="bullet"/>
      <w:start w:val="1"/>
    </w:lvl>
  </w:abstractNum>
  <w:abstractNum w:abstractNumId="23">
    <w:nsid w:val="1E7FF521"/>
    <w:multiLevelType w:val="hybridMultilevel"/>
    <w:lvl w:ilvl="0">
      <w:lvlJc w:val="left"/>
      <w:lvlText w:val="·"/>
      <w:numFmt w:val="bullet"/>
      <w:start w:val="1"/>
    </w:lvl>
  </w:abstractNum>
  <w:abstractNum w:abstractNumId="24">
    <w:nsid w:val="7C3DBD3D"/>
    <w:multiLevelType w:val="hybridMultilevel"/>
    <w:lvl w:ilvl="0">
      <w:lvlJc w:val="left"/>
      <w:lvlText w:val="(%1)"/>
      <w:numFmt w:val="decimal"/>
      <w:start w:val="1"/>
    </w:lvl>
  </w:abstractNum>
  <w:abstractNum w:abstractNumId="25">
    <w:nsid w:val="737B8DDC"/>
    <w:multiLevelType w:val="hybridMultilevel"/>
    <w:lvl w:ilvl="0">
      <w:lvlJc w:val="left"/>
      <w:lvlText w:val="(%1)"/>
      <w:numFmt w:val="decimal"/>
      <w:start w:val="1"/>
    </w:lvl>
    <w:lvl w:ilvl="1">
      <w:lvlJc w:val="left"/>
      <w:lvlText w:val="-"/>
      <w:numFmt w:val="bullet"/>
      <w:start w:val="1"/>
    </w:lvl>
  </w:abstractNum>
  <w:abstractNum w:abstractNumId="26">
    <w:nsid w:val="6CEAF087"/>
    <w:multiLevelType w:val="hybridMultilevel"/>
    <w:lvl w:ilvl="0">
      <w:lvlJc w:val="left"/>
      <w:lvlText w:val="·"/>
      <w:numFmt w:val="bullet"/>
      <w:start w:val="1"/>
    </w:lvl>
  </w:abstractNum>
  <w:abstractNum w:abstractNumId="27">
    <w:nsid w:val="22221A70"/>
    <w:multiLevelType w:val="hybridMultilevel"/>
    <w:lvl w:ilvl="0">
      <w:lvlJc w:val="left"/>
      <w:lvlText w:val="(%1)"/>
      <w:numFmt w:val="decimal"/>
      <w:start w:val="1"/>
    </w:lvl>
  </w:abstractNum>
  <w:abstractNum w:abstractNumId="28">
    <w:nsid w:val="4516DDE9"/>
    <w:multiLevelType w:val="hybridMultilevel"/>
    <w:lvl w:ilvl="0">
      <w:lvlJc w:val="left"/>
      <w:lvlText w:val="*"/>
      <w:numFmt w:val="bullet"/>
      <w:start w:val="1"/>
    </w:lvl>
    <w:lvl w:ilvl="1">
      <w:lvlJc w:val="left"/>
      <w:lvlText w:val="%2"/>
      <w:numFmt w:val="decimal"/>
      <w:start w:val="101"/>
    </w:lvl>
    <w:lvl w:ilvl="2">
      <w:lvlJc w:val="left"/>
      <w:lvlText w:val="-"/>
      <w:numFmt w:val="bullet"/>
      <w:start w:val="1"/>
    </w:lvl>
  </w:abstractNum>
  <w:abstractNum w:abstractNumId="29">
    <w:nsid w:val="3006C83E"/>
    <w:multiLevelType w:val="hybridMultilevel"/>
    <w:lvl w:ilvl="0">
      <w:lvlJc w:val="left"/>
      <w:lvlText w:val="%1."/>
      <w:numFmt w:val="decimal"/>
      <w:start w:val="1"/>
    </w:lvl>
  </w:abstractNum>
  <w:abstractNum w:abstractNumId="30">
    <w:nsid w:val="614FD4A1"/>
    <w:multiLevelType w:val="hybridMultilevel"/>
    <w:lvl w:ilvl="0">
      <w:lvlJc w:val="left"/>
      <w:lvlText w:val="(%1)"/>
      <w:numFmt w:val="decimal"/>
      <w:start w:val="1"/>
    </w:lvl>
  </w:abstractNum>
  <w:abstractNum w:abstractNumId="31">
    <w:nsid w:val="419AC241"/>
    <w:multiLevelType w:val="hybridMultilevel"/>
    <w:lvl w:ilvl="0">
      <w:lvlJc w:val="left"/>
      <w:lvlText w:val="%1."/>
      <w:numFmt w:val="decimal"/>
      <w:start w:val="2"/>
    </w:lvl>
  </w:abstractNum>
  <w:abstractNum w:abstractNumId="32">
    <w:nsid w:val="5577F8E1"/>
    <w:multiLevelType w:val="hybridMultilevel"/>
    <w:lvl w:ilvl="0">
      <w:lvlJc w:val="left"/>
      <w:lvlText w:val="(%1)"/>
      <w:numFmt w:val="decimal"/>
      <w:start w:val="1"/>
    </w:lvl>
  </w:abstractNum>
  <w:abstractNum w:abstractNumId="33">
    <w:nsid w:val="440BADFC"/>
    <w:multiLevelType w:val="hybridMultilevel"/>
    <w:lvl w:ilvl="0">
      <w:lvlJc w:val="left"/>
      <w:lvlText w:val="(%1)"/>
      <w:numFmt w:val="decimal"/>
      <w:start w:val="1"/>
    </w:lvl>
    <w:lvl w:ilvl="1">
      <w:lvlJc w:val="left"/>
      <w:lvlText w:val="%2."/>
      <w:numFmt w:val="lowerLetter"/>
      <w:start w:val="1"/>
    </w:lvl>
  </w:abstractNum>
  <w:abstractNum w:abstractNumId="34">
    <w:nsid w:val="5072367"/>
    <w:multiLevelType w:val="hybridMultilevel"/>
    <w:lvl w:ilvl="0">
      <w:lvlJc w:val="left"/>
      <w:lvlText w:val="(%1)"/>
      <w:numFmt w:val="decimal"/>
      <w:start w:val="1"/>
    </w:lvl>
    <w:lvl w:ilvl="1">
      <w:lvlJc w:val="left"/>
      <w:lvlText w:val="%2."/>
      <w:numFmt w:val="lowerLetter"/>
      <w:start w:val="1"/>
    </w:lvl>
  </w:abstractNum>
  <w:abstractNum w:abstractNumId="35">
    <w:nsid w:val="3804823E"/>
    <w:multiLevelType w:val="hybridMultilevel"/>
    <w:lvl w:ilvl="0">
      <w:lvlJc w:val="left"/>
      <w:lvlText w:val="§"/>
      <w:numFmt w:val="bullet"/>
      <w:start w:val="1"/>
    </w:lvl>
    <w:lvl w:ilvl="1">
      <w:lvlJc w:val="left"/>
      <w:lvlText w:val="%2."/>
      <w:numFmt w:val="decimal"/>
      <w:start w:val="1"/>
    </w:lvl>
  </w:abstractNum>
  <w:abstractNum w:abstractNumId="36">
    <w:nsid w:val="77465F01"/>
    <w:multiLevelType w:val="hybridMultilevel"/>
    <w:lvl w:ilvl="0">
      <w:lvlJc w:val="left"/>
      <w:lvlText w:val="§"/>
      <w:numFmt w:val="bullet"/>
      <w:start w:val="1"/>
    </w:lvl>
    <w:lvl w:ilvl="1">
      <w:lvlJc w:val="left"/>
      <w:lvlText w:val="%2."/>
      <w:numFmt w:val="decimal"/>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2020-01-23T14:31:32Z</dcterms:created>
  <dcterms:modified xsi:type="dcterms:W3CDTF">2020-01-23T14:31:32Z</dcterms:modified>
</cp:coreProperties>
</file>