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320675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354965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150495</wp:posOffset>
            </wp:positionV>
            <wp:extent cx="14490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186690</wp:posOffset>
            </wp:positionV>
            <wp:extent cx="14490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4"/>
          <w:szCs w:val="24"/>
          <w:color w:val="auto"/>
        </w:rPr>
      </w:pPr>
    </w:p>
    <w:p>
      <w:pPr>
        <w:ind w:left="4160"/>
        <w:spacing w:after="0"/>
        <w:rPr>
          <w:sz w:val="20"/>
          <w:szCs w:val="20"/>
          <w:color w:val="auto"/>
        </w:rPr>
      </w:pPr>
      <w:r>
        <w:rPr>
          <w:rFonts w:ascii="Arial" w:cs="Arial" w:eastAsia="Arial" w:hAnsi="Arial"/>
          <w:sz w:val="22"/>
          <w:szCs w:val="22"/>
          <w:b w:val="1"/>
          <w:bCs w:val="1"/>
          <w:color w:val="auto"/>
        </w:rPr>
        <w:t>Pursuant to Section 13 or 15(d) of</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April 27,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173990</wp:posOffset>
            </wp:positionV>
            <wp:extent cx="144907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49070" cy="8890"/>
                    </a:xfrm>
                    <a:prstGeom prst="rect">
                      <a:avLst/>
                    </a:prstGeom>
                    <a:noFill/>
                  </pic:spPr>
                </pic:pic>
              </a:graphicData>
            </a:graphic>
          </wp:anchor>
        </w:drawing>
        <w:drawing>
          <wp:anchor simplePos="0" relativeHeight="251657728" behindDoc="1" locked="0" layoutInCell="0" allowOverlap="1">
            <wp:simplePos x="0" y="0"/>
            <wp:positionH relativeFrom="column">
              <wp:posOffset>2663825</wp:posOffset>
            </wp:positionH>
            <wp:positionV relativeFrom="paragraph">
              <wp:posOffset>328295</wp:posOffset>
            </wp:positionV>
            <wp:extent cx="1938020" cy="3600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938020" cy="3600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TRI Pointe Group, Inc.</w:t>
      </w:r>
    </w:p>
    <w:p>
      <w:pPr>
        <w:spacing w:after="0" w:line="22"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163830</wp:posOffset>
            </wp:positionV>
            <wp:extent cx="14490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ectPr>
          <w:pgSz w:w="11900" w:h="16838" w:orient="portrait"/>
          <w:cols w:equalWidth="0" w:num="1">
            <w:col w:w="11300"/>
          </w:cols>
          <w:pgMar w:left="240" w:top="639" w:right="359" w:bottom="1440" w:gutter="0" w:footer="0" w:header="0"/>
        </w:sectPr>
      </w:pPr>
    </w:p>
    <w:p>
      <w:pPr>
        <w:spacing w:after="0" w:line="200" w:lineRule="exact"/>
        <w:rPr>
          <w:sz w:val="24"/>
          <w:szCs w:val="24"/>
          <w:color w:val="auto"/>
        </w:rPr>
      </w:pPr>
    </w:p>
    <w:p>
      <w:pPr>
        <w:spacing w:after="0" w:line="282" w:lineRule="exact"/>
        <w:rPr>
          <w:sz w:val="24"/>
          <w:szCs w:val="24"/>
          <w:color w:val="auto"/>
        </w:rPr>
      </w:pPr>
    </w:p>
    <w:p>
      <w:pPr>
        <w:ind w:left="14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2" w:lineRule="exact"/>
        <w:rPr>
          <w:sz w:val="24"/>
          <w:szCs w:val="24"/>
          <w:color w:val="auto"/>
        </w:rPr>
      </w:pPr>
    </w:p>
    <w:p>
      <w:pPr>
        <w:jc w:val="center"/>
        <w:ind w:right="2420"/>
        <w:spacing w:after="0"/>
        <w:rPr>
          <w:sz w:val="20"/>
          <w:szCs w:val="20"/>
          <w:color w:val="auto"/>
        </w:rPr>
      </w:pPr>
      <w:r>
        <w:rPr>
          <w:rFonts w:ascii="Arial" w:cs="Arial" w:eastAsia="Arial" w:hAnsi="Arial"/>
          <w:sz w:val="16"/>
          <w:szCs w:val="16"/>
          <w:b w:val="1"/>
          <w:bCs w:val="1"/>
          <w:color w:val="auto"/>
        </w:rPr>
        <w:t>1-35796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61-1763235</w:t>
      </w:r>
    </w:p>
    <w:p>
      <w:pPr>
        <w:spacing w:after="0" w:line="50" w:lineRule="exact"/>
        <w:rPr>
          <w:sz w:val="24"/>
          <w:szCs w:val="24"/>
          <w:color w:val="auto"/>
        </w:rPr>
      </w:pPr>
    </w:p>
    <w:p>
      <w:pPr>
        <w:sectPr>
          <w:pgSz w:w="11900" w:h="16838" w:orient="portrait"/>
          <w:cols w:equalWidth="0" w:num="3">
            <w:col w:w="4700" w:space="720"/>
            <w:col w:w="3020" w:space="720"/>
            <w:col w:w="2140"/>
          </w:cols>
          <w:pgMar w:left="240" w:top="639" w:right="359" w:bottom="1440" w:gutter="0" w:footer="0" w:header="0"/>
          <w:type w:val="continuous"/>
        </w:sectPr>
      </w:pPr>
    </w:p>
    <w:p>
      <w:pPr>
        <w:jc w:val="center"/>
        <w:ind w:right="860"/>
        <w:spacing w:after="0"/>
        <w:rPr>
          <w:sz w:val="20"/>
          <w:szCs w:val="20"/>
          <w:color w:val="auto"/>
        </w:rPr>
      </w:pPr>
      <w:r>
        <w:rPr>
          <w:rFonts w:ascii="Arial" w:cs="Arial" w:eastAsia="Arial" w:hAnsi="Arial"/>
          <w:sz w:val="14"/>
          <w:szCs w:val="14"/>
          <w:b w:val="1"/>
          <w:bCs w:val="1"/>
          <w:color w:val="auto"/>
        </w:rPr>
        <w:t>(State or other jurisdiction</w:t>
      </w:r>
    </w:p>
    <w:p>
      <w:pPr>
        <w:spacing w:after="0" w:line="36" w:lineRule="exact"/>
        <w:rPr>
          <w:sz w:val="24"/>
          <w:szCs w:val="24"/>
          <w:color w:val="auto"/>
        </w:rPr>
      </w:pPr>
    </w:p>
    <w:p>
      <w:pPr>
        <w:jc w:val="center"/>
        <w:ind w:right="860"/>
        <w:spacing w:after="0"/>
        <w:rPr>
          <w:sz w:val="20"/>
          <w:szCs w:val="20"/>
          <w:color w:val="auto"/>
        </w:rPr>
      </w:pPr>
      <w:r>
        <w:rPr>
          <w:rFonts w:ascii="Arial" w:cs="Arial" w:eastAsia="Arial" w:hAnsi="Arial"/>
          <w:sz w:val="16"/>
          <w:szCs w:val="16"/>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4"/>
          <w:szCs w:val="14"/>
          <w:b w:val="1"/>
          <w:bCs w:val="1"/>
          <w:color w:val="auto"/>
        </w:rPr>
        <w:t>(Commission</w:t>
      </w:r>
    </w:p>
    <w:p>
      <w:pPr>
        <w:spacing w:after="0" w:line="3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File Number)</w:t>
      </w:r>
    </w:p>
    <w:p>
      <w:pPr>
        <w:spacing w:after="0" w:line="20" w:lineRule="exact"/>
        <w:rPr>
          <w:sz w:val="24"/>
          <w:szCs w:val="24"/>
          <w:color w:val="auto"/>
        </w:rPr>
      </w:pPr>
      <w:r>
        <w:rPr>
          <w:sz w:val="24"/>
          <w:szCs w:val="24"/>
          <w:color w:val="auto"/>
        </w:rPr>
        <w:br w:type="column"/>
      </w:r>
    </w:p>
    <w:p>
      <w:pPr>
        <w:jc w:val="center"/>
        <w:ind w:right="1060"/>
        <w:spacing w:after="0"/>
        <w:rPr>
          <w:sz w:val="20"/>
          <w:szCs w:val="20"/>
          <w:color w:val="auto"/>
        </w:rPr>
      </w:pPr>
      <w:r>
        <w:rPr>
          <w:rFonts w:ascii="Arial" w:cs="Arial" w:eastAsia="Arial" w:hAnsi="Arial"/>
          <w:sz w:val="16"/>
          <w:szCs w:val="16"/>
          <w:b w:val="1"/>
          <w:bCs w:val="1"/>
          <w:color w:val="auto"/>
        </w:rPr>
        <w:t>(IRS Employer</w:t>
      </w:r>
    </w:p>
    <w:p>
      <w:pPr>
        <w:spacing w:after="0" w:line="13" w:lineRule="exact"/>
        <w:rPr>
          <w:sz w:val="24"/>
          <w:szCs w:val="24"/>
          <w:color w:val="auto"/>
        </w:rPr>
      </w:pPr>
    </w:p>
    <w:p>
      <w:pPr>
        <w:jc w:val="center"/>
        <w:ind w:right="1060"/>
        <w:spacing w:after="0"/>
        <w:rPr>
          <w:sz w:val="20"/>
          <w:szCs w:val="20"/>
          <w:color w:val="auto"/>
        </w:rPr>
      </w:pPr>
      <w:r>
        <w:rPr>
          <w:rFonts w:ascii="Arial" w:cs="Arial" w:eastAsia="Arial" w:hAnsi="Arial"/>
          <w:sz w:val="15"/>
          <w:szCs w:val="15"/>
          <w:b w:val="1"/>
          <w:bCs w:val="1"/>
          <w:color w:val="auto"/>
        </w:rPr>
        <w:t>Identification No.)</w:t>
      </w:r>
    </w:p>
    <w:p>
      <w:pPr>
        <w:spacing w:after="0" w:line="211" w:lineRule="exact"/>
        <w:rPr>
          <w:sz w:val="24"/>
          <w:szCs w:val="24"/>
          <w:color w:val="auto"/>
        </w:rPr>
      </w:pPr>
    </w:p>
    <w:p>
      <w:pPr>
        <w:sectPr>
          <w:pgSz w:w="11900" w:h="16838" w:orient="portrait"/>
          <w:cols w:equalWidth="0" w:num="3">
            <w:col w:w="4540" w:space="720"/>
            <w:col w:w="2980" w:space="720"/>
            <w:col w:w="2340"/>
          </w:cols>
          <w:pgMar w:left="240" w:top="639" w:right="359" w:bottom="1440" w:gutter="0" w:footer="0" w:header="0"/>
          <w:type w:val="continuous"/>
        </w:sectPr>
      </w:pPr>
    </w:p>
    <w:p>
      <w:pPr>
        <w:spacing w:after="0" w:line="36" w:lineRule="exact"/>
        <w:rPr>
          <w:sz w:val="24"/>
          <w:szCs w:val="24"/>
          <w:color w:val="auto"/>
        </w:rPr>
      </w:pPr>
    </w:p>
    <w:p>
      <w:pPr>
        <w:ind w:left="780"/>
        <w:spacing w:after="0"/>
        <w:rPr>
          <w:sz w:val="20"/>
          <w:szCs w:val="20"/>
          <w:color w:val="auto"/>
        </w:rPr>
      </w:pPr>
      <w:r>
        <w:rPr>
          <w:rFonts w:ascii="Arial" w:cs="Arial" w:eastAsia="Arial" w:hAnsi="Arial"/>
          <w:sz w:val="16"/>
          <w:szCs w:val="16"/>
          <w:b w:val="1"/>
          <w:bCs w:val="1"/>
          <w:color w:val="auto"/>
        </w:rPr>
        <w:t>19540 Jamboree Road, Suite 300, Irvine, California</w:t>
      </w:r>
    </w:p>
    <w:p>
      <w:pPr>
        <w:spacing w:after="0" w:line="20" w:lineRule="exact"/>
        <w:rPr>
          <w:sz w:val="24"/>
          <w:szCs w:val="24"/>
          <w:color w:val="auto"/>
        </w:rPr>
      </w:pPr>
      <w:r>
        <w:rPr>
          <w:sz w:val="24"/>
          <w:szCs w:val="24"/>
          <w:color w:val="auto"/>
        </w:rPr>
        <w:br w:type="column"/>
      </w:r>
    </w:p>
    <w:p>
      <w:pPr>
        <w:spacing w:after="0" w:line="16"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92612</w:t>
      </w:r>
    </w:p>
    <w:p>
      <w:pPr>
        <w:spacing w:after="0" w:line="61" w:lineRule="exact"/>
        <w:rPr>
          <w:sz w:val="24"/>
          <w:szCs w:val="24"/>
          <w:color w:val="auto"/>
        </w:rPr>
      </w:pPr>
    </w:p>
    <w:p>
      <w:pPr>
        <w:sectPr>
          <w:pgSz w:w="11900" w:h="16838" w:orient="portrait"/>
          <w:cols w:equalWidth="0" w:num="2">
            <w:col w:w="8200" w:space="720"/>
            <w:col w:w="2380"/>
          </w:cols>
          <w:pgMar w:left="240" w:top="639" w:right="359" w:bottom="1440" w:gutter="0" w:footer="0" w:header="0"/>
          <w:type w:val="continuous"/>
        </w:sectPr>
      </w:pPr>
    </w:p>
    <w:p>
      <w:pPr>
        <w:ind w:left="1400"/>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(Zip Code)</w:t>
      </w:r>
    </w:p>
    <w:p>
      <w:pPr>
        <w:spacing w:after="0" w:line="200" w:lineRule="exact"/>
        <w:rPr>
          <w:sz w:val="24"/>
          <w:szCs w:val="24"/>
          <w:color w:val="auto"/>
        </w:rPr>
      </w:pPr>
    </w:p>
    <w:p>
      <w:pPr>
        <w:sectPr>
          <w:pgSz w:w="11900" w:h="16838" w:orient="portrait"/>
          <w:cols w:equalWidth="0" w:num="2">
            <w:col w:w="8040" w:space="720"/>
            <w:col w:w="2540"/>
          </w:cols>
          <w:pgMar w:left="240" w:top="639" w:right="359" w:bottom="1440" w:gutter="0" w:footer="0" w:header="0"/>
          <w:type w:val="continuous"/>
        </w:sectPr>
      </w:pP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438-1400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2903855</wp:posOffset>
            </wp:positionH>
            <wp:positionV relativeFrom="paragraph">
              <wp:posOffset>174625</wp:posOffset>
            </wp:positionV>
            <wp:extent cx="14490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49070" cy="8890"/>
                    </a:xfrm>
                    <a:prstGeom prst="rect">
                      <a:avLst/>
                    </a:prstGeom>
                    <a:noFill/>
                  </pic:spPr>
                </pic:pic>
              </a:graphicData>
            </a:graphic>
          </wp:anchor>
        </w:drawing>
      </w:r>
    </w:p>
    <w:p>
      <w:pPr>
        <w:spacing w:after="0" w:line="200" w:lineRule="exact"/>
        <w:rPr>
          <w:sz w:val="24"/>
          <w:szCs w:val="24"/>
          <w:color w:val="auto"/>
        </w:rPr>
      </w:pPr>
    </w:p>
    <w:p>
      <w:pPr>
        <w:spacing w:after="0" w:line="270"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62" w:lineRule="exact"/>
        <w:rPr>
          <w:sz w:val="24"/>
          <w:szCs w:val="24"/>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520" w:hanging="512"/>
        <w:spacing w:after="0"/>
        <w:tabs>
          <w:tab w:leader="none" w:pos="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135255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945515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00"/>
          </w:cols>
          <w:pgMar w:left="240" w:top="639" w:right="359" w:bottom="1440" w:gutter="0" w:footer="0" w:header="0"/>
          <w:type w:val="continuous"/>
        </w:sectPr>
      </w:pPr>
    </w:p>
    <w:bookmarkStart w:id="1" w:name="page2"/>
    <w:bookmarkEnd w:id="1"/>
    <w:p>
      <w:pPr>
        <w:spacing w:after="0"/>
        <w:tabs>
          <w:tab w:leader="none" w:pos="150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On April 27, 2016, TRI Pointe Group, Inc., a Delaware corporation (the “Company”), announced in a press release its financial results for the quarter ended March 31, 2016. A copy of the Company’s press release announcing these financial results is attached as Exhibit 99.1 to this Current Report on Form 8-K.</w:t>
      </w:r>
    </w:p>
    <w:p>
      <w:pPr>
        <w:spacing w:after="0" w:line="16"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information furnished pursuant to this Item 2.02, including the exhibits attached hereto, shall not be deemed to be filed for purposes of Section 18 of the Securities Exchange Act of 1934, as amended (“Exchange Act”), or otherwise subject to the liabilities of that section, nor shall it be incorporated by reference into any filings under the Securities Act of 1933, as amended, or the Exchange Act, except as expressly set forth in such filing. In addition, the press release furnished as an exhibit to this report includes “forward-looking statements” within the meaning of the Private Securities Litigation Reform Act of 1995.</w:t>
      </w:r>
    </w:p>
    <w:p>
      <w:pPr>
        <w:spacing w:after="0" w:line="150" w:lineRule="exact"/>
        <w:rPr>
          <w:sz w:val="20"/>
          <w:szCs w:val="20"/>
          <w:color w:val="auto"/>
        </w:rPr>
      </w:pPr>
    </w:p>
    <w:p>
      <w:pPr>
        <w:spacing w:after="0"/>
        <w:tabs>
          <w:tab w:leader="none" w:pos="150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5"/>
          <w:szCs w:val="15"/>
          <w:b w:val="1"/>
          <w:bCs w:val="1"/>
          <w:color w:val="auto"/>
        </w:rPr>
        <w:t>Results of Operations</w:t>
      </w:r>
    </w:p>
    <w:p>
      <w:pPr>
        <w:spacing w:after="0" w:line="121" w:lineRule="exact"/>
        <w:rPr>
          <w:sz w:val="20"/>
          <w:szCs w:val="20"/>
          <w:color w:val="auto"/>
        </w:rPr>
      </w:pPr>
    </w:p>
    <w:p>
      <w:pPr>
        <w:ind w:left="1040" w:hanging="519"/>
        <w:spacing w:after="0"/>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117" w:lineRule="exact"/>
        <w:rPr>
          <w:rFonts w:ascii="Arial" w:cs="Arial" w:eastAsia="Arial" w:hAnsi="Arial"/>
          <w:sz w:val="18"/>
          <w:szCs w:val="18"/>
          <w:color w:val="auto"/>
        </w:rPr>
      </w:pPr>
    </w:p>
    <w:p>
      <w:pPr>
        <w:ind w:left="1040"/>
        <w:spacing w:after="0"/>
        <w:rPr>
          <w:rFonts w:ascii="Arial" w:cs="Arial" w:eastAsia="Arial" w:hAnsi="Arial"/>
          <w:sz w:val="18"/>
          <w:szCs w:val="18"/>
          <w:color w:val="auto"/>
        </w:rPr>
      </w:pPr>
      <w:r>
        <w:rPr>
          <w:rFonts w:ascii="Arial" w:cs="Arial" w:eastAsia="Arial" w:hAnsi="Arial"/>
          <w:sz w:val="18"/>
          <w:szCs w:val="18"/>
          <w:color w:val="auto"/>
        </w:rPr>
        <w:t>99.1  Press Release dated April 27,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80"/>
          </w:cols>
          <w:pgMar w:left="240" w:top="364" w:right="27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20" w:type="dxa"/>
            <w:vAlign w:val="bottom"/>
          </w:tcPr>
          <w:p>
            <w:pPr>
              <w:spacing w:after="0"/>
              <w:rPr>
                <w:sz w:val="20"/>
                <w:szCs w:val="20"/>
                <w:color w:val="auto"/>
              </w:rPr>
            </w:pPr>
          </w:p>
        </w:tc>
        <w:tc>
          <w:tcPr>
            <w:tcW w:w="7800" w:type="dxa"/>
            <w:vAlign w:val="bottom"/>
            <w:gridSpan w:val="2"/>
          </w:tcPr>
          <w:p>
            <w:pPr>
              <w:ind w:left="2120"/>
              <w:spacing w:after="0"/>
              <w:rPr>
                <w:sz w:val="20"/>
                <w:szCs w:val="20"/>
                <w:color w:val="auto"/>
              </w:rPr>
            </w:pPr>
            <w:r>
              <w:rPr>
                <w:rFonts w:ascii="Arial" w:cs="Arial" w:eastAsia="Arial" w:hAnsi="Arial"/>
                <w:sz w:val="18"/>
                <w:szCs w:val="18"/>
                <w:color w:val="auto"/>
              </w:rPr>
              <w:t>TRI Pointe Group, Inc.</w:t>
            </w:r>
          </w:p>
        </w:tc>
      </w:tr>
      <w:tr>
        <w:trPr>
          <w:trHeight w:val="432"/>
        </w:trPr>
        <w:tc>
          <w:tcPr>
            <w:tcW w:w="3620" w:type="dxa"/>
            <w:vAlign w:val="bottom"/>
          </w:tcPr>
          <w:p>
            <w:pPr>
              <w:spacing w:after="0"/>
              <w:rPr>
                <w:sz w:val="20"/>
                <w:szCs w:val="20"/>
                <w:color w:val="auto"/>
              </w:rPr>
            </w:pPr>
            <w:r>
              <w:rPr>
                <w:rFonts w:ascii="Arial" w:cs="Arial" w:eastAsia="Arial" w:hAnsi="Arial"/>
                <w:sz w:val="18"/>
                <w:szCs w:val="18"/>
                <w:color w:val="auto"/>
              </w:rPr>
              <w:t>Date: April 27, 2016</w:t>
            </w:r>
          </w:p>
        </w:tc>
        <w:tc>
          <w:tcPr>
            <w:tcW w:w="7800" w:type="dxa"/>
            <w:vAlign w:val="bottom"/>
            <w:gridSpan w:val="2"/>
          </w:tcPr>
          <w:p>
            <w:pPr>
              <w:ind w:left="2120"/>
              <w:spacing w:after="0"/>
              <w:rPr>
                <w:sz w:val="20"/>
                <w:szCs w:val="20"/>
                <w:color w:val="auto"/>
              </w:rPr>
            </w:pPr>
            <w:r>
              <w:rPr>
                <w:rFonts w:ascii="Arial" w:cs="Arial" w:eastAsia="Arial" w:hAnsi="Arial"/>
                <w:sz w:val="18"/>
                <w:szCs w:val="18"/>
                <w:color w:val="auto"/>
              </w:rPr>
              <w:t>By:  /s/ Michael D. Grubbs</w:t>
            </w:r>
          </w:p>
        </w:tc>
      </w:tr>
      <w:tr>
        <w:trPr>
          <w:trHeight w:val="195"/>
        </w:trPr>
        <w:tc>
          <w:tcPr>
            <w:tcW w:w="3620" w:type="dxa"/>
            <w:vAlign w:val="bottom"/>
          </w:tcPr>
          <w:p>
            <w:pPr>
              <w:spacing w:after="0"/>
              <w:rPr>
                <w:sz w:val="16"/>
                <w:szCs w:val="16"/>
                <w:color w:val="auto"/>
              </w:rPr>
            </w:pPr>
          </w:p>
        </w:tc>
        <w:tc>
          <w:tcPr>
            <w:tcW w:w="2500" w:type="dxa"/>
            <w:vAlign w:val="bottom"/>
          </w:tcPr>
          <w:p>
            <w:pPr>
              <w:spacing w:after="0"/>
              <w:rPr>
                <w:sz w:val="16"/>
                <w:szCs w:val="16"/>
                <w:color w:val="auto"/>
              </w:rPr>
            </w:pPr>
          </w:p>
        </w:tc>
        <w:tc>
          <w:tcPr>
            <w:tcW w:w="53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Michael D. Grubbs,</w:t>
            </w:r>
          </w:p>
        </w:tc>
      </w:tr>
      <w:tr>
        <w:trPr>
          <w:trHeight w:val="230"/>
        </w:trPr>
        <w:tc>
          <w:tcPr>
            <w:tcW w:w="3620" w:type="dxa"/>
            <w:vAlign w:val="bottom"/>
          </w:tcPr>
          <w:p>
            <w:pPr>
              <w:spacing w:after="0"/>
              <w:rPr>
                <w:sz w:val="20"/>
                <w:szCs w:val="20"/>
                <w:color w:val="auto"/>
              </w:rPr>
            </w:pPr>
          </w:p>
        </w:tc>
        <w:tc>
          <w:tcPr>
            <w:tcW w:w="2500" w:type="dxa"/>
            <w:vAlign w:val="bottom"/>
          </w:tcPr>
          <w:p>
            <w:pPr>
              <w:spacing w:after="0"/>
              <w:rPr>
                <w:sz w:val="20"/>
                <w:szCs w:val="20"/>
                <w:color w:val="auto"/>
              </w:rPr>
            </w:pPr>
          </w:p>
        </w:tc>
        <w:tc>
          <w:tcPr>
            <w:tcW w:w="5300" w:type="dxa"/>
            <w:vAlign w:val="bottom"/>
          </w:tcPr>
          <w:p>
            <w:pPr>
              <w:spacing w:after="0"/>
              <w:rPr>
                <w:sz w:val="20"/>
                <w:szCs w:val="20"/>
                <w:color w:val="auto"/>
              </w:rPr>
            </w:pPr>
            <w:r>
              <w:rPr>
                <w:rFonts w:ascii="Arial" w:cs="Arial" w:eastAsia="Arial" w:hAnsi="Arial"/>
                <w:sz w:val="18"/>
                <w:szCs w:val="18"/>
                <w:color w:val="auto"/>
              </w:rPr>
              <w:t>Chief Financial Officer and Treasurer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u w:val="single" w:color="auto"/>
          <w:color w:val="auto"/>
        </w:rPr>
        <w:t>INDEX OF EXHIBITS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94"/>
              </w:rPr>
              <w:t>Exhibit</w:t>
            </w:r>
          </w:p>
        </w:tc>
        <w:tc>
          <w:tcPr>
            <w:tcW w:w="120" w:type="dxa"/>
            <w:vAlign w:val="bottom"/>
          </w:tcPr>
          <w:p>
            <w:pPr>
              <w:spacing w:after="0"/>
              <w:rPr>
                <w:sz w:val="14"/>
                <w:szCs w:val="14"/>
                <w:color w:val="auto"/>
              </w:rPr>
            </w:pPr>
          </w:p>
        </w:tc>
        <w:tc>
          <w:tcPr>
            <w:tcW w:w="10720" w:type="dxa"/>
            <w:vAlign w:val="bottom"/>
          </w:tcPr>
          <w:p>
            <w:pPr>
              <w:spacing w:after="0"/>
              <w:rPr>
                <w:sz w:val="14"/>
                <w:szCs w:val="14"/>
                <w:color w:val="auto"/>
              </w:rPr>
            </w:pPr>
          </w:p>
        </w:tc>
      </w:tr>
      <w:tr>
        <w:trPr>
          <w:trHeight w:val="198"/>
        </w:trPr>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8"/>
              </w:rPr>
              <w:t>No.</w:t>
            </w:r>
          </w:p>
        </w:tc>
        <w:tc>
          <w:tcPr>
            <w:tcW w:w="120" w:type="dxa"/>
            <w:vAlign w:val="bottom"/>
          </w:tcPr>
          <w:p>
            <w:pPr>
              <w:spacing w:after="0"/>
              <w:rPr>
                <w:sz w:val="17"/>
                <w:szCs w:val="17"/>
                <w:color w:val="auto"/>
              </w:rPr>
            </w:pPr>
          </w:p>
        </w:tc>
        <w:tc>
          <w:tcPr>
            <w:tcW w:w="107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Description of Document</w:t>
            </w:r>
          </w:p>
        </w:tc>
      </w:tr>
      <w:tr>
        <w:trPr>
          <w:trHeight w:val="331"/>
        </w:trPr>
        <w:tc>
          <w:tcPr>
            <w:tcW w:w="580" w:type="dxa"/>
            <w:vAlign w:val="bottom"/>
          </w:tcPr>
          <w:p>
            <w:pPr>
              <w:jc w:val="center"/>
              <w:spacing w:after="0"/>
              <w:rPr>
                <w:sz w:val="20"/>
                <w:szCs w:val="20"/>
                <w:color w:val="auto"/>
              </w:rPr>
            </w:pPr>
            <w:r>
              <w:rPr>
                <w:rFonts w:ascii="Arial" w:cs="Arial" w:eastAsia="Arial" w:hAnsi="Arial"/>
                <w:sz w:val="18"/>
                <w:szCs w:val="18"/>
                <w:color w:val="auto"/>
                <w:w w:val="91"/>
              </w:rPr>
              <w:t>99.1</w:t>
            </w:r>
          </w:p>
        </w:tc>
        <w:tc>
          <w:tcPr>
            <w:tcW w:w="10840" w:type="dxa"/>
            <w:vAlign w:val="bottom"/>
            <w:gridSpan w:val="2"/>
          </w:tcPr>
          <w:p>
            <w:pPr>
              <w:ind w:left="120"/>
              <w:spacing w:after="0"/>
              <w:rPr>
                <w:sz w:val="20"/>
                <w:szCs w:val="20"/>
                <w:color w:val="auto"/>
              </w:rPr>
            </w:pPr>
            <w:r>
              <w:rPr>
                <w:rFonts w:ascii="Arial" w:cs="Arial" w:eastAsia="Arial" w:hAnsi="Arial"/>
                <w:sz w:val="18"/>
                <w:szCs w:val="18"/>
                <w:color w:val="auto"/>
              </w:rPr>
              <w:t>Press Release dated April 27, 2016</w:t>
            </w: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64" w:right="23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2654935</wp:posOffset>
            </wp:positionH>
            <wp:positionV relativeFrom="paragraph">
              <wp:posOffset>154940</wp:posOffset>
            </wp:positionV>
            <wp:extent cx="1946910" cy="3771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946910" cy="3771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GROUP, INC. REPORTS 2016 FIRST QUARTER RESULTS</w:t>
      </w:r>
    </w:p>
    <w:p>
      <w:pPr>
        <w:spacing w:after="0" w:line="225" w:lineRule="exact"/>
        <w:rPr>
          <w:sz w:val="20"/>
          <w:szCs w:val="20"/>
          <w:color w:val="auto"/>
        </w:rPr>
      </w:pPr>
    </w:p>
    <w:p>
      <w:pPr>
        <w:jc w:val="center"/>
        <w:spacing w:after="0" w:line="266" w:lineRule="auto"/>
        <w:rPr>
          <w:sz w:val="20"/>
          <w:szCs w:val="20"/>
          <w:color w:val="auto"/>
        </w:rPr>
      </w:pPr>
      <w:r>
        <w:rPr>
          <w:rFonts w:ascii="Arial" w:cs="Arial" w:eastAsia="Arial" w:hAnsi="Arial"/>
          <w:sz w:val="18"/>
          <w:szCs w:val="18"/>
          <w:b w:val="1"/>
          <w:bCs w:val="1"/>
          <w:color w:val="auto"/>
        </w:rPr>
        <w:t>-Reports Net Income Available to Common Stockholders of $28.6 Million, or $0.18 per Diluted Share for the Quarter--Home Sales Revenue up 13% driven by a 15% increase in New Home Deliveries for the Quarter--Homebuilding Gross Margin increase to 23.3% for the Quarter-</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Irvine, California, April 27, 2016 /Business Wire/ – TRI Pointe Group, Inc. (NYSE: TPH) today announced results for the first quarter ended March 31, 2016.</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and Operational Data for First Quarter 2016 and Comparisons to First Quarter 2015</w:t>
      </w:r>
    </w:p>
    <w:p>
      <w:pPr>
        <w:spacing w:after="0" w:line="121" w:lineRule="exact"/>
        <w:rPr>
          <w:sz w:val="20"/>
          <w:szCs w:val="20"/>
          <w:color w:val="auto"/>
        </w:rPr>
      </w:pPr>
    </w:p>
    <w:p>
      <w:pPr>
        <w:ind w:left="760" w:hanging="374"/>
        <w:spacing w:after="0"/>
        <w:tabs>
          <w:tab w:leader="none" w:pos="760" w:val="left"/>
        </w:tabs>
        <w:numPr>
          <w:ilvl w:val="0"/>
          <w:numId w:val="3"/>
        </w:numPr>
        <w:rPr>
          <w:rFonts w:ascii="Arial" w:cs="Arial" w:eastAsia="Arial" w:hAnsi="Arial"/>
          <w:sz w:val="16"/>
          <w:szCs w:val="16"/>
          <w:color w:val="auto"/>
        </w:rPr>
      </w:pPr>
      <w:r>
        <w:rPr>
          <w:rFonts w:ascii="Arial" w:cs="Arial" w:eastAsia="Arial" w:hAnsi="Arial"/>
          <w:sz w:val="16"/>
          <w:szCs w:val="16"/>
          <w:color w:val="auto"/>
        </w:rPr>
        <w:t>Net income available to common stockholders was $28.6 million, or $0.18 per diluted share compared to $15.3 million, or $0.09 per diluted share</w:t>
      </w:r>
    </w:p>
    <w:p>
      <w:pPr>
        <w:spacing w:after="0" w:line="140" w:lineRule="exact"/>
        <w:rPr>
          <w:rFonts w:ascii="Arial" w:cs="Arial" w:eastAsia="Arial" w:hAnsi="Arial"/>
          <w:sz w:val="16"/>
          <w:szCs w:val="16"/>
          <w:color w:val="auto"/>
        </w:rPr>
      </w:pPr>
    </w:p>
    <w:p>
      <w:pPr>
        <w:ind w:left="760" w:hanging="374"/>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New home orders of 1,149 compared to 1,194, a decrease of 4%</w:t>
      </w:r>
    </w:p>
    <w:p>
      <w:pPr>
        <w:spacing w:after="0" w:line="117" w:lineRule="exact"/>
        <w:rPr>
          <w:rFonts w:ascii="Arial" w:cs="Arial" w:eastAsia="Arial" w:hAnsi="Arial"/>
          <w:sz w:val="18"/>
          <w:szCs w:val="18"/>
          <w:color w:val="auto"/>
        </w:rPr>
      </w:pPr>
    </w:p>
    <w:p>
      <w:pPr>
        <w:ind w:left="760" w:hanging="374"/>
        <w:spacing w:after="0"/>
        <w:tabs>
          <w:tab w:leader="none" w:pos="760" w:val="left"/>
        </w:tabs>
        <w:numPr>
          <w:ilvl w:val="0"/>
          <w:numId w:val="3"/>
        </w:numPr>
        <w:rPr>
          <w:rFonts w:ascii="Arial" w:cs="Arial" w:eastAsia="Arial" w:hAnsi="Arial"/>
          <w:sz w:val="18"/>
          <w:szCs w:val="18"/>
          <w:color w:val="auto"/>
        </w:rPr>
      </w:pPr>
      <w:r>
        <w:rPr>
          <w:rFonts w:ascii="Arial" w:cs="Arial" w:eastAsia="Arial" w:hAnsi="Arial"/>
          <w:sz w:val="18"/>
          <w:szCs w:val="18"/>
          <w:color w:val="auto"/>
        </w:rPr>
        <w:t>Active selling communities averaged 114.5 compared to 113.0</w:t>
      </w:r>
    </w:p>
    <w:p>
      <w:pPr>
        <w:spacing w:after="0" w:line="117" w:lineRule="exact"/>
        <w:rPr>
          <w:sz w:val="20"/>
          <w:szCs w:val="20"/>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New home orders per average selling community were 10.0 orders (3.3 monthly) compared to 10.6 orders (3.5 monthly)</w:t>
      </w:r>
    </w:p>
    <w:p>
      <w:pPr>
        <w:spacing w:after="0" w:line="101" w:lineRule="exact"/>
        <w:rPr>
          <w:rFonts w:ascii="Courier New" w:cs="Courier New" w:eastAsia="Courier New" w:hAnsi="Courier New"/>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Cancellation rate increased to 13% compared to 11%</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Backlog units of 1,534 homes compared to 1,558, a decline of 2%</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Dollar value of backlog of $891.5 million compared to $943.4 million, a decrease of 5%</w:t>
      </w:r>
    </w:p>
    <w:p>
      <w:pPr>
        <w:spacing w:after="0" w:line="101" w:lineRule="exact"/>
        <w:rPr>
          <w:rFonts w:ascii="Courier New" w:cs="Courier New" w:eastAsia="Courier New" w:hAnsi="Courier New"/>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Average sales price in backlog of $581,000 compared to $605,000, a decline of 4%</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Home sales revenue of $423.1 million compared to $374.3 million, an increase of 13%</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New homes deliveries of 771 homes compared to 668 homes, an increase of 15%</w:t>
      </w:r>
    </w:p>
    <w:p>
      <w:pPr>
        <w:spacing w:after="0" w:line="101" w:lineRule="exact"/>
        <w:rPr>
          <w:rFonts w:ascii="Courier New" w:cs="Courier New" w:eastAsia="Courier New" w:hAnsi="Courier New"/>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Average sales price of homes delivered of $549,000 compared to $560,000, a decline of 2%</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Homebuilding gross margin percentage of 23.3% compared to 19.9%, an increase of 340 basis points</w:t>
      </w:r>
    </w:p>
    <w:p>
      <w:pPr>
        <w:spacing w:after="0" w:line="117" w:lineRule="exact"/>
        <w:rPr>
          <w:rFonts w:ascii="Arial" w:cs="Arial" w:eastAsia="Arial" w:hAnsi="Arial"/>
          <w:sz w:val="18"/>
          <w:szCs w:val="18"/>
          <w:color w:val="auto"/>
        </w:rPr>
      </w:pPr>
    </w:p>
    <w:p>
      <w:pPr>
        <w:ind w:left="1520" w:hanging="378"/>
        <w:spacing w:after="0"/>
        <w:tabs>
          <w:tab w:leader="none" w:pos="1520" w:val="left"/>
        </w:tabs>
        <w:numPr>
          <w:ilvl w:val="2"/>
          <w:numId w:val="4"/>
        </w:numPr>
        <w:rPr>
          <w:rFonts w:ascii="Courier New" w:cs="Courier New" w:eastAsia="Courier New" w:hAnsi="Courier New"/>
          <w:sz w:val="18"/>
          <w:szCs w:val="18"/>
          <w:color w:val="auto"/>
        </w:rPr>
      </w:pPr>
      <w:r>
        <w:rPr>
          <w:rFonts w:ascii="Arial" w:cs="Arial" w:eastAsia="Arial" w:hAnsi="Arial"/>
          <w:sz w:val="18"/>
          <w:szCs w:val="18"/>
          <w:color w:val="auto"/>
        </w:rPr>
        <w:t>Excluding interest, impairments and lot option abandonments, adjusted homebuilding gross margin percentage was 25.4%*</w:t>
      </w:r>
    </w:p>
    <w:p>
      <w:pPr>
        <w:spacing w:after="0" w:line="101" w:lineRule="exact"/>
        <w:rPr>
          <w:rFonts w:ascii="Courier New" w:cs="Courier New" w:eastAsia="Courier New" w:hAnsi="Courier New"/>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SG&amp;A expense as a percentage of homes sales revenue improved to 12.9% compared to 13.7%</w:t>
      </w:r>
    </w:p>
    <w:p>
      <w:pPr>
        <w:spacing w:after="0" w:line="117" w:lineRule="exact"/>
        <w:rPr>
          <w:rFonts w:ascii="Arial" w:cs="Arial" w:eastAsia="Arial" w:hAnsi="Arial"/>
          <w:sz w:val="18"/>
          <w:szCs w:val="18"/>
          <w:color w:val="auto"/>
        </w:rPr>
      </w:pPr>
    </w:p>
    <w:p>
      <w:pPr>
        <w:ind w:left="760" w:hanging="374"/>
        <w:spacing w:after="0"/>
        <w:tabs>
          <w:tab w:leader="none" w:pos="7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Ratios of debt and net debt to capital of 42.3% and 39.4%*, respectively, as of March 31, 2016</w:t>
      </w:r>
    </w:p>
    <w:p>
      <w:pPr>
        <w:spacing w:after="0" w:line="117" w:lineRule="exact"/>
        <w:rPr>
          <w:rFonts w:ascii="Arial" w:cs="Arial" w:eastAsia="Arial" w:hAnsi="Arial"/>
          <w:sz w:val="18"/>
          <w:szCs w:val="18"/>
          <w:color w:val="auto"/>
        </w:rPr>
      </w:pPr>
    </w:p>
    <w:p>
      <w:pPr>
        <w:ind w:left="380" w:right="3560" w:firstLine="6"/>
        <w:spacing w:after="0" w:line="477" w:lineRule="auto"/>
        <w:tabs>
          <w:tab w:leader="none" w:pos="757" w:val="left"/>
        </w:tabs>
        <w:numPr>
          <w:ilvl w:val="0"/>
          <w:numId w:val="4"/>
        </w:numPr>
        <w:rPr>
          <w:rFonts w:ascii="Arial" w:cs="Arial" w:eastAsia="Arial" w:hAnsi="Arial"/>
          <w:sz w:val="18"/>
          <w:szCs w:val="18"/>
          <w:color w:val="auto"/>
        </w:rPr>
      </w:pPr>
      <w:r>
        <w:rPr>
          <w:rFonts w:ascii="Arial" w:cs="Arial" w:eastAsia="Arial" w:hAnsi="Arial"/>
          <w:sz w:val="18"/>
          <w:szCs w:val="18"/>
          <w:color w:val="auto"/>
        </w:rPr>
        <w:t>Cash of $144.0 million and availability under unsecured revolving credit facility of $170.3 million * See “Reconciliation of Non-GAAP Financial Measures”</w:t>
      </w:r>
    </w:p>
    <w:p>
      <w:pPr>
        <w:spacing w:after="0" w:line="1"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“We believe 2016 is off to a great start,” said TRI Pointe Group Chief Executive Officer Doug Bauer. “Strong growth in new home deliveries coupled with a 340 basis point expansion in homebuilding gross margin resulted in an 87% increase in net income for the quarter. Our homebuilding operations generated healthy demand during the quarter with an average monthly absorption pace above 3.3 orders per community. We also grew our ending community count by 20% as compared to the fourth quarter of 2015. Thanks to these achievements, we are well positioned to deliver on the operational and financial goals we laid out for the Company at the beginning of the year.”</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2016 Operating Results</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Net income available to common stockholders was $28.6 million, or $0.18 per diluted share in the first quarter of 2016, compared to net income of $15.3 million, or $0.09 per diluted share for the first quarter of 2015. The improvement in net income available to common stockholders was primarily driven by an increase of $24.2 million in homebuilding gross margin due to higher home sales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5" w:name="page6"/>
    <w:bookmarkEnd w:id="5"/>
    <w:p>
      <w:pPr>
        <w:ind w:right="380"/>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2807335</wp:posOffset>
            </wp:positionH>
            <wp:positionV relativeFrom="page">
              <wp:posOffset>226060</wp:posOffset>
            </wp:positionV>
            <wp:extent cx="1946910" cy="3771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revenue resulting from a 15% increase in new home deliveries and a 340 basis point improvement in homebuilding gross margin percentage, offset by an increase in selling, general and administrative expenses and the provision for income taxes.</w:t>
      </w:r>
    </w:p>
    <w:p>
      <w:pPr>
        <w:spacing w:after="0" w:line="130"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Home sales revenue increased $48.8 million, or 13%, to $423.1 million for the first quarter of 2016, as compared to $374.3 million for the same period in 2015. The increase was mainly attributable to a 15% increase in new home deliveries to 771.</w:t>
      </w:r>
    </w:p>
    <w:p>
      <w:pPr>
        <w:spacing w:after="0" w:line="143"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New home orders decreased 4% to 1,149 homes for the first quarter of 2016, as compared to 1,194 homes for the same period in 2015, which was up 79% from 667 orders for the same period in 2014. Average active selling communities increased slightly to 114.5 as compared to 113.0 for the same period in the prior year. The Company’s overall quarterly absorption rate per average selling community for the first quarter ended March 31, 2016 remained strong at 10.0 orders (3.3 monthly) but declined slightly compared to 10.6 orders (3.5 monthly) during the same period in 2015.</w:t>
      </w:r>
    </w:p>
    <w:p>
      <w:pPr>
        <w:spacing w:after="0" w:line="131" w:lineRule="exact"/>
        <w:rPr>
          <w:sz w:val="20"/>
          <w:szCs w:val="20"/>
          <w:color w:val="auto"/>
        </w:rPr>
      </w:pPr>
    </w:p>
    <w:p>
      <w:pPr>
        <w:ind w:right="320"/>
        <w:spacing w:after="0" w:line="308" w:lineRule="auto"/>
        <w:rPr>
          <w:sz w:val="20"/>
          <w:szCs w:val="20"/>
          <w:color w:val="auto"/>
        </w:rPr>
      </w:pPr>
      <w:r>
        <w:rPr>
          <w:rFonts w:ascii="Arial" w:cs="Arial" w:eastAsia="Arial" w:hAnsi="Arial"/>
          <w:sz w:val="17"/>
          <w:szCs w:val="17"/>
          <w:color w:val="auto"/>
        </w:rPr>
        <w:t>The Company ended the quarter with 1,534 homes in backlog, representing approximately $891.5 million in future home sales revenue. The average sales price of homes in backlog as of March 31, 2016 decreased $24,000, or 4%, to $581,000 compared to $605,000 at March 31, 2015.</w:t>
      </w:r>
    </w:p>
    <w:p>
      <w:pPr>
        <w:spacing w:after="0" w:line="106"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color w:val="auto"/>
        </w:rPr>
        <w:t>Homebuilding gross margin percentage for the first quarter of 2016 increased to 23.3% compared to 19.9% for the same period in 2015 and increased sequentially from 22.2% during the fourth quarter of 2015. Excluding interest and impairments and lot option abandonments in cost of home sales, adjusted homebuilding gross margin percentage was 25.4%* for the first quarter of 2016 versus 21.8%* for the same period in 2015.</w:t>
      </w:r>
    </w:p>
    <w:p>
      <w:pPr>
        <w:spacing w:after="0" w:line="13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Selling, general and administrative expense for the first quarter of 2016 improved to 12.9% of home sales revenue as compared to 13.7% for the same period in 2015 due to greater leverage as a result of the 13% increase in home sales revenue.</w:t>
      </w:r>
    </w:p>
    <w:p>
      <w:pPr>
        <w:spacing w:after="0" w:line="170"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have worked hard to instill a culture of collaboration and innovation throughout our organization,” said TRI Pointe Group President and Chief Operating Officer Tom Mitchell. “We have challenged each of our homebuilding brands to enhance their product offerings and consider new strategies to manage their business and improve their existing operations. All of our teams have embraced this mindset and as a result, TRI Pointe Group is a much stronger organization today than it was at the close of the merger with WRECO.”</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 See “Reconciliation of Non-GAAP Financial Measures”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121" w:lineRule="exact"/>
        <w:rPr>
          <w:sz w:val="20"/>
          <w:szCs w:val="20"/>
          <w:color w:val="auto"/>
        </w:rPr>
      </w:pPr>
    </w:p>
    <w:p>
      <w:pPr>
        <w:ind w:right="220"/>
        <w:spacing w:after="0" w:line="308" w:lineRule="auto"/>
        <w:rPr>
          <w:sz w:val="20"/>
          <w:szCs w:val="20"/>
          <w:color w:val="auto"/>
        </w:rPr>
      </w:pPr>
      <w:r>
        <w:rPr>
          <w:rFonts w:ascii="Arial" w:cs="Arial" w:eastAsia="Arial" w:hAnsi="Arial"/>
          <w:sz w:val="17"/>
          <w:szCs w:val="17"/>
          <w:color w:val="auto"/>
        </w:rPr>
        <w:t>For the second quarter of 2016, the Company anticipates delivering approximately 60% of its 1,534 units in backlog as of March 31, 2016. In addition, the Company expects to open 10 new communities, and close out of 15, resulting in 120 active selling communities as of June 30, 2016.</w:t>
      </w:r>
    </w:p>
    <w:p>
      <w:pPr>
        <w:spacing w:after="0" w:line="3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For the full year 2016, the Company is reiterating its original guidance of growing communities by 20%, delivering between 4,200 and 4,400 homes at an average sales price of $550,000, a SG&amp;A expense ratio in the range of 10.3% to 10.5% and gross profit from land and lot sales of between $45 million and $50 million. In addition, the Company is updating its homebuilding gross margin guidance for the full year of 2016 to be in a range of 20.5% to 21.5% from 20.0% to 21.0%.</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Conference Call</w:t>
      </w:r>
    </w:p>
    <w:p>
      <w:pPr>
        <w:spacing w:after="0" w:line="121"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Company will host a conference call via live webcast for investors and other interested parties beginning at 10:00 a.m. Eastern Time on Wednesday, April 27, 2016. The call will be hosted by Doug Bauer, Chief Executive Officer, Tom Mitchell, President and Chief Operating Officer and Mike Grubbs, Chief Financial Officer.</w:t>
      </w:r>
    </w:p>
    <w:p>
      <w:pPr>
        <w:spacing w:after="0" w:line="141" w:lineRule="exact"/>
        <w:rPr>
          <w:sz w:val="20"/>
          <w:szCs w:val="20"/>
          <w:color w:val="auto"/>
        </w:rPr>
      </w:pPr>
    </w:p>
    <w:p>
      <w:pPr>
        <w:ind w:right="60"/>
        <w:spacing w:after="0" w:line="293" w:lineRule="auto"/>
        <w:rPr>
          <w:sz w:val="20"/>
          <w:szCs w:val="20"/>
          <w:color w:val="auto"/>
        </w:rPr>
      </w:pPr>
      <w:r>
        <w:rPr>
          <w:rFonts w:ascii="Arial" w:cs="Arial" w:eastAsia="Arial" w:hAnsi="Arial"/>
          <w:sz w:val="16"/>
          <w:szCs w:val="16"/>
          <w:color w:val="auto"/>
        </w:rPr>
        <w:t xml:space="preserve">Interested parties can listen to the call live on the internet through the Investor Relations section of the Company’s website at </w:t>
      </w:r>
      <w:r>
        <w:rPr>
          <w:rFonts w:ascii="Arial" w:cs="Arial" w:eastAsia="Arial" w:hAnsi="Arial"/>
          <w:sz w:val="16"/>
          <w:szCs w:val="16"/>
          <w:u w:val="single" w:color="auto"/>
          <w:color w:val="auto"/>
        </w:rPr>
        <w:t>www.TRIPointeGroup.com</w:t>
      </w:r>
      <w:r>
        <w:rPr>
          <w:rFonts w:ascii="Arial" w:cs="Arial" w:eastAsia="Arial" w:hAnsi="Arial"/>
          <w:sz w:val="16"/>
          <w:szCs w:val="16"/>
          <w:color w:val="auto"/>
        </w:rPr>
        <w:t>. Listeners should go to the website at least 15 minutes prior to the call to download and install any necessary audio software. The call can also be accessed by dialing 1-877-407-3982 for domestic participants or 1-201-493-6780 for international participants. Participants should ask for the TRI Pointe Group First Quarter 2016 Earnings Conference Call. Those dialing in should do so at least ten minutes prior to the start. The replay of the call will be available for two weeks following the call. To access the replay, the domestic dial-in number is 1-877-870-5176, the international dial-in number is 1-858-384-5517, and the pass code is 13634274. An archive of the webcast will be available on the Company’s website for a limited time.</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Page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60" w:right="2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226060</wp:posOffset>
            </wp:positionV>
            <wp:extent cx="1946910" cy="3771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About TRI Pointe Group, Inc.</w:t>
      </w:r>
    </w:p>
    <w:p>
      <w:pPr>
        <w:spacing w:after="0" w:line="12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 xml:space="preserve">Headquartered in Irvine, California, TRI Pointe Group, Inc. (NYSE: TPH) is one of the top ten largest public homebuilders by equity market capitalization in the United States. The company designs, constructs and sells premium single-family homes through its portfolio of six quality brands across eight states, included Maracay Homes in Arizona; Pardee Homes in California and Nevada; Quadrant Homes in Washington; Trendmaker Homes in Texas; TRI Pointe Homes in California and Colorado; and Winchester Homes in Maryland and Virginia. Additional information is available at </w:t>
      </w:r>
      <w:r>
        <w:rPr>
          <w:rFonts w:ascii="Arial" w:cs="Arial" w:eastAsia="Arial" w:hAnsi="Arial"/>
          <w:sz w:val="16"/>
          <w:szCs w:val="16"/>
          <w:u w:val="single" w:color="auto"/>
          <w:color w:val="auto"/>
        </w:rPr>
        <w:t>www.TRIPointeGroup.com</w:t>
      </w:r>
      <w:r>
        <w:rPr>
          <w:rFonts w:ascii="Arial" w:cs="Arial" w:eastAsia="Arial" w:hAnsi="Arial"/>
          <w:sz w:val="16"/>
          <w:szCs w:val="16"/>
          <w:color w:val="auto"/>
        </w:rPr>
        <w:t>.</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84" w:lineRule="auto"/>
        <w:rPr>
          <w:sz w:val="20"/>
          <w:szCs w:val="20"/>
          <w:color w:val="auto"/>
        </w:rPr>
      </w:pPr>
      <w:r>
        <w:rPr>
          <w:rFonts w:ascii="Arial" w:cs="Arial" w:eastAsia="Arial" w:hAnsi="Arial"/>
          <w:sz w:val="16"/>
          <w:szCs w:val="16"/>
          <w:i w:val="1"/>
          <w:iCs w:val="1"/>
          <w:color w:val="auto"/>
        </w:rPr>
        <w:t>Various statements contained in this press release, including those that express a belief, expectation or intention, as well as those that are not statements of historical fact, are forward-looking statements. These forward-looking statements may include projections and estimates concerning the timing and success of specific projects and our future production, land at lot sales, operational and financial results, financial condition, prospects, and capital spending. Our forward-looking statements are generally accompanied by words such as “anticipate,” “believe,” “estimate,” “goal,” “expect,” “intend,” “project,” “potential,” “plan,” “predict,” “will,” or other words that convey future events or outcomes. The forward-looking statements in this press release speak only as of the date of this press release, and we disclaim any obligation to update these statements unless required by law, and we caution you not to rely on them unduly. These forward-looking statements are inherently subject to significant business, economic, competitive, regulatory and other risks, contingencies and uncertainties, most of which are difficult to predict and many of which are beyond our control. The following factors, among others, may cause our actual results, performance or achievements to differ materially from any future results, performance or achievements expressed or implied by these forward-looking statements: the effect of general economic conditions, including employment rates, housing starts, interest rate levels, availability of financing for home mortgages and strength of the U.S. dollar; market demand for our products, which is related to the strength of the various U.S. business segments and U.S. and international economic conditions; levels of competition; the successful execution of our internal performance plans, including restructuring and cost reduction initiatives; global economic conditions; raw material prices; oil and other energy prices; the effect of weather, including the continuing drought in California; the risk of loss from earthquakes, volcanoes, fires, floods, droughts, windstorms, hurricanes, pest infestations and other natural disasters; transportation costs; federal and state tax policies; the effect of land use, environment and other governmental regulations; legal proceedings; risks relating to any unforeseen changes to or effects on liabilities, future capital expenditures, revenues, expenses, earnings, synergies, indebtedness, financial condition, losses and future prospects; changes in accounting principles; risks related to unauthorized access to our computer systems, theft of our customers’ confidential information or other forms of cyber-attack; our relationship, and actual and potential conflicts of interest, with Starwood Capital Group or its affiliates; and additional factors discussed under the sections captioned “Risk Factors” included in our annual and quarterly reports filed with the Securities and Exchange Commission. The foregoing list is not exhaustive. New risk factors may emerge from time to time and it is not possible for management to predict all such risk factors or to assess the impact of such risk factors on our business.</w:t>
      </w:r>
    </w:p>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Chris Martin, TRI Pointe Group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Drew Mackintosh, Mackintosh 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InvestorRelations@TRIPointeGroup.com</w:t>
      </w:r>
      <w:r>
        <w:rPr>
          <w:rFonts w:ascii="Arial" w:cs="Arial" w:eastAsia="Arial" w:hAnsi="Arial"/>
          <w:sz w:val="18"/>
          <w:szCs w:val="18"/>
          <w:color w:val="auto"/>
        </w:rPr>
        <w:t>, 949-478-8696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Carol Ruiz, </w:t>
      </w:r>
      <w:r>
        <w:rPr>
          <w:rFonts w:ascii="Arial" w:cs="Arial" w:eastAsia="Arial" w:hAnsi="Arial"/>
          <w:sz w:val="18"/>
          <w:szCs w:val="18"/>
          <w:u w:val="single" w:color="auto"/>
          <w:color w:val="auto"/>
        </w:rPr>
        <w:t>cruiz@newgroundco.com</w:t>
      </w:r>
      <w:r>
        <w:rPr>
          <w:rFonts w:ascii="Arial" w:cs="Arial" w:eastAsia="Arial" w:hAnsi="Arial"/>
          <w:sz w:val="18"/>
          <w:szCs w:val="18"/>
          <w:color w:val="auto"/>
        </w:rPr>
        <w:t>, 310-437-0045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Page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340"/>
          </w:cols>
          <w:pgMar w:left="240" w:top="1323" w:right="31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226060</wp:posOffset>
            </wp:positionV>
            <wp:extent cx="1946910" cy="3771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KEY OPERATIONS AND FINANCIAL DATA</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456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60" w:type="dxa"/>
            <w:vAlign w:val="bottom"/>
            <w:gridSpan w:val="3"/>
          </w:tcPr>
          <w:p>
            <w:pPr>
              <w:jc w:val="right"/>
              <w:ind w:right="480"/>
              <w:spacing w:after="0"/>
              <w:rPr>
                <w:sz w:val="20"/>
                <w:szCs w:val="20"/>
                <w:color w:val="auto"/>
              </w:rPr>
            </w:pPr>
            <w:r>
              <w:rPr>
                <w:rFonts w:ascii="Arial" w:cs="Arial" w:eastAsia="Arial" w:hAnsi="Arial"/>
                <w:sz w:val="14"/>
                <w:szCs w:val="14"/>
                <w:b w:val="1"/>
                <w:bCs w:val="1"/>
                <w:color w:val="auto"/>
                <w:w w:val="98"/>
              </w:rPr>
              <w:t>Three Months Ended</w:t>
            </w:r>
          </w:p>
        </w:tc>
        <w:tc>
          <w:tcPr>
            <w:tcW w:w="3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456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2"/>
          </w:tcPr>
          <w:p>
            <w:pPr>
              <w:jc w:val="right"/>
              <w:ind w:right="820"/>
              <w:spacing w:after="0"/>
              <w:rPr>
                <w:sz w:val="20"/>
                <w:szCs w:val="20"/>
                <w:color w:val="auto"/>
              </w:rPr>
            </w:pPr>
            <w:r>
              <w:rPr>
                <w:rFonts w:ascii="Arial" w:cs="Arial" w:eastAsia="Arial" w:hAnsi="Arial"/>
                <w:sz w:val="14"/>
                <w:szCs w:val="14"/>
                <w:b w:val="1"/>
                <w:bCs w:val="1"/>
                <w:color w:val="auto"/>
              </w:rPr>
              <w:t>March 31,</w:t>
            </w:r>
          </w:p>
        </w:tc>
        <w:tc>
          <w:tcPr>
            <w:tcW w:w="30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spacing w:after="0"/>
              <w:rPr>
                <w:sz w:val="16"/>
                <w:szCs w:val="16"/>
                <w:color w:val="auto"/>
              </w:rPr>
            </w:pPr>
          </w:p>
        </w:tc>
        <w:tc>
          <w:tcPr>
            <w:tcW w:w="2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560" w:type="dxa"/>
            <w:vAlign w:val="bottom"/>
            <w:tcBorders>
              <w:bottom w:val="single" w:sz="8" w:color="CFF0FC"/>
            </w:tcBorders>
          </w:tcPr>
          <w:p>
            <w:pPr>
              <w:spacing w:after="0"/>
              <w:rPr>
                <w:sz w:val="13"/>
                <w:szCs w:val="13"/>
                <w:color w:val="auto"/>
              </w:rPr>
            </w:pPr>
          </w:p>
        </w:tc>
        <w:tc>
          <w:tcPr>
            <w:tcW w:w="1360" w:type="dxa"/>
            <w:vAlign w:val="bottom"/>
            <w:tcBorders>
              <w:bottom w:val="single" w:sz="8" w:color="CFF0FC"/>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240" w:type="dxa"/>
            <w:vAlign w:val="bottom"/>
            <w:tcBorders>
              <w:bottom w:val="single" w:sz="8" w:color="auto"/>
            </w:tcBorders>
          </w:tcPr>
          <w:p>
            <w:pPr>
              <w:jc w:val="right"/>
              <w:ind w:right="452"/>
              <w:spacing w:after="0" w:line="155" w:lineRule="exact"/>
              <w:rPr>
                <w:sz w:val="20"/>
                <w:szCs w:val="20"/>
                <w:color w:val="auto"/>
              </w:rPr>
            </w:pPr>
            <w:r>
              <w:rPr>
                <w:rFonts w:ascii="Arial" w:cs="Arial" w:eastAsia="Arial" w:hAnsi="Arial"/>
                <w:sz w:val="14"/>
                <w:szCs w:val="14"/>
                <w:b w:val="1"/>
                <w:bCs w:val="1"/>
                <w:color w:val="auto"/>
              </w:rPr>
              <w:t>2016</w:t>
            </w:r>
          </w:p>
        </w:tc>
        <w:tc>
          <w:tcPr>
            <w:tcW w:w="380" w:type="dxa"/>
            <w:vAlign w:val="bottom"/>
            <w:tcBorders>
              <w:bottom w:val="single" w:sz="8" w:color="CFF0FC"/>
            </w:tcBorders>
          </w:tcPr>
          <w:p>
            <w:pPr>
              <w:spacing w:after="0"/>
              <w:rPr>
                <w:sz w:val="13"/>
                <w:szCs w:val="13"/>
                <w:color w:val="auto"/>
              </w:rPr>
            </w:pPr>
          </w:p>
        </w:tc>
        <w:tc>
          <w:tcPr>
            <w:tcW w:w="220" w:type="dxa"/>
            <w:vAlign w:val="bottom"/>
            <w:tcBorders>
              <w:bottom w:val="single" w:sz="8" w:color="auto"/>
            </w:tcBorders>
          </w:tcPr>
          <w:p>
            <w:pPr>
              <w:spacing w:after="0"/>
              <w:rPr>
                <w:sz w:val="13"/>
                <w:szCs w:val="13"/>
                <w:color w:val="auto"/>
              </w:rPr>
            </w:pPr>
          </w:p>
        </w:tc>
        <w:tc>
          <w:tcPr>
            <w:tcW w:w="1280" w:type="dxa"/>
            <w:vAlign w:val="bottom"/>
            <w:tcBorders>
              <w:bottom w:val="single" w:sz="8" w:color="auto"/>
            </w:tcBorders>
          </w:tcPr>
          <w:p>
            <w:pPr>
              <w:jc w:val="right"/>
              <w:ind w:right="452"/>
              <w:spacing w:after="0" w:line="155" w:lineRule="exact"/>
              <w:rPr>
                <w:sz w:val="20"/>
                <w:szCs w:val="20"/>
                <w:color w:val="auto"/>
              </w:rPr>
            </w:pPr>
            <w:r>
              <w:rPr>
                <w:rFonts w:ascii="Arial" w:cs="Arial" w:eastAsia="Arial" w:hAnsi="Arial"/>
                <w:sz w:val="14"/>
                <w:szCs w:val="14"/>
                <w:b w:val="1"/>
                <w:bCs w:val="1"/>
                <w:color w:val="auto"/>
              </w:rPr>
              <w:t>2015</w:t>
            </w:r>
          </w:p>
        </w:tc>
        <w:tc>
          <w:tcPr>
            <w:tcW w:w="360" w:type="dxa"/>
            <w:vAlign w:val="bottom"/>
            <w:tcBorders>
              <w:bottom w:val="single" w:sz="8" w:color="CFF0FC"/>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tcPr>
          <w:p>
            <w:pPr>
              <w:jc w:val="right"/>
              <w:ind w:right="431"/>
              <w:spacing w:after="0" w:line="155" w:lineRule="exact"/>
              <w:rPr>
                <w:sz w:val="20"/>
                <w:szCs w:val="20"/>
                <w:color w:val="auto"/>
              </w:rPr>
            </w:pPr>
            <w:r>
              <w:rPr>
                <w:rFonts w:ascii="Arial" w:cs="Arial" w:eastAsia="Arial" w:hAnsi="Arial"/>
                <w:sz w:val="14"/>
                <w:szCs w:val="14"/>
                <w:b w:val="1"/>
                <w:bCs w:val="1"/>
                <w:color w:val="auto"/>
              </w:rPr>
              <w:t>Change</w:t>
            </w:r>
          </w:p>
        </w:tc>
        <w:tc>
          <w:tcPr>
            <w:tcW w:w="26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shd w:val="clear" w:color="auto" w:fill="CFF0FC"/>
          </w:tcPr>
          <w:p>
            <w:pPr>
              <w:spacing w:after="0"/>
              <w:rPr>
                <w:sz w:val="20"/>
                <w:szCs w:val="20"/>
                <w:color w:val="auto"/>
              </w:rPr>
            </w:pPr>
            <w:r>
              <w:rPr>
                <w:rFonts w:ascii="Arial" w:cs="Arial" w:eastAsia="Arial" w:hAnsi="Arial"/>
                <w:sz w:val="18"/>
                <w:szCs w:val="18"/>
                <w:color w:val="auto"/>
              </w:rPr>
              <w:t>Operating Data:</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Home sales revenue</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423,055</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374,265</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48,790</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Homebuilding gross margin</w:t>
            </w:r>
          </w:p>
        </w:tc>
        <w:tc>
          <w:tcPr>
            <w:tcW w:w="16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98,556</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74,358</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24,198</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Homebuilding gross margin %</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23.3%</w:t>
            </w:r>
          </w:p>
        </w:tc>
        <w:tc>
          <w:tcPr>
            <w:tcW w:w="220" w:type="dxa"/>
            <w:vAlign w:val="bottom"/>
          </w:tcPr>
          <w:p>
            <w:pPr>
              <w:spacing w:after="0"/>
              <w:rPr>
                <w:sz w:val="19"/>
                <w:szCs w:val="19"/>
                <w:color w:val="auto"/>
              </w:rPr>
            </w:pPr>
          </w:p>
        </w:tc>
        <w:tc>
          <w:tcPr>
            <w:tcW w:w="1640" w:type="dxa"/>
            <w:vAlign w:val="bottom"/>
            <w:gridSpan w:val="2"/>
          </w:tcPr>
          <w:p>
            <w:pPr>
              <w:jc w:val="right"/>
              <w:ind w:right="200"/>
              <w:spacing w:after="0"/>
              <w:rPr>
                <w:sz w:val="20"/>
                <w:szCs w:val="20"/>
                <w:color w:val="auto"/>
              </w:rPr>
            </w:pPr>
            <w:r>
              <w:rPr>
                <w:rFonts w:ascii="Arial" w:cs="Arial" w:eastAsia="Arial" w:hAnsi="Arial"/>
                <w:sz w:val="18"/>
                <w:szCs w:val="18"/>
                <w:color w:val="auto"/>
              </w:rPr>
              <w:t>19.9%</w:t>
            </w:r>
          </w:p>
        </w:tc>
        <w:tc>
          <w:tcPr>
            <w:tcW w:w="300" w:type="dxa"/>
            <w:vAlign w:val="bottom"/>
          </w:tcPr>
          <w:p>
            <w:pPr>
              <w:spacing w:after="0"/>
              <w:rPr>
                <w:sz w:val="19"/>
                <w:szCs w:val="19"/>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3.4%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Adjusted homebuilding gross margin %*</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25.4%</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21.8%</w:t>
            </w:r>
          </w:p>
        </w:tc>
        <w:tc>
          <w:tcPr>
            <w:tcW w:w="30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3.6%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Land and lot gross margin</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320"/>
              <w:spacing w:after="0"/>
              <w:rPr>
                <w:sz w:val="20"/>
                <w:szCs w:val="20"/>
                <w:color w:val="auto"/>
              </w:rPr>
            </w:pPr>
            <w:r>
              <w:rPr>
                <w:rFonts w:ascii="Arial" w:cs="Arial" w:eastAsia="Arial" w:hAnsi="Arial"/>
                <w:sz w:val="18"/>
                <w:szCs w:val="18"/>
                <w:color w:val="auto"/>
              </w:rPr>
              <w:t>(424)</w:t>
            </w: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640" w:type="dxa"/>
            <w:vAlign w:val="bottom"/>
            <w:gridSpan w:val="2"/>
          </w:tcPr>
          <w:p>
            <w:pPr>
              <w:jc w:val="right"/>
              <w:ind w:right="300"/>
              <w:spacing w:after="0"/>
              <w:rPr>
                <w:sz w:val="20"/>
                <w:szCs w:val="20"/>
                <w:color w:val="auto"/>
              </w:rPr>
            </w:pPr>
            <w:r>
              <w:rPr>
                <w:rFonts w:ascii="Arial" w:cs="Arial" w:eastAsia="Arial" w:hAnsi="Arial"/>
                <w:sz w:val="18"/>
                <w:szCs w:val="18"/>
                <w:color w:val="auto"/>
              </w:rPr>
              <w:t>(308)</w:t>
            </w: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Land and lot gross margin %</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(119.4)%</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140"/>
              <w:spacing w:after="0"/>
              <w:rPr>
                <w:sz w:val="20"/>
                <w:szCs w:val="20"/>
                <w:color w:val="auto"/>
              </w:rPr>
            </w:pPr>
            <w:r>
              <w:rPr>
                <w:rFonts w:ascii="Arial" w:cs="Arial" w:eastAsia="Arial" w:hAnsi="Arial"/>
                <w:sz w:val="18"/>
                <w:szCs w:val="18"/>
                <w:color w:val="auto"/>
              </w:rPr>
              <w:t>(15.4)%</w:t>
            </w:r>
          </w:p>
        </w:tc>
        <w:tc>
          <w:tcPr>
            <w:tcW w:w="30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(104.0)%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SG&amp;A expense</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54,717</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51,439</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3,278</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SG&amp;A expense as a % of home sales</w:t>
            </w:r>
          </w:p>
        </w:tc>
        <w:tc>
          <w:tcPr>
            <w:tcW w:w="136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38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1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shd w:val="clear" w:color="auto" w:fill="CFF0FC"/>
          </w:tcPr>
          <w:p>
            <w:pPr>
              <w:ind w:left="360"/>
              <w:spacing w:after="0"/>
              <w:rPr>
                <w:sz w:val="20"/>
                <w:szCs w:val="20"/>
                <w:color w:val="auto"/>
              </w:rPr>
            </w:pPr>
            <w:r>
              <w:rPr>
                <w:rFonts w:ascii="Arial" w:cs="Arial" w:eastAsia="Arial" w:hAnsi="Arial"/>
                <w:sz w:val="18"/>
                <w:szCs w:val="18"/>
                <w:color w:val="auto"/>
              </w:rPr>
              <w:t>revenue</w:t>
            </w:r>
          </w:p>
        </w:tc>
        <w:tc>
          <w:tcPr>
            <w:tcW w:w="1360" w:type="dxa"/>
            <w:vAlign w:val="bottom"/>
            <w:shd w:val="clear" w:color="auto" w:fill="CFF0FC"/>
          </w:tcPr>
          <w:p>
            <w:pPr>
              <w:spacing w:after="0"/>
              <w:rPr>
                <w:sz w:val="20"/>
                <w:szCs w:val="20"/>
                <w:color w:val="auto"/>
              </w:rPr>
            </w:pPr>
          </w:p>
        </w:tc>
        <w:tc>
          <w:tcPr>
            <w:tcW w:w="260" w:type="dxa"/>
            <w:vAlign w:val="bottom"/>
            <w:shd w:val="clear" w:color="auto" w:fill="CFF0FC"/>
          </w:tcPr>
          <w:p>
            <w:pPr>
              <w:spacing w:after="0"/>
              <w:rPr>
                <w:sz w:val="20"/>
                <w:szCs w:val="20"/>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12.9%</w:t>
            </w:r>
          </w:p>
        </w:tc>
        <w:tc>
          <w:tcPr>
            <w:tcW w:w="220" w:type="dxa"/>
            <w:vAlign w:val="bottom"/>
            <w:shd w:val="clear" w:color="auto" w:fill="CFF0FC"/>
          </w:tcPr>
          <w:p>
            <w:pPr>
              <w:spacing w:after="0"/>
              <w:rPr>
                <w:sz w:val="20"/>
                <w:szCs w:val="20"/>
                <w:color w:val="auto"/>
              </w:rPr>
            </w:pPr>
          </w:p>
        </w:tc>
        <w:tc>
          <w:tcPr>
            <w:tcW w:w="16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13.7%</w:t>
            </w:r>
          </w:p>
        </w:tc>
        <w:tc>
          <w:tcPr>
            <w:tcW w:w="300" w:type="dxa"/>
            <w:vAlign w:val="bottom"/>
            <w:shd w:val="clear" w:color="auto" w:fill="CFF0FC"/>
          </w:tcPr>
          <w:p>
            <w:pPr>
              <w:spacing w:after="0"/>
              <w:rPr>
                <w:sz w:val="20"/>
                <w:szCs w:val="20"/>
                <w:color w:val="auto"/>
              </w:rPr>
            </w:pPr>
          </w:p>
        </w:tc>
        <w:tc>
          <w:tcPr>
            <w:tcW w:w="14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(0.8)%</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Net income available to common</w:t>
            </w:r>
          </w:p>
        </w:tc>
        <w:tc>
          <w:tcPr>
            <w:tcW w:w="1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tcPr>
          <w:p>
            <w:pPr>
              <w:ind w:left="360"/>
              <w:spacing w:after="0"/>
              <w:rPr>
                <w:sz w:val="20"/>
                <w:szCs w:val="20"/>
                <w:color w:val="auto"/>
              </w:rPr>
            </w:pPr>
            <w:r>
              <w:rPr>
                <w:rFonts w:ascii="Arial" w:cs="Arial" w:eastAsia="Arial" w:hAnsi="Arial"/>
                <w:sz w:val="18"/>
                <w:szCs w:val="18"/>
                <w:color w:val="auto"/>
              </w:rPr>
              <w:t>stockholders</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28,550</w:t>
            </w:r>
          </w:p>
        </w:tc>
        <w:tc>
          <w:tcPr>
            <w:tcW w:w="380" w:type="dxa"/>
            <w:vAlign w:val="bottom"/>
          </w:tcPr>
          <w:p>
            <w:pPr>
              <w:spacing w:after="0"/>
              <w:rPr>
                <w:sz w:val="20"/>
                <w:szCs w:val="20"/>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15,297</w:t>
            </w:r>
          </w:p>
        </w:tc>
        <w:tc>
          <w:tcPr>
            <w:tcW w:w="360" w:type="dxa"/>
            <w:vAlign w:val="bottom"/>
          </w:tcPr>
          <w:p>
            <w:pPr>
              <w:spacing w:after="0"/>
              <w:rPr>
                <w:sz w:val="20"/>
                <w:szCs w:val="20"/>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13,253</w:t>
            </w:r>
          </w:p>
        </w:tc>
        <w:tc>
          <w:tcPr>
            <w:tcW w:w="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Adjusted EBITDA*</w:t>
            </w:r>
          </w:p>
        </w:tc>
        <w:tc>
          <w:tcPr>
            <w:tcW w:w="16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57,584</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34,333</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23,251</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Interest incurred</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15,149</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15,176</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(27)</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Interest in cost of home sales</w:t>
            </w:r>
          </w:p>
        </w:tc>
        <w:tc>
          <w:tcPr>
            <w:tcW w:w="16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8,830</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6,711</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2,119</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45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560" w:type="dxa"/>
            <w:vAlign w:val="bottom"/>
            <w:shd w:val="clear" w:color="auto" w:fill="CFF0FC"/>
          </w:tcPr>
          <w:p>
            <w:pPr>
              <w:spacing w:after="0"/>
              <w:rPr>
                <w:sz w:val="20"/>
                <w:szCs w:val="20"/>
                <w:color w:val="auto"/>
              </w:rPr>
            </w:pPr>
            <w:r>
              <w:rPr>
                <w:rFonts w:ascii="Arial" w:cs="Arial" w:eastAsia="Arial" w:hAnsi="Arial"/>
                <w:sz w:val="18"/>
                <w:szCs w:val="18"/>
                <w:color w:val="auto"/>
              </w:rPr>
              <w:t>Other Data:</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Net new home orders</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1,149</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1,194</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New homes delivered</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771</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668</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103</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Average selling price of homes delivered</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549</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560</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Average selling communities</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114.5</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113.0</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Selling communities at end of period</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125</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117</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8</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Cancellation rate</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13%</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11%</w:t>
            </w:r>
          </w:p>
        </w:tc>
        <w:tc>
          <w:tcPr>
            <w:tcW w:w="30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Backlog (estimated dollar value)</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891,532</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943,352</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(51,820)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Backlog (homes)</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1,534</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1,558</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Average selling price in backlog</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581</w:t>
            </w:r>
          </w:p>
        </w:tc>
        <w:tc>
          <w:tcPr>
            <w:tcW w:w="380" w:type="dxa"/>
            <w:vAlign w:val="bottom"/>
          </w:tcPr>
          <w:p>
            <w:pPr>
              <w:spacing w:after="0"/>
              <w:rPr>
                <w:sz w:val="20"/>
                <w:szCs w:val="20"/>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605</w:t>
            </w:r>
          </w:p>
        </w:tc>
        <w:tc>
          <w:tcPr>
            <w:tcW w:w="360" w:type="dxa"/>
            <w:vAlign w:val="bottom"/>
          </w:tcPr>
          <w:p>
            <w:pPr>
              <w:spacing w:after="0"/>
              <w:rPr>
                <w:sz w:val="20"/>
                <w:szCs w:val="20"/>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(24)</w:t>
            </w:r>
          </w:p>
        </w:tc>
        <w:tc>
          <w:tcPr>
            <w:tcW w:w="0" w:type="dxa"/>
            <w:vAlign w:val="bottom"/>
          </w:tcPr>
          <w:p>
            <w:pPr>
              <w:spacing w:after="0"/>
              <w:rPr>
                <w:sz w:val="1"/>
                <w:szCs w:val="1"/>
                <w:color w:val="auto"/>
              </w:rPr>
            </w:pPr>
          </w:p>
        </w:tc>
      </w:tr>
      <w:tr>
        <w:trPr>
          <w:trHeight w:val="471"/>
        </w:trPr>
        <w:tc>
          <w:tcPr>
            <w:tcW w:w="20" w:type="dxa"/>
            <w:vAlign w:val="bottom"/>
          </w:tcPr>
          <w:p>
            <w:pPr>
              <w:spacing w:after="0"/>
              <w:rPr>
                <w:sz w:val="24"/>
                <w:szCs w:val="24"/>
                <w:color w:val="auto"/>
              </w:rPr>
            </w:pPr>
          </w:p>
        </w:tc>
        <w:tc>
          <w:tcPr>
            <w:tcW w:w="45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20" w:type="dxa"/>
            <w:vAlign w:val="bottom"/>
            <w:gridSpan w:val="2"/>
          </w:tcPr>
          <w:p>
            <w:pPr>
              <w:jc w:val="right"/>
              <w:ind w:right="840"/>
              <w:spacing w:after="0"/>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24"/>
                <w:szCs w:val="24"/>
                <w:color w:val="auto"/>
              </w:rPr>
            </w:pPr>
          </w:p>
        </w:tc>
        <w:tc>
          <w:tcPr>
            <w:tcW w:w="1640" w:type="dxa"/>
            <w:vAlign w:val="bottom"/>
            <w:gridSpan w:val="2"/>
          </w:tcPr>
          <w:p>
            <w:pPr>
              <w:jc w:val="right"/>
              <w:ind w:right="720"/>
              <w:spacing w:after="0"/>
              <w:rPr>
                <w:sz w:val="20"/>
                <w:szCs w:val="20"/>
                <w:color w:val="auto"/>
              </w:rPr>
            </w:pPr>
            <w:r>
              <w:rPr>
                <w:rFonts w:ascii="Arial" w:cs="Arial" w:eastAsia="Arial" w:hAnsi="Arial"/>
                <w:sz w:val="14"/>
                <w:szCs w:val="14"/>
                <w:b w:val="1"/>
                <w:bCs w:val="1"/>
                <w:color w:val="auto"/>
                <w:w w:val="98"/>
              </w:rPr>
              <w:t>December 31,</w:t>
            </w: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jc w:val="right"/>
              <w:ind w:right="472"/>
              <w:spacing w:after="0"/>
              <w:rPr>
                <w:sz w:val="20"/>
                <w:szCs w:val="20"/>
                <w:color w:val="auto"/>
              </w:rPr>
            </w:pPr>
            <w:r>
              <w:rPr>
                <w:rFonts w:ascii="Arial" w:cs="Arial" w:eastAsia="Arial" w:hAnsi="Arial"/>
                <w:sz w:val="14"/>
                <w:szCs w:val="14"/>
                <w:b w:val="1"/>
                <w:bCs w:val="1"/>
                <w:color w:val="auto"/>
              </w:rPr>
              <w:t>2016</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80" w:type="dxa"/>
            <w:vAlign w:val="bottom"/>
          </w:tcPr>
          <w:p>
            <w:pPr>
              <w:jc w:val="right"/>
              <w:ind w:right="472"/>
              <w:spacing w:after="0"/>
              <w:rPr>
                <w:sz w:val="20"/>
                <w:szCs w:val="20"/>
                <w:color w:val="auto"/>
              </w:rPr>
            </w:pPr>
            <w:r>
              <w:rPr>
                <w:rFonts w:ascii="Arial" w:cs="Arial" w:eastAsia="Arial" w:hAnsi="Arial"/>
                <w:sz w:val="14"/>
                <w:szCs w:val="14"/>
                <w:b w:val="1"/>
                <w:bCs w:val="1"/>
                <w:color w:val="auto"/>
              </w:rPr>
              <w:t>2015</w:t>
            </w:r>
          </w:p>
        </w:tc>
        <w:tc>
          <w:tcPr>
            <w:tcW w:w="3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440" w:type="dxa"/>
            <w:vAlign w:val="bottom"/>
            <w:gridSpan w:val="2"/>
          </w:tcPr>
          <w:p>
            <w:pPr>
              <w:jc w:val="right"/>
              <w:ind w:right="78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Sheet Data:</w:t>
            </w:r>
          </w:p>
        </w:tc>
        <w:tc>
          <w:tcPr>
            <w:tcW w:w="136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240" w:type="dxa"/>
            <w:vAlign w:val="bottom"/>
            <w:tcBorders>
              <w:top w:val="single" w:sz="8" w:color="auto"/>
            </w:tcBorders>
            <w:shd w:val="clear" w:color="auto" w:fill="CFF0FC"/>
          </w:tcPr>
          <w:p>
            <w:pPr>
              <w:spacing w:after="0"/>
              <w:rPr>
                <w:sz w:val="19"/>
                <w:szCs w:val="19"/>
                <w:color w:val="auto"/>
              </w:rPr>
            </w:pPr>
          </w:p>
        </w:tc>
        <w:tc>
          <w:tcPr>
            <w:tcW w:w="380" w:type="dxa"/>
            <w:vAlign w:val="bottom"/>
            <w:tcBorders>
              <w:top w:val="single" w:sz="8" w:color="CFF0FC"/>
            </w:tcBorders>
            <w:shd w:val="clear" w:color="auto" w:fill="CFF0FC"/>
          </w:tcPr>
          <w:p>
            <w:pPr>
              <w:spacing w:after="0"/>
              <w:rPr>
                <w:sz w:val="19"/>
                <w:szCs w:val="19"/>
                <w:color w:val="auto"/>
              </w:rPr>
            </w:pPr>
          </w:p>
        </w:tc>
        <w:tc>
          <w:tcPr>
            <w:tcW w:w="220" w:type="dxa"/>
            <w:vAlign w:val="bottom"/>
            <w:tcBorders>
              <w:top w:val="single" w:sz="8" w:color="auto"/>
            </w:tcBorders>
            <w:shd w:val="clear" w:color="auto" w:fill="CFF0FC"/>
          </w:tcPr>
          <w:p>
            <w:pPr>
              <w:spacing w:after="0"/>
              <w:rPr>
                <w:sz w:val="19"/>
                <w:szCs w:val="19"/>
                <w:color w:val="auto"/>
              </w:rPr>
            </w:pPr>
          </w:p>
        </w:tc>
        <w:tc>
          <w:tcPr>
            <w:tcW w:w="1280" w:type="dxa"/>
            <w:vAlign w:val="bottom"/>
            <w:tcBorders>
              <w:top w:val="single" w:sz="8" w:color="auto"/>
            </w:tcBorders>
            <w:shd w:val="clear" w:color="auto" w:fill="CFF0FC"/>
          </w:tcPr>
          <w:p>
            <w:pPr>
              <w:spacing w:after="0"/>
              <w:rPr>
                <w:sz w:val="19"/>
                <w:szCs w:val="19"/>
                <w:color w:val="auto"/>
              </w:rPr>
            </w:pPr>
          </w:p>
        </w:tc>
        <w:tc>
          <w:tcPr>
            <w:tcW w:w="36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18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Cash and cash equivalents</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144,019</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214,485</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440" w:type="dxa"/>
            <w:vAlign w:val="bottom"/>
            <w:gridSpan w:val="2"/>
          </w:tcPr>
          <w:p>
            <w:pPr>
              <w:jc w:val="right"/>
              <w:ind w:right="200"/>
              <w:spacing w:after="0"/>
              <w:rPr>
                <w:sz w:val="20"/>
                <w:szCs w:val="20"/>
                <w:color w:val="auto"/>
              </w:rPr>
            </w:pPr>
            <w:r>
              <w:rPr>
                <w:rFonts w:ascii="Arial" w:cs="Arial" w:eastAsia="Arial" w:hAnsi="Arial"/>
                <w:sz w:val="18"/>
                <w:szCs w:val="18"/>
                <w:color w:val="auto"/>
              </w:rPr>
              <w:t>(70,466)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Real estate inventories</w:t>
            </w:r>
          </w:p>
        </w:tc>
        <w:tc>
          <w:tcPr>
            <w:tcW w:w="16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2,705,251</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2,519,273</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185,978</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Lots owned or controlled</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27,929</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27,602</w:t>
            </w: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327</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 xml:space="preserve">Homes under construction </w:t>
            </w:r>
            <w:r>
              <w:rPr>
                <w:rFonts w:ascii="Arial" w:cs="Arial" w:eastAsia="Arial" w:hAnsi="Arial"/>
                <w:sz w:val="15"/>
                <w:szCs w:val="15"/>
                <w:color w:val="auto"/>
              </w:rPr>
              <w:t>(1)</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2,434</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2,280</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154</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Debt</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1,244,331</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1,170,505</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73,826</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Stockholders' equity</w:t>
            </w:r>
          </w:p>
        </w:tc>
        <w:tc>
          <w:tcPr>
            <w:tcW w:w="1620" w:type="dxa"/>
            <w:vAlign w:val="bottom"/>
            <w:gridSpan w:val="2"/>
            <w:shd w:val="clear" w:color="auto" w:fill="CFF0FC"/>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1,694,757</w:t>
            </w:r>
          </w:p>
        </w:tc>
        <w:tc>
          <w:tcPr>
            <w:tcW w:w="38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1,664,683</w:t>
            </w:r>
          </w:p>
        </w:tc>
        <w:tc>
          <w:tcPr>
            <w:tcW w:w="3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30,074</w:t>
            </w:r>
          </w:p>
        </w:tc>
        <w:tc>
          <w:tcPr>
            <w:tcW w:w="2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Book capitalization</w:t>
            </w: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40" w:type="dxa"/>
            <w:vAlign w:val="bottom"/>
          </w:tcPr>
          <w:p>
            <w:pPr>
              <w:jc w:val="right"/>
              <w:spacing w:after="0"/>
              <w:rPr>
                <w:sz w:val="20"/>
                <w:szCs w:val="20"/>
                <w:color w:val="auto"/>
              </w:rPr>
            </w:pPr>
            <w:r>
              <w:rPr>
                <w:rFonts w:ascii="Arial" w:cs="Arial" w:eastAsia="Arial" w:hAnsi="Arial"/>
                <w:sz w:val="18"/>
                <w:szCs w:val="18"/>
                <w:color w:val="auto"/>
              </w:rPr>
              <w:t>2,939,088</w:t>
            </w:r>
          </w:p>
        </w:tc>
        <w:tc>
          <w:tcPr>
            <w:tcW w:w="380" w:type="dxa"/>
            <w:vAlign w:val="bottom"/>
          </w:tcPr>
          <w:p>
            <w:pPr>
              <w:spacing w:after="0"/>
              <w:rPr>
                <w:sz w:val="19"/>
                <w:szCs w:val="19"/>
                <w:color w:val="auto"/>
              </w:rPr>
            </w:pPr>
          </w:p>
        </w:tc>
        <w:tc>
          <w:tcPr>
            <w:tcW w:w="220" w:type="dxa"/>
            <w:vAlign w:val="bottom"/>
          </w:tcPr>
          <w:p>
            <w:pPr>
              <w:jc w:val="right"/>
              <w:ind w:right="31"/>
              <w:spacing w:after="0"/>
              <w:rPr>
                <w:sz w:val="20"/>
                <w:szCs w:val="20"/>
                <w:color w:val="auto"/>
              </w:rPr>
            </w:pPr>
            <w:r>
              <w:rPr>
                <w:rFonts w:ascii="Arial" w:cs="Arial" w:eastAsia="Arial" w:hAnsi="Arial"/>
                <w:sz w:val="18"/>
                <w:szCs w:val="18"/>
                <w:color w:val="auto"/>
                <w:w w:val="79"/>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2,835,188</w:t>
            </w:r>
          </w:p>
        </w:tc>
        <w:tc>
          <w:tcPr>
            <w:tcW w:w="360" w:type="dxa"/>
            <w:vAlign w:val="bottom"/>
          </w:tcPr>
          <w:p>
            <w:pPr>
              <w:spacing w:after="0"/>
              <w:rPr>
                <w:sz w:val="19"/>
                <w:szCs w:val="19"/>
                <w:color w:val="auto"/>
              </w:rPr>
            </w:pPr>
          </w:p>
        </w:tc>
        <w:tc>
          <w:tcPr>
            <w:tcW w:w="300" w:type="dxa"/>
            <w:vAlign w:val="bottom"/>
          </w:tcPr>
          <w:p>
            <w:pPr>
              <w:jc w:val="right"/>
              <w:ind w:right="145"/>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103,900</w:t>
            </w:r>
          </w:p>
        </w:tc>
        <w:tc>
          <w:tcPr>
            <w:tcW w:w="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5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Ratio of debt-to-capital</w:t>
            </w:r>
          </w:p>
        </w:tc>
        <w:tc>
          <w:tcPr>
            <w:tcW w:w="13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620" w:type="dxa"/>
            <w:vAlign w:val="bottom"/>
            <w:gridSpan w:val="2"/>
            <w:shd w:val="clear" w:color="auto" w:fill="CFF0FC"/>
          </w:tcPr>
          <w:p>
            <w:pPr>
              <w:jc w:val="right"/>
              <w:ind w:right="220"/>
              <w:spacing w:after="0"/>
              <w:rPr>
                <w:sz w:val="20"/>
                <w:szCs w:val="20"/>
                <w:color w:val="auto"/>
              </w:rPr>
            </w:pPr>
            <w:r>
              <w:rPr>
                <w:rFonts w:ascii="Arial" w:cs="Arial" w:eastAsia="Arial" w:hAnsi="Arial"/>
                <w:sz w:val="18"/>
                <w:szCs w:val="18"/>
                <w:color w:val="auto"/>
              </w:rPr>
              <w:t>42.3%</w:t>
            </w:r>
          </w:p>
        </w:tc>
        <w:tc>
          <w:tcPr>
            <w:tcW w:w="220" w:type="dxa"/>
            <w:vAlign w:val="bottom"/>
            <w:shd w:val="clear" w:color="auto" w:fill="CFF0FC"/>
          </w:tcPr>
          <w:p>
            <w:pPr>
              <w:spacing w:after="0"/>
              <w:rPr>
                <w:sz w:val="19"/>
                <w:szCs w:val="19"/>
                <w:color w:val="auto"/>
              </w:rPr>
            </w:pPr>
          </w:p>
        </w:tc>
        <w:tc>
          <w:tcPr>
            <w:tcW w:w="164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41.3%</w:t>
            </w:r>
          </w:p>
        </w:tc>
        <w:tc>
          <w:tcPr>
            <w:tcW w:w="300" w:type="dxa"/>
            <w:vAlign w:val="bottom"/>
            <w:shd w:val="clear" w:color="auto" w:fill="CFF0FC"/>
          </w:tcPr>
          <w:p>
            <w:pPr>
              <w:spacing w:after="0"/>
              <w:rPr>
                <w:sz w:val="19"/>
                <w:szCs w:val="19"/>
                <w:color w:val="auto"/>
              </w:rPr>
            </w:pPr>
          </w:p>
        </w:tc>
        <w:tc>
          <w:tcPr>
            <w:tcW w:w="144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4560" w:type="dxa"/>
            <w:vAlign w:val="bottom"/>
          </w:tcPr>
          <w:p>
            <w:pPr>
              <w:ind w:left="240"/>
              <w:spacing w:after="0"/>
              <w:rPr>
                <w:sz w:val="20"/>
                <w:szCs w:val="20"/>
                <w:color w:val="auto"/>
              </w:rPr>
            </w:pPr>
            <w:r>
              <w:rPr>
                <w:rFonts w:ascii="Arial" w:cs="Arial" w:eastAsia="Arial" w:hAnsi="Arial"/>
                <w:sz w:val="18"/>
                <w:szCs w:val="18"/>
                <w:color w:val="auto"/>
              </w:rPr>
              <w:t>Ratio of net debt-to-capital*</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39.4%</w:t>
            </w:r>
          </w:p>
        </w:tc>
        <w:tc>
          <w:tcPr>
            <w:tcW w:w="220" w:type="dxa"/>
            <w:vAlign w:val="bottom"/>
          </w:tcPr>
          <w:p>
            <w:pPr>
              <w:spacing w:after="0"/>
              <w:rPr>
                <w:sz w:val="19"/>
                <w:szCs w:val="19"/>
                <w:color w:val="auto"/>
              </w:rPr>
            </w:pPr>
          </w:p>
        </w:tc>
        <w:tc>
          <w:tcPr>
            <w:tcW w:w="1640" w:type="dxa"/>
            <w:vAlign w:val="bottom"/>
            <w:gridSpan w:val="2"/>
          </w:tcPr>
          <w:p>
            <w:pPr>
              <w:jc w:val="right"/>
              <w:ind w:right="200"/>
              <w:spacing w:after="0"/>
              <w:rPr>
                <w:sz w:val="20"/>
                <w:szCs w:val="20"/>
                <w:color w:val="auto"/>
              </w:rPr>
            </w:pPr>
            <w:r>
              <w:rPr>
                <w:rFonts w:ascii="Arial" w:cs="Arial" w:eastAsia="Arial" w:hAnsi="Arial"/>
                <w:sz w:val="18"/>
                <w:szCs w:val="18"/>
                <w:color w:val="auto"/>
              </w:rPr>
              <w:t>36.5%</w:t>
            </w:r>
          </w:p>
        </w:tc>
        <w:tc>
          <w:tcPr>
            <w:tcW w:w="300" w:type="dxa"/>
            <w:vAlign w:val="bottom"/>
          </w:tcPr>
          <w:p>
            <w:pPr>
              <w:spacing w:after="0"/>
              <w:rPr>
                <w:sz w:val="19"/>
                <w:szCs w:val="19"/>
                <w:color w:val="auto"/>
              </w:rPr>
            </w:pP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2.9%</w:t>
            </w:r>
          </w:p>
        </w:tc>
        <w:tc>
          <w:tcPr>
            <w:tcW w:w="0" w:type="dxa"/>
            <w:vAlign w:val="bottom"/>
          </w:tcPr>
          <w:p>
            <w:pPr>
              <w:spacing w:after="0"/>
              <w:rPr>
                <w:sz w:val="1"/>
                <w:szCs w:val="1"/>
                <w:color w:val="auto"/>
              </w:rPr>
            </w:pPr>
          </w:p>
        </w:tc>
      </w:tr>
      <w:tr>
        <w:trPr>
          <w:trHeight w:val="206"/>
        </w:trPr>
        <w:tc>
          <w:tcPr>
            <w:tcW w:w="4580" w:type="dxa"/>
            <w:vAlign w:val="bottom"/>
            <w:gridSpan w:val="2"/>
          </w:tcPr>
          <w:p>
            <w:pPr>
              <w:spacing w:after="0"/>
              <w:rPr>
                <w:sz w:val="20"/>
                <w:szCs w:val="20"/>
                <w:color w:val="auto"/>
              </w:rPr>
            </w:pPr>
            <w:r>
              <w:rPr>
                <w:rFonts w:ascii="Arial" w:cs="Arial" w:eastAsia="Arial" w:hAnsi="Arial"/>
                <w:sz w:val="16"/>
                <w:szCs w:val="16"/>
                <w:color w:val="auto"/>
              </w:rPr>
              <w:t>__________</w:t>
            </w:r>
          </w:p>
        </w:tc>
        <w:tc>
          <w:tcPr>
            <w:tcW w:w="13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520" w:hanging="512"/>
        <w:spacing w:after="0"/>
        <w:tabs>
          <w:tab w:leader="none" w:pos="520" w:val="left"/>
        </w:tabs>
        <w:numPr>
          <w:ilvl w:val="0"/>
          <w:numId w:val="5"/>
        </w:numPr>
        <w:rPr>
          <w:rFonts w:ascii="Arial" w:cs="Arial" w:eastAsia="Arial" w:hAnsi="Arial"/>
          <w:sz w:val="15"/>
          <w:szCs w:val="15"/>
          <w:color w:val="auto"/>
        </w:rPr>
      </w:pPr>
      <w:r>
        <w:rPr>
          <w:rFonts w:ascii="Arial" w:cs="Arial" w:eastAsia="Arial" w:hAnsi="Arial"/>
          <w:sz w:val="18"/>
          <w:szCs w:val="18"/>
          <w:color w:val="auto"/>
        </w:rPr>
        <w:t>Homes under construction includes completed homes</w:t>
      </w:r>
    </w:p>
    <w:p>
      <w:pPr>
        <w:spacing w:after="0" w:line="23" w:lineRule="exact"/>
        <w:rPr>
          <w:sz w:val="20"/>
          <w:szCs w:val="20"/>
          <w:color w:val="auto"/>
        </w:rPr>
      </w:pPr>
    </w:p>
    <w:p>
      <w:pPr>
        <w:ind w:left="520" w:hanging="512"/>
        <w:spacing w:after="0"/>
        <w:tabs>
          <w:tab w:leader="none" w:pos="5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See “Reconciliation of Non-GAAP Financial Measures”</w:t>
      </w: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56"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226060</wp:posOffset>
            </wp:positionV>
            <wp:extent cx="1946910" cy="3771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CONSOLIDATED BALANCE SHEETS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7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4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5"/>
              </w:rPr>
              <w:t>March 31,</w:t>
            </w:r>
          </w:p>
        </w:tc>
        <w:tc>
          <w:tcPr>
            <w:tcW w:w="180" w:type="dxa"/>
            <w:vAlign w:val="bottom"/>
          </w:tcPr>
          <w:p>
            <w:pPr>
              <w:spacing w:after="0"/>
              <w:rPr>
                <w:sz w:val="14"/>
                <w:szCs w:val="14"/>
                <w:color w:val="auto"/>
              </w:rPr>
            </w:pPr>
          </w:p>
        </w:tc>
        <w:tc>
          <w:tcPr>
            <w:tcW w:w="1340" w:type="dxa"/>
            <w:vAlign w:val="bottom"/>
            <w:gridSpan w:val="2"/>
          </w:tcPr>
          <w:p>
            <w:pPr>
              <w:ind w:left="10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020" w:type="dxa"/>
            <w:vAlign w:val="bottom"/>
            <w:tcBorders>
              <w:bottom w:val="single" w:sz="8" w:color="CFF0FC"/>
            </w:tcBorders>
          </w:tcPr>
          <w:p>
            <w:pPr>
              <w:spacing w:after="0"/>
              <w:rPr>
                <w:sz w:val="14"/>
                <w:szCs w:val="14"/>
                <w:color w:val="auto"/>
              </w:rPr>
            </w:pPr>
          </w:p>
        </w:tc>
        <w:tc>
          <w:tcPr>
            <w:tcW w:w="1200" w:type="dxa"/>
            <w:vAlign w:val="bottom"/>
            <w:tcBorders>
              <w:bottom w:val="single" w:sz="8" w:color="CFF0FC"/>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144"/>
              <w:spacing w:after="0"/>
              <w:rPr>
                <w:sz w:val="20"/>
                <w:szCs w:val="20"/>
                <w:color w:val="auto"/>
              </w:rPr>
            </w:pPr>
            <w:r>
              <w:rPr>
                <w:rFonts w:ascii="Arial" w:cs="Arial" w:eastAsia="Arial" w:hAnsi="Arial"/>
                <w:sz w:val="14"/>
                <w:szCs w:val="14"/>
                <w:b w:val="1"/>
                <w:bCs w:val="1"/>
                <w:color w:val="auto"/>
                <w:w w:val="89"/>
              </w:rPr>
              <w:t>2016</w:t>
            </w:r>
          </w:p>
        </w:tc>
        <w:tc>
          <w:tcPr>
            <w:tcW w:w="260" w:type="dxa"/>
            <w:vAlign w:val="bottom"/>
            <w:tcBorders>
              <w:bottom w:val="single" w:sz="8" w:color="CFF0FC"/>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240" w:type="dxa"/>
            <w:vAlign w:val="bottom"/>
            <w:tcBorders>
              <w:bottom w:val="single" w:sz="8" w:color="auto"/>
            </w:tcBorders>
          </w:tcPr>
          <w:p>
            <w:pPr>
              <w:jc w:val="right"/>
              <w:ind w:right="50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FF0FC"/>
            </w:tcBorders>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Assets</w:t>
            </w:r>
          </w:p>
        </w:tc>
        <w:tc>
          <w:tcPr>
            <w:tcW w:w="12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440" w:type="dxa"/>
            <w:vAlign w:val="bottom"/>
            <w:gridSpan w:val="2"/>
            <w:shd w:val="clear" w:color="auto" w:fill="CFF0FC"/>
          </w:tcPr>
          <w:p>
            <w:pPr>
              <w:jc w:val="center"/>
              <w:ind w:right="500"/>
              <w:spacing w:after="0"/>
              <w:rPr>
                <w:sz w:val="20"/>
                <w:szCs w:val="20"/>
                <w:color w:val="auto"/>
              </w:rPr>
            </w:pPr>
            <w:r>
              <w:rPr>
                <w:rFonts w:ascii="Arial" w:cs="Arial" w:eastAsia="Arial" w:hAnsi="Arial"/>
                <w:sz w:val="14"/>
                <w:szCs w:val="14"/>
                <w:color w:val="auto"/>
                <w:w w:val="93"/>
              </w:rPr>
              <w:t>(unaudited)</w:t>
            </w:r>
          </w:p>
        </w:tc>
        <w:tc>
          <w:tcPr>
            <w:tcW w:w="1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Cash and cash equivalents</w:t>
            </w:r>
          </w:p>
        </w:tc>
        <w:tc>
          <w:tcPr>
            <w:tcW w:w="142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144,019</w:t>
            </w:r>
          </w:p>
        </w:tc>
        <w:tc>
          <w:tcPr>
            <w:tcW w:w="260" w:type="dxa"/>
            <w:vAlign w:val="bottom"/>
          </w:tcPr>
          <w:p>
            <w:pPr>
              <w:spacing w:after="0"/>
              <w:rPr>
                <w:sz w:val="15"/>
                <w:szCs w:val="15"/>
                <w:color w:val="auto"/>
              </w:rPr>
            </w:pP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rPr>
                <w:sz w:val="20"/>
                <w:szCs w:val="20"/>
                <w:color w:val="auto"/>
              </w:rPr>
            </w:pPr>
            <w:r>
              <w:rPr>
                <w:rFonts w:ascii="Arial" w:cs="Arial" w:eastAsia="Arial" w:hAnsi="Arial"/>
                <w:sz w:val="15"/>
                <w:szCs w:val="15"/>
                <w:color w:val="auto"/>
              </w:rPr>
              <w:t>214,485</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Receivables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5"/>
                <w:szCs w:val="15"/>
                <w:color w:val="auto"/>
              </w:rPr>
              <w:t>32,688</w:t>
            </w: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43,710</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Real estate inventories</w:t>
            </w: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2,705,251</w:t>
            </w: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2,519,273</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Investments in unconsolidated entities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17,494</w:t>
            </w: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18,999</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Goodwill and other intangible assets, net</w:t>
            </w: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161,895</w:t>
            </w: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162,029</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Deferred tax assets, net</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126,812</w:t>
            </w: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130,657</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Borders>
              <w:bottom w:val="single" w:sz="8" w:color="CFF0FC"/>
            </w:tcBorders>
          </w:tcPr>
          <w:p>
            <w:pPr>
              <w:ind w:left="120"/>
              <w:spacing w:after="0"/>
              <w:rPr>
                <w:sz w:val="20"/>
                <w:szCs w:val="20"/>
                <w:color w:val="auto"/>
              </w:rPr>
            </w:pPr>
            <w:r>
              <w:rPr>
                <w:rFonts w:ascii="Arial" w:cs="Arial" w:eastAsia="Arial" w:hAnsi="Arial"/>
                <w:sz w:val="15"/>
                <w:szCs w:val="15"/>
                <w:color w:val="auto"/>
              </w:rPr>
              <w:t>Other assets</w:t>
            </w:r>
          </w:p>
        </w:tc>
        <w:tc>
          <w:tcPr>
            <w:tcW w:w="1200" w:type="dxa"/>
            <w:vAlign w:val="bottom"/>
            <w:tcBorders>
              <w:bottom w:val="single" w:sz="8" w:color="CFF0FC"/>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45,918</w:t>
            </w:r>
          </w:p>
        </w:tc>
        <w:tc>
          <w:tcPr>
            <w:tcW w:w="26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48,918</w:t>
            </w:r>
          </w:p>
        </w:tc>
        <w:tc>
          <w:tcPr>
            <w:tcW w:w="10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shd w:val="clear" w:color="auto" w:fill="CFF0FC"/>
          </w:tcPr>
          <w:p>
            <w:pPr>
              <w:ind w:left="360"/>
              <w:spacing w:after="0" w:line="169" w:lineRule="exact"/>
              <w:rPr>
                <w:sz w:val="20"/>
                <w:szCs w:val="20"/>
                <w:color w:val="auto"/>
              </w:rPr>
            </w:pPr>
            <w:r>
              <w:rPr>
                <w:rFonts w:ascii="Arial" w:cs="Arial" w:eastAsia="Arial" w:hAnsi="Arial"/>
                <w:sz w:val="15"/>
                <w:szCs w:val="15"/>
                <w:color w:val="auto"/>
              </w:rPr>
              <w:t>Total assets</w:t>
            </w:r>
          </w:p>
        </w:tc>
        <w:tc>
          <w:tcPr>
            <w:tcW w:w="1420" w:type="dxa"/>
            <w:vAlign w:val="bottom"/>
            <w:gridSpan w:val="2"/>
            <w:shd w:val="clear" w:color="auto" w:fill="CFF0FC"/>
          </w:tcPr>
          <w:p>
            <w:pPr>
              <w:jc w:val="right"/>
              <w:ind w:right="140"/>
              <w:spacing w:after="0" w:line="169" w:lineRule="exact"/>
              <w:rPr>
                <w:sz w:val="20"/>
                <w:szCs w:val="20"/>
                <w:color w:val="auto"/>
              </w:rPr>
            </w:pPr>
            <w:r>
              <w:rPr>
                <w:rFonts w:ascii="Arial" w:cs="Arial" w:eastAsia="Arial" w:hAnsi="Arial"/>
                <w:sz w:val="15"/>
                <w:szCs w:val="15"/>
                <w:color w:val="auto"/>
              </w:rPr>
              <w:t>$</w:t>
            </w:r>
          </w:p>
        </w:tc>
        <w:tc>
          <w:tcPr>
            <w:tcW w:w="118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3,234,077</w:t>
            </w: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jc w:val="right"/>
              <w:ind w:right="23"/>
              <w:spacing w:after="0" w:line="169" w:lineRule="exact"/>
              <w:rPr>
                <w:sz w:val="20"/>
                <w:szCs w:val="20"/>
                <w:color w:val="auto"/>
              </w:rPr>
            </w:pPr>
            <w:r>
              <w:rPr>
                <w:rFonts w:ascii="Arial" w:cs="Arial" w:eastAsia="Arial" w:hAnsi="Arial"/>
                <w:sz w:val="15"/>
                <w:szCs w:val="15"/>
                <w:color w:val="auto"/>
                <w:w w:val="71"/>
              </w:rPr>
              <w:t>$</w:t>
            </w:r>
          </w:p>
        </w:tc>
        <w:tc>
          <w:tcPr>
            <w:tcW w:w="124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3,138,071</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20" w:type="dxa"/>
            <w:vAlign w:val="bottom"/>
            <w:tcBorders>
              <w:top w:val="single" w:sz="8" w:color="CFF0FC"/>
            </w:tcBorders>
          </w:tcPr>
          <w:p>
            <w:pPr>
              <w:spacing w:after="0" w:line="20" w:lineRule="exact"/>
              <w:rPr>
                <w:sz w:val="1"/>
                <w:szCs w:val="1"/>
                <w:color w:val="auto"/>
              </w:rPr>
            </w:pPr>
          </w:p>
        </w:tc>
        <w:tc>
          <w:tcPr>
            <w:tcW w:w="120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20" w:type="dxa"/>
            <w:vAlign w:val="bottom"/>
            <w:vMerge w:val="restart"/>
          </w:tcPr>
          <w:p>
            <w:pPr>
              <w:spacing w:after="0"/>
              <w:rPr>
                <w:sz w:val="13"/>
                <w:szCs w:val="13"/>
                <w:color w:val="auto"/>
              </w:rPr>
            </w:pPr>
          </w:p>
        </w:tc>
        <w:tc>
          <w:tcPr>
            <w:tcW w:w="7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7020" w:type="dxa"/>
            <w:vAlign w:val="bottom"/>
            <w:shd w:val="clear" w:color="auto" w:fill="CFF0FC"/>
          </w:tcPr>
          <w:p>
            <w:pPr>
              <w:spacing w:after="0"/>
              <w:rPr>
                <w:sz w:val="20"/>
                <w:szCs w:val="20"/>
                <w:color w:val="auto"/>
              </w:rPr>
            </w:pPr>
            <w:r>
              <w:rPr>
                <w:rFonts w:ascii="Arial" w:cs="Arial" w:eastAsia="Arial" w:hAnsi="Arial"/>
                <w:sz w:val="15"/>
                <w:szCs w:val="15"/>
                <w:b w:val="1"/>
                <w:bCs w:val="1"/>
                <w:color w:val="auto"/>
              </w:rPr>
              <w:t>Liabilities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Accounts payable</w:t>
            </w:r>
          </w:p>
        </w:tc>
        <w:tc>
          <w:tcPr>
            <w:tcW w:w="142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1180" w:type="dxa"/>
            <w:vAlign w:val="bottom"/>
          </w:tcPr>
          <w:p>
            <w:pPr>
              <w:jc w:val="right"/>
              <w:spacing w:after="0"/>
              <w:rPr>
                <w:sz w:val="20"/>
                <w:szCs w:val="20"/>
                <w:color w:val="auto"/>
              </w:rPr>
            </w:pPr>
            <w:r>
              <w:rPr>
                <w:rFonts w:ascii="Arial" w:cs="Arial" w:eastAsia="Arial" w:hAnsi="Arial"/>
                <w:sz w:val="15"/>
                <w:szCs w:val="15"/>
                <w:color w:val="auto"/>
              </w:rPr>
              <w:t>67,601</w:t>
            </w:r>
          </w:p>
        </w:tc>
        <w:tc>
          <w:tcPr>
            <w:tcW w:w="260" w:type="dxa"/>
            <w:vAlign w:val="bottom"/>
          </w:tcPr>
          <w:p>
            <w:pPr>
              <w:spacing w:after="0"/>
              <w:rPr>
                <w:sz w:val="15"/>
                <w:szCs w:val="15"/>
                <w:color w:val="auto"/>
              </w:rPr>
            </w:pPr>
          </w:p>
        </w:tc>
        <w:tc>
          <w:tcPr>
            <w:tcW w:w="180" w:type="dxa"/>
            <w:vAlign w:val="bottom"/>
          </w:tcPr>
          <w:p>
            <w:pPr>
              <w:jc w:val="right"/>
              <w:ind w:right="23"/>
              <w:spacing w:after="0"/>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rPr>
                <w:sz w:val="20"/>
                <w:szCs w:val="20"/>
                <w:color w:val="auto"/>
              </w:rPr>
            </w:pPr>
            <w:r>
              <w:rPr>
                <w:rFonts w:ascii="Arial" w:cs="Arial" w:eastAsia="Arial" w:hAnsi="Arial"/>
                <w:sz w:val="15"/>
                <w:szCs w:val="15"/>
                <w:color w:val="auto"/>
              </w:rPr>
              <w:t>64,840</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Accrued expenses and other liabilities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201,302</w:t>
            </w: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216,263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Unsecured revolving credit facility</w:t>
            </w: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374,392</w:t>
            </w: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299,392</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Seller financed loans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4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2,434</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Borders>
              <w:bottom w:val="single" w:sz="8" w:color="CFF0FC"/>
            </w:tcBorders>
          </w:tcPr>
          <w:p>
            <w:pPr>
              <w:ind w:left="120"/>
              <w:spacing w:after="0"/>
              <w:rPr>
                <w:sz w:val="20"/>
                <w:szCs w:val="20"/>
                <w:color w:val="auto"/>
              </w:rPr>
            </w:pPr>
            <w:r>
              <w:rPr>
                <w:rFonts w:ascii="Arial" w:cs="Arial" w:eastAsia="Arial" w:hAnsi="Arial"/>
                <w:sz w:val="15"/>
                <w:szCs w:val="15"/>
                <w:color w:val="auto"/>
              </w:rPr>
              <w:t>Senior notes</w:t>
            </w:r>
          </w:p>
        </w:tc>
        <w:tc>
          <w:tcPr>
            <w:tcW w:w="1200" w:type="dxa"/>
            <w:vAlign w:val="bottom"/>
            <w:tcBorders>
              <w:bottom w:val="single" w:sz="8" w:color="CFF0FC"/>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869,939</w:t>
            </w:r>
          </w:p>
        </w:tc>
        <w:tc>
          <w:tcPr>
            <w:tcW w:w="26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868,679</w:t>
            </w:r>
          </w:p>
        </w:tc>
        <w:tc>
          <w:tcPr>
            <w:tcW w:w="10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shd w:val="clear" w:color="auto" w:fill="CFF0FC"/>
          </w:tcPr>
          <w:p>
            <w:pPr>
              <w:ind w:left="360"/>
              <w:spacing w:after="0" w:line="169" w:lineRule="exact"/>
              <w:rPr>
                <w:sz w:val="20"/>
                <w:szCs w:val="20"/>
                <w:color w:val="auto"/>
              </w:rPr>
            </w:pPr>
            <w:r>
              <w:rPr>
                <w:rFonts w:ascii="Arial" w:cs="Arial" w:eastAsia="Arial" w:hAnsi="Arial"/>
                <w:sz w:val="15"/>
                <w:szCs w:val="15"/>
                <w:color w:val="auto"/>
              </w:rPr>
              <w:t>Total liabilities</w:t>
            </w:r>
          </w:p>
        </w:tc>
        <w:tc>
          <w:tcPr>
            <w:tcW w:w="1200" w:type="dxa"/>
            <w:vAlign w:val="bottom"/>
            <w:shd w:val="clear" w:color="auto" w:fill="CFF0FC"/>
          </w:tcPr>
          <w:p>
            <w:pPr>
              <w:spacing w:after="0"/>
              <w:rPr>
                <w:sz w:val="14"/>
                <w:szCs w:val="14"/>
                <w:color w:val="auto"/>
              </w:rPr>
            </w:pPr>
          </w:p>
        </w:tc>
        <w:tc>
          <w:tcPr>
            <w:tcW w:w="220" w:type="dxa"/>
            <w:vAlign w:val="bottom"/>
            <w:tcBorders>
              <w:bottom w:val="single" w:sz="8" w:color="auto"/>
            </w:tcBorders>
            <w:shd w:val="clear" w:color="auto" w:fill="CFF0FC"/>
          </w:tcPr>
          <w:p>
            <w:pPr>
              <w:spacing w:after="0"/>
              <w:rPr>
                <w:sz w:val="14"/>
                <w:szCs w:val="14"/>
                <w:color w:val="auto"/>
              </w:rPr>
            </w:pPr>
          </w:p>
        </w:tc>
        <w:tc>
          <w:tcPr>
            <w:tcW w:w="118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1,513,234</w:t>
            </w:r>
          </w:p>
        </w:tc>
        <w:tc>
          <w:tcPr>
            <w:tcW w:w="260" w:type="dxa"/>
            <w:vAlign w:val="bottom"/>
            <w:shd w:val="clear" w:color="auto" w:fill="CFF0FC"/>
          </w:tcPr>
          <w:p>
            <w:pPr>
              <w:spacing w:after="0"/>
              <w:rPr>
                <w:sz w:val="14"/>
                <w:szCs w:val="14"/>
                <w:color w:val="auto"/>
              </w:rPr>
            </w:pPr>
          </w:p>
        </w:tc>
        <w:tc>
          <w:tcPr>
            <w:tcW w:w="180" w:type="dxa"/>
            <w:vAlign w:val="bottom"/>
            <w:tcBorders>
              <w:bottom w:val="single" w:sz="8" w:color="auto"/>
            </w:tcBorders>
            <w:shd w:val="clear" w:color="auto" w:fill="CFF0FC"/>
          </w:tcPr>
          <w:p>
            <w:pPr>
              <w:spacing w:after="0"/>
              <w:rPr>
                <w:sz w:val="14"/>
                <w:szCs w:val="14"/>
                <w:color w:val="auto"/>
              </w:rPr>
            </w:pPr>
          </w:p>
        </w:tc>
        <w:tc>
          <w:tcPr>
            <w:tcW w:w="124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1,451,608</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120"/>
              <w:spacing w:after="0"/>
              <w:rPr>
                <w:sz w:val="20"/>
                <w:szCs w:val="20"/>
                <w:color w:val="auto"/>
              </w:rPr>
            </w:pPr>
            <w:r>
              <w:rPr>
                <w:rFonts w:ascii="Arial" w:cs="Arial" w:eastAsia="Arial" w:hAnsi="Arial"/>
                <w:sz w:val="15"/>
                <w:szCs w:val="15"/>
                <w:color w:val="auto"/>
              </w:rPr>
              <w:t>Commitments and contingencies</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vMerge w:val="restart"/>
          </w:tcPr>
          <w:p>
            <w:pPr>
              <w:spacing w:after="0"/>
              <w:rPr>
                <w:sz w:val="15"/>
                <w:szCs w:val="15"/>
                <w:color w:val="auto"/>
              </w:rPr>
            </w:pPr>
          </w:p>
        </w:tc>
        <w:tc>
          <w:tcPr>
            <w:tcW w:w="7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7020" w:type="dxa"/>
            <w:vAlign w:val="bottom"/>
            <w:shd w:val="clear" w:color="auto" w:fill="CFF0FC"/>
          </w:tcPr>
          <w:p>
            <w:pPr>
              <w:spacing w:after="0"/>
              <w:rPr>
                <w:sz w:val="20"/>
                <w:szCs w:val="20"/>
                <w:color w:val="auto"/>
              </w:rPr>
            </w:pPr>
            <w:r>
              <w:rPr>
                <w:rFonts w:ascii="Arial" w:cs="Arial" w:eastAsia="Arial" w:hAnsi="Arial"/>
                <w:sz w:val="15"/>
                <w:szCs w:val="15"/>
                <w:b w:val="1"/>
                <w:bCs w:val="1"/>
                <w:color w:val="auto"/>
              </w:rPr>
              <w:t>Equity</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spacing w:after="0"/>
              <w:rPr>
                <w:sz w:val="15"/>
                <w:szCs w:val="15"/>
                <w:color w:val="auto"/>
              </w:rPr>
            </w:pP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Pr>
          <w:p>
            <w:pPr>
              <w:ind w:left="120"/>
              <w:spacing w:after="0"/>
              <w:rPr>
                <w:sz w:val="20"/>
                <w:szCs w:val="20"/>
                <w:color w:val="auto"/>
              </w:rPr>
            </w:pPr>
            <w:r>
              <w:rPr>
                <w:rFonts w:ascii="Arial" w:cs="Arial" w:eastAsia="Arial" w:hAnsi="Arial"/>
                <w:sz w:val="15"/>
                <w:szCs w:val="15"/>
                <w:color w:val="auto"/>
              </w:rPr>
              <w:t>Stockholders' Equity:</w:t>
            </w: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020" w:type="dxa"/>
            <w:vAlign w:val="bottom"/>
            <w:shd w:val="clear" w:color="auto" w:fill="CFF0FC"/>
          </w:tcPr>
          <w:p>
            <w:pPr>
              <w:ind w:left="240"/>
              <w:spacing w:after="0" w:line="162" w:lineRule="exact"/>
              <w:rPr>
                <w:sz w:val="20"/>
                <w:szCs w:val="20"/>
                <w:color w:val="auto"/>
              </w:rPr>
            </w:pPr>
            <w:r>
              <w:rPr>
                <w:rFonts w:ascii="Arial" w:cs="Arial" w:eastAsia="Arial" w:hAnsi="Arial"/>
                <w:sz w:val="15"/>
                <w:szCs w:val="15"/>
                <w:color w:val="auto"/>
              </w:rPr>
              <w:t>Preferred stock, $0.01 par value, 50,000,000 shares authorized;</w:t>
            </w:r>
          </w:p>
        </w:tc>
        <w:tc>
          <w:tcPr>
            <w:tcW w:w="12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180" w:type="dxa"/>
            <w:vAlign w:val="bottom"/>
            <w:shd w:val="clear" w:color="auto" w:fill="CFF0FC"/>
          </w:tcPr>
          <w:p>
            <w:pPr>
              <w:spacing w:after="0"/>
              <w:rPr>
                <w:sz w:val="14"/>
                <w:szCs w:val="14"/>
                <w:color w:val="auto"/>
              </w:rPr>
            </w:pP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020" w:type="dxa"/>
            <w:vAlign w:val="bottom"/>
            <w:shd w:val="clear" w:color="auto" w:fill="CFF0FC"/>
          </w:tcPr>
          <w:p>
            <w:pPr>
              <w:ind w:left="340"/>
              <w:spacing w:after="0"/>
              <w:rPr>
                <w:sz w:val="20"/>
                <w:szCs w:val="20"/>
                <w:color w:val="auto"/>
              </w:rPr>
            </w:pPr>
            <w:r>
              <w:rPr>
                <w:rFonts w:ascii="Arial" w:cs="Arial" w:eastAsia="Arial" w:hAnsi="Arial"/>
                <w:sz w:val="15"/>
                <w:szCs w:val="15"/>
                <w:color w:val="auto"/>
              </w:rPr>
              <w:t>no shares issued and outstanding at March 31, 2016 and December 31, 2015, respectively</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440" w:type="dxa"/>
            <w:vAlign w:val="bottom"/>
            <w:gridSpan w:val="2"/>
            <w:shd w:val="clear" w:color="auto" w:fill="CFF0FC"/>
          </w:tcPr>
          <w:p>
            <w:pPr>
              <w:jc w:val="right"/>
              <w:ind w:right="280"/>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1340" w:type="dxa"/>
            <w:vAlign w:val="bottom"/>
            <w:gridSpan w:val="2"/>
            <w:shd w:val="clear" w:color="auto" w:fill="CFF0FC"/>
          </w:tcPr>
          <w:p>
            <w:pPr>
              <w:jc w:val="right"/>
              <w:ind w:right="120"/>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020" w:type="dxa"/>
            <w:vAlign w:val="bottom"/>
          </w:tcPr>
          <w:p>
            <w:pPr>
              <w:ind w:left="240"/>
              <w:spacing w:after="0" w:line="162" w:lineRule="exact"/>
              <w:rPr>
                <w:sz w:val="20"/>
                <w:szCs w:val="20"/>
                <w:color w:val="auto"/>
              </w:rPr>
            </w:pPr>
            <w:r>
              <w:rPr>
                <w:rFonts w:ascii="Arial" w:cs="Arial" w:eastAsia="Arial" w:hAnsi="Arial"/>
                <w:sz w:val="15"/>
                <w:szCs w:val="15"/>
                <w:color w:val="auto"/>
              </w:rPr>
              <w:t>Common stock, $0.01 par value, 500,000,000 shares authorized;</w:t>
            </w: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020" w:type="dxa"/>
            <w:vAlign w:val="bottom"/>
          </w:tcPr>
          <w:p>
            <w:pPr>
              <w:ind w:left="340"/>
              <w:spacing w:after="0" w:line="162" w:lineRule="exact"/>
              <w:rPr>
                <w:sz w:val="20"/>
                <w:szCs w:val="20"/>
                <w:color w:val="auto"/>
              </w:rPr>
            </w:pPr>
            <w:r>
              <w:rPr>
                <w:rFonts w:ascii="Arial" w:cs="Arial" w:eastAsia="Arial" w:hAnsi="Arial"/>
                <w:sz w:val="15"/>
                <w:szCs w:val="15"/>
                <w:color w:val="auto"/>
              </w:rPr>
              <w:t>162,007,850 and 161,813,750 shares issued and outstanding</w:t>
            </w:r>
          </w:p>
        </w:tc>
        <w:tc>
          <w:tcPr>
            <w:tcW w:w="1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020" w:type="dxa"/>
            <w:vAlign w:val="bottom"/>
          </w:tcPr>
          <w:p>
            <w:pPr>
              <w:ind w:left="340"/>
              <w:spacing w:after="0"/>
              <w:rPr>
                <w:sz w:val="20"/>
                <w:szCs w:val="20"/>
                <w:color w:val="auto"/>
              </w:rPr>
            </w:pPr>
            <w:r>
              <w:rPr>
                <w:rFonts w:ascii="Arial" w:cs="Arial" w:eastAsia="Arial" w:hAnsi="Arial"/>
                <w:sz w:val="15"/>
                <w:szCs w:val="15"/>
                <w:color w:val="auto"/>
              </w:rPr>
              <w:t>at March 31, 2016 and December 31, 2015, respectively</w:t>
            </w: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80" w:type="dxa"/>
            <w:vAlign w:val="bottom"/>
          </w:tcPr>
          <w:p>
            <w:pPr>
              <w:jc w:val="right"/>
              <w:spacing w:after="0"/>
              <w:rPr>
                <w:sz w:val="20"/>
                <w:szCs w:val="20"/>
                <w:color w:val="auto"/>
              </w:rPr>
            </w:pPr>
            <w:r>
              <w:rPr>
                <w:rFonts w:ascii="Arial" w:cs="Arial" w:eastAsia="Arial" w:hAnsi="Arial"/>
                <w:sz w:val="15"/>
                <w:szCs w:val="15"/>
                <w:color w:val="auto"/>
              </w:rPr>
              <w:t>1,620</w:t>
            </w:r>
          </w:p>
        </w:tc>
        <w:tc>
          <w:tcPr>
            <w:tcW w:w="2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1,618</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shd w:val="clear" w:color="auto" w:fill="CFF0FC"/>
          </w:tcPr>
          <w:p>
            <w:pPr>
              <w:ind w:left="240"/>
              <w:spacing w:after="0"/>
              <w:rPr>
                <w:sz w:val="20"/>
                <w:szCs w:val="20"/>
                <w:color w:val="auto"/>
              </w:rPr>
            </w:pPr>
            <w:r>
              <w:rPr>
                <w:rFonts w:ascii="Arial" w:cs="Arial" w:eastAsia="Arial" w:hAnsi="Arial"/>
                <w:sz w:val="15"/>
                <w:szCs w:val="15"/>
                <w:color w:val="auto"/>
              </w:rPr>
              <w:t>Additional paid-in capital</w:t>
            </w:r>
          </w:p>
        </w:tc>
        <w:tc>
          <w:tcPr>
            <w:tcW w:w="1200" w:type="dxa"/>
            <w:vAlign w:val="bottom"/>
            <w:shd w:val="clear" w:color="auto" w:fill="CFF0FC"/>
          </w:tcPr>
          <w:p>
            <w:pPr>
              <w:spacing w:after="0"/>
              <w:rPr>
                <w:sz w:val="15"/>
                <w:szCs w:val="15"/>
                <w:color w:val="auto"/>
              </w:rPr>
            </w:pPr>
          </w:p>
        </w:tc>
        <w:tc>
          <w:tcPr>
            <w:tcW w:w="220" w:type="dxa"/>
            <w:vAlign w:val="bottom"/>
            <w:shd w:val="clear" w:color="auto" w:fill="CFF0FC"/>
          </w:tcPr>
          <w:p>
            <w:pPr>
              <w:spacing w:after="0"/>
              <w:rPr>
                <w:sz w:val="15"/>
                <w:szCs w:val="15"/>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5"/>
                <w:szCs w:val="15"/>
                <w:color w:val="auto"/>
              </w:rPr>
              <w:t>912,719</w:t>
            </w:r>
          </w:p>
        </w:tc>
        <w:tc>
          <w:tcPr>
            <w:tcW w:w="2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5"/>
                <w:szCs w:val="15"/>
                <w:color w:val="auto"/>
              </w:rPr>
              <w:t>911,197</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Borders>
              <w:bottom w:val="single" w:sz="8" w:color="CFF0FC"/>
            </w:tcBorders>
          </w:tcPr>
          <w:p>
            <w:pPr>
              <w:ind w:left="240"/>
              <w:spacing w:after="0"/>
              <w:rPr>
                <w:sz w:val="20"/>
                <w:szCs w:val="20"/>
                <w:color w:val="auto"/>
              </w:rPr>
            </w:pPr>
            <w:r>
              <w:rPr>
                <w:rFonts w:ascii="Arial" w:cs="Arial" w:eastAsia="Arial" w:hAnsi="Arial"/>
                <w:sz w:val="15"/>
                <w:szCs w:val="15"/>
                <w:color w:val="auto"/>
              </w:rPr>
              <w:t>Retained earnings</w:t>
            </w:r>
          </w:p>
        </w:tc>
        <w:tc>
          <w:tcPr>
            <w:tcW w:w="1200" w:type="dxa"/>
            <w:vAlign w:val="bottom"/>
            <w:tcBorders>
              <w:bottom w:val="single" w:sz="8" w:color="CFF0FC"/>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780,418</w:t>
            </w:r>
          </w:p>
        </w:tc>
        <w:tc>
          <w:tcPr>
            <w:tcW w:w="26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751,868</w:t>
            </w:r>
          </w:p>
        </w:tc>
        <w:tc>
          <w:tcPr>
            <w:tcW w:w="10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shd w:val="clear" w:color="auto" w:fill="CFF0FC"/>
          </w:tcPr>
          <w:p>
            <w:pPr>
              <w:ind w:left="240"/>
              <w:spacing w:after="0" w:line="169" w:lineRule="exact"/>
              <w:rPr>
                <w:sz w:val="20"/>
                <w:szCs w:val="20"/>
                <w:color w:val="auto"/>
              </w:rPr>
            </w:pPr>
            <w:r>
              <w:rPr>
                <w:rFonts w:ascii="Arial" w:cs="Arial" w:eastAsia="Arial" w:hAnsi="Arial"/>
                <w:sz w:val="15"/>
                <w:szCs w:val="15"/>
                <w:color w:val="auto"/>
              </w:rPr>
              <w:t>Total stockholders' equity</w:t>
            </w:r>
          </w:p>
        </w:tc>
        <w:tc>
          <w:tcPr>
            <w:tcW w:w="1200" w:type="dxa"/>
            <w:vAlign w:val="bottom"/>
            <w:shd w:val="clear" w:color="auto" w:fill="CFF0FC"/>
          </w:tcPr>
          <w:p>
            <w:pPr>
              <w:spacing w:after="0"/>
              <w:rPr>
                <w:sz w:val="14"/>
                <w:szCs w:val="14"/>
                <w:color w:val="auto"/>
              </w:rPr>
            </w:pPr>
          </w:p>
        </w:tc>
        <w:tc>
          <w:tcPr>
            <w:tcW w:w="220" w:type="dxa"/>
            <w:vAlign w:val="bottom"/>
            <w:shd w:val="clear" w:color="auto" w:fill="CFF0FC"/>
          </w:tcPr>
          <w:p>
            <w:pPr>
              <w:spacing w:after="0"/>
              <w:rPr>
                <w:sz w:val="14"/>
                <w:szCs w:val="14"/>
                <w:color w:val="auto"/>
              </w:rPr>
            </w:pPr>
          </w:p>
        </w:tc>
        <w:tc>
          <w:tcPr>
            <w:tcW w:w="118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1,694,757</w:t>
            </w:r>
          </w:p>
        </w:tc>
        <w:tc>
          <w:tcPr>
            <w:tcW w:w="2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40" w:type="dxa"/>
            <w:vAlign w:val="bottom"/>
            <w:shd w:val="clear" w:color="auto" w:fill="CFF0FC"/>
          </w:tcPr>
          <w:p>
            <w:pPr>
              <w:jc w:val="right"/>
              <w:spacing w:after="0" w:line="169" w:lineRule="exact"/>
              <w:rPr>
                <w:sz w:val="20"/>
                <w:szCs w:val="20"/>
                <w:color w:val="auto"/>
              </w:rPr>
            </w:pPr>
            <w:r>
              <w:rPr>
                <w:rFonts w:ascii="Arial" w:cs="Arial" w:eastAsia="Arial" w:hAnsi="Arial"/>
                <w:sz w:val="15"/>
                <w:szCs w:val="15"/>
                <w:color w:val="auto"/>
              </w:rPr>
              <w:t>1,664,683</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020" w:type="dxa"/>
            <w:vAlign w:val="bottom"/>
            <w:tcBorders>
              <w:bottom w:val="single" w:sz="8" w:color="CFF0FC"/>
            </w:tcBorders>
          </w:tcPr>
          <w:p>
            <w:pPr>
              <w:ind w:left="240"/>
              <w:spacing w:after="0"/>
              <w:rPr>
                <w:sz w:val="20"/>
                <w:szCs w:val="20"/>
                <w:color w:val="auto"/>
              </w:rPr>
            </w:pPr>
            <w:r>
              <w:rPr>
                <w:rFonts w:ascii="Arial" w:cs="Arial" w:eastAsia="Arial" w:hAnsi="Arial"/>
                <w:sz w:val="15"/>
                <w:szCs w:val="15"/>
                <w:color w:val="auto"/>
              </w:rPr>
              <w:t>Noncontrolling interests</w:t>
            </w:r>
          </w:p>
        </w:tc>
        <w:tc>
          <w:tcPr>
            <w:tcW w:w="1200" w:type="dxa"/>
            <w:vAlign w:val="bottom"/>
            <w:tcBorders>
              <w:bottom w:val="single" w:sz="8" w:color="CFF0FC"/>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26,086</w:t>
            </w:r>
          </w:p>
        </w:tc>
        <w:tc>
          <w:tcPr>
            <w:tcW w:w="260" w:type="dxa"/>
            <w:vAlign w:val="bottom"/>
            <w:tcBorders>
              <w:bottom w:val="single" w:sz="8" w:color="CFF0FC"/>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21,780</w:t>
            </w:r>
          </w:p>
        </w:tc>
        <w:tc>
          <w:tcPr>
            <w:tcW w:w="100" w:type="dxa"/>
            <w:vAlign w:val="bottom"/>
            <w:tcBorders>
              <w:bottom w:val="single" w:sz="8" w:color="CFF0FC"/>
            </w:tcBorders>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shd w:val="clear" w:color="auto" w:fill="CFF0FC"/>
          </w:tcPr>
          <w:p>
            <w:pPr>
              <w:ind w:left="480"/>
              <w:spacing w:after="0" w:line="169" w:lineRule="exact"/>
              <w:rPr>
                <w:sz w:val="20"/>
                <w:szCs w:val="20"/>
                <w:color w:val="auto"/>
              </w:rPr>
            </w:pPr>
            <w:r>
              <w:rPr>
                <w:rFonts w:ascii="Arial" w:cs="Arial" w:eastAsia="Arial" w:hAnsi="Arial"/>
                <w:sz w:val="15"/>
                <w:szCs w:val="15"/>
                <w:color w:val="auto"/>
              </w:rPr>
              <w:t>Total equity</w:t>
            </w:r>
          </w:p>
        </w:tc>
        <w:tc>
          <w:tcPr>
            <w:tcW w:w="1200" w:type="dxa"/>
            <w:vAlign w:val="bottom"/>
            <w:shd w:val="clear" w:color="auto" w:fill="CFF0FC"/>
          </w:tcPr>
          <w:p>
            <w:pPr>
              <w:spacing w:after="0"/>
              <w:rPr>
                <w:sz w:val="14"/>
                <w:szCs w:val="14"/>
                <w:color w:val="auto"/>
              </w:rPr>
            </w:pPr>
          </w:p>
        </w:tc>
        <w:tc>
          <w:tcPr>
            <w:tcW w:w="220" w:type="dxa"/>
            <w:vAlign w:val="bottom"/>
            <w:tcBorders>
              <w:bottom w:val="single" w:sz="8" w:color="auto"/>
            </w:tcBorders>
            <w:shd w:val="clear" w:color="auto" w:fill="CFF0FC"/>
          </w:tcPr>
          <w:p>
            <w:pPr>
              <w:spacing w:after="0"/>
              <w:rPr>
                <w:sz w:val="14"/>
                <w:szCs w:val="14"/>
                <w:color w:val="auto"/>
              </w:rPr>
            </w:pPr>
          </w:p>
        </w:tc>
        <w:tc>
          <w:tcPr>
            <w:tcW w:w="118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1,720,843</w:t>
            </w:r>
          </w:p>
        </w:tc>
        <w:tc>
          <w:tcPr>
            <w:tcW w:w="260" w:type="dxa"/>
            <w:vAlign w:val="bottom"/>
            <w:shd w:val="clear" w:color="auto" w:fill="CFF0FC"/>
          </w:tcPr>
          <w:p>
            <w:pPr>
              <w:spacing w:after="0"/>
              <w:rPr>
                <w:sz w:val="14"/>
                <w:szCs w:val="14"/>
                <w:color w:val="auto"/>
              </w:rPr>
            </w:pPr>
          </w:p>
        </w:tc>
        <w:tc>
          <w:tcPr>
            <w:tcW w:w="180" w:type="dxa"/>
            <w:vAlign w:val="bottom"/>
            <w:tcBorders>
              <w:bottom w:val="single" w:sz="8" w:color="auto"/>
            </w:tcBorders>
            <w:shd w:val="clear" w:color="auto" w:fill="CFF0FC"/>
          </w:tcPr>
          <w:p>
            <w:pPr>
              <w:spacing w:after="0"/>
              <w:rPr>
                <w:sz w:val="14"/>
                <w:szCs w:val="14"/>
                <w:color w:val="auto"/>
              </w:rPr>
            </w:pPr>
          </w:p>
        </w:tc>
        <w:tc>
          <w:tcPr>
            <w:tcW w:w="1240" w:type="dxa"/>
            <w:vAlign w:val="bottom"/>
            <w:tcBorders>
              <w:bottom w:val="single" w:sz="8" w:color="auto"/>
            </w:tcBorders>
            <w:shd w:val="clear" w:color="auto" w:fill="CFF0FC"/>
          </w:tcPr>
          <w:p>
            <w:pPr>
              <w:jc w:val="right"/>
              <w:spacing w:after="0" w:line="169" w:lineRule="exact"/>
              <w:rPr>
                <w:sz w:val="20"/>
                <w:szCs w:val="20"/>
                <w:color w:val="auto"/>
              </w:rPr>
            </w:pPr>
            <w:r>
              <w:rPr>
                <w:rFonts w:ascii="Arial" w:cs="Arial" w:eastAsia="Arial" w:hAnsi="Arial"/>
                <w:sz w:val="15"/>
                <w:szCs w:val="15"/>
                <w:color w:val="auto"/>
              </w:rPr>
              <w:t>1,686,463</w:t>
            </w: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020" w:type="dxa"/>
            <w:vAlign w:val="bottom"/>
          </w:tcPr>
          <w:p>
            <w:pPr>
              <w:ind w:left="240"/>
              <w:spacing w:after="0" w:line="169" w:lineRule="exact"/>
              <w:rPr>
                <w:sz w:val="20"/>
                <w:szCs w:val="20"/>
                <w:color w:val="auto"/>
              </w:rPr>
            </w:pPr>
            <w:r>
              <w:rPr>
                <w:rFonts w:ascii="Arial" w:cs="Arial" w:eastAsia="Arial" w:hAnsi="Arial"/>
                <w:sz w:val="15"/>
                <w:szCs w:val="15"/>
                <w:color w:val="auto"/>
              </w:rPr>
              <w:t>Total liabilities and equity</w:t>
            </w:r>
          </w:p>
        </w:tc>
        <w:tc>
          <w:tcPr>
            <w:tcW w:w="1420" w:type="dxa"/>
            <w:vAlign w:val="bottom"/>
            <w:gridSpan w:val="2"/>
          </w:tcPr>
          <w:p>
            <w:pPr>
              <w:jc w:val="right"/>
              <w:ind w:right="140"/>
              <w:spacing w:after="0" w:line="169" w:lineRule="exact"/>
              <w:rPr>
                <w:sz w:val="20"/>
                <w:szCs w:val="20"/>
                <w:color w:val="auto"/>
              </w:rPr>
            </w:pPr>
            <w:r>
              <w:rPr>
                <w:rFonts w:ascii="Arial" w:cs="Arial" w:eastAsia="Arial" w:hAnsi="Arial"/>
                <w:sz w:val="15"/>
                <w:szCs w:val="15"/>
                <w:color w:val="auto"/>
              </w:rPr>
              <w:t>$</w:t>
            </w:r>
          </w:p>
        </w:tc>
        <w:tc>
          <w:tcPr>
            <w:tcW w:w="1180" w:type="dxa"/>
            <w:vAlign w:val="bottom"/>
          </w:tcPr>
          <w:p>
            <w:pPr>
              <w:jc w:val="right"/>
              <w:spacing w:after="0" w:line="169" w:lineRule="exact"/>
              <w:rPr>
                <w:sz w:val="20"/>
                <w:szCs w:val="20"/>
                <w:color w:val="auto"/>
              </w:rPr>
            </w:pPr>
            <w:r>
              <w:rPr>
                <w:rFonts w:ascii="Arial" w:cs="Arial" w:eastAsia="Arial" w:hAnsi="Arial"/>
                <w:sz w:val="15"/>
                <w:szCs w:val="15"/>
                <w:color w:val="auto"/>
              </w:rPr>
              <w:t>3,234,077</w:t>
            </w:r>
          </w:p>
        </w:tc>
        <w:tc>
          <w:tcPr>
            <w:tcW w:w="260" w:type="dxa"/>
            <w:vAlign w:val="bottom"/>
          </w:tcPr>
          <w:p>
            <w:pPr>
              <w:spacing w:after="0"/>
              <w:rPr>
                <w:sz w:val="14"/>
                <w:szCs w:val="14"/>
                <w:color w:val="auto"/>
              </w:rPr>
            </w:pPr>
          </w:p>
        </w:tc>
        <w:tc>
          <w:tcPr>
            <w:tcW w:w="180" w:type="dxa"/>
            <w:vAlign w:val="bottom"/>
          </w:tcPr>
          <w:p>
            <w:pPr>
              <w:jc w:val="right"/>
              <w:ind w:right="23"/>
              <w:spacing w:after="0" w:line="169" w:lineRule="exact"/>
              <w:rPr>
                <w:sz w:val="20"/>
                <w:szCs w:val="20"/>
                <w:color w:val="auto"/>
              </w:rPr>
            </w:pPr>
            <w:r>
              <w:rPr>
                <w:rFonts w:ascii="Arial" w:cs="Arial" w:eastAsia="Arial" w:hAnsi="Arial"/>
                <w:sz w:val="15"/>
                <w:szCs w:val="15"/>
                <w:color w:val="auto"/>
                <w:w w:val="71"/>
              </w:rPr>
              <w:t>$</w:t>
            </w:r>
          </w:p>
        </w:tc>
        <w:tc>
          <w:tcPr>
            <w:tcW w:w="1240" w:type="dxa"/>
            <w:vAlign w:val="bottom"/>
          </w:tcPr>
          <w:p>
            <w:pPr>
              <w:jc w:val="right"/>
              <w:spacing w:after="0" w:line="169" w:lineRule="exact"/>
              <w:rPr>
                <w:sz w:val="20"/>
                <w:szCs w:val="20"/>
                <w:color w:val="auto"/>
              </w:rPr>
            </w:pPr>
            <w:r>
              <w:rPr>
                <w:rFonts w:ascii="Arial" w:cs="Arial" w:eastAsia="Arial" w:hAnsi="Arial"/>
                <w:sz w:val="15"/>
                <w:szCs w:val="15"/>
                <w:color w:val="auto"/>
              </w:rPr>
              <w:t>3,138,071</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48"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226060</wp:posOffset>
            </wp:positionV>
            <wp:extent cx="1946910" cy="3771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CONSOLIDATED STATEMENT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except share and per share amounts)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21" w:lineRule="exact"/>
        <w:rPr>
          <w:sz w:val="20"/>
          <w:szCs w:val="20"/>
          <w:color w:val="auto"/>
        </w:rPr>
      </w:pPr>
    </w:p>
    <w:p>
      <w:pPr>
        <w:jc w:val="center"/>
        <w:ind w:left="7780"/>
        <w:spacing w:after="0"/>
        <w:rPr>
          <w:sz w:val="20"/>
          <w:szCs w:val="20"/>
          <w:color w:val="auto"/>
        </w:rPr>
      </w:pPr>
      <w:r>
        <w:rPr>
          <w:rFonts w:ascii="Arial" w:cs="Arial" w:eastAsia="Arial" w:hAnsi="Arial"/>
          <w:sz w:val="14"/>
          <w:szCs w:val="14"/>
          <w:b w:val="1"/>
          <w:bCs w:val="1"/>
          <w:color w:val="auto"/>
        </w:rPr>
        <w:t>Three Months Ended</w:t>
      </w:r>
    </w:p>
    <w:p>
      <w:pPr>
        <w:jc w:val="center"/>
        <w:ind w:left="778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56"/>
        </w:trPr>
        <w:tc>
          <w:tcPr>
            <w:tcW w:w="7900" w:type="dxa"/>
            <w:vAlign w:val="bottom"/>
            <w:tcBorders>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220" w:type="dxa"/>
            <w:vAlign w:val="bottom"/>
            <w:tcBorders>
              <w:top w:val="single" w:sz="8" w:color="auto"/>
              <w:bottom w:val="single" w:sz="8" w:color="auto"/>
            </w:tcBorders>
          </w:tcPr>
          <w:p>
            <w:pPr>
              <w:jc w:val="right"/>
              <w:ind w:right="559"/>
              <w:spacing w:after="0" w:line="155" w:lineRule="exact"/>
              <w:rPr>
                <w:sz w:val="20"/>
                <w:szCs w:val="20"/>
                <w:color w:val="auto"/>
              </w:rPr>
            </w:pPr>
            <w:r>
              <w:rPr>
                <w:rFonts w:ascii="Arial" w:cs="Arial" w:eastAsia="Arial" w:hAnsi="Arial"/>
                <w:sz w:val="14"/>
                <w:szCs w:val="14"/>
                <w:b w:val="1"/>
                <w:bCs w:val="1"/>
                <w:color w:val="auto"/>
              </w:rPr>
              <w:t>2016</w:t>
            </w:r>
          </w:p>
        </w:tc>
        <w:tc>
          <w:tcPr>
            <w:tcW w:w="160" w:type="dxa"/>
            <w:vAlign w:val="bottom"/>
            <w:tcBorders>
              <w:top w:val="single" w:sz="8" w:color="auto"/>
              <w:bottom w:val="single" w:sz="8" w:color="CFF0FC"/>
            </w:tcBorders>
          </w:tcPr>
          <w:p>
            <w:pPr>
              <w:spacing w:after="0"/>
              <w:rPr>
                <w:sz w:val="13"/>
                <w:szCs w:val="13"/>
                <w:color w:val="auto"/>
              </w:rPr>
            </w:pPr>
          </w:p>
        </w:tc>
        <w:tc>
          <w:tcPr>
            <w:tcW w:w="80" w:type="dxa"/>
            <w:vAlign w:val="bottom"/>
            <w:tcBorders>
              <w:top w:val="single" w:sz="8" w:color="auto"/>
              <w:bottom w:val="single" w:sz="8" w:color="CFF0FC"/>
            </w:tcBorders>
          </w:tcPr>
          <w:p>
            <w:pPr>
              <w:spacing w:after="0"/>
              <w:rPr>
                <w:sz w:val="13"/>
                <w:szCs w:val="13"/>
                <w:color w:val="auto"/>
              </w:rPr>
            </w:pPr>
          </w:p>
        </w:tc>
        <w:tc>
          <w:tcPr>
            <w:tcW w:w="360" w:type="dxa"/>
            <w:vAlign w:val="bottom"/>
            <w:tcBorders>
              <w:top w:val="single" w:sz="8" w:color="auto"/>
              <w:bottom w:val="single" w:sz="8" w:color="auto"/>
            </w:tcBorders>
          </w:tcPr>
          <w:p>
            <w:pPr>
              <w:spacing w:after="0"/>
              <w:rPr>
                <w:sz w:val="13"/>
                <w:szCs w:val="13"/>
                <w:color w:val="auto"/>
              </w:rPr>
            </w:pPr>
          </w:p>
        </w:tc>
        <w:tc>
          <w:tcPr>
            <w:tcW w:w="1240" w:type="dxa"/>
            <w:vAlign w:val="bottom"/>
            <w:tcBorders>
              <w:top w:val="single" w:sz="8" w:color="auto"/>
              <w:bottom w:val="single" w:sz="8" w:color="auto"/>
            </w:tcBorders>
          </w:tcPr>
          <w:p>
            <w:pPr>
              <w:jc w:val="right"/>
              <w:ind w:right="579"/>
              <w:spacing w:after="0" w:line="155" w:lineRule="exact"/>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FF0FC"/>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7900" w:type="dxa"/>
            <w:vAlign w:val="bottom"/>
            <w:shd w:val="clear" w:color="auto" w:fill="CFF0FC"/>
          </w:tcPr>
          <w:p>
            <w:pPr>
              <w:spacing w:after="0"/>
              <w:rPr>
                <w:sz w:val="20"/>
                <w:szCs w:val="20"/>
                <w:color w:val="auto"/>
              </w:rPr>
            </w:pPr>
            <w:r>
              <w:rPr>
                <w:rFonts w:ascii="Arial" w:cs="Arial" w:eastAsia="Arial" w:hAnsi="Arial"/>
                <w:sz w:val="16"/>
                <w:szCs w:val="16"/>
                <w:b w:val="1"/>
                <w:bCs w:val="1"/>
                <w:color w:val="auto"/>
              </w:rPr>
              <w:t>Homebuilding:</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spacing w:after="0"/>
              <w:rPr>
                <w:sz w:val="18"/>
                <w:szCs w:val="18"/>
                <w:color w:val="auto"/>
              </w:rPr>
            </w:pP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24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140"/>
              <w:spacing w:after="0"/>
              <w:rPr>
                <w:sz w:val="20"/>
                <w:szCs w:val="20"/>
                <w:color w:val="auto"/>
              </w:rPr>
            </w:pPr>
            <w:r>
              <w:rPr>
                <w:rFonts w:ascii="Arial" w:cs="Arial" w:eastAsia="Arial" w:hAnsi="Arial"/>
                <w:sz w:val="16"/>
                <w:szCs w:val="16"/>
                <w:color w:val="auto"/>
              </w:rPr>
              <w:t>Home sales revenue</w:t>
            </w:r>
          </w:p>
        </w:tc>
        <w:tc>
          <w:tcPr>
            <w:tcW w:w="360" w:type="dxa"/>
            <w:vAlign w:val="bottom"/>
          </w:tcPr>
          <w:p>
            <w:pPr>
              <w:jc w:val="right"/>
              <w:ind w:right="204"/>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423,055</w:t>
            </w:r>
          </w:p>
        </w:tc>
        <w:tc>
          <w:tcPr>
            <w:tcW w:w="160" w:type="dxa"/>
            <w:vAlign w:val="bottom"/>
          </w:tcPr>
          <w:p>
            <w:pPr>
              <w:spacing w:after="0"/>
              <w:rPr>
                <w:sz w:val="18"/>
                <w:szCs w:val="18"/>
                <w:color w:val="auto"/>
              </w:rPr>
            </w:pPr>
          </w:p>
        </w:tc>
        <w:tc>
          <w:tcPr>
            <w:tcW w:w="4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374,265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Land and lot sales revenue</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355</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2,000</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140"/>
              <w:spacing w:after="0"/>
              <w:rPr>
                <w:sz w:val="20"/>
                <w:szCs w:val="20"/>
                <w:color w:val="auto"/>
              </w:rPr>
            </w:pPr>
            <w:r>
              <w:rPr>
                <w:rFonts w:ascii="Arial" w:cs="Arial" w:eastAsia="Arial" w:hAnsi="Arial"/>
                <w:sz w:val="16"/>
                <w:szCs w:val="16"/>
                <w:color w:val="auto"/>
              </w:rPr>
              <w:t>Other operations</w:t>
            </w:r>
          </w:p>
        </w:tc>
        <w:tc>
          <w:tcPr>
            <w:tcW w:w="36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580</w:t>
            </w:r>
          </w:p>
        </w:tc>
        <w:tc>
          <w:tcPr>
            <w:tcW w:w="160" w:type="dxa"/>
            <w:vAlign w:val="bottom"/>
            <w:tcBorders>
              <w:bottom w:val="single" w:sz="8" w:color="CFF0FC"/>
            </w:tcBorders>
          </w:tcPr>
          <w:p>
            <w:pPr>
              <w:spacing w:after="0"/>
              <w:rPr>
                <w:sz w:val="18"/>
                <w:szCs w:val="18"/>
                <w:color w:val="auto"/>
              </w:rPr>
            </w:pPr>
          </w:p>
        </w:tc>
        <w:tc>
          <w:tcPr>
            <w:tcW w:w="8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993</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Total revenues</w:t>
            </w:r>
          </w:p>
        </w:tc>
        <w:tc>
          <w:tcPr>
            <w:tcW w:w="360" w:type="dxa"/>
            <w:vAlign w:val="bottom"/>
            <w:shd w:val="clear" w:color="auto" w:fill="CFF0FC"/>
          </w:tcPr>
          <w:p>
            <w:pPr>
              <w:spacing w:after="0"/>
              <w:rPr>
                <w:sz w:val="18"/>
                <w:szCs w:val="18"/>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423,990</w:t>
            </w: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60" w:type="dxa"/>
            <w:vAlign w:val="bottom"/>
            <w:shd w:val="clear" w:color="auto" w:fill="CFF0FC"/>
          </w:tcPr>
          <w:p>
            <w:pPr>
              <w:spacing w:after="0"/>
              <w:rPr>
                <w:sz w:val="18"/>
                <w:szCs w:val="18"/>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377,258</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140"/>
              <w:spacing w:after="0"/>
              <w:rPr>
                <w:sz w:val="20"/>
                <w:szCs w:val="20"/>
                <w:color w:val="auto"/>
              </w:rPr>
            </w:pPr>
            <w:r>
              <w:rPr>
                <w:rFonts w:ascii="Arial" w:cs="Arial" w:eastAsia="Arial" w:hAnsi="Arial"/>
                <w:sz w:val="16"/>
                <w:szCs w:val="16"/>
                <w:color w:val="auto"/>
              </w:rPr>
              <w:t>Cost of home sales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324,499</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299,907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Cost of land and lot sales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779</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2,308</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140"/>
              <w:spacing w:after="0"/>
              <w:rPr>
                <w:sz w:val="20"/>
                <w:szCs w:val="20"/>
                <w:color w:val="auto"/>
              </w:rPr>
            </w:pPr>
            <w:r>
              <w:rPr>
                <w:rFonts w:ascii="Arial" w:cs="Arial" w:eastAsia="Arial" w:hAnsi="Arial"/>
                <w:sz w:val="16"/>
                <w:szCs w:val="16"/>
                <w:color w:val="auto"/>
              </w:rPr>
              <w:t>Other operations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566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562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Sales and marketing</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26,321</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23,286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140"/>
              <w:spacing w:after="0"/>
              <w:rPr>
                <w:sz w:val="20"/>
                <w:szCs w:val="20"/>
                <w:color w:val="auto"/>
              </w:rPr>
            </w:pPr>
            <w:r>
              <w:rPr>
                <w:rFonts w:ascii="Arial" w:cs="Arial" w:eastAsia="Arial" w:hAnsi="Arial"/>
                <w:sz w:val="16"/>
                <w:szCs w:val="16"/>
                <w:color w:val="auto"/>
              </w:rPr>
              <w:t>General and administrative</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28,396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28,153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Restructuring charges</w:t>
            </w:r>
          </w:p>
        </w:tc>
        <w:tc>
          <w:tcPr>
            <w:tcW w:w="360" w:type="dxa"/>
            <w:vAlign w:val="bottom"/>
            <w:tcBorders>
              <w:bottom w:val="single" w:sz="8" w:color="auto"/>
            </w:tcBorders>
            <w:shd w:val="clear" w:color="auto" w:fill="CFF0FC"/>
          </w:tcPr>
          <w:p>
            <w:pPr>
              <w:spacing w:after="0"/>
              <w:rPr>
                <w:sz w:val="19"/>
                <w:szCs w:val="19"/>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135</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spacing w:after="0"/>
              <w:rPr>
                <w:sz w:val="19"/>
                <w:szCs w:val="19"/>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222</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7900" w:type="dxa"/>
            <w:vAlign w:val="bottom"/>
          </w:tcPr>
          <w:p>
            <w:pPr>
              <w:ind w:left="260"/>
              <w:spacing w:after="0"/>
              <w:rPr>
                <w:sz w:val="20"/>
                <w:szCs w:val="20"/>
                <w:color w:val="auto"/>
              </w:rPr>
            </w:pPr>
            <w:r>
              <w:rPr>
                <w:rFonts w:ascii="Arial" w:cs="Arial" w:eastAsia="Arial" w:hAnsi="Arial"/>
                <w:sz w:val="16"/>
                <w:szCs w:val="16"/>
                <w:color w:val="auto"/>
              </w:rPr>
              <w:t>Homebuilding income from operations</w:t>
            </w:r>
          </w:p>
        </w:tc>
        <w:tc>
          <w:tcPr>
            <w:tcW w:w="36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43,294</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22,820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Equity in (loss) income of unconsolidated entities</w:t>
            </w:r>
          </w:p>
        </w:tc>
        <w:tc>
          <w:tcPr>
            <w:tcW w:w="360" w:type="dxa"/>
            <w:vAlign w:val="bottom"/>
            <w:shd w:val="clear" w:color="auto" w:fill="CFF0FC"/>
          </w:tcPr>
          <w:p>
            <w:pPr>
              <w:spacing w:after="0"/>
              <w:rPr>
                <w:sz w:val="19"/>
                <w:szCs w:val="19"/>
                <w:color w:val="auto"/>
              </w:rPr>
            </w:pPr>
          </w:p>
        </w:tc>
        <w:tc>
          <w:tcPr>
            <w:tcW w:w="1380" w:type="dxa"/>
            <w:vAlign w:val="bottom"/>
            <w:gridSpan w:val="2"/>
            <w:shd w:val="clear" w:color="auto" w:fill="CFF0FC"/>
          </w:tcPr>
          <w:p>
            <w:pPr>
              <w:jc w:val="right"/>
              <w:ind w:right="100"/>
              <w:spacing w:after="0"/>
              <w:rPr>
                <w:sz w:val="20"/>
                <w:szCs w:val="20"/>
                <w:color w:val="auto"/>
              </w:rPr>
            </w:pPr>
            <w:r>
              <w:rPr>
                <w:rFonts w:ascii="Arial" w:cs="Arial" w:eastAsia="Arial" w:hAnsi="Arial"/>
                <w:sz w:val="16"/>
                <w:szCs w:val="16"/>
                <w:color w:val="auto"/>
              </w:rPr>
              <w:t>(14)</w:t>
            </w: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107</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Borders>
              <w:bottom w:val="single" w:sz="8" w:color="CFF0FC"/>
            </w:tcBorders>
          </w:tcPr>
          <w:p>
            <w:pPr>
              <w:ind w:left="260"/>
              <w:spacing w:after="0"/>
              <w:rPr>
                <w:sz w:val="20"/>
                <w:szCs w:val="20"/>
                <w:color w:val="auto"/>
              </w:rPr>
            </w:pPr>
            <w:r>
              <w:rPr>
                <w:rFonts w:ascii="Arial" w:cs="Arial" w:eastAsia="Arial" w:hAnsi="Arial"/>
                <w:sz w:val="16"/>
                <w:szCs w:val="16"/>
                <w:color w:val="auto"/>
              </w:rPr>
              <w:t>Other income, net</w:t>
            </w:r>
          </w:p>
        </w:tc>
        <w:tc>
          <w:tcPr>
            <w:tcW w:w="36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115</w:t>
            </w:r>
          </w:p>
        </w:tc>
        <w:tc>
          <w:tcPr>
            <w:tcW w:w="160" w:type="dxa"/>
            <w:vAlign w:val="bottom"/>
            <w:tcBorders>
              <w:bottom w:val="single" w:sz="8" w:color="CFF0FC"/>
            </w:tcBorders>
          </w:tcPr>
          <w:p>
            <w:pPr>
              <w:spacing w:after="0"/>
              <w:rPr>
                <w:sz w:val="18"/>
                <w:szCs w:val="18"/>
                <w:color w:val="auto"/>
              </w:rPr>
            </w:pPr>
          </w:p>
        </w:tc>
        <w:tc>
          <w:tcPr>
            <w:tcW w:w="80" w:type="dxa"/>
            <w:vAlign w:val="bottom"/>
            <w:tcBorders>
              <w:bottom w:val="single" w:sz="8" w:color="CFF0FC"/>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256</w:t>
            </w:r>
          </w:p>
        </w:tc>
        <w:tc>
          <w:tcPr>
            <w:tcW w:w="100" w:type="dxa"/>
            <w:vAlign w:val="bottom"/>
            <w:tcBorders>
              <w:bottom w:val="single" w:sz="8" w:color="CFF0FC"/>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shd w:val="clear" w:color="auto" w:fill="CFF0FC"/>
          </w:tcPr>
          <w:p>
            <w:pPr>
              <w:ind w:left="500"/>
              <w:spacing w:after="0"/>
              <w:rPr>
                <w:sz w:val="20"/>
                <w:szCs w:val="20"/>
                <w:color w:val="auto"/>
              </w:rPr>
            </w:pPr>
            <w:r>
              <w:rPr>
                <w:rFonts w:ascii="Arial" w:cs="Arial" w:eastAsia="Arial" w:hAnsi="Arial"/>
                <w:sz w:val="16"/>
                <w:szCs w:val="16"/>
                <w:color w:val="auto"/>
              </w:rPr>
              <w:t>Homebuilding income before taxes</w:t>
            </w:r>
          </w:p>
        </w:tc>
        <w:tc>
          <w:tcPr>
            <w:tcW w:w="360" w:type="dxa"/>
            <w:vAlign w:val="bottom"/>
            <w:tcBorders>
              <w:bottom w:val="single" w:sz="8" w:color="auto"/>
            </w:tcBorders>
            <w:shd w:val="clear" w:color="auto" w:fill="CFF0FC"/>
          </w:tcPr>
          <w:p>
            <w:pPr>
              <w:spacing w:after="0"/>
              <w:rPr>
                <w:sz w:val="18"/>
                <w:szCs w:val="18"/>
                <w:color w:val="auto"/>
              </w:rPr>
            </w:pPr>
          </w:p>
        </w:tc>
        <w:tc>
          <w:tcPr>
            <w:tcW w:w="12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43,395</w:t>
            </w:r>
          </w:p>
        </w:tc>
        <w:tc>
          <w:tcPr>
            <w:tcW w:w="16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360" w:type="dxa"/>
            <w:vAlign w:val="bottom"/>
            <w:tcBorders>
              <w:bottom w:val="single" w:sz="8" w:color="auto"/>
            </w:tcBorders>
            <w:shd w:val="clear" w:color="auto" w:fill="CFF0FC"/>
          </w:tcPr>
          <w:p>
            <w:pPr>
              <w:spacing w:after="0"/>
              <w:rPr>
                <w:sz w:val="18"/>
                <w:szCs w:val="18"/>
                <w:color w:val="auto"/>
              </w:rPr>
            </w:pPr>
          </w:p>
        </w:tc>
        <w:tc>
          <w:tcPr>
            <w:tcW w:w="12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23,183</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7900" w:type="dxa"/>
            <w:vAlign w:val="bottom"/>
          </w:tcPr>
          <w:p>
            <w:pPr>
              <w:spacing w:after="0"/>
              <w:rPr>
                <w:sz w:val="20"/>
                <w:szCs w:val="20"/>
                <w:color w:val="auto"/>
              </w:rPr>
            </w:pPr>
            <w:r>
              <w:rPr>
                <w:rFonts w:ascii="Arial" w:cs="Arial" w:eastAsia="Arial" w:hAnsi="Arial"/>
                <w:sz w:val="16"/>
                <w:szCs w:val="16"/>
                <w:b w:val="1"/>
                <w:bCs w:val="1"/>
                <w:color w:val="auto"/>
              </w:rPr>
              <w:t>Financial Services:</w:t>
            </w: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Revenues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148</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7900" w:type="dxa"/>
            <w:vAlign w:val="bottom"/>
          </w:tcPr>
          <w:p>
            <w:pPr>
              <w:ind w:left="140"/>
              <w:spacing w:after="0"/>
              <w:rPr>
                <w:sz w:val="20"/>
                <w:szCs w:val="20"/>
                <w:color w:val="auto"/>
              </w:rPr>
            </w:pPr>
            <w:r>
              <w:rPr>
                <w:rFonts w:ascii="Arial" w:cs="Arial" w:eastAsia="Arial" w:hAnsi="Arial"/>
                <w:sz w:val="16"/>
                <w:szCs w:val="16"/>
                <w:color w:val="auto"/>
              </w:rPr>
              <w:t>Expenses</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140"/>
              <w:spacing w:after="0"/>
              <w:rPr>
                <w:sz w:val="20"/>
                <w:szCs w:val="20"/>
                <w:color w:val="auto"/>
              </w:rPr>
            </w:pPr>
            <w:r>
              <w:rPr>
                <w:rFonts w:ascii="Arial" w:cs="Arial" w:eastAsia="Arial" w:hAnsi="Arial"/>
                <w:sz w:val="16"/>
                <w:szCs w:val="16"/>
                <w:color w:val="auto"/>
              </w:rPr>
              <w:t>Equity in income (loss) of unconsolidated entities</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715</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340" w:type="dxa"/>
            <w:vAlign w:val="bottom"/>
            <w:gridSpan w:val="2"/>
            <w:shd w:val="clear" w:color="auto" w:fill="CFF0FC"/>
          </w:tcPr>
          <w:p>
            <w:pPr>
              <w:jc w:val="right"/>
              <w:ind w:right="60"/>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0"/>
        </w:trPr>
        <w:tc>
          <w:tcPr>
            <w:tcW w:w="7900" w:type="dxa"/>
            <w:vAlign w:val="bottom"/>
            <w:vMerge w:val="restart"/>
          </w:tcPr>
          <w:p>
            <w:pPr>
              <w:ind w:left="500"/>
              <w:spacing w:after="0"/>
              <w:rPr>
                <w:sz w:val="20"/>
                <w:szCs w:val="20"/>
                <w:color w:val="auto"/>
              </w:rPr>
            </w:pPr>
            <w:r>
              <w:rPr>
                <w:rFonts w:ascii="Arial" w:cs="Arial" w:eastAsia="Arial" w:hAnsi="Arial"/>
                <w:sz w:val="16"/>
                <w:szCs w:val="16"/>
                <w:color w:val="auto"/>
              </w:rPr>
              <w:t>Financial services income (loss) from operations before taxes</w:t>
            </w: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7"/>
        </w:trPr>
        <w:tc>
          <w:tcPr>
            <w:tcW w:w="790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805</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6"/>
                <w:szCs w:val="16"/>
                <w:color w:val="auto"/>
              </w:rPr>
              <w:t>(59)</w:t>
            </w:r>
          </w:p>
        </w:tc>
        <w:tc>
          <w:tcPr>
            <w:tcW w:w="0" w:type="dxa"/>
            <w:vAlign w:val="bottom"/>
          </w:tcPr>
          <w:p>
            <w:pPr>
              <w:spacing w:after="0"/>
              <w:rPr>
                <w:sz w:val="1"/>
                <w:szCs w:val="1"/>
                <w:color w:val="auto"/>
              </w:rPr>
            </w:pPr>
          </w:p>
        </w:tc>
      </w:tr>
      <w:tr>
        <w:trPr>
          <w:trHeight w:val="213"/>
        </w:trPr>
        <w:tc>
          <w:tcPr>
            <w:tcW w:w="79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b w:val="1"/>
                <w:bCs w:val="1"/>
                <w:color w:val="auto"/>
              </w:rPr>
              <w:t>Income before taxes</w:t>
            </w:r>
          </w:p>
        </w:tc>
        <w:tc>
          <w:tcPr>
            <w:tcW w:w="360" w:type="dxa"/>
            <w:vAlign w:val="bottom"/>
            <w:tcBorders>
              <w:top w:val="single" w:sz="8" w:color="auto"/>
            </w:tcBorders>
            <w:shd w:val="clear" w:color="auto" w:fill="CFF0FC"/>
          </w:tcPr>
          <w:p>
            <w:pPr>
              <w:spacing w:after="0"/>
              <w:rPr>
                <w:sz w:val="18"/>
                <w:szCs w:val="18"/>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44,200</w:t>
            </w: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23,124</w:t>
            </w: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Provision for income taxes</w:t>
            </w:r>
          </w:p>
        </w:tc>
        <w:tc>
          <w:tcPr>
            <w:tcW w:w="36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6"/>
                <w:szCs w:val="16"/>
                <w:color w:val="auto"/>
              </w:rPr>
              <w:t>(15,490)</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gridSpan w:val="2"/>
          </w:tcPr>
          <w:p>
            <w:pPr>
              <w:jc w:val="right"/>
              <w:ind w:right="60"/>
              <w:spacing w:after="0"/>
              <w:rPr>
                <w:sz w:val="20"/>
                <w:szCs w:val="20"/>
                <w:color w:val="auto"/>
              </w:rPr>
            </w:pPr>
            <w:r>
              <w:rPr>
                <w:rFonts w:ascii="Arial" w:cs="Arial" w:eastAsia="Arial" w:hAnsi="Arial"/>
                <w:sz w:val="16"/>
                <w:szCs w:val="16"/>
                <w:color w:val="auto"/>
              </w:rPr>
              <w:t>(7,827)</w:t>
            </w:r>
          </w:p>
        </w:tc>
        <w:tc>
          <w:tcPr>
            <w:tcW w:w="0" w:type="dxa"/>
            <w:vAlign w:val="bottom"/>
          </w:tcPr>
          <w:p>
            <w:pPr>
              <w:spacing w:after="0"/>
              <w:rPr>
                <w:sz w:val="1"/>
                <w:szCs w:val="1"/>
                <w:color w:val="auto"/>
              </w:rPr>
            </w:pPr>
          </w:p>
        </w:tc>
      </w:tr>
      <w:tr>
        <w:trPr>
          <w:trHeight w:val="213"/>
        </w:trPr>
        <w:tc>
          <w:tcPr>
            <w:tcW w:w="79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6"/>
                <w:szCs w:val="16"/>
                <w:color w:val="auto"/>
              </w:rPr>
              <w:t>Net income</w:t>
            </w:r>
          </w:p>
        </w:tc>
        <w:tc>
          <w:tcPr>
            <w:tcW w:w="360" w:type="dxa"/>
            <w:vAlign w:val="bottom"/>
            <w:tcBorders>
              <w:top w:val="single" w:sz="8" w:color="auto"/>
            </w:tcBorders>
            <w:shd w:val="clear" w:color="auto" w:fill="CFF0FC"/>
          </w:tcPr>
          <w:p>
            <w:pPr>
              <w:spacing w:after="0"/>
              <w:rPr>
                <w:sz w:val="18"/>
                <w:szCs w:val="18"/>
                <w:color w:val="auto"/>
              </w:rPr>
            </w:pPr>
          </w:p>
        </w:tc>
        <w:tc>
          <w:tcPr>
            <w:tcW w:w="12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28,710</w:t>
            </w:r>
          </w:p>
        </w:tc>
        <w:tc>
          <w:tcPr>
            <w:tcW w:w="160" w:type="dxa"/>
            <w:vAlign w:val="bottom"/>
            <w:tcBorders>
              <w:top w:val="single" w:sz="8" w:color="CFF0FC"/>
            </w:tcBorders>
            <w:shd w:val="clear" w:color="auto" w:fill="CFF0FC"/>
          </w:tcPr>
          <w:p>
            <w:pPr>
              <w:spacing w:after="0"/>
              <w:rPr>
                <w:sz w:val="18"/>
                <w:szCs w:val="18"/>
                <w:color w:val="auto"/>
              </w:rPr>
            </w:pPr>
          </w:p>
        </w:tc>
        <w:tc>
          <w:tcPr>
            <w:tcW w:w="80" w:type="dxa"/>
            <w:vAlign w:val="bottom"/>
            <w:tcBorders>
              <w:top w:val="single" w:sz="8" w:color="CFF0FC"/>
            </w:tcBorders>
            <w:shd w:val="clear" w:color="auto" w:fill="CFF0FC"/>
          </w:tcPr>
          <w:p>
            <w:pPr>
              <w:spacing w:after="0"/>
              <w:rPr>
                <w:sz w:val="18"/>
                <w:szCs w:val="18"/>
                <w:color w:val="auto"/>
              </w:rPr>
            </w:pPr>
          </w:p>
        </w:tc>
        <w:tc>
          <w:tcPr>
            <w:tcW w:w="360" w:type="dxa"/>
            <w:vAlign w:val="bottom"/>
            <w:tcBorders>
              <w:top w:val="single" w:sz="8" w:color="auto"/>
            </w:tcBorders>
            <w:shd w:val="clear" w:color="auto" w:fill="CFF0FC"/>
          </w:tcPr>
          <w:p>
            <w:pPr>
              <w:spacing w:after="0"/>
              <w:rPr>
                <w:sz w:val="18"/>
                <w:szCs w:val="18"/>
                <w:color w:val="auto"/>
              </w:rPr>
            </w:pPr>
          </w:p>
        </w:tc>
        <w:tc>
          <w:tcPr>
            <w:tcW w:w="12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15,297</w:t>
            </w:r>
          </w:p>
        </w:tc>
        <w:tc>
          <w:tcPr>
            <w:tcW w:w="100" w:type="dxa"/>
            <w:vAlign w:val="bottom"/>
            <w:tcBorders>
              <w:top w:val="single" w:sz="8" w:color="CFF0FC"/>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7900" w:type="dxa"/>
            <w:vAlign w:val="bottom"/>
          </w:tcPr>
          <w:p>
            <w:pPr>
              <w:spacing w:after="0"/>
              <w:rPr>
                <w:sz w:val="20"/>
                <w:szCs w:val="20"/>
                <w:color w:val="auto"/>
              </w:rPr>
            </w:pPr>
            <w:r>
              <w:rPr>
                <w:rFonts w:ascii="Arial" w:cs="Arial" w:eastAsia="Arial" w:hAnsi="Arial"/>
                <w:sz w:val="16"/>
                <w:szCs w:val="16"/>
                <w:color w:val="auto"/>
              </w:rPr>
              <w:t>Net income attributable to noncontrolling interests</w:t>
            </w:r>
          </w:p>
        </w:tc>
        <w:tc>
          <w:tcPr>
            <w:tcW w:w="360" w:type="dxa"/>
            <w:vAlign w:val="bottom"/>
          </w:tcPr>
          <w:p>
            <w:pPr>
              <w:spacing w:after="0"/>
              <w:rPr>
                <w:sz w:val="18"/>
                <w:szCs w:val="18"/>
                <w:color w:val="auto"/>
              </w:rPr>
            </w:pPr>
          </w:p>
        </w:tc>
        <w:tc>
          <w:tcPr>
            <w:tcW w:w="1380" w:type="dxa"/>
            <w:vAlign w:val="bottom"/>
            <w:gridSpan w:val="2"/>
          </w:tcPr>
          <w:p>
            <w:pPr>
              <w:jc w:val="right"/>
              <w:ind w:right="100"/>
              <w:spacing w:after="0"/>
              <w:rPr>
                <w:sz w:val="20"/>
                <w:szCs w:val="20"/>
                <w:color w:val="auto"/>
              </w:rPr>
            </w:pPr>
            <w:r>
              <w:rPr>
                <w:rFonts w:ascii="Arial" w:cs="Arial" w:eastAsia="Arial" w:hAnsi="Arial"/>
                <w:sz w:val="16"/>
                <w:szCs w:val="16"/>
                <w:color w:val="auto"/>
              </w:rPr>
              <w:t>(160)</w:t>
            </w: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7900" w:type="dxa"/>
            <w:vAlign w:val="bottom"/>
            <w:vMerge w:val="restart"/>
            <w:shd w:val="clear" w:color="auto" w:fill="CFF0FC"/>
          </w:tcPr>
          <w:p>
            <w:pPr>
              <w:spacing w:after="0"/>
              <w:rPr>
                <w:sz w:val="20"/>
                <w:szCs w:val="20"/>
                <w:color w:val="auto"/>
              </w:rPr>
            </w:pPr>
            <w:r>
              <w:rPr>
                <w:rFonts w:ascii="Arial" w:cs="Arial" w:eastAsia="Arial" w:hAnsi="Arial"/>
                <w:sz w:val="16"/>
                <w:szCs w:val="16"/>
                <w:color w:val="auto"/>
              </w:rPr>
              <w:t>Net income available to common stockholders</w:t>
            </w:r>
          </w:p>
        </w:tc>
        <w:tc>
          <w:tcPr>
            <w:tcW w:w="36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7900" w:type="dxa"/>
            <w:vAlign w:val="bottom"/>
            <w:vMerge w:val="continue"/>
            <w:shd w:val="clear" w:color="auto" w:fill="CFF0FC"/>
          </w:tcPr>
          <w:p>
            <w:pPr>
              <w:spacing w:after="0"/>
              <w:rPr>
                <w:sz w:val="18"/>
                <w:szCs w:val="18"/>
                <w:color w:val="auto"/>
              </w:rPr>
            </w:pPr>
          </w:p>
        </w:tc>
        <w:tc>
          <w:tcPr>
            <w:tcW w:w="360" w:type="dxa"/>
            <w:vAlign w:val="bottom"/>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28,550</w:t>
            </w:r>
          </w:p>
        </w:tc>
        <w:tc>
          <w:tcPr>
            <w:tcW w:w="160" w:type="dxa"/>
            <w:vAlign w:val="bottom"/>
            <w:shd w:val="clear" w:color="auto" w:fill="CFF0FC"/>
          </w:tcPr>
          <w:p>
            <w:pPr>
              <w:spacing w:after="0"/>
              <w:rPr>
                <w:sz w:val="18"/>
                <w:szCs w:val="18"/>
                <w:color w:val="auto"/>
              </w:rPr>
            </w:pPr>
          </w:p>
        </w:tc>
        <w:tc>
          <w:tcPr>
            <w:tcW w:w="440" w:type="dxa"/>
            <w:vAlign w:val="bottom"/>
            <w:gridSpan w:val="2"/>
            <w:shd w:val="clear" w:color="auto" w:fill="CFF0FC"/>
          </w:tcPr>
          <w:p>
            <w:pPr>
              <w:jc w:val="right"/>
              <w:ind w:right="280"/>
              <w:spacing w:after="0"/>
              <w:rPr>
                <w:sz w:val="20"/>
                <w:szCs w:val="20"/>
                <w:color w:val="auto"/>
              </w:rPr>
            </w:pPr>
            <w:r>
              <w:rPr>
                <w:rFonts w:ascii="Arial" w:cs="Arial" w:eastAsia="Arial" w:hAnsi="Arial"/>
                <w:sz w:val="16"/>
                <w:szCs w:val="16"/>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15,297</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90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6"/>
                <w:szCs w:val="16"/>
                <w:color w:val="auto"/>
              </w:rPr>
              <w:t>Earnings per share</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790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Basic</w:t>
            </w:r>
          </w:p>
        </w:tc>
        <w:tc>
          <w:tcPr>
            <w:tcW w:w="360" w:type="dxa"/>
            <w:vAlign w:val="bottom"/>
            <w:shd w:val="clear" w:color="auto" w:fill="CFF0FC"/>
          </w:tcPr>
          <w:p>
            <w:pPr>
              <w:jc w:val="right"/>
              <w:ind w:right="204"/>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0.18</w:t>
            </w:r>
          </w:p>
        </w:tc>
        <w:tc>
          <w:tcPr>
            <w:tcW w:w="160" w:type="dxa"/>
            <w:vAlign w:val="bottom"/>
            <w:shd w:val="clear" w:color="auto" w:fill="CFF0FC"/>
          </w:tcPr>
          <w:p>
            <w:pPr>
              <w:spacing w:after="0"/>
              <w:rPr>
                <w:sz w:val="19"/>
                <w:szCs w:val="19"/>
                <w:color w:val="auto"/>
              </w:rPr>
            </w:pPr>
          </w:p>
        </w:tc>
        <w:tc>
          <w:tcPr>
            <w:tcW w:w="440" w:type="dxa"/>
            <w:vAlign w:val="bottom"/>
            <w:gridSpan w:val="2"/>
            <w:shd w:val="clear" w:color="auto" w:fill="CFF0FC"/>
          </w:tcPr>
          <w:p>
            <w:pPr>
              <w:jc w:val="right"/>
              <w:ind w:right="280"/>
              <w:spacing w:after="0"/>
              <w:rPr>
                <w:sz w:val="20"/>
                <w:szCs w:val="20"/>
                <w:color w:val="auto"/>
              </w:rPr>
            </w:pPr>
            <w:r>
              <w:rPr>
                <w:rFonts w:ascii="Arial" w:cs="Arial" w:eastAsia="Arial" w:hAnsi="Arial"/>
                <w:sz w:val="16"/>
                <w:szCs w:val="16"/>
                <w:color w:val="auto"/>
              </w:rPr>
              <w:t>$</w:t>
            </w: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0.09</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Diluted</w:t>
            </w:r>
          </w:p>
        </w:tc>
        <w:tc>
          <w:tcPr>
            <w:tcW w:w="360" w:type="dxa"/>
            <w:vAlign w:val="bottom"/>
          </w:tcPr>
          <w:p>
            <w:pPr>
              <w:jc w:val="right"/>
              <w:ind w:right="204"/>
              <w:spacing w:after="0"/>
              <w:rPr>
                <w:sz w:val="20"/>
                <w:szCs w:val="20"/>
                <w:color w:val="auto"/>
              </w:rPr>
            </w:pPr>
            <w:r>
              <w:rPr>
                <w:rFonts w:ascii="Arial" w:cs="Arial" w:eastAsia="Arial" w:hAnsi="Arial"/>
                <w:sz w:val="15"/>
                <w:szCs w:val="15"/>
                <w:color w:val="auto"/>
                <w:w w:val="71"/>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0.18</w:t>
            </w:r>
          </w:p>
        </w:tc>
        <w:tc>
          <w:tcPr>
            <w:tcW w:w="160" w:type="dxa"/>
            <w:vAlign w:val="bottom"/>
          </w:tcPr>
          <w:p>
            <w:pPr>
              <w:spacing w:after="0"/>
              <w:rPr>
                <w:sz w:val="18"/>
                <w:szCs w:val="18"/>
                <w:color w:val="auto"/>
              </w:rPr>
            </w:pPr>
          </w:p>
        </w:tc>
        <w:tc>
          <w:tcPr>
            <w:tcW w:w="44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0.09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spacing w:after="0"/>
              <w:rPr>
                <w:sz w:val="20"/>
                <w:szCs w:val="20"/>
                <w:color w:val="auto"/>
              </w:rPr>
            </w:pPr>
            <w:r>
              <w:rPr>
                <w:rFonts w:ascii="Arial" w:cs="Arial" w:eastAsia="Arial" w:hAnsi="Arial"/>
                <w:sz w:val="16"/>
                <w:szCs w:val="16"/>
                <w:color w:val="auto"/>
              </w:rPr>
              <w:t>Weighted average shares outstanding</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60"/>
              <w:spacing w:after="0"/>
              <w:rPr>
                <w:sz w:val="20"/>
                <w:szCs w:val="20"/>
                <w:color w:val="auto"/>
              </w:rPr>
            </w:pPr>
            <w:r>
              <w:rPr>
                <w:rFonts w:ascii="Arial" w:cs="Arial" w:eastAsia="Arial" w:hAnsi="Arial"/>
                <w:sz w:val="16"/>
                <w:szCs w:val="16"/>
                <w:color w:val="auto"/>
              </w:rPr>
              <w:t>Basic</w:t>
            </w:r>
          </w:p>
        </w:tc>
        <w:tc>
          <w:tcPr>
            <w:tcW w:w="3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161,895,640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161,490,970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FF0FC"/>
          </w:tcPr>
          <w:p>
            <w:pPr>
              <w:ind w:left="260"/>
              <w:spacing w:after="0"/>
              <w:rPr>
                <w:sz w:val="20"/>
                <w:szCs w:val="20"/>
                <w:color w:val="auto"/>
              </w:rPr>
            </w:pPr>
            <w:r>
              <w:rPr>
                <w:rFonts w:ascii="Arial" w:cs="Arial" w:eastAsia="Arial" w:hAnsi="Arial"/>
                <w:sz w:val="16"/>
                <w:szCs w:val="16"/>
                <w:color w:val="auto"/>
              </w:rPr>
              <w:t>Diluted</w:t>
            </w:r>
          </w:p>
        </w:tc>
        <w:tc>
          <w:tcPr>
            <w:tcW w:w="360" w:type="dxa"/>
            <w:vAlign w:val="bottom"/>
            <w:shd w:val="clear" w:color="auto" w:fill="CFF0FC"/>
          </w:tcPr>
          <w:p>
            <w:pPr>
              <w:spacing w:after="0"/>
              <w:rPr>
                <w:sz w:val="19"/>
                <w:szCs w:val="19"/>
                <w:color w:val="auto"/>
              </w:rPr>
            </w:pPr>
          </w:p>
        </w:tc>
        <w:tc>
          <w:tcPr>
            <w:tcW w:w="12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162,192,610</w:t>
            </w:r>
          </w:p>
        </w:tc>
        <w:tc>
          <w:tcPr>
            <w:tcW w:w="1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24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162,807,376</w:t>
            </w:r>
          </w:p>
        </w:tc>
        <w:tc>
          <w:tcPr>
            <w:tcW w:w="10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48"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84" w:lineRule="exact"/>
        <w:rPr>
          <w:sz w:val="20"/>
          <w:szCs w:val="20"/>
          <w:color w:val="auto"/>
        </w:rPr>
      </w:pPr>
    </w:p>
    <w:p>
      <w:pPr>
        <w:ind w:left="7640"/>
        <w:spacing w:after="0"/>
        <w:rPr>
          <w:sz w:val="20"/>
          <w:szCs w:val="20"/>
          <w:color w:val="auto"/>
        </w:rPr>
      </w:pPr>
      <w:r>
        <w:rPr>
          <w:rFonts w:ascii="Arial" w:cs="Arial" w:eastAsia="Arial" w:hAnsi="Arial"/>
          <w:sz w:val="14"/>
          <w:szCs w:val="14"/>
          <w:b w:val="1"/>
          <w:bCs w:val="1"/>
          <w:color w:val="auto"/>
        </w:rPr>
        <w:t>Three Months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6350</wp:posOffset>
            </wp:positionV>
            <wp:extent cx="340487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04870" cy="8890"/>
                    </a:xfrm>
                    <a:prstGeom prst="rect">
                      <a:avLst/>
                    </a:prstGeom>
                    <a:noFill/>
                  </pic:spPr>
                </pic:pic>
              </a:graphicData>
            </a:graphic>
          </wp:anchor>
        </w:drawing>
      </w:r>
    </w:p>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60" w:type="dxa"/>
            <w:vAlign w:val="bottom"/>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320" w:type="dxa"/>
            <w:vAlign w:val="bottom"/>
            <w:tcBorders>
              <w:bottom w:val="single" w:sz="8" w:color="auto"/>
            </w:tcBorders>
            <w:gridSpan w:val="3"/>
          </w:tcPr>
          <w:p>
            <w:pPr>
              <w:jc w:val="right"/>
              <w:ind w:right="700"/>
              <w:spacing w:after="0"/>
              <w:rPr>
                <w:sz w:val="20"/>
                <w:szCs w:val="20"/>
                <w:color w:val="auto"/>
              </w:rPr>
            </w:pPr>
            <w:r>
              <w:rPr>
                <w:rFonts w:ascii="Arial" w:cs="Arial" w:eastAsia="Arial" w:hAnsi="Arial"/>
                <w:sz w:val="14"/>
                <w:szCs w:val="14"/>
                <w:b w:val="1"/>
                <w:bCs w:val="1"/>
                <w:color w:val="auto"/>
              </w:rPr>
              <w:t>2016</w:t>
            </w:r>
          </w:p>
        </w:tc>
        <w:tc>
          <w:tcPr>
            <w:tcW w:w="36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4"/>
                <w:szCs w:val="14"/>
                <w:b w:val="1"/>
                <w:bCs w:val="1"/>
                <w:color w:val="auto"/>
              </w:rPr>
              <w:t>2015</w:t>
            </w:r>
          </w:p>
        </w:tc>
        <w:tc>
          <w:tcPr>
            <w:tcW w:w="10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38"/>
        </w:trPr>
        <w:tc>
          <w:tcPr>
            <w:tcW w:w="5960" w:type="dxa"/>
            <w:vAlign w:val="bottom"/>
          </w:tcPr>
          <w:p>
            <w:pPr>
              <w:spacing w:after="0"/>
              <w:rPr>
                <w:sz w:val="20"/>
                <w:szCs w:val="20"/>
                <w:color w:val="auto"/>
              </w:rPr>
            </w:pPr>
          </w:p>
        </w:tc>
        <w:tc>
          <w:tcPr>
            <w:tcW w:w="860" w:type="dxa"/>
            <w:vAlign w:val="bottom"/>
          </w:tcPr>
          <w:p>
            <w:pPr>
              <w:jc w:val="center"/>
              <w:ind w:left="168"/>
              <w:spacing w:after="0"/>
              <w:rPr>
                <w:sz w:val="20"/>
                <w:szCs w:val="20"/>
                <w:color w:val="auto"/>
              </w:rPr>
            </w:pPr>
            <w:r>
              <w:rPr>
                <w:rFonts w:ascii="Arial" w:cs="Arial" w:eastAsia="Arial" w:hAnsi="Arial"/>
                <w:sz w:val="14"/>
                <w:szCs w:val="14"/>
                <w:b w:val="1"/>
                <w:bCs w:val="1"/>
                <w:color w:val="auto"/>
                <w:w w:val="89"/>
              </w:rPr>
              <w:t>Homes</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9"/>
              </w:rPr>
              <w:t>Avg. Selling</w:t>
            </w:r>
          </w:p>
        </w:tc>
        <w:tc>
          <w:tcPr>
            <w:tcW w:w="880" w:type="dxa"/>
            <w:vAlign w:val="bottom"/>
          </w:tcPr>
          <w:p>
            <w:pPr>
              <w:jc w:val="center"/>
              <w:ind w:left="208"/>
              <w:spacing w:after="0"/>
              <w:rPr>
                <w:sz w:val="20"/>
                <w:szCs w:val="20"/>
                <w:color w:val="auto"/>
              </w:rPr>
            </w:pPr>
            <w:r>
              <w:rPr>
                <w:rFonts w:ascii="Arial" w:cs="Arial" w:eastAsia="Arial" w:hAnsi="Arial"/>
                <w:sz w:val="14"/>
                <w:szCs w:val="14"/>
                <w:b w:val="1"/>
                <w:bCs w:val="1"/>
                <w:color w:val="auto"/>
                <w:w w:val="94"/>
              </w:rPr>
              <w:t>Homes</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Avg. Selling</w:t>
            </w:r>
          </w:p>
        </w:tc>
      </w:tr>
      <w:tr>
        <w:trPr>
          <w:trHeight w:val="215"/>
        </w:trPr>
        <w:tc>
          <w:tcPr>
            <w:tcW w:w="5960" w:type="dxa"/>
            <w:vAlign w:val="bottom"/>
          </w:tcPr>
          <w:p>
            <w:pPr>
              <w:spacing w:after="0"/>
              <w:rPr>
                <w:sz w:val="18"/>
                <w:szCs w:val="18"/>
                <w:color w:val="auto"/>
              </w:rPr>
            </w:pPr>
          </w:p>
        </w:tc>
        <w:tc>
          <w:tcPr>
            <w:tcW w:w="860" w:type="dxa"/>
            <w:vAlign w:val="bottom"/>
          </w:tcPr>
          <w:p>
            <w:pPr>
              <w:jc w:val="center"/>
              <w:ind w:left="188"/>
              <w:spacing w:after="0"/>
              <w:rPr>
                <w:sz w:val="20"/>
                <w:szCs w:val="20"/>
                <w:color w:val="auto"/>
              </w:rPr>
            </w:pPr>
            <w:r>
              <w:rPr>
                <w:rFonts w:ascii="Arial" w:cs="Arial" w:eastAsia="Arial" w:hAnsi="Arial"/>
                <w:sz w:val="14"/>
                <w:szCs w:val="14"/>
                <w:b w:val="1"/>
                <w:bCs w:val="1"/>
                <w:color w:val="auto"/>
                <w:w w:val="95"/>
              </w:rPr>
              <w:t>Delivered</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center"/>
              <w:ind w:left="280"/>
              <w:spacing w:after="0"/>
              <w:rPr>
                <w:sz w:val="20"/>
                <w:szCs w:val="20"/>
                <w:color w:val="auto"/>
              </w:rPr>
            </w:pPr>
            <w:r>
              <w:rPr>
                <w:rFonts w:ascii="Arial" w:cs="Arial" w:eastAsia="Arial" w:hAnsi="Arial"/>
                <w:sz w:val="14"/>
                <w:szCs w:val="14"/>
                <w:b w:val="1"/>
                <w:bCs w:val="1"/>
                <w:color w:val="auto"/>
                <w:w w:val="93"/>
              </w:rPr>
              <w:t>Price</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center"/>
              <w:ind w:left="208"/>
              <w:spacing w:after="0"/>
              <w:rPr>
                <w:sz w:val="20"/>
                <w:szCs w:val="20"/>
                <w:color w:val="auto"/>
              </w:rPr>
            </w:pPr>
            <w:r>
              <w:rPr>
                <w:rFonts w:ascii="Arial" w:cs="Arial" w:eastAsia="Arial" w:hAnsi="Arial"/>
                <w:sz w:val="14"/>
                <w:szCs w:val="14"/>
                <w:b w:val="1"/>
                <w:bCs w:val="1"/>
                <w:color w:val="auto"/>
                <w:w w:val="95"/>
              </w:rPr>
              <w:t>Delivered</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New Homes Delivered:</w:t>
            </w:r>
          </w:p>
        </w:tc>
        <w:tc>
          <w:tcPr>
            <w:tcW w:w="86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Maracay Homes</w:t>
            </w:r>
          </w:p>
        </w:tc>
        <w:tc>
          <w:tcPr>
            <w:tcW w:w="280" w:type="dxa"/>
            <w:vAlign w:val="bottom"/>
          </w:tcPr>
          <w:p>
            <w:pPr>
              <w:jc w:val="right"/>
              <w:spacing w:after="0"/>
              <w:rPr>
                <w:sz w:val="20"/>
                <w:szCs w:val="20"/>
                <w:color w:val="auto"/>
              </w:rPr>
            </w:pPr>
            <w:r>
              <w:rPr>
                <w:rFonts w:ascii="Arial" w:cs="Arial" w:eastAsia="Arial" w:hAnsi="Arial"/>
                <w:sz w:val="18"/>
                <w:szCs w:val="18"/>
                <w:color w:val="auto"/>
                <w:w w:val="79"/>
              </w:rPr>
              <w:t>115</w:t>
            </w:r>
          </w:p>
        </w:tc>
        <w:tc>
          <w:tcPr>
            <w:tcW w:w="240" w:type="dxa"/>
            <w:vAlign w:val="bottom"/>
          </w:tcPr>
          <w:p>
            <w:pPr>
              <w:spacing w:after="0"/>
              <w:rPr>
                <w:sz w:val="19"/>
                <w:szCs w:val="19"/>
                <w:color w:val="auto"/>
              </w:rPr>
            </w:pPr>
          </w:p>
        </w:tc>
        <w:tc>
          <w:tcPr>
            <w:tcW w:w="800" w:type="dxa"/>
            <w:vAlign w:val="bottom"/>
          </w:tcPr>
          <w:p>
            <w:pPr>
              <w:jc w:val="right"/>
              <w:ind w:right="620"/>
              <w:spacing w:after="0"/>
              <w:rPr>
                <w:sz w:val="20"/>
                <w:szCs w:val="20"/>
                <w:color w:val="auto"/>
              </w:rPr>
            </w:pPr>
            <w:r>
              <w:rPr>
                <w:rFonts w:ascii="Arial" w:cs="Arial" w:eastAsia="Arial" w:hAnsi="Arial"/>
                <w:sz w:val="18"/>
                <w:szCs w:val="18"/>
                <w:color w:val="auto"/>
                <w:w w:val="79"/>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395</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85</w:t>
            </w:r>
          </w:p>
        </w:tc>
        <w:tc>
          <w:tcPr>
            <w:tcW w:w="260" w:type="dxa"/>
            <w:vAlign w:val="bottom"/>
          </w:tcPr>
          <w:p>
            <w:pPr>
              <w:spacing w:after="0"/>
              <w:rPr>
                <w:sz w:val="19"/>
                <w:szCs w:val="19"/>
                <w:color w:val="auto"/>
              </w:rPr>
            </w:pP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382</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208</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572</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168</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510</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Quadrant Homes</w:t>
            </w:r>
          </w:p>
        </w:tc>
        <w:tc>
          <w:tcPr>
            <w:tcW w:w="280" w:type="dxa"/>
            <w:vAlign w:val="bottom"/>
          </w:tcPr>
          <w:p>
            <w:pPr>
              <w:jc w:val="right"/>
              <w:spacing w:after="0"/>
              <w:rPr>
                <w:sz w:val="20"/>
                <w:szCs w:val="20"/>
                <w:color w:val="auto"/>
              </w:rPr>
            </w:pPr>
            <w:r>
              <w:rPr>
                <w:rFonts w:ascii="Arial" w:cs="Arial" w:eastAsia="Arial" w:hAnsi="Arial"/>
                <w:sz w:val="18"/>
                <w:szCs w:val="18"/>
                <w:color w:val="auto"/>
              </w:rPr>
              <w:t>92</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494</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93</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466</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498</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86"/>
              </w:rPr>
              <w:t>108</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520</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TRI Pointe Homes</w:t>
            </w:r>
          </w:p>
        </w:tc>
        <w:tc>
          <w:tcPr>
            <w:tcW w:w="280" w:type="dxa"/>
            <w:vAlign w:val="bottom"/>
          </w:tcPr>
          <w:p>
            <w:pPr>
              <w:jc w:val="right"/>
              <w:spacing w:after="0"/>
              <w:rPr>
                <w:sz w:val="20"/>
                <w:szCs w:val="20"/>
                <w:color w:val="auto"/>
              </w:rPr>
            </w:pPr>
            <w:r>
              <w:rPr>
                <w:rFonts w:ascii="Arial" w:cs="Arial" w:eastAsia="Arial" w:hAnsi="Arial"/>
                <w:sz w:val="18"/>
                <w:szCs w:val="18"/>
                <w:color w:val="auto"/>
                <w:w w:val="79"/>
              </w:rPr>
              <w:t>201</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657</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139</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769</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559</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75</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663</w:t>
            </w:r>
          </w:p>
        </w:tc>
        <w:tc>
          <w:tcPr>
            <w:tcW w:w="100" w:type="dxa"/>
            <w:vAlign w:val="bottom"/>
            <w:shd w:val="clear" w:color="auto" w:fill="CFF0FC"/>
          </w:tcPr>
          <w:p>
            <w:pPr>
              <w:spacing w:after="0"/>
              <w:rPr>
                <w:sz w:val="19"/>
                <w:szCs w:val="19"/>
                <w:color w:val="auto"/>
              </w:rPr>
            </w:pP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w:t>
            </w:r>
          </w:p>
        </w:tc>
        <w:tc>
          <w:tcPr>
            <w:tcW w:w="86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771</w:t>
            </w:r>
          </w:p>
        </w:tc>
        <w:tc>
          <w:tcPr>
            <w:tcW w:w="24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ind w:right="620"/>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w:t>
            </w:r>
          </w:p>
        </w:tc>
        <w:tc>
          <w:tcPr>
            <w:tcW w:w="240" w:type="dxa"/>
            <w:vAlign w:val="bottom"/>
          </w:tcPr>
          <w:p>
            <w:pPr>
              <w:spacing w:after="0"/>
              <w:rPr>
                <w:sz w:val="19"/>
                <w:szCs w:val="19"/>
                <w:color w:val="auto"/>
              </w:rPr>
            </w:pPr>
          </w:p>
        </w:tc>
        <w:tc>
          <w:tcPr>
            <w:tcW w:w="88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668</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560</w:t>
            </w:r>
          </w:p>
        </w:tc>
        <w:tc>
          <w:tcPr>
            <w:tcW w:w="100" w:type="dxa"/>
            <w:vAlign w:val="bottom"/>
          </w:tcPr>
          <w:p>
            <w:pPr>
              <w:spacing w:after="0"/>
              <w:rPr>
                <w:sz w:val="19"/>
                <w:szCs w:val="19"/>
                <w:color w:val="auto"/>
              </w:rPr>
            </w:pPr>
          </w:p>
        </w:tc>
      </w:tr>
      <w:tr>
        <w:trPr>
          <w:trHeight w:val="20"/>
        </w:trPr>
        <w:tc>
          <w:tcPr>
            <w:tcW w:w="59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69"/>
        </w:trPr>
        <w:tc>
          <w:tcPr>
            <w:tcW w:w="5960" w:type="dxa"/>
            <w:vAlign w:val="bottom"/>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gridSpan w:val="4"/>
          </w:tcPr>
          <w:p>
            <w:pPr>
              <w:ind w:left="300"/>
              <w:spacing w:after="0"/>
              <w:rPr>
                <w:sz w:val="20"/>
                <w:szCs w:val="20"/>
                <w:color w:val="auto"/>
              </w:rPr>
            </w:pPr>
            <w:r>
              <w:rPr>
                <w:rFonts w:ascii="Arial" w:cs="Arial" w:eastAsia="Arial" w:hAnsi="Arial"/>
                <w:sz w:val="14"/>
                <w:szCs w:val="14"/>
                <w:b w:val="1"/>
                <w:bCs w:val="1"/>
                <w:color w:val="auto"/>
                <w:w w:val="94"/>
              </w:rPr>
              <w:t>Three Months Ended March 31,</w:t>
            </w:r>
          </w:p>
        </w:tc>
        <w:tc>
          <w:tcPr>
            <w:tcW w:w="2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5960" w:type="dxa"/>
            <w:vAlign w:val="bottom"/>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gridSpan w:val="3"/>
          </w:tcPr>
          <w:p>
            <w:pPr>
              <w:jc w:val="right"/>
              <w:ind w:right="700"/>
              <w:spacing w:after="0"/>
              <w:rPr>
                <w:sz w:val="20"/>
                <w:szCs w:val="20"/>
                <w:color w:val="auto"/>
              </w:rPr>
            </w:pPr>
            <w:r>
              <w:rPr>
                <w:rFonts w:ascii="Arial" w:cs="Arial" w:eastAsia="Arial" w:hAnsi="Arial"/>
                <w:sz w:val="14"/>
                <w:szCs w:val="14"/>
                <w:b w:val="1"/>
                <w:bCs w:val="1"/>
                <w:color w:val="auto"/>
              </w:rPr>
              <w:t>2016</w:t>
            </w:r>
          </w:p>
        </w:tc>
        <w:tc>
          <w:tcPr>
            <w:tcW w:w="36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gridSpan w:val="4"/>
          </w:tcPr>
          <w:p>
            <w:pPr>
              <w:jc w:val="right"/>
              <w:ind w:right="90"/>
              <w:spacing w:after="0"/>
              <w:rPr>
                <w:sz w:val="20"/>
                <w:szCs w:val="20"/>
                <w:color w:val="auto"/>
              </w:rPr>
            </w:pPr>
            <w:r>
              <w:rPr>
                <w:rFonts w:ascii="Arial" w:cs="Arial" w:eastAsia="Arial" w:hAnsi="Arial"/>
                <w:sz w:val="14"/>
                <w:szCs w:val="14"/>
                <w:b w:val="1"/>
                <w:bCs w:val="1"/>
                <w:color w:val="auto"/>
              </w:rPr>
              <w:t>2015</w:t>
            </w:r>
          </w:p>
        </w:tc>
        <w:tc>
          <w:tcPr>
            <w:tcW w:w="10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38"/>
        </w:trPr>
        <w:tc>
          <w:tcPr>
            <w:tcW w:w="5960" w:type="dxa"/>
            <w:vAlign w:val="bottom"/>
          </w:tcPr>
          <w:p>
            <w:pPr>
              <w:spacing w:after="0"/>
              <w:rPr>
                <w:sz w:val="20"/>
                <w:szCs w:val="20"/>
                <w:color w:val="auto"/>
              </w:rPr>
            </w:pPr>
          </w:p>
        </w:tc>
        <w:tc>
          <w:tcPr>
            <w:tcW w:w="860" w:type="dxa"/>
            <w:vAlign w:val="bottom"/>
          </w:tcPr>
          <w:p>
            <w:pPr>
              <w:jc w:val="center"/>
              <w:ind w:left="168"/>
              <w:spacing w:after="0"/>
              <w:rPr>
                <w:sz w:val="20"/>
                <w:szCs w:val="20"/>
                <w:color w:val="auto"/>
              </w:rPr>
            </w:pPr>
            <w:r>
              <w:rPr>
                <w:rFonts w:ascii="Arial" w:cs="Arial" w:eastAsia="Arial" w:hAnsi="Arial"/>
                <w:sz w:val="14"/>
                <w:szCs w:val="14"/>
                <w:b w:val="1"/>
                <w:bCs w:val="1"/>
                <w:color w:val="auto"/>
                <w:w w:val="89"/>
              </w:rPr>
              <w:t>Homes</w:t>
            </w: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9"/>
              </w:rPr>
              <w:t>Avg. Selling</w:t>
            </w:r>
          </w:p>
        </w:tc>
        <w:tc>
          <w:tcPr>
            <w:tcW w:w="880" w:type="dxa"/>
            <w:vAlign w:val="bottom"/>
          </w:tcPr>
          <w:p>
            <w:pPr>
              <w:jc w:val="center"/>
              <w:ind w:left="208"/>
              <w:spacing w:after="0"/>
              <w:rPr>
                <w:sz w:val="20"/>
                <w:szCs w:val="20"/>
                <w:color w:val="auto"/>
              </w:rPr>
            </w:pPr>
            <w:r>
              <w:rPr>
                <w:rFonts w:ascii="Arial" w:cs="Arial" w:eastAsia="Arial" w:hAnsi="Arial"/>
                <w:sz w:val="14"/>
                <w:szCs w:val="14"/>
                <w:b w:val="1"/>
                <w:bCs w:val="1"/>
                <w:color w:val="auto"/>
                <w:w w:val="94"/>
              </w:rPr>
              <w:t>Homes</w:t>
            </w: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9"/>
              </w:rPr>
              <w:t>Avg. Selling</w:t>
            </w:r>
          </w:p>
        </w:tc>
      </w:tr>
      <w:tr>
        <w:trPr>
          <w:trHeight w:val="215"/>
        </w:trPr>
        <w:tc>
          <w:tcPr>
            <w:tcW w:w="5960" w:type="dxa"/>
            <w:vAlign w:val="bottom"/>
          </w:tcPr>
          <w:p>
            <w:pPr>
              <w:spacing w:after="0"/>
              <w:rPr>
                <w:sz w:val="18"/>
                <w:szCs w:val="18"/>
                <w:color w:val="auto"/>
              </w:rPr>
            </w:pPr>
          </w:p>
        </w:tc>
        <w:tc>
          <w:tcPr>
            <w:tcW w:w="860" w:type="dxa"/>
            <w:vAlign w:val="bottom"/>
          </w:tcPr>
          <w:p>
            <w:pPr>
              <w:jc w:val="center"/>
              <w:ind w:left="188"/>
              <w:spacing w:after="0"/>
              <w:rPr>
                <w:sz w:val="20"/>
                <w:szCs w:val="20"/>
                <w:color w:val="auto"/>
              </w:rPr>
            </w:pPr>
            <w:r>
              <w:rPr>
                <w:rFonts w:ascii="Arial" w:cs="Arial" w:eastAsia="Arial" w:hAnsi="Arial"/>
                <w:sz w:val="14"/>
                <w:szCs w:val="14"/>
                <w:b w:val="1"/>
                <w:bCs w:val="1"/>
                <w:color w:val="auto"/>
                <w:w w:val="95"/>
              </w:rPr>
              <w:t>Delivered</w:t>
            </w:r>
          </w:p>
        </w:tc>
        <w:tc>
          <w:tcPr>
            <w:tcW w:w="2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0" w:type="dxa"/>
            <w:vAlign w:val="bottom"/>
          </w:tcPr>
          <w:p>
            <w:pPr>
              <w:jc w:val="center"/>
              <w:ind w:left="280"/>
              <w:spacing w:after="0"/>
              <w:rPr>
                <w:sz w:val="20"/>
                <w:szCs w:val="20"/>
                <w:color w:val="auto"/>
              </w:rPr>
            </w:pPr>
            <w:r>
              <w:rPr>
                <w:rFonts w:ascii="Arial" w:cs="Arial" w:eastAsia="Arial" w:hAnsi="Arial"/>
                <w:sz w:val="14"/>
                <w:szCs w:val="14"/>
                <w:b w:val="1"/>
                <w:bCs w:val="1"/>
                <w:color w:val="auto"/>
                <w:w w:val="93"/>
              </w:rPr>
              <w:t>Price</w:t>
            </w:r>
          </w:p>
        </w:tc>
        <w:tc>
          <w:tcPr>
            <w:tcW w:w="3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tcPr>
          <w:p>
            <w:pPr>
              <w:jc w:val="center"/>
              <w:ind w:left="208"/>
              <w:spacing w:after="0"/>
              <w:rPr>
                <w:sz w:val="20"/>
                <w:szCs w:val="20"/>
                <w:color w:val="auto"/>
              </w:rPr>
            </w:pPr>
            <w:r>
              <w:rPr>
                <w:rFonts w:ascii="Arial" w:cs="Arial" w:eastAsia="Arial" w:hAnsi="Arial"/>
                <w:sz w:val="14"/>
                <w:szCs w:val="14"/>
                <w:b w:val="1"/>
                <w:bCs w:val="1"/>
                <w:color w:val="auto"/>
                <w:w w:val="95"/>
              </w:rPr>
              <w:t>Delivered</w:t>
            </w: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New Homes Delivered:</w:t>
            </w:r>
          </w:p>
        </w:tc>
        <w:tc>
          <w:tcPr>
            <w:tcW w:w="86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3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California</w:t>
            </w:r>
          </w:p>
        </w:tc>
        <w:tc>
          <w:tcPr>
            <w:tcW w:w="280" w:type="dxa"/>
            <w:vAlign w:val="bottom"/>
          </w:tcPr>
          <w:p>
            <w:pPr>
              <w:jc w:val="right"/>
              <w:spacing w:after="0"/>
              <w:rPr>
                <w:sz w:val="20"/>
                <w:szCs w:val="20"/>
                <w:color w:val="auto"/>
              </w:rPr>
            </w:pPr>
            <w:r>
              <w:rPr>
                <w:rFonts w:ascii="Arial" w:cs="Arial" w:eastAsia="Arial" w:hAnsi="Arial"/>
                <w:sz w:val="18"/>
                <w:szCs w:val="18"/>
                <w:color w:val="auto"/>
                <w:w w:val="79"/>
              </w:rPr>
              <w:t>314</w:t>
            </w:r>
          </w:p>
        </w:tc>
        <w:tc>
          <w:tcPr>
            <w:tcW w:w="240" w:type="dxa"/>
            <w:vAlign w:val="bottom"/>
          </w:tcPr>
          <w:p>
            <w:pPr>
              <w:spacing w:after="0"/>
              <w:rPr>
                <w:sz w:val="19"/>
                <w:szCs w:val="19"/>
                <w:color w:val="auto"/>
              </w:rPr>
            </w:pPr>
          </w:p>
        </w:tc>
        <w:tc>
          <w:tcPr>
            <w:tcW w:w="800" w:type="dxa"/>
            <w:vAlign w:val="bottom"/>
          </w:tcPr>
          <w:p>
            <w:pPr>
              <w:jc w:val="right"/>
              <w:ind w:right="620"/>
              <w:spacing w:after="0"/>
              <w:rPr>
                <w:sz w:val="20"/>
                <w:szCs w:val="20"/>
                <w:color w:val="auto"/>
              </w:rPr>
            </w:pPr>
            <w:r>
              <w:rPr>
                <w:rFonts w:ascii="Arial" w:cs="Arial" w:eastAsia="Arial" w:hAnsi="Arial"/>
                <w:sz w:val="18"/>
                <w:szCs w:val="18"/>
                <w:color w:val="auto"/>
                <w:w w:val="79"/>
              </w:rPr>
              <w:t>$</w:t>
            </w:r>
          </w:p>
        </w:tc>
        <w:tc>
          <w:tcPr>
            <w:tcW w:w="360" w:type="dxa"/>
            <w:vAlign w:val="bottom"/>
          </w:tcPr>
          <w:p>
            <w:pPr>
              <w:jc w:val="right"/>
              <w:spacing w:after="0"/>
              <w:rPr>
                <w:sz w:val="20"/>
                <w:szCs w:val="20"/>
                <w:color w:val="auto"/>
              </w:rPr>
            </w:pPr>
            <w:r>
              <w:rPr>
                <w:rFonts w:ascii="Arial" w:cs="Arial" w:eastAsia="Arial" w:hAnsi="Arial"/>
                <w:sz w:val="18"/>
                <w:szCs w:val="18"/>
                <w:color w:val="auto"/>
              </w:rPr>
              <w:t>681</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220</w:t>
            </w:r>
          </w:p>
        </w:tc>
        <w:tc>
          <w:tcPr>
            <w:tcW w:w="260" w:type="dxa"/>
            <w:vAlign w:val="bottom"/>
          </w:tcPr>
          <w:p>
            <w:pPr>
              <w:spacing w:after="0"/>
              <w:rPr>
                <w:sz w:val="19"/>
                <w:szCs w:val="19"/>
                <w:color w:val="auto"/>
              </w:rPr>
            </w:pPr>
          </w:p>
        </w:tc>
        <w:tc>
          <w:tcPr>
            <w:tcW w:w="140" w:type="dxa"/>
            <w:vAlign w:val="bottom"/>
            <w:gridSpan w:val="2"/>
          </w:tcPr>
          <w:p>
            <w:pPr>
              <w:jc w:val="right"/>
              <w:ind w:right="10"/>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721</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482</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473</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Maryland</w:t>
            </w:r>
          </w:p>
        </w:tc>
        <w:tc>
          <w:tcPr>
            <w:tcW w:w="280" w:type="dxa"/>
            <w:vAlign w:val="bottom"/>
          </w:tcPr>
          <w:p>
            <w:pPr>
              <w:jc w:val="right"/>
              <w:spacing w:after="0"/>
              <w:rPr>
                <w:sz w:val="20"/>
                <w:szCs w:val="20"/>
                <w:color w:val="auto"/>
              </w:rPr>
            </w:pPr>
            <w:r>
              <w:rPr>
                <w:rFonts w:ascii="Arial" w:cs="Arial" w:eastAsia="Arial" w:hAnsi="Arial"/>
                <w:sz w:val="18"/>
                <w:szCs w:val="18"/>
                <w:color w:val="auto"/>
              </w:rPr>
              <w:t>48</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504</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31</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580</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699</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44</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721</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Arizona</w:t>
            </w:r>
          </w:p>
        </w:tc>
        <w:tc>
          <w:tcPr>
            <w:tcW w:w="280" w:type="dxa"/>
            <w:vAlign w:val="bottom"/>
          </w:tcPr>
          <w:p>
            <w:pPr>
              <w:jc w:val="right"/>
              <w:spacing w:after="0"/>
              <w:rPr>
                <w:sz w:val="20"/>
                <w:szCs w:val="20"/>
                <w:color w:val="auto"/>
              </w:rPr>
            </w:pPr>
            <w:r>
              <w:rPr>
                <w:rFonts w:ascii="Arial" w:cs="Arial" w:eastAsia="Arial" w:hAnsi="Arial"/>
                <w:sz w:val="18"/>
                <w:szCs w:val="18"/>
                <w:color w:val="auto"/>
                <w:w w:val="79"/>
              </w:rPr>
              <w:t>115</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395</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rPr>
              <w:t>85</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382</w:t>
            </w:r>
          </w:p>
        </w:tc>
        <w:tc>
          <w:tcPr>
            <w:tcW w:w="100" w:type="dxa"/>
            <w:vAlign w:val="bottom"/>
          </w:tcPr>
          <w:p>
            <w:pPr>
              <w:spacing w:after="0"/>
              <w:rPr>
                <w:sz w:val="19"/>
                <w:szCs w:val="19"/>
                <w:color w:val="auto"/>
              </w:rPr>
            </w:pPr>
          </w:p>
        </w:tc>
      </w:tr>
      <w:tr>
        <w:trPr>
          <w:trHeight w:val="23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57</w:t>
            </w:r>
          </w:p>
        </w:tc>
        <w:tc>
          <w:tcPr>
            <w:tcW w:w="240" w:type="dxa"/>
            <w:vAlign w:val="bottom"/>
            <w:shd w:val="clear" w:color="auto" w:fill="CFF0FC"/>
          </w:tcPr>
          <w:p>
            <w:pPr>
              <w:spacing w:after="0"/>
              <w:rPr>
                <w:sz w:val="19"/>
                <w:szCs w:val="19"/>
                <w:color w:val="auto"/>
              </w:rPr>
            </w:pPr>
          </w:p>
        </w:tc>
        <w:tc>
          <w:tcPr>
            <w:tcW w:w="800" w:type="dxa"/>
            <w:vAlign w:val="bottom"/>
            <w:shd w:val="clear" w:color="auto" w:fill="CFF0FC"/>
          </w:tcPr>
          <w:p>
            <w:pPr>
              <w:spacing w:after="0"/>
              <w:rPr>
                <w:sz w:val="19"/>
                <w:szCs w:val="19"/>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328</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spacing w:after="0"/>
              <w:rPr>
                <w:sz w:val="19"/>
                <w:szCs w:val="19"/>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54</w:t>
            </w:r>
          </w:p>
        </w:tc>
        <w:tc>
          <w:tcPr>
            <w:tcW w:w="26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340</w:t>
            </w:r>
          </w:p>
        </w:tc>
        <w:tc>
          <w:tcPr>
            <w:tcW w:w="100" w:type="dxa"/>
            <w:vAlign w:val="bottom"/>
            <w:shd w:val="clear" w:color="auto" w:fill="CFF0FC"/>
          </w:tcPr>
          <w:p>
            <w:pPr>
              <w:spacing w:after="0"/>
              <w:rPr>
                <w:sz w:val="19"/>
                <w:szCs w:val="19"/>
                <w:color w:val="auto"/>
              </w:rPr>
            </w:pPr>
          </w:p>
        </w:tc>
      </w:tr>
      <w:tr>
        <w:trPr>
          <w:trHeight w:val="230"/>
        </w:trPr>
        <w:tc>
          <w:tcPr>
            <w:tcW w:w="6820" w:type="dxa"/>
            <w:vAlign w:val="bottom"/>
            <w:gridSpan w:val="2"/>
          </w:tcPr>
          <w:p>
            <w:pPr>
              <w:ind w:left="260"/>
              <w:spacing w:after="0"/>
              <w:rPr>
                <w:sz w:val="20"/>
                <w:szCs w:val="20"/>
                <w:color w:val="auto"/>
              </w:rPr>
            </w:pPr>
            <w:r>
              <w:rPr>
                <w:rFonts w:ascii="Arial" w:cs="Arial" w:eastAsia="Arial" w:hAnsi="Arial"/>
                <w:sz w:val="18"/>
                <w:szCs w:val="18"/>
                <w:color w:val="auto"/>
              </w:rPr>
              <w:t>Texas</w:t>
            </w:r>
          </w:p>
        </w:tc>
        <w:tc>
          <w:tcPr>
            <w:tcW w:w="280" w:type="dxa"/>
            <w:vAlign w:val="bottom"/>
          </w:tcPr>
          <w:p>
            <w:pPr>
              <w:jc w:val="right"/>
              <w:spacing w:after="0"/>
              <w:rPr>
                <w:sz w:val="20"/>
                <w:szCs w:val="20"/>
                <w:color w:val="auto"/>
              </w:rPr>
            </w:pPr>
            <w:r>
              <w:rPr>
                <w:rFonts w:ascii="Arial" w:cs="Arial" w:eastAsia="Arial" w:hAnsi="Arial"/>
                <w:sz w:val="18"/>
                <w:szCs w:val="18"/>
                <w:color w:val="auto"/>
              </w:rPr>
              <w:t>88</w:t>
            </w: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498</w:t>
            </w: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8"/>
                <w:szCs w:val="18"/>
                <w:color w:val="auto"/>
                <w:w w:val="86"/>
              </w:rPr>
              <w:t>108</w:t>
            </w: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520</w:t>
            </w:r>
          </w:p>
        </w:tc>
        <w:tc>
          <w:tcPr>
            <w:tcW w:w="100" w:type="dxa"/>
            <w:vAlign w:val="bottom"/>
          </w:tcPr>
          <w:p>
            <w:pPr>
              <w:spacing w:after="0"/>
              <w:rPr>
                <w:sz w:val="19"/>
                <w:szCs w:val="19"/>
                <w:color w:val="auto"/>
              </w:rPr>
            </w:pPr>
          </w:p>
        </w:tc>
      </w:tr>
      <w:tr>
        <w:trPr>
          <w:trHeight w:val="270"/>
        </w:trPr>
        <w:tc>
          <w:tcPr>
            <w:tcW w:w="6820" w:type="dxa"/>
            <w:vAlign w:val="bottom"/>
            <w:gridSpan w:val="2"/>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92</w:t>
            </w:r>
          </w:p>
        </w:tc>
        <w:tc>
          <w:tcPr>
            <w:tcW w:w="240" w:type="dxa"/>
            <w:vAlign w:val="bottom"/>
            <w:shd w:val="clear" w:color="auto" w:fill="CFF0FC"/>
          </w:tcPr>
          <w:p>
            <w:pPr>
              <w:spacing w:after="0"/>
              <w:rPr>
                <w:sz w:val="23"/>
                <w:szCs w:val="23"/>
                <w:color w:val="auto"/>
              </w:rPr>
            </w:pPr>
          </w:p>
        </w:tc>
        <w:tc>
          <w:tcPr>
            <w:tcW w:w="800" w:type="dxa"/>
            <w:vAlign w:val="bottom"/>
            <w:shd w:val="clear" w:color="auto" w:fill="CFF0FC"/>
          </w:tcPr>
          <w:p>
            <w:pPr>
              <w:spacing w:after="0"/>
              <w:rPr>
                <w:sz w:val="23"/>
                <w:szCs w:val="23"/>
                <w:color w:val="auto"/>
              </w:rPr>
            </w:pPr>
          </w:p>
        </w:tc>
        <w:tc>
          <w:tcPr>
            <w:tcW w:w="3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494</w:t>
            </w:r>
          </w:p>
        </w:tc>
        <w:tc>
          <w:tcPr>
            <w:tcW w:w="240" w:type="dxa"/>
            <w:vAlign w:val="bottom"/>
            <w:shd w:val="clear" w:color="auto" w:fill="CFF0FC"/>
          </w:tcPr>
          <w:p>
            <w:pPr>
              <w:spacing w:after="0"/>
              <w:rPr>
                <w:sz w:val="23"/>
                <w:szCs w:val="23"/>
                <w:color w:val="auto"/>
              </w:rPr>
            </w:pPr>
          </w:p>
        </w:tc>
        <w:tc>
          <w:tcPr>
            <w:tcW w:w="880" w:type="dxa"/>
            <w:vAlign w:val="bottom"/>
            <w:shd w:val="clear" w:color="auto" w:fill="CFF0FC"/>
          </w:tcPr>
          <w:p>
            <w:pPr>
              <w:spacing w:after="0"/>
              <w:rPr>
                <w:sz w:val="23"/>
                <w:szCs w:val="23"/>
                <w:color w:val="auto"/>
              </w:rPr>
            </w:pPr>
          </w:p>
        </w:tc>
        <w:tc>
          <w:tcPr>
            <w:tcW w:w="2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93</w:t>
            </w:r>
          </w:p>
        </w:tc>
        <w:tc>
          <w:tcPr>
            <w:tcW w:w="260" w:type="dxa"/>
            <w:vAlign w:val="bottom"/>
            <w:shd w:val="clear" w:color="auto" w:fill="CFF0FC"/>
          </w:tcPr>
          <w:p>
            <w:pPr>
              <w:spacing w:after="0"/>
              <w:rPr>
                <w:sz w:val="23"/>
                <w:szCs w:val="23"/>
                <w:color w:val="auto"/>
              </w:rPr>
            </w:pPr>
          </w:p>
        </w:tc>
        <w:tc>
          <w:tcPr>
            <w:tcW w:w="20" w:type="dxa"/>
            <w:vAlign w:val="bottom"/>
            <w:shd w:val="clear" w:color="auto" w:fill="CFF0FC"/>
          </w:tcPr>
          <w:p>
            <w:pPr>
              <w:spacing w:after="0"/>
              <w:rPr>
                <w:sz w:val="23"/>
                <w:szCs w:val="23"/>
                <w:color w:val="auto"/>
              </w:rPr>
            </w:pPr>
          </w:p>
        </w:tc>
        <w:tc>
          <w:tcPr>
            <w:tcW w:w="120" w:type="dxa"/>
            <w:vAlign w:val="bottom"/>
            <w:shd w:val="clear" w:color="auto" w:fill="CFF0FC"/>
          </w:tcPr>
          <w:p>
            <w:pPr>
              <w:spacing w:after="0"/>
              <w:rPr>
                <w:sz w:val="23"/>
                <w:szCs w:val="23"/>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466</w:t>
            </w:r>
          </w:p>
        </w:tc>
        <w:tc>
          <w:tcPr>
            <w:tcW w:w="100" w:type="dxa"/>
            <w:vAlign w:val="bottom"/>
            <w:shd w:val="clear" w:color="auto" w:fill="CFF0FC"/>
          </w:tcPr>
          <w:p>
            <w:pPr>
              <w:spacing w:after="0"/>
              <w:rPr>
                <w:sz w:val="23"/>
                <w:szCs w:val="23"/>
                <w:color w:val="auto"/>
              </w:rPr>
            </w:pP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w:t>
            </w:r>
          </w:p>
        </w:tc>
        <w:tc>
          <w:tcPr>
            <w:tcW w:w="86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771</w:t>
            </w:r>
          </w:p>
        </w:tc>
        <w:tc>
          <w:tcPr>
            <w:tcW w:w="240" w:type="dxa"/>
            <w:vAlign w:val="bottom"/>
          </w:tcPr>
          <w:p>
            <w:pPr>
              <w:spacing w:after="0"/>
              <w:rPr>
                <w:sz w:val="19"/>
                <w:szCs w:val="19"/>
                <w:color w:val="auto"/>
              </w:rPr>
            </w:pPr>
          </w:p>
        </w:tc>
        <w:tc>
          <w:tcPr>
            <w:tcW w:w="800" w:type="dxa"/>
            <w:vAlign w:val="bottom"/>
            <w:tcBorders>
              <w:top w:val="single" w:sz="8" w:color="auto"/>
              <w:bottom w:val="single" w:sz="8" w:color="auto"/>
            </w:tcBorders>
          </w:tcPr>
          <w:p>
            <w:pPr>
              <w:jc w:val="right"/>
              <w:ind w:right="620"/>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549</w:t>
            </w:r>
          </w:p>
        </w:tc>
        <w:tc>
          <w:tcPr>
            <w:tcW w:w="240" w:type="dxa"/>
            <w:vAlign w:val="bottom"/>
          </w:tcPr>
          <w:p>
            <w:pPr>
              <w:spacing w:after="0"/>
              <w:rPr>
                <w:sz w:val="19"/>
                <w:szCs w:val="19"/>
                <w:color w:val="auto"/>
              </w:rPr>
            </w:pPr>
          </w:p>
        </w:tc>
        <w:tc>
          <w:tcPr>
            <w:tcW w:w="880" w:type="dxa"/>
            <w:vAlign w:val="bottom"/>
            <w:tcBorders>
              <w:top w:val="single" w:sz="8" w:color="auto"/>
              <w:bottom w:val="single" w:sz="8" w:color="auto"/>
            </w:tcBorders>
          </w:tcPr>
          <w:p>
            <w:pPr>
              <w:spacing w:after="0"/>
              <w:rPr>
                <w:sz w:val="19"/>
                <w:szCs w:val="19"/>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6"/>
              </w:rPr>
              <w:t>668</w:t>
            </w:r>
          </w:p>
        </w:tc>
        <w:tc>
          <w:tcPr>
            <w:tcW w:w="2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0"/>
                <w:szCs w:val="10"/>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560</w:t>
            </w:r>
          </w:p>
        </w:tc>
        <w:tc>
          <w:tcPr>
            <w:tcW w:w="100" w:type="dxa"/>
            <w:vAlign w:val="bottom"/>
          </w:tcPr>
          <w:p>
            <w:pPr>
              <w:spacing w:after="0"/>
              <w:rPr>
                <w:sz w:val="19"/>
                <w:szCs w:val="19"/>
                <w:color w:val="auto"/>
              </w:rPr>
            </w:pPr>
          </w:p>
        </w:tc>
      </w:tr>
      <w:tr>
        <w:trPr>
          <w:trHeight w:val="20"/>
        </w:trPr>
        <w:tc>
          <w:tcPr>
            <w:tcW w:w="596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60" w:type="dxa"/>
            <w:vAlign w:val="bottom"/>
          </w:tcPr>
          <w:p>
            <w:pPr>
              <w:spacing w:after="0"/>
              <w:rPr>
                <w:sz w:val="14"/>
                <w:szCs w:val="14"/>
                <w:color w:val="auto"/>
              </w:rPr>
            </w:pPr>
          </w:p>
        </w:tc>
        <w:tc>
          <w:tcPr>
            <w:tcW w:w="1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80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4"/>
                <w:szCs w:val="14"/>
                <w:b w:val="1"/>
                <w:bCs w:val="1"/>
                <w:color w:val="auto"/>
              </w:rPr>
              <w:t>Three Months Ended March 31,</w:t>
            </w:r>
          </w:p>
        </w:tc>
        <w:tc>
          <w:tcPr>
            <w:tcW w:w="10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223"/>
        </w:trPr>
        <w:tc>
          <w:tcPr>
            <w:tcW w:w="5960" w:type="dxa"/>
            <w:vAlign w:val="bottom"/>
          </w:tcPr>
          <w:p>
            <w:pPr>
              <w:spacing w:after="0"/>
              <w:rPr>
                <w:sz w:val="19"/>
                <w:szCs w:val="19"/>
                <w:color w:val="auto"/>
              </w:rPr>
            </w:pPr>
          </w:p>
        </w:tc>
        <w:tc>
          <w:tcPr>
            <w:tcW w:w="14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2016</w:t>
            </w:r>
          </w:p>
        </w:tc>
        <w:tc>
          <w:tcPr>
            <w:tcW w:w="106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2015</w:t>
            </w:r>
          </w:p>
        </w:tc>
        <w:tc>
          <w:tcPr>
            <w:tcW w:w="10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38"/>
        </w:trPr>
        <w:tc>
          <w:tcPr>
            <w:tcW w:w="5960" w:type="dxa"/>
            <w:vAlign w:val="bottom"/>
          </w:tcPr>
          <w:p>
            <w:pPr>
              <w:spacing w:after="0"/>
              <w:rPr>
                <w:sz w:val="20"/>
                <w:szCs w:val="20"/>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7"/>
              </w:rPr>
              <w:t>New</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Average</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7"/>
              </w:rPr>
              <w:t>New</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5960" w:type="dxa"/>
            <w:vAlign w:val="bottom"/>
          </w:tcPr>
          <w:p>
            <w:pPr>
              <w:spacing w:after="0"/>
              <w:rPr>
                <w:sz w:val="19"/>
                <w:szCs w:val="19"/>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2"/>
              </w:rPr>
              <w:t>Home</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Selling</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2"/>
              </w:rPr>
              <w:t>Home</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5960" w:type="dxa"/>
            <w:vAlign w:val="bottom"/>
          </w:tcPr>
          <w:p>
            <w:pPr>
              <w:spacing w:after="0"/>
              <w:rPr>
                <w:sz w:val="18"/>
                <w:szCs w:val="18"/>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5"/>
              </w:rPr>
              <w:t>Orders</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Communities</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5"/>
              </w:rPr>
              <w:t>Orders</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Communities</w:t>
            </w: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New Home Orders:</w:t>
            </w:r>
          </w:p>
        </w:tc>
        <w:tc>
          <w:tcPr>
            <w:tcW w:w="11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1140" w:type="dxa"/>
            <w:vAlign w:val="bottom"/>
          </w:tcPr>
          <w:p>
            <w:pPr>
              <w:jc w:val="right"/>
              <w:spacing w:after="0"/>
              <w:rPr>
                <w:sz w:val="20"/>
                <w:szCs w:val="20"/>
                <w:color w:val="auto"/>
              </w:rPr>
            </w:pPr>
            <w:r>
              <w:rPr>
                <w:rFonts w:ascii="Arial" w:cs="Arial" w:eastAsia="Arial" w:hAnsi="Arial"/>
                <w:sz w:val="18"/>
                <w:szCs w:val="18"/>
                <w:color w:val="auto"/>
              </w:rPr>
              <w:t>201</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18.5</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161</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17.0</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313</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23.5</w:t>
            </w:r>
          </w:p>
        </w:tc>
        <w:tc>
          <w:tcPr>
            <w:tcW w:w="2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308</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20.3</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1140" w:type="dxa"/>
            <w:vAlign w:val="bottom"/>
          </w:tcPr>
          <w:p>
            <w:pPr>
              <w:jc w:val="right"/>
              <w:spacing w:after="0"/>
              <w:rPr>
                <w:sz w:val="20"/>
                <w:szCs w:val="20"/>
                <w:color w:val="auto"/>
              </w:rPr>
            </w:pPr>
            <w:r>
              <w:rPr>
                <w:rFonts w:ascii="Arial" w:cs="Arial" w:eastAsia="Arial" w:hAnsi="Arial"/>
                <w:sz w:val="18"/>
                <w:szCs w:val="18"/>
                <w:color w:val="auto"/>
              </w:rPr>
              <w:t>133</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9.5</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150</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10.2</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122</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24.3</w:t>
            </w:r>
          </w:p>
        </w:tc>
        <w:tc>
          <w:tcPr>
            <w:tcW w:w="2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132</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26.5</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1140" w:type="dxa"/>
            <w:vAlign w:val="bottom"/>
          </w:tcPr>
          <w:p>
            <w:pPr>
              <w:jc w:val="right"/>
              <w:spacing w:after="0"/>
              <w:rPr>
                <w:sz w:val="20"/>
                <w:szCs w:val="20"/>
                <w:color w:val="auto"/>
              </w:rPr>
            </w:pPr>
            <w:r>
              <w:rPr>
                <w:rFonts w:ascii="Arial" w:cs="Arial" w:eastAsia="Arial" w:hAnsi="Arial"/>
                <w:sz w:val="18"/>
                <w:szCs w:val="18"/>
                <w:color w:val="auto"/>
              </w:rPr>
              <w:t>265</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25.5</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336</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26.3</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115</w:t>
            </w:r>
          </w:p>
        </w:tc>
        <w:tc>
          <w:tcPr>
            <w:tcW w:w="2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13.2</w:t>
            </w:r>
          </w:p>
        </w:tc>
        <w:tc>
          <w:tcPr>
            <w:tcW w:w="24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107</w:t>
            </w:r>
          </w:p>
        </w:tc>
        <w:tc>
          <w:tcPr>
            <w:tcW w:w="26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12.7</w:t>
            </w:r>
          </w:p>
        </w:tc>
        <w:tc>
          <w:tcPr>
            <w:tcW w:w="100" w:type="dxa"/>
            <w:vAlign w:val="bottom"/>
            <w:shd w:val="clear" w:color="auto" w:fill="CFF0FC"/>
          </w:tcPr>
          <w:p>
            <w:pPr>
              <w:spacing w:after="0"/>
              <w:rPr>
                <w:sz w:val="19"/>
                <w:szCs w:val="19"/>
                <w:color w:val="auto"/>
              </w:rPr>
            </w:pP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114.5</w:t>
            </w:r>
          </w:p>
        </w:tc>
        <w:tc>
          <w:tcPr>
            <w:tcW w:w="240" w:type="dxa"/>
            <w:vAlign w:val="bottom"/>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1,194</w:t>
            </w:r>
          </w:p>
        </w:tc>
        <w:tc>
          <w:tcPr>
            <w:tcW w:w="2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113.0</w:t>
            </w:r>
          </w:p>
        </w:tc>
        <w:tc>
          <w:tcPr>
            <w:tcW w:w="100" w:type="dxa"/>
            <w:vAlign w:val="bottom"/>
          </w:tcPr>
          <w:p>
            <w:pPr>
              <w:spacing w:after="0"/>
              <w:rPr>
                <w:sz w:val="19"/>
                <w:szCs w:val="19"/>
                <w:color w:val="auto"/>
              </w:rPr>
            </w:pPr>
          </w:p>
        </w:tc>
      </w:tr>
      <w:tr>
        <w:trPr>
          <w:trHeight w:val="20"/>
        </w:trPr>
        <w:tc>
          <w:tcPr>
            <w:tcW w:w="59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669"/>
        </w:trPr>
        <w:tc>
          <w:tcPr>
            <w:tcW w:w="5960" w:type="dxa"/>
            <w:vAlign w:val="bottom"/>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4"/>
                <w:szCs w:val="14"/>
                <w:b w:val="1"/>
                <w:bCs w:val="1"/>
                <w:color w:val="auto"/>
              </w:rPr>
              <w:t>Three Months Ended March 31,</w:t>
            </w:r>
          </w:p>
        </w:tc>
        <w:tc>
          <w:tcPr>
            <w:tcW w:w="108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23"/>
        </w:trPr>
        <w:tc>
          <w:tcPr>
            <w:tcW w:w="5960" w:type="dxa"/>
            <w:vAlign w:val="bottom"/>
          </w:tcPr>
          <w:p>
            <w:pPr>
              <w:spacing w:after="0"/>
              <w:rPr>
                <w:sz w:val="19"/>
                <w:szCs w:val="19"/>
                <w:color w:val="auto"/>
              </w:rPr>
            </w:pPr>
          </w:p>
        </w:tc>
        <w:tc>
          <w:tcPr>
            <w:tcW w:w="148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2016</w:t>
            </w:r>
          </w:p>
        </w:tc>
        <w:tc>
          <w:tcPr>
            <w:tcW w:w="1060" w:type="dxa"/>
            <w:vAlign w:val="bottom"/>
            <w:tcBorders>
              <w:bottom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150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2015</w:t>
            </w:r>
          </w:p>
        </w:tc>
        <w:tc>
          <w:tcPr>
            <w:tcW w:w="10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38"/>
        </w:trPr>
        <w:tc>
          <w:tcPr>
            <w:tcW w:w="5960" w:type="dxa"/>
            <w:vAlign w:val="bottom"/>
          </w:tcPr>
          <w:p>
            <w:pPr>
              <w:spacing w:after="0"/>
              <w:rPr>
                <w:sz w:val="20"/>
                <w:szCs w:val="20"/>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7"/>
              </w:rPr>
              <w:t>New</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0"/>
              </w:rPr>
              <w:t>Average</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7"/>
              </w:rPr>
              <w:t>New</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5960" w:type="dxa"/>
            <w:vAlign w:val="bottom"/>
          </w:tcPr>
          <w:p>
            <w:pPr>
              <w:spacing w:after="0"/>
              <w:rPr>
                <w:sz w:val="19"/>
                <w:szCs w:val="19"/>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2"/>
              </w:rPr>
              <w:t>Home</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1"/>
              </w:rPr>
              <w:t>Selling</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2"/>
              </w:rPr>
              <w:t>Home</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5960" w:type="dxa"/>
            <w:vAlign w:val="bottom"/>
          </w:tcPr>
          <w:p>
            <w:pPr>
              <w:spacing w:after="0"/>
              <w:rPr>
                <w:sz w:val="18"/>
                <w:szCs w:val="18"/>
                <w:color w:val="auto"/>
              </w:rPr>
            </w:pPr>
          </w:p>
        </w:tc>
        <w:tc>
          <w:tcPr>
            <w:tcW w:w="1480" w:type="dxa"/>
            <w:vAlign w:val="bottom"/>
            <w:gridSpan w:val="3"/>
          </w:tcPr>
          <w:p>
            <w:pPr>
              <w:jc w:val="center"/>
              <w:ind w:right="360"/>
              <w:spacing w:after="0"/>
              <w:rPr>
                <w:sz w:val="20"/>
                <w:szCs w:val="20"/>
                <w:color w:val="auto"/>
              </w:rPr>
            </w:pPr>
            <w:r>
              <w:rPr>
                <w:rFonts w:ascii="Arial" w:cs="Arial" w:eastAsia="Arial" w:hAnsi="Arial"/>
                <w:sz w:val="14"/>
                <w:szCs w:val="14"/>
                <w:b w:val="1"/>
                <w:bCs w:val="1"/>
                <w:color w:val="auto"/>
                <w:w w:val="95"/>
              </w:rPr>
              <w:t>Orders</w:t>
            </w:r>
          </w:p>
        </w:tc>
        <w:tc>
          <w:tcPr>
            <w:tcW w:w="130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Communities</w:t>
            </w:r>
          </w:p>
        </w:tc>
        <w:tc>
          <w:tcPr>
            <w:tcW w:w="15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5"/>
              </w:rPr>
              <w:t>Orders</w:t>
            </w:r>
          </w:p>
        </w:tc>
        <w:tc>
          <w:tcPr>
            <w:tcW w:w="11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2"/>
              </w:rPr>
              <w:t>Communities</w:t>
            </w: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Net New Home Orders:</w:t>
            </w:r>
          </w:p>
        </w:tc>
        <w:tc>
          <w:tcPr>
            <w:tcW w:w="114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160" w:type="dxa"/>
            <w:vAlign w:val="bottom"/>
            <w:tcBorders>
              <w:top w:val="single" w:sz="8" w:color="auto"/>
            </w:tcBorders>
            <w:shd w:val="clear" w:color="auto" w:fill="CFF0FC"/>
          </w:tcPr>
          <w:p>
            <w:pPr>
              <w:spacing w:after="0"/>
              <w:rPr>
                <w:sz w:val="19"/>
                <w:szCs w:val="19"/>
                <w:color w:val="auto"/>
              </w:rPr>
            </w:pPr>
          </w:p>
        </w:tc>
        <w:tc>
          <w:tcPr>
            <w:tcW w:w="260" w:type="dxa"/>
            <w:vAlign w:val="bottom"/>
            <w:tcBorders>
              <w:top w:val="single" w:sz="8" w:color="CFF0FC"/>
            </w:tcBorders>
            <w:shd w:val="clear" w:color="auto" w:fill="CFF0FC"/>
          </w:tcPr>
          <w:p>
            <w:pPr>
              <w:spacing w:after="0"/>
              <w:rPr>
                <w:sz w:val="19"/>
                <w:szCs w:val="19"/>
                <w:color w:val="auto"/>
              </w:rPr>
            </w:pPr>
          </w:p>
        </w:tc>
        <w:tc>
          <w:tcPr>
            <w:tcW w:w="80" w:type="dxa"/>
            <w:vAlign w:val="bottom"/>
            <w:tcBorders>
              <w:top w:val="single" w:sz="8" w:color="auto"/>
            </w:tcBorders>
            <w:shd w:val="clear" w:color="auto" w:fill="CFF0FC"/>
          </w:tcPr>
          <w:p>
            <w:pPr>
              <w:spacing w:after="0"/>
              <w:rPr>
                <w:sz w:val="19"/>
                <w:szCs w:val="19"/>
                <w:color w:val="auto"/>
              </w:rPr>
            </w:pPr>
          </w:p>
        </w:tc>
        <w:tc>
          <w:tcPr>
            <w:tcW w:w="108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1140" w:type="dxa"/>
            <w:vAlign w:val="bottom"/>
          </w:tcPr>
          <w:p>
            <w:pPr>
              <w:jc w:val="right"/>
              <w:spacing w:after="0"/>
              <w:rPr>
                <w:sz w:val="20"/>
                <w:szCs w:val="20"/>
                <w:color w:val="auto"/>
              </w:rPr>
            </w:pPr>
            <w:r>
              <w:rPr>
                <w:rFonts w:ascii="Arial" w:cs="Arial" w:eastAsia="Arial" w:hAnsi="Arial"/>
                <w:sz w:val="18"/>
                <w:szCs w:val="18"/>
                <w:color w:val="auto"/>
              </w:rPr>
              <w:t>406</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33.2</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470</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30.6</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5.0</w:t>
            </w:r>
          </w:p>
        </w:tc>
        <w:tc>
          <w:tcPr>
            <w:tcW w:w="2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Maryland</w:t>
            </w:r>
          </w:p>
        </w:tc>
        <w:tc>
          <w:tcPr>
            <w:tcW w:w="1140" w:type="dxa"/>
            <w:vAlign w:val="bottom"/>
          </w:tcPr>
          <w:p>
            <w:pPr>
              <w:jc w:val="right"/>
              <w:spacing w:after="0"/>
              <w:rPr>
                <w:sz w:val="20"/>
                <w:szCs w:val="20"/>
                <w:color w:val="auto"/>
              </w:rPr>
            </w:pPr>
            <w:r>
              <w:rPr>
                <w:rFonts w:ascii="Arial" w:cs="Arial" w:eastAsia="Arial" w:hAnsi="Arial"/>
                <w:sz w:val="18"/>
                <w:szCs w:val="18"/>
                <w:color w:val="auto"/>
              </w:rPr>
              <w:t>64</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6.2</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49</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w:t>
            </w:r>
          </w:p>
        </w:tc>
        <w:tc>
          <w:tcPr>
            <w:tcW w:w="2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7.7</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Arizona</w:t>
            </w:r>
          </w:p>
        </w:tc>
        <w:tc>
          <w:tcPr>
            <w:tcW w:w="1140" w:type="dxa"/>
            <w:vAlign w:val="bottom"/>
          </w:tcPr>
          <w:p>
            <w:pPr>
              <w:jc w:val="right"/>
              <w:spacing w:after="0"/>
              <w:rPr>
                <w:sz w:val="20"/>
                <w:szCs w:val="20"/>
                <w:color w:val="auto"/>
              </w:rPr>
            </w:pPr>
            <w:r>
              <w:rPr>
                <w:rFonts w:ascii="Arial" w:cs="Arial" w:eastAsia="Arial" w:hAnsi="Arial"/>
                <w:sz w:val="18"/>
                <w:szCs w:val="18"/>
                <w:color w:val="auto"/>
              </w:rPr>
              <w:t>201</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18.5</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161</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17.0</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11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129</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10.8</w:t>
            </w:r>
          </w:p>
        </w:tc>
        <w:tc>
          <w:tcPr>
            <w:tcW w:w="240" w:type="dxa"/>
            <w:vAlign w:val="bottom"/>
            <w:shd w:val="clear" w:color="auto" w:fill="CFF0FC"/>
          </w:tcPr>
          <w:p>
            <w:pPr>
              <w:spacing w:after="0"/>
              <w:rPr>
                <w:sz w:val="19"/>
                <w:szCs w:val="19"/>
                <w:color w:val="auto"/>
              </w:rPr>
            </w:pPr>
          </w:p>
        </w:tc>
        <w:tc>
          <w:tcPr>
            <w:tcW w:w="11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100</w:t>
            </w:r>
          </w:p>
        </w:tc>
        <w:tc>
          <w:tcPr>
            <w:tcW w:w="26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10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w:t>
            </w:r>
          </w:p>
        </w:tc>
        <w:tc>
          <w:tcPr>
            <w:tcW w:w="100" w:type="dxa"/>
            <w:vAlign w:val="bottom"/>
            <w:shd w:val="clear" w:color="auto" w:fill="CFF0FC"/>
          </w:tcPr>
          <w:p>
            <w:pPr>
              <w:spacing w:after="0"/>
              <w:rPr>
                <w:sz w:val="19"/>
                <w:szCs w:val="19"/>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Texas</w:t>
            </w:r>
          </w:p>
        </w:tc>
        <w:tc>
          <w:tcPr>
            <w:tcW w:w="1140" w:type="dxa"/>
            <w:vAlign w:val="bottom"/>
          </w:tcPr>
          <w:p>
            <w:pPr>
              <w:jc w:val="right"/>
              <w:spacing w:after="0"/>
              <w:rPr>
                <w:sz w:val="20"/>
                <w:szCs w:val="20"/>
                <w:color w:val="auto"/>
              </w:rPr>
            </w:pPr>
            <w:r>
              <w:rPr>
                <w:rFonts w:ascii="Arial" w:cs="Arial" w:eastAsia="Arial" w:hAnsi="Arial"/>
                <w:sz w:val="18"/>
                <w:szCs w:val="18"/>
                <w:color w:val="auto"/>
              </w:rPr>
              <w:t>122</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24.3</w:t>
            </w: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132</w:t>
            </w:r>
          </w:p>
        </w:tc>
        <w:tc>
          <w:tcPr>
            <w:tcW w:w="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26.5</w:t>
            </w:r>
          </w:p>
        </w:tc>
        <w:tc>
          <w:tcPr>
            <w:tcW w:w="10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1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133</w:t>
            </w:r>
          </w:p>
        </w:tc>
        <w:tc>
          <w:tcPr>
            <w:tcW w:w="2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9.5</w:t>
            </w:r>
          </w:p>
        </w:tc>
        <w:tc>
          <w:tcPr>
            <w:tcW w:w="240" w:type="dxa"/>
            <w:vAlign w:val="bottom"/>
            <w:shd w:val="clear" w:color="auto" w:fill="CFF0FC"/>
          </w:tcPr>
          <w:p>
            <w:pPr>
              <w:spacing w:after="0"/>
              <w:rPr>
                <w:sz w:val="19"/>
                <w:szCs w:val="19"/>
                <w:color w:val="auto"/>
              </w:rPr>
            </w:pPr>
          </w:p>
        </w:tc>
        <w:tc>
          <w:tcPr>
            <w:tcW w:w="1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150</w:t>
            </w:r>
          </w:p>
        </w:tc>
        <w:tc>
          <w:tcPr>
            <w:tcW w:w="260" w:type="dxa"/>
            <w:vAlign w:val="bottom"/>
            <w:shd w:val="clear" w:color="auto" w:fill="CFF0FC"/>
          </w:tcPr>
          <w:p>
            <w:pPr>
              <w:spacing w:after="0"/>
              <w:rPr>
                <w:sz w:val="19"/>
                <w:szCs w:val="19"/>
                <w:color w:val="auto"/>
              </w:rPr>
            </w:pPr>
          </w:p>
        </w:tc>
        <w:tc>
          <w:tcPr>
            <w:tcW w:w="80" w:type="dxa"/>
            <w:vAlign w:val="bottom"/>
            <w:tcBorders>
              <w:bottom w:val="single" w:sz="8" w:color="auto"/>
            </w:tcBorders>
            <w:shd w:val="clear" w:color="auto" w:fill="CFF0FC"/>
          </w:tcPr>
          <w:p>
            <w:pPr>
              <w:spacing w:after="0"/>
              <w:rPr>
                <w:sz w:val="19"/>
                <w:szCs w:val="19"/>
                <w:color w:val="auto"/>
              </w:rPr>
            </w:pPr>
          </w:p>
        </w:tc>
        <w:tc>
          <w:tcPr>
            <w:tcW w:w="10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10.2</w:t>
            </w:r>
          </w:p>
        </w:tc>
        <w:tc>
          <w:tcPr>
            <w:tcW w:w="100" w:type="dxa"/>
            <w:vAlign w:val="bottom"/>
            <w:shd w:val="clear" w:color="auto" w:fill="CFF0FC"/>
          </w:tcPr>
          <w:p>
            <w:pPr>
              <w:spacing w:after="0"/>
              <w:rPr>
                <w:sz w:val="19"/>
                <w:szCs w:val="19"/>
                <w:color w:val="auto"/>
              </w:rPr>
            </w:pPr>
          </w:p>
        </w:tc>
      </w:tr>
      <w:tr>
        <w:trPr>
          <w:trHeight w:val="223"/>
        </w:trPr>
        <w:tc>
          <w:tcPr>
            <w:tcW w:w="5960" w:type="dxa"/>
            <w:vAlign w:val="bottom"/>
          </w:tcPr>
          <w:p>
            <w:pPr>
              <w:spacing w:after="0"/>
              <w:rPr>
                <w:sz w:val="20"/>
                <w:szCs w:val="20"/>
                <w:color w:val="auto"/>
              </w:rPr>
            </w:pPr>
            <w:r>
              <w:rPr>
                <w:rFonts w:ascii="Arial" w:cs="Arial" w:eastAsia="Arial" w:hAnsi="Arial"/>
                <w:sz w:val="18"/>
                <w:szCs w:val="18"/>
                <w:color w:val="auto"/>
              </w:rPr>
              <w:t>Total</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w:t>
            </w:r>
          </w:p>
        </w:tc>
        <w:tc>
          <w:tcPr>
            <w:tcW w:w="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114.5</w:t>
            </w:r>
          </w:p>
        </w:tc>
        <w:tc>
          <w:tcPr>
            <w:tcW w:w="240" w:type="dxa"/>
            <w:vAlign w:val="bottom"/>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1,194</w:t>
            </w:r>
          </w:p>
        </w:tc>
        <w:tc>
          <w:tcPr>
            <w:tcW w:w="2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113.0</w:t>
            </w:r>
          </w:p>
        </w:tc>
        <w:tc>
          <w:tcPr>
            <w:tcW w:w="100" w:type="dxa"/>
            <w:vAlign w:val="bottom"/>
          </w:tcPr>
          <w:p>
            <w:pPr>
              <w:spacing w:after="0"/>
              <w:rPr>
                <w:sz w:val="19"/>
                <w:szCs w:val="19"/>
                <w:color w:val="auto"/>
              </w:rPr>
            </w:pPr>
          </w:p>
        </w:tc>
      </w:tr>
      <w:tr>
        <w:trPr>
          <w:trHeight w:val="20"/>
        </w:trPr>
        <w:tc>
          <w:tcPr>
            <w:tcW w:w="59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2" w:name="page13"/>
    <w:bookmarkEnd w:id="1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(dollars in thousands)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920" w:type="dxa"/>
            <w:vAlign w:val="bottom"/>
          </w:tcPr>
          <w:p>
            <w:pPr>
              <w:spacing w:after="0"/>
              <w:rPr>
                <w:sz w:val="14"/>
                <w:szCs w:val="14"/>
                <w:color w:val="auto"/>
              </w:rPr>
            </w:pPr>
          </w:p>
        </w:tc>
        <w:tc>
          <w:tcPr>
            <w:tcW w:w="104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5"/>
              </w:rPr>
              <w:t>As of March 31, 2016</w:t>
            </w:r>
          </w:p>
        </w:tc>
        <w:tc>
          <w:tcPr>
            <w:tcW w:w="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06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5"/>
              </w:rPr>
              <w:t>As of March 31, 2015</w:t>
            </w:r>
          </w:p>
        </w:tc>
        <w:tc>
          <w:tcPr>
            <w:tcW w:w="1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r>
      <w:tr>
        <w:trPr>
          <w:trHeight w:val="238"/>
        </w:trPr>
        <w:tc>
          <w:tcPr>
            <w:tcW w:w="39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8"/>
              </w:rPr>
              <w:t>Backlog</w:t>
            </w: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Average</w:t>
            </w: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Backlog</w:t>
            </w:r>
          </w:p>
        </w:tc>
        <w:tc>
          <w:tcPr>
            <w:tcW w:w="180" w:type="dxa"/>
            <w:vAlign w:val="bottom"/>
          </w:tcPr>
          <w:p>
            <w:pPr>
              <w:spacing w:after="0"/>
              <w:rPr>
                <w:sz w:val="20"/>
                <w:szCs w:val="20"/>
                <w:color w:val="auto"/>
              </w:rPr>
            </w:pP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920" w:type="dxa"/>
            <w:vAlign w:val="bottom"/>
          </w:tcPr>
          <w:p>
            <w:pPr>
              <w:spacing w:after="0"/>
              <w:rPr>
                <w:sz w:val="19"/>
                <w:szCs w:val="19"/>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Dollar</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Selling</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8"/>
              </w:rPr>
              <w:t>Backlog</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5"/>
              </w:rPr>
              <w:t>Dollar</w:t>
            </w:r>
          </w:p>
        </w:tc>
        <w:tc>
          <w:tcPr>
            <w:tcW w:w="180" w:type="dxa"/>
            <w:vAlign w:val="bottom"/>
          </w:tcPr>
          <w:p>
            <w:pPr>
              <w:spacing w:after="0"/>
              <w:rPr>
                <w:sz w:val="19"/>
                <w:szCs w:val="19"/>
                <w:color w:val="auto"/>
              </w:rPr>
            </w:pP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92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Value</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Price</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Value</w:t>
            </w:r>
          </w:p>
        </w:tc>
        <w:tc>
          <w:tcPr>
            <w:tcW w:w="180" w:type="dxa"/>
            <w:vAlign w:val="bottom"/>
          </w:tcPr>
          <w:p>
            <w:pPr>
              <w:spacing w:after="0"/>
              <w:rPr>
                <w:sz w:val="18"/>
                <w:szCs w:val="18"/>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39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Backlog:</w:t>
            </w:r>
          </w:p>
        </w:tc>
        <w:tc>
          <w:tcPr>
            <w:tcW w:w="10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1040" w:type="dxa"/>
            <w:vAlign w:val="bottom"/>
          </w:tcPr>
          <w:p>
            <w:pPr>
              <w:jc w:val="right"/>
              <w:spacing w:after="0"/>
              <w:rPr>
                <w:sz w:val="20"/>
                <w:szCs w:val="20"/>
                <w:color w:val="auto"/>
              </w:rPr>
            </w:pPr>
            <w:r>
              <w:rPr>
                <w:rFonts w:ascii="Arial" w:cs="Arial" w:eastAsia="Arial" w:hAnsi="Arial"/>
                <w:sz w:val="18"/>
                <w:szCs w:val="18"/>
                <w:color w:val="auto"/>
              </w:rPr>
              <w:t>289</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121,130</w:t>
            </w:r>
          </w:p>
        </w:tc>
        <w:tc>
          <w:tcPr>
            <w:tcW w:w="18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419</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181</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67,817</w:t>
            </w:r>
          </w:p>
        </w:tc>
        <w:tc>
          <w:tcPr>
            <w:tcW w:w="22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375</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379</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242,278</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639</w:t>
            </w: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358</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228,206</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637</w:t>
            </w:r>
          </w:p>
        </w:tc>
        <w:tc>
          <w:tcPr>
            <w:tcW w:w="120" w:type="dxa"/>
            <w:vAlign w:val="bottom"/>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1040" w:type="dxa"/>
            <w:vAlign w:val="bottom"/>
          </w:tcPr>
          <w:p>
            <w:pPr>
              <w:jc w:val="right"/>
              <w:spacing w:after="0"/>
              <w:rPr>
                <w:sz w:val="20"/>
                <w:szCs w:val="20"/>
                <w:color w:val="auto"/>
              </w:rPr>
            </w:pPr>
            <w:r>
              <w:rPr>
                <w:rFonts w:ascii="Arial" w:cs="Arial" w:eastAsia="Arial" w:hAnsi="Arial"/>
                <w:sz w:val="18"/>
                <w:szCs w:val="18"/>
                <w:color w:val="auto"/>
              </w:rPr>
              <w:t>184</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99,170</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539</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170</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68,952</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406</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90,870</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535</w:t>
            </w: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242</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128,206</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530</w:t>
            </w:r>
          </w:p>
        </w:tc>
        <w:tc>
          <w:tcPr>
            <w:tcW w:w="120" w:type="dxa"/>
            <w:vAlign w:val="bottom"/>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1040" w:type="dxa"/>
            <w:vAlign w:val="bottom"/>
          </w:tcPr>
          <w:p>
            <w:pPr>
              <w:jc w:val="right"/>
              <w:spacing w:after="0"/>
              <w:rPr>
                <w:sz w:val="20"/>
                <w:szCs w:val="20"/>
                <w:color w:val="auto"/>
              </w:rPr>
            </w:pPr>
            <w:r>
              <w:rPr>
                <w:rFonts w:ascii="Arial" w:cs="Arial" w:eastAsia="Arial" w:hAnsi="Arial"/>
                <w:sz w:val="18"/>
                <w:szCs w:val="18"/>
                <w:color w:val="auto"/>
              </w:rPr>
              <w:t>354</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238,669</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674</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440</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323,215</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735</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158</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99,415</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629</w:t>
            </w:r>
          </w:p>
        </w:tc>
        <w:tc>
          <w:tcPr>
            <w:tcW w:w="220" w:type="dxa"/>
            <w:vAlign w:val="bottom"/>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167</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126,956</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760</w:t>
            </w:r>
          </w:p>
        </w:tc>
        <w:tc>
          <w:tcPr>
            <w:tcW w:w="120" w:type="dxa"/>
            <w:vAlign w:val="bottom"/>
            <w:shd w:val="clear" w:color="auto" w:fill="CFF0FC"/>
          </w:tcPr>
          <w:p>
            <w:pPr>
              <w:spacing w:after="0"/>
              <w:rPr>
                <w:sz w:val="19"/>
                <w:szCs w:val="19"/>
                <w:color w:val="auto"/>
              </w:rPr>
            </w:pPr>
          </w:p>
        </w:tc>
      </w:tr>
      <w:tr>
        <w:trPr>
          <w:trHeight w:val="223"/>
        </w:trPr>
        <w:tc>
          <w:tcPr>
            <w:tcW w:w="3920" w:type="dxa"/>
            <w:vAlign w:val="bottom"/>
          </w:tcPr>
          <w:p>
            <w:pPr>
              <w:spacing w:after="0"/>
              <w:rPr>
                <w:sz w:val="20"/>
                <w:szCs w:val="20"/>
                <w:color w:val="auto"/>
              </w:rPr>
            </w:pPr>
            <w:r>
              <w:rPr>
                <w:rFonts w:ascii="Arial" w:cs="Arial" w:eastAsia="Arial" w:hAnsi="Arial"/>
                <w:sz w:val="18"/>
                <w:szCs w:val="18"/>
                <w:color w:val="auto"/>
              </w:rPr>
              <w:t>Total</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1,534</w:t>
            </w:r>
          </w:p>
        </w:tc>
        <w:tc>
          <w:tcPr>
            <w:tcW w:w="2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891,532</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581</w:t>
            </w:r>
          </w:p>
        </w:tc>
        <w:tc>
          <w:tcPr>
            <w:tcW w:w="220" w:type="dxa"/>
            <w:vAlign w:val="bottom"/>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1,558</w:t>
            </w:r>
          </w:p>
        </w:tc>
        <w:tc>
          <w:tcPr>
            <w:tcW w:w="2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943,352</w:t>
            </w:r>
          </w:p>
        </w:tc>
        <w:tc>
          <w:tcPr>
            <w:tcW w:w="220" w:type="dxa"/>
            <w:vAlign w:val="bottom"/>
          </w:tcPr>
          <w:p>
            <w:pPr>
              <w:spacing w:after="0"/>
              <w:rPr>
                <w:sz w:val="19"/>
                <w:szCs w:val="19"/>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605</w:t>
            </w:r>
          </w:p>
        </w:tc>
        <w:tc>
          <w:tcPr>
            <w:tcW w:w="120" w:type="dxa"/>
            <w:vAlign w:val="bottom"/>
          </w:tcPr>
          <w:p>
            <w:pPr>
              <w:spacing w:after="0"/>
              <w:rPr>
                <w:sz w:val="19"/>
                <w:szCs w:val="19"/>
                <w:color w:val="auto"/>
              </w:rPr>
            </w:pPr>
          </w:p>
        </w:tc>
      </w:tr>
      <w:tr>
        <w:trPr>
          <w:trHeight w:val="20"/>
        </w:trPr>
        <w:tc>
          <w:tcPr>
            <w:tcW w:w="39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Borders>
              <w:bottom w:val="single" w:sz="8" w:color="auto"/>
            </w:tcBorders>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60" w:type="dxa"/>
            <w:vAlign w:val="bottom"/>
            <w:tcBorders>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r>
        <w:trPr>
          <w:trHeight w:val="669"/>
        </w:trPr>
        <w:tc>
          <w:tcPr>
            <w:tcW w:w="3920" w:type="dxa"/>
            <w:vAlign w:val="bottom"/>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5"/>
              </w:rPr>
              <w:t>As of March 31, 2016</w:t>
            </w: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5"/>
              </w:rPr>
              <w:t>As of March 31, 2015</w:t>
            </w:r>
          </w:p>
        </w:tc>
        <w:tc>
          <w:tcPr>
            <w:tcW w:w="1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r>
      <w:tr>
        <w:trPr>
          <w:trHeight w:val="238"/>
        </w:trPr>
        <w:tc>
          <w:tcPr>
            <w:tcW w:w="39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8"/>
              </w:rPr>
              <w:t>Backlog</w:t>
            </w:r>
          </w:p>
        </w:tc>
        <w:tc>
          <w:tcPr>
            <w:tcW w:w="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Average</w:t>
            </w:r>
          </w:p>
        </w:tc>
        <w:tc>
          <w:tcPr>
            <w:tcW w:w="10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Backlog</w:t>
            </w:r>
          </w:p>
        </w:tc>
        <w:tc>
          <w:tcPr>
            <w:tcW w:w="180" w:type="dxa"/>
            <w:vAlign w:val="bottom"/>
          </w:tcPr>
          <w:p>
            <w:pPr>
              <w:spacing w:after="0"/>
              <w:rPr>
                <w:sz w:val="20"/>
                <w:szCs w:val="20"/>
                <w:color w:val="auto"/>
              </w:rPr>
            </w:pP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0"/>
              </w:rPr>
              <w:t>Average</w:t>
            </w:r>
          </w:p>
        </w:tc>
      </w:tr>
      <w:tr>
        <w:trPr>
          <w:trHeight w:val="230"/>
        </w:trPr>
        <w:tc>
          <w:tcPr>
            <w:tcW w:w="3920" w:type="dxa"/>
            <w:vAlign w:val="bottom"/>
          </w:tcPr>
          <w:p>
            <w:pPr>
              <w:spacing w:after="0"/>
              <w:rPr>
                <w:sz w:val="19"/>
                <w:szCs w:val="19"/>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1"/>
              </w:rPr>
              <w:t>Backlog</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Dollar</w:t>
            </w: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1"/>
              </w:rPr>
              <w:t>Selling</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8"/>
              </w:rPr>
              <w:t>Backlog</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5"/>
              </w:rPr>
              <w:t>Dollar</w:t>
            </w:r>
          </w:p>
        </w:tc>
        <w:tc>
          <w:tcPr>
            <w:tcW w:w="180" w:type="dxa"/>
            <w:vAlign w:val="bottom"/>
          </w:tcPr>
          <w:p>
            <w:pPr>
              <w:spacing w:after="0"/>
              <w:rPr>
                <w:sz w:val="19"/>
                <w:szCs w:val="19"/>
                <w:color w:val="auto"/>
              </w:rPr>
            </w:pP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1"/>
              </w:rPr>
              <w:t>Selling</w:t>
            </w:r>
          </w:p>
        </w:tc>
      </w:tr>
      <w:tr>
        <w:trPr>
          <w:trHeight w:val="215"/>
        </w:trPr>
        <w:tc>
          <w:tcPr>
            <w:tcW w:w="3920" w:type="dxa"/>
            <w:vAlign w:val="bottom"/>
          </w:tcPr>
          <w:p>
            <w:pPr>
              <w:spacing w:after="0"/>
              <w:rPr>
                <w:sz w:val="18"/>
                <w:szCs w:val="18"/>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6"/>
              </w:rPr>
              <w:t>Value</w:t>
            </w:r>
          </w:p>
        </w:tc>
        <w:tc>
          <w:tcPr>
            <w:tcW w:w="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8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3"/>
              </w:rPr>
              <w:t>Price</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91"/>
              </w:rPr>
              <w:t>Units</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0"/>
              </w:rPr>
              <w:t>Value</w:t>
            </w:r>
          </w:p>
        </w:tc>
        <w:tc>
          <w:tcPr>
            <w:tcW w:w="180" w:type="dxa"/>
            <w:vAlign w:val="bottom"/>
          </w:tcPr>
          <w:p>
            <w:pPr>
              <w:spacing w:after="0"/>
              <w:rPr>
                <w:sz w:val="18"/>
                <w:szCs w:val="18"/>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Price</w:t>
            </w:r>
          </w:p>
        </w:tc>
      </w:tr>
      <w:tr>
        <w:trPr>
          <w:trHeight w:val="223"/>
        </w:trPr>
        <w:tc>
          <w:tcPr>
            <w:tcW w:w="392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Backlog:</w:t>
            </w:r>
          </w:p>
        </w:tc>
        <w:tc>
          <w:tcPr>
            <w:tcW w:w="104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180" w:type="dxa"/>
            <w:vAlign w:val="bottom"/>
            <w:tcBorders>
              <w:top w:val="single" w:sz="8" w:color="CFF0FC"/>
            </w:tcBorders>
            <w:shd w:val="clear" w:color="auto" w:fill="CFF0FC"/>
          </w:tcPr>
          <w:p>
            <w:pPr>
              <w:spacing w:after="0"/>
              <w:rPr>
                <w:sz w:val="19"/>
                <w:szCs w:val="19"/>
                <w:color w:val="auto"/>
              </w:rPr>
            </w:pPr>
          </w:p>
        </w:tc>
        <w:tc>
          <w:tcPr>
            <w:tcW w:w="4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060" w:type="dxa"/>
            <w:vAlign w:val="bottom"/>
            <w:tcBorders>
              <w:top w:val="single" w:sz="8" w:color="auto"/>
            </w:tcBorders>
            <w:shd w:val="clear" w:color="auto" w:fill="CFF0FC"/>
          </w:tcPr>
          <w:p>
            <w:pPr>
              <w:spacing w:after="0"/>
              <w:rPr>
                <w:sz w:val="19"/>
                <w:szCs w:val="19"/>
                <w:color w:val="auto"/>
              </w:rPr>
            </w:pPr>
          </w:p>
        </w:tc>
        <w:tc>
          <w:tcPr>
            <w:tcW w:w="20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8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1040" w:type="dxa"/>
            <w:vAlign w:val="bottom"/>
          </w:tcPr>
          <w:p>
            <w:pPr>
              <w:jc w:val="right"/>
              <w:spacing w:after="0"/>
              <w:rPr>
                <w:sz w:val="20"/>
                <w:szCs w:val="20"/>
                <w:color w:val="auto"/>
              </w:rPr>
            </w:pPr>
            <w:r>
              <w:rPr>
                <w:rFonts w:ascii="Arial" w:cs="Arial" w:eastAsia="Arial" w:hAnsi="Arial"/>
                <w:sz w:val="18"/>
                <w:szCs w:val="18"/>
                <w:color w:val="auto"/>
              </w:rPr>
              <w:t>493</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376,645</w:t>
            </w:r>
          </w:p>
        </w:tc>
        <w:tc>
          <w:tcPr>
            <w:tcW w:w="180" w:type="dxa"/>
            <w:vAlign w:val="bottom"/>
          </w:tcPr>
          <w:p>
            <w:pPr>
              <w:spacing w:after="0"/>
              <w:rPr>
                <w:sz w:val="19"/>
                <w:szCs w:val="19"/>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764</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568</w:t>
            </w:r>
          </w:p>
        </w:tc>
        <w:tc>
          <w:tcPr>
            <w:tcW w:w="3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448,600</w:t>
            </w:r>
          </w:p>
        </w:tc>
        <w:tc>
          <w:tcPr>
            <w:tcW w:w="220" w:type="dxa"/>
            <w:vAlign w:val="bottom"/>
          </w:tcPr>
          <w:p>
            <w:pPr>
              <w:spacing w:after="0"/>
              <w:rPr>
                <w:sz w:val="19"/>
                <w:szCs w:val="19"/>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790</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45,694</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513</w:t>
            </w: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125</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61,841</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495</w:t>
            </w:r>
          </w:p>
        </w:tc>
        <w:tc>
          <w:tcPr>
            <w:tcW w:w="120" w:type="dxa"/>
            <w:vAlign w:val="bottom"/>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Maryland</w:t>
            </w:r>
          </w:p>
        </w:tc>
        <w:tc>
          <w:tcPr>
            <w:tcW w:w="1040" w:type="dxa"/>
            <w:vAlign w:val="bottom"/>
          </w:tcPr>
          <w:p>
            <w:pPr>
              <w:jc w:val="right"/>
              <w:spacing w:after="0"/>
              <w:rPr>
                <w:sz w:val="20"/>
                <w:szCs w:val="20"/>
                <w:color w:val="auto"/>
              </w:rPr>
            </w:pPr>
            <w:r>
              <w:rPr>
                <w:rFonts w:ascii="Arial" w:cs="Arial" w:eastAsia="Arial" w:hAnsi="Arial"/>
                <w:sz w:val="18"/>
                <w:szCs w:val="18"/>
                <w:color w:val="auto"/>
              </w:rPr>
              <w:t>93</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55,444</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596</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71</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46,074</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649</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65</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43,971</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676</w:t>
            </w: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80,882</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843</w:t>
            </w:r>
          </w:p>
        </w:tc>
        <w:tc>
          <w:tcPr>
            <w:tcW w:w="120" w:type="dxa"/>
            <w:vAlign w:val="bottom"/>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Arizona</w:t>
            </w:r>
          </w:p>
        </w:tc>
        <w:tc>
          <w:tcPr>
            <w:tcW w:w="1040" w:type="dxa"/>
            <w:vAlign w:val="bottom"/>
          </w:tcPr>
          <w:p>
            <w:pPr>
              <w:jc w:val="right"/>
              <w:spacing w:after="0"/>
              <w:rPr>
                <w:sz w:val="20"/>
                <w:szCs w:val="20"/>
                <w:color w:val="auto"/>
              </w:rPr>
            </w:pPr>
            <w:r>
              <w:rPr>
                <w:rFonts w:ascii="Arial" w:cs="Arial" w:eastAsia="Arial" w:hAnsi="Arial"/>
                <w:sz w:val="18"/>
                <w:szCs w:val="18"/>
                <w:color w:val="auto"/>
              </w:rPr>
              <w:t>289</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121,130</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419</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181</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67,817</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375</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58,608</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388</w:t>
            </w:r>
          </w:p>
        </w:tc>
        <w:tc>
          <w:tcPr>
            <w:tcW w:w="22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105</w:t>
            </w:r>
          </w:p>
        </w:tc>
        <w:tc>
          <w:tcPr>
            <w:tcW w:w="20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40,980</w:t>
            </w:r>
          </w:p>
        </w:tc>
        <w:tc>
          <w:tcPr>
            <w:tcW w:w="2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390</w:t>
            </w:r>
          </w:p>
        </w:tc>
        <w:tc>
          <w:tcPr>
            <w:tcW w:w="120" w:type="dxa"/>
            <w:vAlign w:val="bottom"/>
            <w:shd w:val="clear" w:color="auto" w:fill="CFF0FC"/>
          </w:tcPr>
          <w:p>
            <w:pPr>
              <w:spacing w:after="0"/>
              <w:rPr>
                <w:sz w:val="19"/>
                <w:szCs w:val="19"/>
                <w:color w:val="auto"/>
              </w:rPr>
            </w:pPr>
          </w:p>
        </w:tc>
      </w:tr>
      <w:tr>
        <w:trPr>
          <w:trHeight w:val="230"/>
        </w:trPr>
        <w:tc>
          <w:tcPr>
            <w:tcW w:w="3920" w:type="dxa"/>
            <w:vAlign w:val="bottom"/>
          </w:tcPr>
          <w:p>
            <w:pPr>
              <w:ind w:left="260"/>
              <w:spacing w:after="0"/>
              <w:rPr>
                <w:sz w:val="20"/>
                <w:szCs w:val="20"/>
                <w:color w:val="auto"/>
              </w:rPr>
            </w:pPr>
            <w:r>
              <w:rPr>
                <w:rFonts w:ascii="Arial" w:cs="Arial" w:eastAsia="Arial" w:hAnsi="Arial"/>
                <w:sz w:val="18"/>
                <w:szCs w:val="18"/>
                <w:color w:val="auto"/>
              </w:rPr>
              <w:t>Texas</w:t>
            </w:r>
          </w:p>
        </w:tc>
        <w:tc>
          <w:tcPr>
            <w:tcW w:w="1040" w:type="dxa"/>
            <w:vAlign w:val="bottom"/>
          </w:tcPr>
          <w:p>
            <w:pPr>
              <w:jc w:val="right"/>
              <w:spacing w:after="0"/>
              <w:rPr>
                <w:sz w:val="20"/>
                <w:szCs w:val="20"/>
                <w:color w:val="auto"/>
              </w:rPr>
            </w:pPr>
            <w:r>
              <w:rPr>
                <w:rFonts w:ascii="Arial" w:cs="Arial" w:eastAsia="Arial" w:hAnsi="Arial"/>
                <w:sz w:val="18"/>
                <w:szCs w:val="18"/>
                <w:color w:val="auto"/>
              </w:rPr>
              <w:t>170</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90,870</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535</w:t>
            </w:r>
          </w:p>
        </w:tc>
        <w:tc>
          <w:tcPr>
            <w:tcW w:w="22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242</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128,206</w:t>
            </w:r>
          </w:p>
        </w:tc>
        <w:tc>
          <w:tcPr>
            <w:tcW w:w="2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530</w:t>
            </w:r>
          </w:p>
        </w:tc>
        <w:tc>
          <w:tcPr>
            <w:tcW w:w="120" w:type="dxa"/>
            <w:vAlign w:val="bottom"/>
          </w:tcPr>
          <w:p>
            <w:pPr>
              <w:spacing w:after="0"/>
              <w:rPr>
                <w:sz w:val="19"/>
                <w:szCs w:val="19"/>
                <w:color w:val="auto"/>
              </w:rPr>
            </w:pPr>
          </w:p>
        </w:tc>
      </w:tr>
      <w:tr>
        <w:trPr>
          <w:trHeight w:val="230"/>
        </w:trPr>
        <w:tc>
          <w:tcPr>
            <w:tcW w:w="39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184</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99,170</w:t>
            </w:r>
          </w:p>
        </w:tc>
        <w:tc>
          <w:tcPr>
            <w:tcW w:w="180" w:type="dxa"/>
            <w:vAlign w:val="bottom"/>
            <w:shd w:val="clear" w:color="auto" w:fill="CFF0FC"/>
          </w:tcPr>
          <w:p>
            <w:pPr>
              <w:spacing w:after="0"/>
              <w:rPr>
                <w:sz w:val="19"/>
                <w:szCs w:val="19"/>
                <w:color w:val="auto"/>
              </w:rPr>
            </w:pPr>
          </w:p>
        </w:tc>
        <w:tc>
          <w:tcPr>
            <w:tcW w:w="4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539</w:t>
            </w:r>
          </w:p>
        </w:tc>
        <w:tc>
          <w:tcPr>
            <w:tcW w:w="220" w:type="dxa"/>
            <w:vAlign w:val="bottom"/>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170</w:t>
            </w:r>
          </w:p>
        </w:tc>
        <w:tc>
          <w:tcPr>
            <w:tcW w:w="20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68,952</w:t>
            </w:r>
          </w:p>
        </w:tc>
        <w:tc>
          <w:tcPr>
            <w:tcW w:w="2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406</w:t>
            </w:r>
          </w:p>
        </w:tc>
        <w:tc>
          <w:tcPr>
            <w:tcW w:w="120" w:type="dxa"/>
            <w:vAlign w:val="bottom"/>
            <w:shd w:val="clear" w:color="auto" w:fill="CFF0FC"/>
          </w:tcPr>
          <w:p>
            <w:pPr>
              <w:spacing w:after="0"/>
              <w:rPr>
                <w:sz w:val="19"/>
                <w:szCs w:val="19"/>
                <w:color w:val="auto"/>
              </w:rPr>
            </w:pPr>
          </w:p>
        </w:tc>
      </w:tr>
      <w:tr>
        <w:trPr>
          <w:trHeight w:val="223"/>
        </w:trPr>
        <w:tc>
          <w:tcPr>
            <w:tcW w:w="3920" w:type="dxa"/>
            <w:vAlign w:val="bottom"/>
          </w:tcPr>
          <w:p>
            <w:pPr>
              <w:spacing w:after="0"/>
              <w:rPr>
                <w:sz w:val="20"/>
                <w:szCs w:val="20"/>
                <w:color w:val="auto"/>
              </w:rPr>
            </w:pPr>
            <w:r>
              <w:rPr>
                <w:rFonts w:ascii="Arial" w:cs="Arial" w:eastAsia="Arial" w:hAnsi="Arial"/>
                <w:sz w:val="18"/>
                <w:szCs w:val="18"/>
                <w:color w:val="auto"/>
              </w:rPr>
              <w:t>Total</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1,534</w:t>
            </w:r>
          </w:p>
        </w:tc>
        <w:tc>
          <w:tcPr>
            <w:tcW w:w="2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891,532</w:t>
            </w: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581</w:t>
            </w:r>
          </w:p>
        </w:tc>
        <w:tc>
          <w:tcPr>
            <w:tcW w:w="220" w:type="dxa"/>
            <w:vAlign w:val="bottom"/>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1,558</w:t>
            </w:r>
          </w:p>
        </w:tc>
        <w:tc>
          <w:tcPr>
            <w:tcW w:w="200" w:type="dxa"/>
            <w:vAlign w:val="bottom"/>
          </w:tcPr>
          <w:p>
            <w:pPr>
              <w:spacing w:after="0"/>
              <w:rPr>
                <w:sz w:val="19"/>
                <w:szCs w:val="19"/>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943,352</w:t>
            </w:r>
          </w:p>
        </w:tc>
        <w:tc>
          <w:tcPr>
            <w:tcW w:w="220" w:type="dxa"/>
            <w:vAlign w:val="bottom"/>
          </w:tcPr>
          <w:p>
            <w:pPr>
              <w:spacing w:after="0"/>
              <w:rPr>
                <w:sz w:val="19"/>
                <w:szCs w:val="19"/>
                <w:color w:val="auto"/>
              </w:rPr>
            </w:pPr>
          </w:p>
        </w:tc>
        <w:tc>
          <w:tcPr>
            <w:tcW w:w="180" w:type="dxa"/>
            <w:vAlign w:val="bottom"/>
            <w:tcBorders>
              <w:bottom w:val="single" w:sz="8" w:color="auto"/>
            </w:tcBorders>
          </w:tcPr>
          <w:p>
            <w:pPr>
              <w:jc w:val="right"/>
              <w:ind w:right="25"/>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605</w:t>
            </w:r>
          </w:p>
        </w:tc>
        <w:tc>
          <w:tcPr>
            <w:tcW w:w="120" w:type="dxa"/>
            <w:vAlign w:val="bottom"/>
          </w:tcPr>
          <w:p>
            <w:pPr>
              <w:spacing w:after="0"/>
              <w:rPr>
                <w:sz w:val="19"/>
                <w:szCs w:val="19"/>
                <w:color w:val="auto"/>
              </w:rPr>
            </w:pPr>
          </w:p>
        </w:tc>
      </w:tr>
      <w:tr>
        <w:trPr>
          <w:trHeight w:val="20"/>
        </w:trPr>
        <w:tc>
          <w:tcPr>
            <w:tcW w:w="39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sectPr>
      </w:pPr>
    </w:p>
    <w:bookmarkStart w:id="13" w:name="page14"/>
    <w:bookmarkEnd w:id="13"/>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2833370</wp:posOffset>
            </wp:positionH>
            <wp:positionV relativeFrom="page">
              <wp:posOffset>88900</wp:posOffset>
            </wp:positionV>
            <wp:extent cx="1946910" cy="3771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MARKET DATA BY REPORTING SEGMENT &amp; STATE,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8860" w:type="dxa"/>
            <w:vAlign w:val="bottom"/>
          </w:tcPr>
          <w:p>
            <w:pPr>
              <w:spacing w:after="0"/>
              <w:rPr>
                <w:sz w:val="16"/>
                <w:szCs w:val="16"/>
                <w:color w:val="auto"/>
              </w:rPr>
            </w:pPr>
          </w:p>
        </w:tc>
        <w:tc>
          <w:tcPr>
            <w:tcW w:w="1320" w:type="dxa"/>
            <w:vAlign w:val="bottom"/>
            <w:gridSpan w:val="2"/>
          </w:tcPr>
          <w:p>
            <w:pPr>
              <w:ind w:left="220"/>
              <w:spacing w:after="0"/>
              <w:rPr>
                <w:sz w:val="20"/>
                <w:szCs w:val="20"/>
                <w:color w:val="auto"/>
              </w:rPr>
            </w:pPr>
            <w:r>
              <w:rPr>
                <w:rFonts w:ascii="Arial" w:cs="Arial" w:eastAsia="Arial" w:hAnsi="Arial"/>
                <w:sz w:val="14"/>
                <w:szCs w:val="14"/>
                <w:b w:val="1"/>
                <w:bCs w:val="1"/>
                <w:color w:val="auto"/>
              </w:rPr>
              <w:t>March 31,</w:t>
            </w:r>
          </w:p>
        </w:tc>
        <w:tc>
          <w:tcPr>
            <w:tcW w:w="1240" w:type="dxa"/>
            <w:vAlign w:val="bottom"/>
            <w:gridSpan w:val="2"/>
          </w:tcPr>
          <w:p>
            <w:pPr>
              <w:ind w:left="140"/>
              <w:spacing w:after="0"/>
              <w:rPr>
                <w:sz w:val="20"/>
                <w:szCs w:val="20"/>
                <w:color w:val="auto"/>
              </w:rPr>
            </w:pPr>
            <w:r>
              <w:rPr>
                <w:rFonts w:ascii="Arial" w:cs="Arial" w:eastAsia="Arial" w:hAnsi="Arial"/>
                <w:sz w:val="14"/>
                <w:szCs w:val="14"/>
                <w:b w:val="1"/>
                <w:bCs w:val="1"/>
                <w:color w:val="auto"/>
              </w:rPr>
              <w:t>December 31,</w:t>
            </w:r>
          </w:p>
        </w:tc>
      </w:tr>
      <w:tr>
        <w:trPr>
          <w:trHeight w:val="215"/>
        </w:trPr>
        <w:tc>
          <w:tcPr>
            <w:tcW w:w="8860" w:type="dxa"/>
            <w:vAlign w:val="bottom"/>
            <w:tcBorders>
              <w:bottom w:val="single" w:sz="8" w:color="CFF0FC"/>
            </w:tcBorders>
          </w:tcPr>
          <w:p>
            <w:pPr>
              <w:spacing w:after="0"/>
              <w:rPr>
                <w:sz w:val="18"/>
                <w:szCs w:val="18"/>
                <w:color w:val="auto"/>
              </w:rPr>
            </w:pPr>
          </w:p>
        </w:tc>
        <w:tc>
          <w:tcPr>
            <w:tcW w:w="11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2016</w:t>
            </w:r>
          </w:p>
        </w:tc>
        <w:tc>
          <w:tcPr>
            <w:tcW w:w="220" w:type="dxa"/>
            <w:vAlign w:val="bottom"/>
            <w:tcBorders>
              <w:bottom w:val="single" w:sz="8" w:color="CFF0FC"/>
            </w:tcBorders>
          </w:tcPr>
          <w:p>
            <w:pPr>
              <w:spacing w:after="0"/>
              <w:rPr>
                <w:sz w:val="18"/>
                <w:szCs w:val="18"/>
                <w:color w:val="auto"/>
              </w:rPr>
            </w:pPr>
          </w:p>
        </w:tc>
        <w:tc>
          <w:tcPr>
            <w:tcW w:w="112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CFF0FC"/>
            </w:tcBorders>
          </w:tcPr>
          <w:p>
            <w:pPr>
              <w:spacing w:after="0"/>
              <w:rPr>
                <w:sz w:val="18"/>
                <w:szCs w:val="18"/>
                <w:color w:val="auto"/>
              </w:rPr>
            </w:pPr>
          </w:p>
        </w:tc>
      </w:tr>
      <w:tr>
        <w:trPr>
          <w:trHeight w:val="223"/>
        </w:trPr>
        <w:tc>
          <w:tcPr>
            <w:tcW w:w="88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Lots Owned or Controlled:</w:t>
            </w:r>
          </w:p>
        </w:tc>
        <w:tc>
          <w:tcPr>
            <w:tcW w:w="1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Maracay Homes</w:t>
            </w:r>
          </w:p>
        </w:tc>
        <w:tc>
          <w:tcPr>
            <w:tcW w:w="1100" w:type="dxa"/>
            <w:vAlign w:val="bottom"/>
          </w:tcPr>
          <w:p>
            <w:pPr>
              <w:jc w:val="right"/>
              <w:spacing w:after="0"/>
              <w:rPr>
                <w:sz w:val="20"/>
                <w:szCs w:val="20"/>
                <w:color w:val="auto"/>
              </w:rPr>
            </w:pPr>
            <w:r>
              <w:rPr>
                <w:rFonts w:ascii="Arial" w:cs="Arial" w:eastAsia="Arial" w:hAnsi="Arial"/>
                <w:sz w:val="18"/>
                <w:szCs w:val="18"/>
                <w:color w:val="auto"/>
              </w:rPr>
              <w:t>2,280</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1,811</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Pardee Homes</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16,457</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16,679</w:t>
            </w: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Quadrant Homes</w:t>
            </w:r>
          </w:p>
        </w:tc>
        <w:tc>
          <w:tcPr>
            <w:tcW w:w="1100" w:type="dxa"/>
            <w:vAlign w:val="bottom"/>
          </w:tcPr>
          <w:p>
            <w:pPr>
              <w:jc w:val="right"/>
              <w:spacing w:after="0"/>
              <w:rPr>
                <w:sz w:val="20"/>
                <w:szCs w:val="20"/>
                <w:color w:val="auto"/>
              </w:rPr>
            </w:pPr>
            <w:r>
              <w:rPr>
                <w:rFonts w:ascii="Arial" w:cs="Arial" w:eastAsia="Arial" w:hAnsi="Arial"/>
                <w:sz w:val="18"/>
                <w:szCs w:val="18"/>
                <w:color w:val="auto"/>
              </w:rPr>
              <w:t>1,510</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1,274</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Trendmaker Homes</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1,777</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1,858</w:t>
            </w: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TRI Pointe Homes</w:t>
            </w:r>
          </w:p>
        </w:tc>
        <w:tc>
          <w:tcPr>
            <w:tcW w:w="1100" w:type="dxa"/>
            <w:vAlign w:val="bottom"/>
          </w:tcPr>
          <w:p>
            <w:pPr>
              <w:jc w:val="right"/>
              <w:spacing w:after="0"/>
              <w:rPr>
                <w:sz w:val="20"/>
                <w:szCs w:val="20"/>
                <w:color w:val="auto"/>
              </w:rPr>
            </w:pPr>
            <w:r>
              <w:rPr>
                <w:rFonts w:ascii="Arial" w:cs="Arial" w:eastAsia="Arial" w:hAnsi="Arial"/>
                <w:sz w:val="18"/>
                <w:szCs w:val="18"/>
                <w:color w:val="auto"/>
              </w:rPr>
              <w:t>3,625</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3,628</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Winchester Homes</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2,280</w:t>
            </w:r>
          </w:p>
        </w:tc>
        <w:tc>
          <w:tcPr>
            <w:tcW w:w="22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2,352</w:t>
            </w:r>
          </w:p>
        </w:tc>
        <w:tc>
          <w:tcPr>
            <w:tcW w:w="120" w:type="dxa"/>
            <w:vAlign w:val="bottom"/>
            <w:shd w:val="clear" w:color="auto" w:fill="CFF0FC"/>
          </w:tcPr>
          <w:p>
            <w:pPr>
              <w:spacing w:after="0"/>
              <w:rPr>
                <w:sz w:val="19"/>
                <w:szCs w:val="19"/>
                <w:color w:val="auto"/>
              </w:rPr>
            </w:pPr>
          </w:p>
        </w:tc>
      </w:tr>
      <w:tr>
        <w:trPr>
          <w:trHeight w:val="223"/>
        </w:trPr>
        <w:tc>
          <w:tcPr>
            <w:tcW w:w="8860" w:type="dxa"/>
            <w:vAlign w:val="bottom"/>
          </w:tcPr>
          <w:p>
            <w:pPr>
              <w:spacing w:after="0"/>
              <w:rPr>
                <w:sz w:val="20"/>
                <w:szCs w:val="20"/>
                <w:color w:val="auto"/>
              </w:rPr>
            </w:pPr>
            <w:r>
              <w:rPr>
                <w:rFonts w:ascii="Arial" w:cs="Arial" w:eastAsia="Arial" w:hAnsi="Arial"/>
                <w:sz w:val="18"/>
                <w:szCs w:val="18"/>
                <w:color w:val="auto"/>
              </w:rPr>
              <w:t>Total</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27,929</w:t>
            </w:r>
          </w:p>
        </w:tc>
        <w:tc>
          <w:tcPr>
            <w:tcW w:w="22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27,602</w:t>
            </w:r>
          </w:p>
        </w:tc>
        <w:tc>
          <w:tcPr>
            <w:tcW w:w="120" w:type="dxa"/>
            <w:vAlign w:val="bottom"/>
          </w:tcPr>
          <w:p>
            <w:pPr>
              <w:spacing w:after="0"/>
              <w:rPr>
                <w:sz w:val="19"/>
                <w:szCs w:val="19"/>
                <w:color w:val="auto"/>
              </w:rPr>
            </w:pPr>
          </w:p>
        </w:tc>
      </w:tr>
      <w:tr>
        <w:trPr>
          <w:trHeight w:val="20"/>
        </w:trPr>
        <w:tc>
          <w:tcPr>
            <w:tcW w:w="88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02" w:right="239" w:bottom="1440" w:gutter="0" w:footer="0" w:header="0"/>
        </w:sectPr>
      </w:pPr>
    </w:p>
    <w:p>
      <w:pPr>
        <w:spacing w:after="0" w:line="317" w:lineRule="exact"/>
        <w:rPr>
          <w:sz w:val="20"/>
          <w:szCs w:val="20"/>
          <w:color w:val="auto"/>
        </w:rPr>
      </w:pPr>
    </w:p>
    <w:p>
      <w:pPr>
        <w:jc w:val="center"/>
        <w:ind w:left="9080"/>
        <w:spacing w:after="0"/>
        <w:rPr>
          <w:sz w:val="20"/>
          <w:szCs w:val="20"/>
          <w:color w:val="auto"/>
        </w:rPr>
      </w:pPr>
      <w:r>
        <w:rPr>
          <w:rFonts w:ascii="Arial" w:cs="Arial" w:eastAsia="Arial" w:hAnsi="Arial"/>
          <w:sz w:val="13"/>
          <w:szCs w:val="13"/>
          <w:b w:val="1"/>
          <w:bCs w:val="1"/>
          <w:color w:val="auto"/>
        </w:rPr>
        <w:t>March 31,</w:t>
      </w:r>
    </w:p>
    <w:p>
      <w:pPr>
        <w:spacing w:after="0" w:line="80" w:lineRule="exact"/>
        <w:rPr>
          <w:sz w:val="20"/>
          <w:szCs w:val="20"/>
          <w:color w:val="auto"/>
        </w:rPr>
      </w:pPr>
    </w:p>
    <w:p>
      <w:pPr>
        <w:jc w:val="center"/>
        <w:ind w:left="9080"/>
        <w:spacing w:after="0"/>
        <w:rPr>
          <w:sz w:val="20"/>
          <w:szCs w:val="20"/>
          <w:color w:val="auto"/>
        </w:rPr>
      </w:pPr>
      <w:r>
        <w:rPr>
          <w:rFonts w:ascii="Arial" w:cs="Arial" w:eastAsia="Arial" w:hAnsi="Arial"/>
          <w:sz w:val="14"/>
          <w:szCs w:val="14"/>
          <w:b w:val="1"/>
          <w:bCs w:val="1"/>
          <w:color w:val="auto"/>
        </w:rPr>
        <w:t>2016</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jc w:val="center"/>
        <w:ind w:right="260"/>
        <w:spacing w:after="0"/>
        <w:rPr>
          <w:sz w:val="20"/>
          <w:szCs w:val="20"/>
          <w:color w:val="auto"/>
        </w:rPr>
      </w:pPr>
      <w:r>
        <w:rPr>
          <w:rFonts w:ascii="Arial" w:cs="Arial" w:eastAsia="Arial" w:hAnsi="Arial"/>
          <w:sz w:val="12"/>
          <w:szCs w:val="12"/>
          <w:b w:val="1"/>
          <w:bCs w:val="1"/>
          <w:color w:val="auto"/>
        </w:rPr>
        <w:t>December 31,</w:t>
      </w:r>
    </w:p>
    <w:p>
      <w:pPr>
        <w:spacing w:after="0" w:line="92" w:lineRule="exact"/>
        <w:rPr>
          <w:sz w:val="20"/>
          <w:szCs w:val="20"/>
          <w:color w:val="auto"/>
        </w:rPr>
      </w:pPr>
    </w:p>
    <w:p>
      <w:pPr>
        <w:jc w:val="center"/>
        <w:ind w:right="260"/>
        <w:spacing w:after="0"/>
        <w:rPr>
          <w:sz w:val="20"/>
          <w:szCs w:val="20"/>
          <w:color w:val="auto"/>
        </w:rPr>
      </w:pPr>
      <w:r>
        <w:rPr>
          <w:rFonts w:ascii="Arial" w:cs="Arial" w:eastAsia="Arial" w:hAnsi="Arial"/>
          <w:sz w:val="14"/>
          <w:szCs w:val="14"/>
          <w:b w:val="1"/>
          <w:bCs w:val="1"/>
          <w:color w:val="auto"/>
        </w:rPr>
        <w:t>2015</w:t>
      </w:r>
    </w:p>
    <w:p>
      <w:pPr>
        <w:spacing w:after="0" w:line="10" w:lineRule="exact"/>
        <w:rPr>
          <w:sz w:val="20"/>
          <w:szCs w:val="20"/>
          <w:color w:val="auto"/>
        </w:rPr>
      </w:pPr>
    </w:p>
    <w:p>
      <w:pPr>
        <w:sectPr>
          <w:pgSz w:w="11900" w:h="16838" w:orient="portrait"/>
          <w:cols w:equalWidth="0" w:num="2">
            <w:col w:w="9720" w:space="600"/>
            <w:col w:w="1100"/>
          </w:cols>
          <w:pgMar w:left="240" w:top="1202" w:right="239" w:bottom="1440" w:gutter="0" w:footer="0" w:header="0"/>
          <w:type w:val="continuous"/>
        </w:sectPr>
      </w:pPr>
    </w:p>
    <w:tbl>
      <w:tblPr>
        <w:tblLayout w:type="fixed"/>
        <w:tblInd w:w="0" w:type="dxa"/>
        <w:tblCellMar>
          <w:top w:w="0" w:type="dxa"/>
          <w:left w:w="0" w:type="dxa"/>
          <w:bottom w:w="0" w:type="dxa"/>
          <w:right w:w="0" w:type="dxa"/>
        </w:tblCellMar>
      </w:tblPr>
      <w:tr>
        <w:trPr>
          <w:trHeight w:val="223"/>
        </w:trPr>
        <w:tc>
          <w:tcPr>
            <w:tcW w:w="8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Owned or Controlled:</w:t>
            </w:r>
          </w:p>
        </w:tc>
        <w:tc>
          <w:tcPr>
            <w:tcW w:w="11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California</w:t>
            </w:r>
          </w:p>
        </w:tc>
        <w:tc>
          <w:tcPr>
            <w:tcW w:w="1100" w:type="dxa"/>
            <w:vAlign w:val="bottom"/>
          </w:tcPr>
          <w:p>
            <w:pPr>
              <w:jc w:val="right"/>
              <w:spacing w:after="0"/>
              <w:rPr>
                <w:sz w:val="20"/>
                <w:szCs w:val="20"/>
                <w:color w:val="auto"/>
              </w:rPr>
            </w:pPr>
            <w:r>
              <w:rPr>
                <w:rFonts w:ascii="Arial" w:cs="Arial" w:eastAsia="Arial" w:hAnsi="Arial"/>
                <w:sz w:val="18"/>
                <w:szCs w:val="18"/>
                <w:color w:val="auto"/>
              </w:rPr>
              <w:t>17,623</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17,527</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Colorado</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626</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876</w:t>
            </w: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Maryland</w:t>
            </w:r>
          </w:p>
        </w:tc>
        <w:tc>
          <w:tcPr>
            <w:tcW w:w="1100" w:type="dxa"/>
            <w:vAlign w:val="bottom"/>
          </w:tcPr>
          <w:p>
            <w:pPr>
              <w:jc w:val="right"/>
              <w:spacing w:after="0"/>
              <w:rPr>
                <w:sz w:val="20"/>
                <w:szCs w:val="20"/>
                <w:color w:val="auto"/>
              </w:rPr>
            </w:pPr>
            <w:r>
              <w:rPr>
                <w:rFonts w:ascii="Arial" w:cs="Arial" w:eastAsia="Arial" w:hAnsi="Arial"/>
                <w:sz w:val="18"/>
                <w:szCs w:val="18"/>
                <w:color w:val="auto"/>
              </w:rPr>
              <w:t>1,663</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1,716</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Virginia</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617</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636</w:t>
            </w: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Arizona</w:t>
            </w:r>
          </w:p>
        </w:tc>
        <w:tc>
          <w:tcPr>
            <w:tcW w:w="1100" w:type="dxa"/>
            <w:vAlign w:val="bottom"/>
          </w:tcPr>
          <w:p>
            <w:pPr>
              <w:jc w:val="right"/>
              <w:spacing w:after="0"/>
              <w:rPr>
                <w:sz w:val="20"/>
                <w:szCs w:val="20"/>
                <w:color w:val="auto"/>
              </w:rPr>
            </w:pPr>
            <w:r>
              <w:rPr>
                <w:rFonts w:ascii="Arial" w:cs="Arial" w:eastAsia="Arial" w:hAnsi="Arial"/>
                <w:sz w:val="18"/>
                <w:szCs w:val="18"/>
                <w:color w:val="auto"/>
              </w:rPr>
              <w:t>2,280</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1,811</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Nevada</w:t>
            </w:r>
          </w:p>
        </w:tc>
        <w:tc>
          <w:tcPr>
            <w:tcW w:w="11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1,833</w:t>
            </w:r>
          </w:p>
        </w:tc>
        <w:tc>
          <w:tcPr>
            <w:tcW w:w="220" w:type="dxa"/>
            <w:vAlign w:val="bottom"/>
            <w:shd w:val="clear" w:color="auto" w:fill="CFF0FC"/>
          </w:tcPr>
          <w:p>
            <w:pPr>
              <w:spacing w:after="0"/>
              <w:rPr>
                <w:sz w:val="19"/>
                <w:szCs w:val="19"/>
                <w:color w:val="auto"/>
              </w:rPr>
            </w:pPr>
          </w:p>
        </w:tc>
        <w:tc>
          <w:tcPr>
            <w:tcW w:w="11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1,904</w:t>
            </w:r>
          </w:p>
        </w:tc>
        <w:tc>
          <w:tcPr>
            <w:tcW w:w="120" w:type="dxa"/>
            <w:vAlign w:val="bottom"/>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Texas</w:t>
            </w:r>
          </w:p>
        </w:tc>
        <w:tc>
          <w:tcPr>
            <w:tcW w:w="1100" w:type="dxa"/>
            <w:vAlign w:val="bottom"/>
          </w:tcPr>
          <w:p>
            <w:pPr>
              <w:jc w:val="right"/>
              <w:spacing w:after="0"/>
              <w:rPr>
                <w:sz w:val="20"/>
                <w:szCs w:val="20"/>
                <w:color w:val="auto"/>
              </w:rPr>
            </w:pPr>
            <w:r>
              <w:rPr>
                <w:rFonts w:ascii="Arial" w:cs="Arial" w:eastAsia="Arial" w:hAnsi="Arial"/>
                <w:sz w:val="18"/>
                <w:szCs w:val="18"/>
                <w:color w:val="auto"/>
              </w:rPr>
              <w:t>1,777</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1,858</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Washington</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1,510</w:t>
            </w:r>
          </w:p>
        </w:tc>
        <w:tc>
          <w:tcPr>
            <w:tcW w:w="22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1,274</w:t>
            </w:r>
          </w:p>
        </w:tc>
        <w:tc>
          <w:tcPr>
            <w:tcW w:w="120" w:type="dxa"/>
            <w:vAlign w:val="bottom"/>
            <w:shd w:val="clear" w:color="auto" w:fill="CFF0FC"/>
          </w:tcPr>
          <w:p>
            <w:pPr>
              <w:spacing w:after="0"/>
              <w:rPr>
                <w:sz w:val="19"/>
                <w:szCs w:val="19"/>
                <w:color w:val="auto"/>
              </w:rPr>
            </w:pPr>
          </w:p>
        </w:tc>
      </w:tr>
      <w:tr>
        <w:trPr>
          <w:trHeight w:val="223"/>
        </w:trPr>
        <w:tc>
          <w:tcPr>
            <w:tcW w:w="8860" w:type="dxa"/>
            <w:vAlign w:val="bottom"/>
          </w:tcPr>
          <w:p>
            <w:pPr>
              <w:spacing w:after="0"/>
              <w:rPr>
                <w:sz w:val="20"/>
                <w:szCs w:val="20"/>
                <w:color w:val="auto"/>
              </w:rPr>
            </w:pPr>
            <w:r>
              <w:rPr>
                <w:rFonts w:ascii="Arial" w:cs="Arial" w:eastAsia="Arial" w:hAnsi="Arial"/>
                <w:sz w:val="18"/>
                <w:szCs w:val="18"/>
                <w:color w:val="auto"/>
              </w:rPr>
              <w:t>Total</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27,929</w:t>
            </w:r>
          </w:p>
        </w:tc>
        <w:tc>
          <w:tcPr>
            <w:tcW w:w="220" w:type="dxa"/>
            <w:vAlign w:val="bottom"/>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27,602</w:t>
            </w:r>
          </w:p>
        </w:tc>
        <w:tc>
          <w:tcPr>
            <w:tcW w:w="120" w:type="dxa"/>
            <w:vAlign w:val="bottom"/>
          </w:tcPr>
          <w:p>
            <w:pPr>
              <w:spacing w:after="0"/>
              <w:rPr>
                <w:sz w:val="19"/>
                <w:szCs w:val="19"/>
                <w:color w:val="auto"/>
              </w:rPr>
            </w:pPr>
          </w:p>
        </w:tc>
      </w:tr>
      <w:tr>
        <w:trPr>
          <w:trHeight w:val="20"/>
        </w:trPr>
        <w:tc>
          <w:tcPr>
            <w:tcW w:w="88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02" w:right="239" w:bottom="1440" w:gutter="0" w:footer="0" w:header="0"/>
          <w:type w:val="continuous"/>
        </w:sectPr>
      </w:pPr>
    </w:p>
    <w:p>
      <w:pPr>
        <w:spacing w:after="0" w:line="317" w:lineRule="exact"/>
        <w:rPr>
          <w:sz w:val="20"/>
          <w:szCs w:val="20"/>
          <w:color w:val="auto"/>
        </w:rPr>
      </w:pPr>
    </w:p>
    <w:p>
      <w:pPr>
        <w:jc w:val="center"/>
        <w:ind w:left="9080"/>
        <w:spacing w:after="0"/>
        <w:rPr>
          <w:sz w:val="20"/>
          <w:szCs w:val="20"/>
          <w:color w:val="auto"/>
        </w:rPr>
      </w:pPr>
      <w:r>
        <w:rPr>
          <w:rFonts w:ascii="Arial" w:cs="Arial" w:eastAsia="Arial" w:hAnsi="Arial"/>
          <w:sz w:val="13"/>
          <w:szCs w:val="13"/>
          <w:b w:val="1"/>
          <w:bCs w:val="1"/>
          <w:color w:val="auto"/>
        </w:rPr>
        <w:t>March 31,</w:t>
      </w:r>
    </w:p>
    <w:p>
      <w:pPr>
        <w:spacing w:after="0" w:line="80" w:lineRule="exact"/>
        <w:rPr>
          <w:sz w:val="20"/>
          <w:szCs w:val="20"/>
          <w:color w:val="auto"/>
        </w:rPr>
      </w:pPr>
    </w:p>
    <w:p>
      <w:pPr>
        <w:jc w:val="center"/>
        <w:ind w:left="9080"/>
        <w:spacing w:after="0"/>
        <w:rPr>
          <w:sz w:val="20"/>
          <w:szCs w:val="20"/>
          <w:color w:val="auto"/>
        </w:rPr>
      </w:pPr>
      <w:r>
        <w:rPr>
          <w:rFonts w:ascii="Arial" w:cs="Arial" w:eastAsia="Arial" w:hAnsi="Arial"/>
          <w:sz w:val="14"/>
          <w:szCs w:val="14"/>
          <w:b w:val="1"/>
          <w:bCs w:val="1"/>
          <w:color w:val="auto"/>
        </w:rPr>
        <w:t>2016</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jc w:val="center"/>
        <w:ind w:right="260"/>
        <w:spacing w:after="0"/>
        <w:rPr>
          <w:sz w:val="20"/>
          <w:szCs w:val="20"/>
          <w:color w:val="auto"/>
        </w:rPr>
      </w:pPr>
      <w:r>
        <w:rPr>
          <w:rFonts w:ascii="Arial" w:cs="Arial" w:eastAsia="Arial" w:hAnsi="Arial"/>
          <w:sz w:val="12"/>
          <w:szCs w:val="12"/>
          <w:b w:val="1"/>
          <w:bCs w:val="1"/>
          <w:color w:val="auto"/>
        </w:rPr>
        <w:t>December 31,</w:t>
      </w:r>
    </w:p>
    <w:p>
      <w:pPr>
        <w:spacing w:after="0" w:line="92" w:lineRule="exact"/>
        <w:rPr>
          <w:sz w:val="20"/>
          <w:szCs w:val="20"/>
          <w:color w:val="auto"/>
        </w:rPr>
      </w:pPr>
    </w:p>
    <w:p>
      <w:pPr>
        <w:jc w:val="center"/>
        <w:ind w:right="260"/>
        <w:spacing w:after="0"/>
        <w:rPr>
          <w:sz w:val="20"/>
          <w:szCs w:val="20"/>
          <w:color w:val="auto"/>
        </w:rPr>
      </w:pPr>
      <w:r>
        <w:rPr>
          <w:rFonts w:ascii="Arial" w:cs="Arial" w:eastAsia="Arial" w:hAnsi="Arial"/>
          <w:sz w:val="14"/>
          <w:szCs w:val="14"/>
          <w:b w:val="1"/>
          <w:bCs w:val="1"/>
          <w:color w:val="auto"/>
        </w:rPr>
        <w:t>2015</w:t>
      </w:r>
    </w:p>
    <w:p>
      <w:pPr>
        <w:spacing w:after="0" w:line="10" w:lineRule="exact"/>
        <w:rPr>
          <w:sz w:val="20"/>
          <w:szCs w:val="20"/>
          <w:color w:val="auto"/>
        </w:rPr>
      </w:pPr>
    </w:p>
    <w:p>
      <w:pPr>
        <w:sectPr>
          <w:pgSz w:w="11900" w:h="16838" w:orient="portrait"/>
          <w:cols w:equalWidth="0" w:num="2">
            <w:col w:w="9720" w:space="600"/>
            <w:col w:w="1100"/>
          </w:cols>
          <w:pgMar w:left="240" w:top="1202" w:right="239" w:bottom="1440" w:gutter="0" w:footer="0" w:header="0"/>
          <w:type w:val="continuous"/>
        </w:sectPr>
      </w:pPr>
    </w:p>
    <w:tbl>
      <w:tblPr>
        <w:tblLayout w:type="fixed"/>
        <w:tblInd w:w="0" w:type="dxa"/>
        <w:tblCellMar>
          <w:top w:w="0" w:type="dxa"/>
          <w:left w:w="0" w:type="dxa"/>
          <w:bottom w:w="0" w:type="dxa"/>
          <w:right w:w="0" w:type="dxa"/>
        </w:tblCellMar>
      </w:tblPr>
      <w:tr>
        <w:trPr>
          <w:trHeight w:val="223"/>
        </w:trPr>
        <w:tc>
          <w:tcPr>
            <w:tcW w:w="88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Lots by Ownership Type:</w:t>
            </w:r>
          </w:p>
        </w:tc>
        <w:tc>
          <w:tcPr>
            <w:tcW w:w="110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1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r>
      <w:tr>
        <w:trPr>
          <w:trHeight w:val="230"/>
        </w:trPr>
        <w:tc>
          <w:tcPr>
            <w:tcW w:w="8860" w:type="dxa"/>
            <w:vAlign w:val="bottom"/>
          </w:tcPr>
          <w:p>
            <w:pPr>
              <w:ind w:left="260"/>
              <w:spacing w:after="0"/>
              <w:rPr>
                <w:sz w:val="20"/>
                <w:szCs w:val="20"/>
                <w:color w:val="auto"/>
              </w:rPr>
            </w:pPr>
            <w:r>
              <w:rPr>
                <w:rFonts w:ascii="Arial" w:cs="Arial" w:eastAsia="Arial" w:hAnsi="Arial"/>
                <w:sz w:val="18"/>
                <w:szCs w:val="18"/>
                <w:color w:val="auto"/>
              </w:rPr>
              <w:t>Lots owned</w:t>
            </w:r>
          </w:p>
        </w:tc>
        <w:tc>
          <w:tcPr>
            <w:tcW w:w="1100" w:type="dxa"/>
            <w:vAlign w:val="bottom"/>
          </w:tcPr>
          <w:p>
            <w:pPr>
              <w:jc w:val="right"/>
              <w:spacing w:after="0"/>
              <w:rPr>
                <w:sz w:val="20"/>
                <w:szCs w:val="20"/>
                <w:color w:val="auto"/>
              </w:rPr>
            </w:pPr>
            <w:r>
              <w:rPr>
                <w:rFonts w:ascii="Arial" w:cs="Arial" w:eastAsia="Arial" w:hAnsi="Arial"/>
                <w:sz w:val="18"/>
                <w:szCs w:val="18"/>
                <w:color w:val="auto"/>
              </w:rPr>
              <w:t>25,027</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24,733</w:t>
            </w:r>
          </w:p>
        </w:tc>
        <w:tc>
          <w:tcPr>
            <w:tcW w:w="120" w:type="dxa"/>
            <w:vAlign w:val="bottom"/>
          </w:tcPr>
          <w:p>
            <w:pPr>
              <w:spacing w:after="0"/>
              <w:rPr>
                <w:sz w:val="19"/>
                <w:szCs w:val="19"/>
                <w:color w:val="auto"/>
              </w:rPr>
            </w:pPr>
          </w:p>
        </w:tc>
      </w:tr>
      <w:tr>
        <w:trPr>
          <w:trHeight w:val="230"/>
        </w:trPr>
        <w:tc>
          <w:tcPr>
            <w:tcW w:w="88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 xml:space="preserve">Lots controlled </w:t>
            </w:r>
            <w:r>
              <w:rPr>
                <w:rFonts w:ascii="Arial" w:cs="Arial" w:eastAsia="Arial" w:hAnsi="Arial"/>
                <w:sz w:val="15"/>
                <w:szCs w:val="15"/>
                <w:color w:val="auto"/>
              </w:rPr>
              <w:t>(1)</w:t>
            </w:r>
          </w:p>
        </w:tc>
        <w:tc>
          <w:tcPr>
            <w:tcW w:w="11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2,902</w:t>
            </w:r>
          </w:p>
        </w:tc>
        <w:tc>
          <w:tcPr>
            <w:tcW w:w="220" w:type="dxa"/>
            <w:vAlign w:val="bottom"/>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2,869</w:t>
            </w:r>
          </w:p>
        </w:tc>
        <w:tc>
          <w:tcPr>
            <w:tcW w:w="120" w:type="dxa"/>
            <w:vAlign w:val="bottom"/>
            <w:shd w:val="clear" w:color="auto" w:fill="CFF0FC"/>
          </w:tcPr>
          <w:p>
            <w:pPr>
              <w:spacing w:after="0"/>
              <w:rPr>
                <w:sz w:val="19"/>
                <w:szCs w:val="19"/>
                <w:color w:val="auto"/>
              </w:rPr>
            </w:pPr>
          </w:p>
        </w:tc>
      </w:tr>
      <w:tr>
        <w:trPr>
          <w:trHeight w:val="224"/>
        </w:trPr>
        <w:tc>
          <w:tcPr>
            <w:tcW w:w="8860" w:type="dxa"/>
            <w:vAlign w:val="bottom"/>
          </w:tcPr>
          <w:p>
            <w:pPr>
              <w:spacing w:after="0"/>
              <w:rPr>
                <w:sz w:val="20"/>
                <w:szCs w:val="20"/>
                <w:color w:val="auto"/>
              </w:rPr>
            </w:pPr>
            <w:r>
              <w:rPr>
                <w:rFonts w:ascii="Arial" w:cs="Arial" w:eastAsia="Arial" w:hAnsi="Arial"/>
                <w:sz w:val="18"/>
                <w:szCs w:val="18"/>
                <w:color w:val="auto"/>
              </w:rPr>
              <w:t>Total</w:t>
            </w:r>
          </w:p>
        </w:tc>
        <w:tc>
          <w:tcPr>
            <w:tcW w:w="1100" w:type="dxa"/>
            <w:vAlign w:val="bottom"/>
          </w:tcPr>
          <w:p>
            <w:pPr>
              <w:jc w:val="right"/>
              <w:spacing w:after="0"/>
              <w:rPr>
                <w:sz w:val="20"/>
                <w:szCs w:val="20"/>
                <w:color w:val="auto"/>
              </w:rPr>
            </w:pPr>
            <w:r>
              <w:rPr>
                <w:rFonts w:ascii="Arial" w:cs="Arial" w:eastAsia="Arial" w:hAnsi="Arial"/>
                <w:sz w:val="18"/>
                <w:szCs w:val="18"/>
                <w:color w:val="auto"/>
              </w:rPr>
              <w:t>27,929</w:t>
            </w:r>
          </w:p>
        </w:tc>
        <w:tc>
          <w:tcPr>
            <w:tcW w:w="22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27,602</w:t>
            </w:r>
          </w:p>
        </w:tc>
        <w:tc>
          <w:tcPr>
            <w:tcW w:w="12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5622290</wp:posOffset>
            </wp:positionH>
            <wp:positionV relativeFrom="paragraph">
              <wp:posOffset>0</wp:posOffset>
            </wp:positionV>
            <wp:extent cx="155194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551940" cy="26035"/>
                    </a:xfrm>
                    <a:prstGeom prst="rect">
                      <a:avLst/>
                    </a:prstGeom>
                    <a:noFill/>
                  </pic:spPr>
                </pic:pic>
              </a:graphicData>
            </a:graphic>
          </wp:anchor>
        </w:drawing>
      </w:r>
    </w:p>
    <w:p>
      <w:pPr>
        <w:spacing w:after="0" w:line="10" w:lineRule="exact"/>
        <w:rPr>
          <w:sz w:val="20"/>
          <w:szCs w:val="20"/>
          <w:color w:val="auto"/>
        </w:rPr>
      </w:pPr>
    </w:p>
    <w:p>
      <w:pPr>
        <w:spacing w:after="0"/>
        <w:rPr>
          <w:sz w:val="20"/>
          <w:szCs w:val="20"/>
          <w:color w:val="auto"/>
        </w:rPr>
      </w:pPr>
      <w:r>
        <w:rPr>
          <w:rFonts w:ascii="Arial" w:cs="Arial" w:eastAsia="Arial" w:hAnsi="Arial"/>
          <w:sz w:val="16"/>
          <w:szCs w:val="16"/>
          <w:color w:val="auto"/>
        </w:rPr>
        <w:t>__________</w:t>
      </w:r>
    </w:p>
    <w:p>
      <w:pPr>
        <w:spacing w:after="0" w:line="55" w:lineRule="exact"/>
        <w:rPr>
          <w:sz w:val="20"/>
          <w:szCs w:val="20"/>
          <w:color w:val="auto"/>
        </w:rPr>
      </w:pPr>
    </w:p>
    <w:p>
      <w:pPr>
        <w:ind w:left="520" w:hanging="512"/>
        <w:spacing w:after="0"/>
        <w:tabs>
          <w:tab w:leader="none" w:pos="520" w:val="left"/>
        </w:tabs>
        <w:numPr>
          <w:ilvl w:val="0"/>
          <w:numId w:val="7"/>
        </w:numPr>
        <w:rPr>
          <w:rFonts w:ascii="Arial" w:cs="Arial" w:eastAsia="Arial" w:hAnsi="Arial"/>
          <w:sz w:val="15"/>
          <w:szCs w:val="15"/>
          <w:b w:val="1"/>
          <w:bCs w:val="1"/>
          <w:color w:val="auto"/>
        </w:rPr>
      </w:pPr>
      <w:r>
        <w:rPr>
          <w:rFonts w:ascii="Arial" w:cs="Arial" w:eastAsia="Arial" w:hAnsi="Arial"/>
          <w:sz w:val="18"/>
          <w:szCs w:val="18"/>
          <w:color w:val="auto"/>
        </w:rPr>
        <w:t>As of March 31, 2016 and December 31, 2015, lots controlled included lots that were under land option contracts or purchase contracts.</w:t>
      </w:r>
    </w:p>
    <w:p>
      <w:pPr>
        <w:spacing w:after="0" w:line="200" w:lineRule="exact"/>
        <w:rPr>
          <w:rFonts w:ascii="Arial" w:cs="Arial" w:eastAsia="Arial" w:hAnsi="Arial"/>
          <w:sz w:val="15"/>
          <w:szCs w:val="15"/>
          <w:b w:val="1"/>
          <w:bCs w:val="1"/>
          <w:color w:val="auto"/>
        </w:rPr>
      </w:pPr>
    </w:p>
    <w:p>
      <w:pPr>
        <w:spacing w:after="0" w:line="200" w:lineRule="exact"/>
        <w:rPr>
          <w:rFonts w:ascii="Arial" w:cs="Arial" w:eastAsia="Arial" w:hAnsi="Arial"/>
          <w:sz w:val="15"/>
          <w:szCs w:val="15"/>
          <w:b w:val="1"/>
          <w:bCs w:val="1"/>
          <w:color w:val="auto"/>
        </w:rPr>
      </w:pPr>
    </w:p>
    <w:p>
      <w:pPr>
        <w:spacing w:after="0" w:line="284" w:lineRule="exact"/>
        <w:rPr>
          <w:rFonts w:ascii="Arial" w:cs="Arial" w:eastAsia="Arial" w:hAnsi="Arial"/>
          <w:sz w:val="15"/>
          <w:szCs w:val="15"/>
          <w:b w:val="1"/>
          <w:bCs w:val="1"/>
          <w:color w:val="auto"/>
        </w:rPr>
      </w:pPr>
    </w:p>
    <w:p>
      <w:pPr>
        <w:ind w:left="5420"/>
        <w:spacing w:after="0"/>
        <w:rPr>
          <w:rFonts w:ascii="Arial" w:cs="Arial" w:eastAsia="Arial" w:hAnsi="Arial"/>
          <w:sz w:val="15"/>
          <w:szCs w:val="15"/>
          <w:b w:val="1"/>
          <w:bCs w:val="1"/>
          <w:color w:val="auto"/>
        </w:rPr>
      </w:pPr>
      <w:r>
        <w:rPr>
          <w:rFonts w:ascii="Arial" w:cs="Arial" w:eastAsia="Arial" w:hAnsi="Arial"/>
          <w:sz w:val="18"/>
          <w:szCs w:val="18"/>
          <w:color w:val="auto"/>
        </w:rPr>
        <w:t>Page 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02" w:right="239" w:bottom="1440" w:gutter="0" w:footer="0" w:header="0"/>
          <w:type w:val="continuous"/>
        </w:sectPr>
      </w:pPr>
    </w:p>
    <w:bookmarkStart w:id="14" w:name="page15"/>
    <w:bookmarkEnd w:id="1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3771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1946910" cy="377190"/>
                    </a:xfrm>
                    <a:prstGeom prst="rect">
                      <a:avLst/>
                    </a:prstGeom>
                    <a:noFill/>
                  </pic:spPr>
                </pic:pic>
              </a:graphicData>
            </a:graphic>
          </wp:anchor>
        </w:drawing>
        <w:t>RECONCILIATION OF NON-GAAP FINANCIAL MEASURES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157" w:lineRule="exact"/>
        <w:rPr>
          <w:sz w:val="20"/>
          <w:szCs w:val="20"/>
          <w:color w:val="auto"/>
        </w:rPr>
      </w:pPr>
    </w:p>
    <w:p>
      <w:pPr>
        <w:ind w:right="40" w:firstLine="518"/>
        <w:spacing w:after="0" w:line="273" w:lineRule="auto"/>
        <w:rPr>
          <w:sz w:val="20"/>
          <w:szCs w:val="20"/>
          <w:color w:val="auto"/>
        </w:rPr>
      </w:pPr>
      <w:r>
        <w:rPr>
          <w:rFonts w:ascii="Arial" w:cs="Arial" w:eastAsia="Arial" w:hAnsi="Arial"/>
          <w:sz w:val="17"/>
          <w:szCs w:val="17"/>
          <w:color w:val="auto"/>
        </w:rPr>
        <w:t>In this press release, we utilize certain financial measures that are non-GAAP financial measures as defined by the Securities and Exchange Commission. We present these measures because we believe they and similar measures are useful to management and investors in evaluating the Company’s operating performance and financing structure. We also believe these measures facilitate the comparison of our operating performance and financing structure with other companies in our industry. Because these measures are not calculated in accordance with Generally Accepted Accounting Principles (“GAAP”), they may not be comparable to other similarly titled measures of other companies and should not be considered in isolation or as a substitute for, or superior to, financial measures prepared in accordance with GAAP.</w:t>
      </w:r>
    </w:p>
    <w:p>
      <w:pPr>
        <w:spacing w:after="0" w:line="124" w:lineRule="exact"/>
        <w:rPr>
          <w:sz w:val="20"/>
          <w:szCs w:val="20"/>
          <w:color w:val="auto"/>
        </w:rPr>
      </w:pPr>
    </w:p>
    <w:p>
      <w:pPr>
        <w:ind w:right="60" w:firstLine="518"/>
        <w:spacing w:after="0" w:line="286" w:lineRule="auto"/>
        <w:rPr>
          <w:sz w:val="20"/>
          <w:szCs w:val="20"/>
          <w:color w:val="auto"/>
        </w:rPr>
      </w:pPr>
      <w:r>
        <w:rPr>
          <w:rFonts w:ascii="Arial" w:cs="Arial" w:eastAsia="Arial" w:hAnsi="Arial"/>
          <w:sz w:val="17"/>
          <w:szCs w:val="17"/>
          <w:color w:val="auto"/>
        </w:rPr>
        <w:t>The following table reconciles homebuilding gross margin percentage, as reported and prepared in accordance with GAAP, to the non-GAAP measure adjusted homebuilding gross margin percentage. We believe this information is meaningful as it isolates the impact that leverage has on homebuilding gross margin and permits investors to make better comparisons with our competitors, who adjust gross margins in a similar fashion.</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7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gridSpan w:val="6"/>
          </w:tcPr>
          <w:p>
            <w:pPr>
              <w:ind w:left="300"/>
              <w:spacing w:after="0"/>
              <w:rPr>
                <w:sz w:val="20"/>
                <w:szCs w:val="20"/>
                <w:color w:val="auto"/>
              </w:rPr>
            </w:pPr>
            <w:r>
              <w:rPr>
                <w:rFonts w:ascii="Arial" w:cs="Arial" w:eastAsia="Arial" w:hAnsi="Arial"/>
                <w:sz w:val="14"/>
                <w:szCs w:val="14"/>
                <w:b w:val="1"/>
                <w:bCs w:val="1"/>
                <w:color w:val="auto"/>
              </w:rPr>
              <w:t>Three Months Ended March 31,</w:t>
            </w:r>
          </w:p>
        </w:tc>
        <w:tc>
          <w:tcPr>
            <w:tcW w:w="11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5780" w:type="dxa"/>
            <w:vAlign w:val="bottom"/>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332"/>
              <w:spacing w:after="0" w:line="155" w:lineRule="exact"/>
              <w:rPr>
                <w:sz w:val="20"/>
                <w:szCs w:val="20"/>
                <w:color w:val="auto"/>
              </w:rPr>
            </w:pPr>
            <w:r>
              <w:rPr>
                <w:rFonts w:ascii="Arial" w:cs="Arial" w:eastAsia="Arial" w:hAnsi="Arial"/>
                <w:sz w:val="14"/>
                <w:szCs w:val="14"/>
                <w:b w:val="1"/>
                <w:bCs w:val="1"/>
                <w:color w:val="auto"/>
              </w:rPr>
              <w:t>2016</w:t>
            </w:r>
          </w:p>
        </w:tc>
        <w:tc>
          <w:tcPr>
            <w:tcW w:w="32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ind w:left="480"/>
              <w:spacing w:after="0" w:line="155" w:lineRule="exact"/>
              <w:rPr>
                <w:sz w:val="20"/>
                <w:szCs w:val="20"/>
                <w:color w:val="auto"/>
              </w:rPr>
            </w:pPr>
            <w:r>
              <w:rPr>
                <w:rFonts w:ascii="Arial" w:cs="Arial" w:eastAsia="Arial" w:hAnsi="Arial"/>
                <w:sz w:val="14"/>
                <w:szCs w:val="14"/>
                <w:b w:val="1"/>
                <w:bCs w:val="1"/>
                <w:color w:val="auto"/>
              </w:rPr>
              <w:t>%</w:t>
            </w:r>
          </w:p>
        </w:tc>
        <w:tc>
          <w:tcPr>
            <w:tcW w:w="2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jc w:val="right"/>
              <w:ind w:right="352"/>
              <w:spacing w:after="0" w:line="155" w:lineRule="exact"/>
              <w:rPr>
                <w:sz w:val="20"/>
                <w:szCs w:val="20"/>
                <w:color w:val="auto"/>
              </w:rPr>
            </w:pPr>
            <w:r>
              <w:rPr>
                <w:rFonts w:ascii="Arial" w:cs="Arial" w:eastAsia="Arial" w:hAnsi="Arial"/>
                <w:sz w:val="14"/>
                <w:szCs w:val="14"/>
                <w:b w:val="1"/>
                <w:bCs w:val="1"/>
                <w:color w:val="auto"/>
              </w:rPr>
              <w:t>2015</w:t>
            </w:r>
          </w:p>
        </w:tc>
        <w:tc>
          <w:tcPr>
            <w:tcW w:w="30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jc w:val="right"/>
              <w:ind w:right="413"/>
              <w:spacing w:after="0" w:line="155" w:lineRule="exact"/>
              <w:rPr>
                <w:sz w:val="20"/>
                <w:szCs w:val="20"/>
                <w:color w:val="auto"/>
              </w:rPr>
            </w:pPr>
            <w:r>
              <w:rPr>
                <w:rFonts w:ascii="Arial" w:cs="Arial" w:eastAsia="Arial" w:hAnsi="Arial"/>
                <w:sz w:val="14"/>
                <w:szCs w:val="14"/>
                <w:b w:val="1"/>
                <w:bCs w:val="1"/>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57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880" w:type="dxa"/>
            <w:vAlign w:val="bottom"/>
            <w:gridSpan w:val="6"/>
          </w:tcPr>
          <w:p>
            <w:pPr>
              <w:ind w:left="500"/>
              <w:spacing w:after="0"/>
              <w:rPr>
                <w:sz w:val="20"/>
                <w:szCs w:val="20"/>
                <w:color w:val="auto"/>
              </w:rPr>
            </w:pPr>
            <w:r>
              <w:rPr>
                <w:rFonts w:ascii="Arial" w:cs="Arial" w:eastAsia="Arial" w:hAnsi="Arial"/>
                <w:sz w:val="18"/>
                <w:szCs w:val="18"/>
                <w:color w:val="auto"/>
              </w:rPr>
              <w:t>(dollars in thousands)</w:t>
            </w: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spacing w:after="0"/>
              <w:rPr>
                <w:sz w:val="20"/>
                <w:szCs w:val="20"/>
                <w:color w:val="auto"/>
              </w:rPr>
            </w:pPr>
            <w:r>
              <w:rPr>
                <w:rFonts w:ascii="Arial" w:cs="Arial" w:eastAsia="Arial" w:hAnsi="Arial"/>
                <w:sz w:val="18"/>
                <w:szCs w:val="18"/>
                <w:color w:val="auto"/>
              </w:rPr>
              <w:t>Home sales revenue</w:t>
            </w: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423,055</w:t>
            </w:r>
          </w:p>
        </w:tc>
        <w:tc>
          <w:tcPr>
            <w:tcW w:w="32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100.0%</w:t>
            </w:r>
          </w:p>
        </w:tc>
        <w:tc>
          <w:tcPr>
            <w:tcW w:w="34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374,265</w:t>
            </w:r>
          </w:p>
        </w:tc>
        <w:tc>
          <w:tcPr>
            <w:tcW w:w="30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30"/>
        </w:trPr>
        <w:tc>
          <w:tcPr>
            <w:tcW w:w="5780" w:type="dxa"/>
            <w:vAlign w:val="bottom"/>
          </w:tcPr>
          <w:p>
            <w:pPr>
              <w:spacing w:after="0"/>
              <w:rPr>
                <w:sz w:val="20"/>
                <w:szCs w:val="20"/>
                <w:color w:val="auto"/>
              </w:rPr>
            </w:pPr>
            <w:r>
              <w:rPr>
                <w:rFonts w:ascii="Arial" w:cs="Arial" w:eastAsia="Arial" w:hAnsi="Arial"/>
                <w:sz w:val="18"/>
                <w:szCs w:val="18"/>
                <w:color w:val="auto"/>
              </w:rPr>
              <w:t>Cost of home sales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324,499</w:t>
            </w:r>
          </w:p>
        </w:tc>
        <w:tc>
          <w:tcPr>
            <w:tcW w:w="320" w:type="dxa"/>
            <w:vAlign w:val="bottom"/>
          </w:tcPr>
          <w:p>
            <w:pPr>
              <w:spacing w:after="0"/>
              <w:rPr>
                <w:sz w:val="19"/>
                <w:szCs w:val="19"/>
                <w:color w:val="auto"/>
              </w:rPr>
            </w:pPr>
          </w:p>
        </w:tc>
        <w:tc>
          <w:tcPr>
            <w:tcW w:w="1360" w:type="dxa"/>
            <w:vAlign w:val="bottom"/>
            <w:gridSpan w:val="2"/>
          </w:tcPr>
          <w:p>
            <w:pPr>
              <w:jc w:val="right"/>
              <w:ind w:right="80"/>
              <w:spacing w:after="0"/>
              <w:rPr>
                <w:sz w:val="20"/>
                <w:szCs w:val="20"/>
                <w:color w:val="auto"/>
              </w:rPr>
            </w:pPr>
            <w:r>
              <w:rPr>
                <w:rFonts w:ascii="Arial" w:cs="Arial" w:eastAsia="Arial" w:hAnsi="Arial"/>
                <w:sz w:val="18"/>
                <w:szCs w:val="18"/>
                <w:color w:val="auto"/>
              </w:rPr>
              <w:t>76.7%</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299,907</w:t>
            </w:r>
          </w:p>
        </w:tc>
        <w:tc>
          <w:tcPr>
            <w:tcW w:w="30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80.1%</w:t>
            </w:r>
          </w:p>
        </w:tc>
        <w:tc>
          <w:tcPr>
            <w:tcW w:w="0" w:type="dxa"/>
            <w:vAlign w:val="bottom"/>
          </w:tcPr>
          <w:p>
            <w:pPr>
              <w:spacing w:after="0"/>
              <w:rPr>
                <w:sz w:val="1"/>
                <w:szCs w:val="1"/>
                <w:color w:val="auto"/>
              </w:rPr>
            </w:pPr>
          </w:p>
        </w:tc>
      </w:tr>
      <w:tr>
        <w:trPr>
          <w:trHeight w:val="20"/>
        </w:trPr>
        <w:tc>
          <w:tcPr>
            <w:tcW w:w="5780" w:type="dxa"/>
            <w:vAlign w:val="bottom"/>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w:t>
            </w: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20" w:type="dxa"/>
            <w:vAlign w:val="bottom"/>
            <w:shd w:val="clear" w:color="auto" w:fill="CFF0FC"/>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8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shd w:val="clear" w:color="auto" w:fill="CFF0FC"/>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5780" w:type="dxa"/>
            <w:vAlign w:val="bottom"/>
            <w:vMerge w:val="continue"/>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98,556</w:t>
            </w:r>
          </w:p>
        </w:tc>
        <w:tc>
          <w:tcPr>
            <w:tcW w:w="32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23.3%</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74,358</w:t>
            </w:r>
          </w:p>
        </w:tc>
        <w:tc>
          <w:tcPr>
            <w:tcW w:w="30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30"/>
        </w:trPr>
        <w:tc>
          <w:tcPr>
            <w:tcW w:w="5780" w:type="dxa"/>
            <w:vAlign w:val="bottom"/>
          </w:tcPr>
          <w:p>
            <w:pPr>
              <w:ind w:left="260"/>
              <w:spacing w:after="0"/>
              <w:rPr>
                <w:sz w:val="20"/>
                <w:szCs w:val="20"/>
                <w:color w:val="auto"/>
              </w:rPr>
            </w:pPr>
            <w:r>
              <w:rPr>
                <w:rFonts w:ascii="Arial" w:cs="Arial" w:eastAsia="Arial" w:hAnsi="Arial"/>
                <w:sz w:val="18"/>
                <w:szCs w:val="18"/>
                <w:color w:val="auto"/>
              </w:rPr>
              <w:t>Add: interest in cost of home sales</w:t>
            </w:r>
          </w:p>
        </w:tc>
        <w:tc>
          <w:tcPr>
            <w:tcW w:w="24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8,830</w:t>
            </w:r>
          </w:p>
        </w:tc>
        <w:tc>
          <w:tcPr>
            <w:tcW w:w="320" w:type="dxa"/>
            <w:vAlign w:val="bottom"/>
          </w:tcPr>
          <w:p>
            <w:pPr>
              <w:spacing w:after="0"/>
              <w:rPr>
                <w:sz w:val="19"/>
                <w:szCs w:val="19"/>
                <w:color w:val="auto"/>
              </w:rPr>
            </w:pPr>
          </w:p>
        </w:tc>
        <w:tc>
          <w:tcPr>
            <w:tcW w:w="1360" w:type="dxa"/>
            <w:vAlign w:val="bottom"/>
            <w:gridSpan w:val="2"/>
          </w:tcPr>
          <w:p>
            <w:pPr>
              <w:jc w:val="right"/>
              <w:ind w:right="80"/>
              <w:spacing w:after="0"/>
              <w:rPr>
                <w:sz w:val="20"/>
                <w:szCs w:val="20"/>
                <w:color w:val="auto"/>
              </w:rPr>
            </w:pPr>
            <w:r>
              <w:rPr>
                <w:rFonts w:ascii="Arial" w:cs="Arial" w:eastAsia="Arial" w:hAnsi="Arial"/>
                <w:sz w:val="18"/>
                <w:szCs w:val="18"/>
                <w:color w:val="auto"/>
              </w:rPr>
              <w:t>2.1%</w:t>
            </w: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6,711</w:t>
            </w:r>
          </w:p>
        </w:tc>
        <w:tc>
          <w:tcPr>
            <w:tcW w:w="300" w:type="dxa"/>
            <w:vAlign w:val="bottom"/>
          </w:tcPr>
          <w:p>
            <w:pPr>
              <w:spacing w:after="0"/>
              <w:rPr>
                <w:sz w:val="19"/>
                <w:szCs w:val="19"/>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30"/>
        </w:trPr>
        <w:tc>
          <w:tcPr>
            <w:tcW w:w="578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Add: impairments and lot option abandonments</w:t>
            </w:r>
          </w:p>
        </w:tc>
        <w:tc>
          <w:tcPr>
            <w:tcW w:w="24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w:t>
            </w:r>
          </w:p>
        </w:tc>
        <w:tc>
          <w:tcPr>
            <w:tcW w:w="320" w:type="dxa"/>
            <w:vAlign w:val="bottom"/>
            <w:shd w:val="clear" w:color="auto" w:fill="CFF0FC"/>
          </w:tcPr>
          <w:p>
            <w:pPr>
              <w:spacing w:after="0"/>
              <w:rPr>
                <w:sz w:val="19"/>
                <w:szCs w:val="19"/>
                <w:color w:val="auto"/>
              </w:rPr>
            </w:pPr>
          </w:p>
        </w:tc>
        <w:tc>
          <w:tcPr>
            <w:tcW w:w="1360" w:type="dxa"/>
            <w:vAlign w:val="bottom"/>
            <w:gridSpan w:val="2"/>
            <w:shd w:val="clear" w:color="auto" w:fill="CFF0FC"/>
          </w:tcPr>
          <w:p>
            <w:pPr>
              <w:jc w:val="right"/>
              <w:ind w:right="80"/>
              <w:spacing w:after="0"/>
              <w:rPr>
                <w:sz w:val="20"/>
                <w:szCs w:val="20"/>
                <w:color w:val="auto"/>
              </w:rPr>
            </w:pPr>
            <w:r>
              <w:rPr>
                <w:rFonts w:ascii="Arial" w:cs="Arial" w:eastAsia="Arial" w:hAnsi="Arial"/>
                <w:sz w:val="18"/>
                <w:szCs w:val="18"/>
                <w:color w:val="auto"/>
              </w:rPr>
              <w:t>0.0%</w:t>
            </w: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345</w:t>
            </w:r>
          </w:p>
        </w:tc>
        <w:tc>
          <w:tcPr>
            <w:tcW w:w="300" w:type="dxa"/>
            <w:vAlign w:val="bottom"/>
            <w:shd w:val="clear" w:color="auto" w:fill="CFF0FC"/>
          </w:tcPr>
          <w:p>
            <w:pPr>
              <w:spacing w:after="0"/>
              <w:rPr>
                <w:sz w:val="19"/>
                <w:szCs w:val="19"/>
                <w:color w:val="auto"/>
              </w:rPr>
            </w:pPr>
          </w:p>
        </w:tc>
        <w:tc>
          <w:tcPr>
            <w:tcW w:w="1320" w:type="dxa"/>
            <w:vAlign w:val="bottom"/>
            <w:gridSpan w:val="2"/>
            <w:shd w:val="clear" w:color="auto" w:fill="CFF0FC"/>
          </w:tcPr>
          <w:p>
            <w:pPr>
              <w:jc w:val="right"/>
              <w:ind w:right="20"/>
              <w:spacing w:after="0"/>
              <w:rPr>
                <w:sz w:val="20"/>
                <w:szCs w:val="20"/>
                <w:color w:val="auto"/>
              </w:rPr>
            </w:pPr>
            <w:r>
              <w:rPr>
                <w:rFonts w:ascii="Arial" w:cs="Arial" w:eastAsia="Arial" w:hAnsi="Arial"/>
                <w:sz w:val="18"/>
                <w:szCs w:val="18"/>
                <w:color w:val="auto"/>
              </w:rPr>
              <w:t>0.1%</w:t>
            </w:r>
          </w:p>
        </w:tc>
        <w:tc>
          <w:tcPr>
            <w:tcW w:w="0" w:type="dxa"/>
            <w:vAlign w:val="bottom"/>
          </w:tcPr>
          <w:p>
            <w:pPr>
              <w:spacing w:after="0"/>
              <w:rPr>
                <w:sz w:val="1"/>
                <w:szCs w:val="1"/>
                <w:color w:val="auto"/>
              </w:rPr>
            </w:pPr>
          </w:p>
        </w:tc>
      </w:tr>
      <w:tr>
        <w:trPr>
          <w:trHeight w:val="20"/>
        </w:trPr>
        <w:tc>
          <w:tcPr>
            <w:tcW w:w="5780" w:type="dxa"/>
            <w:vAlign w:val="bottom"/>
            <w:vMerge w:val="restart"/>
          </w:tcPr>
          <w:p>
            <w:pPr>
              <w:spacing w:after="0"/>
              <w:rPr>
                <w:sz w:val="20"/>
                <w:szCs w:val="20"/>
                <w:color w:val="auto"/>
              </w:rPr>
            </w:pPr>
            <w:r>
              <w:rPr>
                <w:rFonts w:ascii="Arial" w:cs="Arial" w:eastAsia="Arial" w:hAnsi="Arial"/>
                <w:sz w:val="18"/>
                <w:szCs w:val="18"/>
                <w:color w:val="auto"/>
              </w:rPr>
              <w:t>Adjusted homebuilding gross margin</w:t>
            </w:r>
          </w:p>
        </w:tc>
        <w:tc>
          <w:tcPr>
            <w:tcW w:w="2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3"/>
        </w:trPr>
        <w:tc>
          <w:tcPr>
            <w:tcW w:w="5780" w:type="dxa"/>
            <w:vAlign w:val="bottom"/>
            <w:vMerge w:val="continue"/>
          </w:tcPr>
          <w:p>
            <w:pPr>
              <w:spacing w:after="0"/>
              <w:rPr>
                <w:sz w:val="21"/>
                <w:szCs w:val="21"/>
                <w:color w:val="auto"/>
              </w:rPr>
            </w:pP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107,568</w:t>
            </w:r>
          </w:p>
        </w:tc>
        <w:tc>
          <w:tcPr>
            <w:tcW w:w="320" w:type="dxa"/>
            <w:vAlign w:val="bottom"/>
          </w:tcPr>
          <w:p>
            <w:pPr>
              <w:spacing w:after="0"/>
              <w:rPr>
                <w:sz w:val="21"/>
                <w:szCs w:val="21"/>
                <w:color w:val="auto"/>
              </w:rPr>
            </w:pPr>
          </w:p>
        </w:tc>
        <w:tc>
          <w:tcPr>
            <w:tcW w:w="1360" w:type="dxa"/>
            <w:vAlign w:val="bottom"/>
            <w:gridSpan w:val="2"/>
          </w:tcPr>
          <w:p>
            <w:pPr>
              <w:jc w:val="right"/>
              <w:ind w:right="80"/>
              <w:spacing w:after="0"/>
              <w:rPr>
                <w:sz w:val="20"/>
                <w:szCs w:val="20"/>
                <w:color w:val="auto"/>
              </w:rPr>
            </w:pPr>
            <w:r>
              <w:rPr>
                <w:rFonts w:ascii="Arial" w:cs="Arial" w:eastAsia="Arial" w:hAnsi="Arial"/>
                <w:sz w:val="18"/>
                <w:szCs w:val="18"/>
                <w:color w:val="auto"/>
              </w:rPr>
              <w:t>25.4%</w:t>
            </w:r>
          </w:p>
        </w:tc>
        <w:tc>
          <w:tcPr>
            <w:tcW w:w="80" w:type="dxa"/>
            <w:vAlign w:val="bottom"/>
            <w:vMerge w:val="continue"/>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81,414</w:t>
            </w:r>
          </w:p>
        </w:tc>
        <w:tc>
          <w:tcPr>
            <w:tcW w:w="300" w:type="dxa"/>
            <w:vAlign w:val="bottom"/>
          </w:tcPr>
          <w:p>
            <w:pPr>
              <w:spacing w:after="0"/>
              <w:rPr>
                <w:sz w:val="21"/>
                <w:szCs w:val="21"/>
                <w:color w:val="auto"/>
              </w:rPr>
            </w:pPr>
          </w:p>
        </w:tc>
        <w:tc>
          <w:tcPr>
            <w:tcW w:w="1320" w:type="dxa"/>
            <w:vAlign w:val="bottom"/>
            <w:gridSpan w:val="2"/>
          </w:tcPr>
          <w:p>
            <w:pPr>
              <w:jc w:val="right"/>
              <w:ind w:right="20"/>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20"/>
        </w:trPr>
        <w:tc>
          <w:tcPr>
            <w:tcW w:w="5780" w:type="dxa"/>
            <w:vAlign w:val="bottom"/>
            <w:tcBorders>
              <w:top w:val="single" w:sz="8" w:color="CFF0FC"/>
            </w:tcBorders>
            <w:vMerge w:val="restart"/>
            <w:shd w:val="clear" w:color="auto" w:fill="CFF0FC"/>
          </w:tcPr>
          <w:p>
            <w:pPr>
              <w:spacing w:after="0"/>
              <w:rPr>
                <w:sz w:val="20"/>
                <w:szCs w:val="20"/>
                <w:color w:val="auto"/>
              </w:rPr>
            </w:pPr>
            <w:r>
              <w:rPr>
                <w:rFonts w:ascii="Arial" w:cs="Arial" w:eastAsia="Arial" w:hAnsi="Arial"/>
                <w:sz w:val="18"/>
                <w:szCs w:val="18"/>
                <w:color w:val="auto"/>
              </w:rPr>
              <w:t>Homebuilding gross margin percentage</w:t>
            </w: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320" w:type="dxa"/>
            <w:vAlign w:val="bottom"/>
            <w:tcBorders>
              <w:top w:val="single" w:sz="8" w:color="CFF0FC"/>
            </w:tcBorders>
            <w:shd w:val="clear" w:color="auto" w:fill="CFF0F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FF0FC"/>
            </w:tcBorders>
            <w:shd w:val="clear" w:color="auto" w:fill="CFF0FC"/>
          </w:tcPr>
          <w:p>
            <w:pPr>
              <w:spacing w:after="0" w:line="20" w:lineRule="exact"/>
              <w:rPr>
                <w:sz w:val="1"/>
                <w:szCs w:val="1"/>
                <w:color w:val="auto"/>
              </w:rPr>
            </w:pPr>
          </w:p>
        </w:tc>
        <w:tc>
          <w:tcPr>
            <w:tcW w:w="80" w:type="dxa"/>
            <w:vAlign w:val="bottom"/>
            <w:tcBorders>
              <w:top w:val="single" w:sz="8" w:color="CFF0FC"/>
            </w:tcBorders>
            <w:shd w:val="clear" w:color="auto" w:fill="CFF0F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88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FF0FC"/>
            </w:tcBorders>
            <w:shd w:val="clear" w:color="auto" w:fill="CFF0FC"/>
          </w:tcPr>
          <w:p>
            <w:pPr>
              <w:spacing w:after="0" w:line="20" w:lineRule="exact"/>
              <w:rPr>
                <w:sz w:val="1"/>
                <w:szCs w:val="1"/>
                <w:color w:val="auto"/>
              </w:rPr>
            </w:pPr>
          </w:p>
        </w:tc>
        <w:tc>
          <w:tcPr>
            <w:tcW w:w="114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FF0FC"/>
            </w:tcBorders>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780" w:type="dxa"/>
            <w:vAlign w:val="bottom"/>
            <w:vMerge w:val="continue"/>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20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23.3%</w:t>
            </w:r>
          </w:p>
        </w:tc>
        <w:tc>
          <w:tcPr>
            <w:tcW w:w="1140" w:type="dxa"/>
            <w:vAlign w:val="bottom"/>
            <w:shd w:val="clear" w:color="auto" w:fill="CFF0FC"/>
          </w:tcPr>
          <w:p>
            <w:pPr>
              <w:spacing w:after="0"/>
              <w:rPr>
                <w:sz w:val="18"/>
                <w:szCs w:val="18"/>
                <w:color w:val="auto"/>
              </w:rPr>
            </w:pPr>
          </w:p>
        </w:tc>
        <w:tc>
          <w:tcPr>
            <w:tcW w:w="220" w:type="dxa"/>
            <w:vAlign w:val="bottom"/>
            <w:shd w:val="clear" w:color="auto" w:fill="CFF0FC"/>
          </w:tcPr>
          <w:p>
            <w:pPr>
              <w:spacing w:after="0"/>
              <w:rPr>
                <w:sz w:val="18"/>
                <w:szCs w:val="18"/>
                <w:color w:val="auto"/>
              </w:rPr>
            </w:pPr>
          </w:p>
        </w:tc>
        <w:tc>
          <w:tcPr>
            <w:tcW w:w="8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180" w:type="dxa"/>
            <w:vAlign w:val="bottom"/>
            <w:gridSpan w:val="2"/>
            <w:shd w:val="clear" w:color="auto" w:fill="CFF0FC"/>
          </w:tcPr>
          <w:p>
            <w:pPr>
              <w:jc w:val="right"/>
              <w:ind w:right="160"/>
              <w:spacing w:after="0"/>
              <w:rPr>
                <w:sz w:val="20"/>
                <w:szCs w:val="20"/>
                <w:color w:val="auto"/>
              </w:rPr>
            </w:pPr>
            <w:r>
              <w:rPr>
                <w:rFonts w:ascii="Arial" w:cs="Arial" w:eastAsia="Arial" w:hAnsi="Arial"/>
                <w:sz w:val="18"/>
                <w:szCs w:val="18"/>
                <w:color w:val="auto"/>
              </w:rPr>
              <w:t>19.9%</w:t>
            </w:r>
          </w:p>
        </w:tc>
        <w:tc>
          <w:tcPr>
            <w:tcW w:w="1140" w:type="dxa"/>
            <w:vAlign w:val="bottom"/>
            <w:shd w:val="clear" w:color="auto" w:fill="CFF0FC"/>
          </w:tcPr>
          <w:p>
            <w:pPr>
              <w:spacing w:after="0"/>
              <w:rPr>
                <w:sz w:val="18"/>
                <w:szCs w:val="18"/>
                <w:color w:val="auto"/>
              </w:rPr>
            </w:pPr>
          </w:p>
        </w:tc>
        <w:tc>
          <w:tcPr>
            <w:tcW w:w="18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80" w:type="dxa"/>
            <w:vAlign w:val="bottom"/>
            <w:tcBorders>
              <w:top w:val="single" w:sz="8" w:color="CFF0FC"/>
              <w:bottom w:val="single" w:sz="8" w:color="CFF0FC"/>
            </w:tcBorders>
            <w:vMerge w:val="restart"/>
          </w:tcPr>
          <w:p>
            <w:pPr>
              <w:spacing w:after="0"/>
              <w:rPr>
                <w:sz w:val="20"/>
                <w:szCs w:val="20"/>
                <w:color w:val="auto"/>
              </w:rPr>
            </w:pPr>
            <w:r>
              <w:rPr>
                <w:rFonts w:ascii="Arial" w:cs="Arial" w:eastAsia="Arial" w:hAnsi="Arial"/>
                <w:sz w:val="18"/>
                <w:szCs w:val="18"/>
                <w:color w:val="auto"/>
              </w:rPr>
              <w:t>Adjusted homebuilding gross margin percentage</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CFF0FC"/>
            </w:tcBorders>
          </w:tcPr>
          <w:p>
            <w:pPr>
              <w:spacing w:after="0" w:line="20" w:lineRule="exact"/>
              <w:rPr>
                <w:sz w:val="1"/>
                <w:szCs w:val="1"/>
                <w:color w:val="auto"/>
              </w:rPr>
            </w:pPr>
          </w:p>
        </w:tc>
        <w:tc>
          <w:tcPr>
            <w:tcW w:w="1140" w:type="dxa"/>
            <w:vAlign w:val="bottom"/>
            <w:tcBorders>
              <w:top w:val="single" w:sz="8" w:color="CFF0FC"/>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780" w:type="dxa"/>
            <w:vAlign w:val="bottom"/>
            <w:vMerge w:val="continue"/>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2"/>
          </w:tcPr>
          <w:p>
            <w:pPr>
              <w:jc w:val="right"/>
              <w:ind w:right="160"/>
              <w:spacing w:after="0"/>
              <w:rPr>
                <w:sz w:val="20"/>
                <w:szCs w:val="20"/>
                <w:color w:val="auto"/>
              </w:rPr>
            </w:pPr>
            <w:r>
              <w:rPr>
                <w:rFonts w:ascii="Arial" w:cs="Arial" w:eastAsia="Arial" w:hAnsi="Arial"/>
                <w:sz w:val="18"/>
                <w:szCs w:val="18"/>
                <w:color w:val="auto"/>
              </w:rPr>
              <w:t>25.4%</w:t>
            </w: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80" w:type="dxa"/>
            <w:vAlign w:val="bottom"/>
            <w:gridSpan w:val="2"/>
          </w:tcPr>
          <w:p>
            <w:pPr>
              <w:jc w:val="right"/>
              <w:ind w:right="160"/>
              <w:spacing w:after="0"/>
              <w:rPr>
                <w:sz w:val="20"/>
                <w:szCs w:val="20"/>
                <w:color w:val="auto"/>
              </w:rPr>
            </w:pPr>
            <w:r>
              <w:rPr>
                <w:rFonts w:ascii="Arial" w:cs="Arial" w:eastAsia="Arial" w:hAnsi="Arial"/>
                <w:sz w:val="18"/>
                <w:szCs w:val="18"/>
                <w:color w:val="auto"/>
              </w:rPr>
              <w:t>21.8%</w:t>
            </w:r>
          </w:p>
        </w:tc>
        <w:tc>
          <w:tcPr>
            <w:tcW w:w="1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61" w:right="239" w:bottom="1440" w:gutter="0" w:footer="0" w:header="0"/>
        </w:sectPr>
      </w:pPr>
    </w:p>
    <w:bookmarkStart w:id="15" w:name="page16"/>
    <w:bookmarkEnd w:id="1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4375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1946910" cy="437515"/>
                    </a:xfrm>
                    <a:prstGeom prst="rect">
                      <a:avLst/>
                    </a:prstGeom>
                    <a:noFill/>
                  </pic:spPr>
                </pic:pic>
              </a:graphicData>
            </a:graphic>
          </wp:anchor>
        </w:drawing>
        <w:t>RECONCILIATION OF NON-GAAP FINANCIAL MEASURES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11" w:lineRule="exact"/>
        <w:rPr>
          <w:sz w:val="20"/>
          <w:szCs w:val="20"/>
          <w:color w:val="auto"/>
        </w:rPr>
      </w:pPr>
    </w:p>
    <w:p>
      <w:pPr>
        <w:ind w:right="120" w:firstLine="518"/>
        <w:spacing w:after="0" w:line="264" w:lineRule="auto"/>
        <w:rPr>
          <w:sz w:val="20"/>
          <w:szCs w:val="20"/>
          <w:color w:val="auto"/>
        </w:rPr>
      </w:pPr>
      <w:r>
        <w:rPr>
          <w:rFonts w:ascii="Arial" w:cs="Arial" w:eastAsia="Arial" w:hAnsi="Arial"/>
          <w:sz w:val="18"/>
          <w:szCs w:val="18"/>
          <w:color w:val="auto"/>
        </w:rPr>
        <w:t>The following table reconciles the Company’s ratio of debt-to-capital to the ratio of net debt-to-capital. We believe that the ratio of net debt-to-capital is a relevant financial measure for management and investors to understand the leverage employed in our operations and as an indicator of the Company’s ability to obtain financing.</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620" w:type="dxa"/>
            <w:vAlign w:val="bottom"/>
            <w:gridSpan w:val="2"/>
          </w:tcPr>
          <w:p>
            <w:pPr>
              <w:jc w:val="right"/>
              <w:ind w:right="780"/>
              <w:spacing w:after="0"/>
              <w:rPr>
                <w:sz w:val="20"/>
                <w:szCs w:val="20"/>
                <w:color w:val="auto"/>
              </w:rPr>
            </w:pPr>
            <w:r>
              <w:rPr>
                <w:rFonts w:ascii="Arial" w:cs="Arial" w:eastAsia="Arial" w:hAnsi="Arial"/>
                <w:sz w:val="14"/>
                <w:szCs w:val="14"/>
                <w:b w:val="1"/>
                <w:bCs w:val="1"/>
                <w:color w:val="auto"/>
              </w:rPr>
              <w:t>March 31,</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000" w:type="dxa"/>
            <w:vAlign w:val="bottom"/>
          </w:tcPr>
          <w:p>
            <w:pPr>
              <w:spacing w:after="0"/>
              <w:rPr>
                <w:sz w:val="14"/>
                <w:szCs w:val="14"/>
                <w:color w:val="auto"/>
              </w:rPr>
            </w:pPr>
          </w:p>
        </w:tc>
        <w:tc>
          <w:tcPr>
            <w:tcW w:w="2480" w:type="dxa"/>
            <w:vAlign w:val="bottom"/>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jc w:val="right"/>
              <w:ind w:right="612"/>
              <w:spacing w:after="0"/>
              <w:rPr>
                <w:sz w:val="20"/>
                <w:szCs w:val="20"/>
                <w:color w:val="auto"/>
              </w:rPr>
            </w:pPr>
            <w:r>
              <w:rPr>
                <w:rFonts w:ascii="Arial" w:cs="Arial" w:eastAsia="Arial" w:hAnsi="Arial"/>
                <w:sz w:val="14"/>
                <w:szCs w:val="14"/>
                <w:b w:val="1"/>
                <w:bCs w:val="1"/>
                <w:color w:val="auto"/>
              </w:rPr>
              <w:t>2016</w:t>
            </w:r>
          </w:p>
        </w:tc>
        <w:tc>
          <w:tcPr>
            <w:tcW w:w="2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tcPr>
          <w:p>
            <w:pPr>
              <w:jc w:val="right"/>
              <w:ind w:right="632"/>
              <w:spacing w:after="0"/>
              <w:rPr>
                <w:sz w:val="20"/>
                <w:szCs w:val="20"/>
                <w:color w:val="auto"/>
              </w:rPr>
            </w:pPr>
            <w:r>
              <w:rPr>
                <w:rFonts w:ascii="Arial" w:cs="Arial" w:eastAsia="Arial" w:hAnsi="Arial"/>
                <w:sz w:val="14"/>
                <w:szCs w:val="14"/>
                <w:b w:val="1"/>
                <w:bCs w:val="1"/>
                <w:color w:val="auto"/>
              </w:rPr>
              <w:t>2015</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Pr>
          <w:p>
            <w:pPr>
              <w:spacing w:after="0"/>
              <w:rPr>
                <w:sz w:val="19"/>
                <w:szCs w:val="19"/>
                <w:color w:val="auto"/>
              </w:rPr>
            </w:pPr>
          </w:p>
        </w:tc>
        <w:tc>
          <w:tcPr>
            <w:tcW w:w="2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440" w:type="dxa"/>
            <w:vAlign w:val="bottom"/>
            <w:gridSpan w:val="5"/>
          </w:tcPr>
          <w:p>
            <w:pPr>
              <w:jc w:val="right"/>
              <w:ind w:right="1012"/>
              <w:spacing w:after="0"/>
              <w:rPr>
                <w:sz w:val="20"/>
                <w:szCs w:val="20"/>
                <w:color w:val="auto"/>
              </w:rPr>
            </w:pPr>
            <w:r>
              <w:rPr>
                <w:rFonts w:ascii="Arial" w:cs="Arial" w:eastAsia="Arial" w:hAnsi="Arial"/>
                <w:sz w:val="18"/>
                <w:szCs w:val="18"/>
                <w:color w:val="auto"/>
              </w:rPr>
              <w:t>(dollars in thousands)</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Unsecured revolving credit facility</w:t>
            </w:r>
          </w:p>
        </w:tc>
        <w:tc>
          <w:tcPr>
            <w:tcW w:w="27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374,392</w:t>
            </w:r>
          </w:p>
        </w:tc>
        <w:tc>
          <w:tcPr>
            <w:tcW w:w="240" w:type="dxa"/>
            <w:vAlign w:val="bottom"/>
            <w:shd w:val="clear" w:color="auto" w:fill="CFF0FC"/>
          </w:tcPr>
          <w:p>
            <w:pPr>
              <w:spacing w:after="0"/>
              <w:rPr>
                <w:sz w:val="19"/>
                <w:szCs w:val="19"/>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299,392</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Seller financed loans</w:t>
            </w:r>
          </w:p>
        </w:tc>
        <w:tc>
          <w:tcPr>
            <w:tcW w:w="2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2,434</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Senior Notes</w:t>
            </w:r>
          </w:p>
        </w:tc>
        <w:tc>
          <w:tcPr>
            <w:tcW w:w="24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869,939</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868,679</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Pr>
          <w:p>
            <w:pPr>
              <w:ind w:left="120"/>
              <w:spacing w:after="0"/>
              <w:rPr>
                <w:sz w:val="20"/>
                <w:szCs w:val="20"/>
                <w:color w:val="auto"/>
              </w:rPr>
            </w:pPr>
            <w:r>
              <w:rPr>
                <w:rFonts w:ascii="Arial" w:cs="Arial" w:eastAsia="Arial" w:hAnsi="Arial"/>
                <w:sz w:val="18"/>
                <w:szCs w:val="18"/>
                <w:color w:val="auto"/>
              </w:rPr>
              <w:t>Total debt</w:t>
            </w:r>
          </w:p>
        </w:tc>
        <w:tc>
          <w:tcPr>
            <w:tcW w:w="2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8"/>
                <w:szCs w:val="18"/>
                <w:color w:val="auto"/>
              </w:rPr>
              <w:t>1,244,331</w:t>
            </w: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1,170,505</w:t>
            </w: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Stockholders' equity</w:t>
            </w:r>
          </w:p>
        </w:tc>
        <w:tc>
          <w:tcPr>
            <w:tcW w:w="2480" w:type="dxa"/>
            <w:vAlign w:val="bottom"/>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spacing w:after="0"/>
              <w:rPr>
                <w:sz w:val="19"/>
                <w:szCs w:val="19"/>
                <w:color w:val="auto"/>
              </w:rPr>
            </w:pP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1,694,757</w:t>
            </w:r>
          </w:p>
        </w:tc>
        <w:tc>
          <w:tcPr>
            <w:tcW w:w="2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1,664,683</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20" w:type="dxa"/>
            <w:vAlign w:val="bottom"/>
          </w:tcPr>
          <w:p>
            <w:pPr>
              <w:spacing w:after="0"/>
              <w:rPr>
                <w:sz w:val="22"/>
                <w:szCs w:val="22"/>
                <w:color w:val="auto"/>
              </w:rPr>
            </w:pPr>
          </w:p>
        </w:tc>
        <w:tc>
          <w:tcPr>
            <w:tcW w:w="5000" w:type="dxa"/>
            <w:vAlign w:val="bottom"/>
            <w:tcBorders>
              <w:bottom w:val="single" w:sz="8" w:color="CFF0FC"/>
            </w:tcBorders>
          </w:tcPr>
          <w:p>
            <w:pPr>
              <w:ind w:left="120"/>
              <w:spacing w:after="0"/>
              <w:rPr>
                <w:sz w:val="20"/>
                <w:szCs w:val="20"/>
                <w:color w:val="auto"/>
              </w:rPr>
            </w:pPr>
            <w:r>
              <w:rPr>
                <w:rFonts w:ascii="Arial" w:cs="Arial" w:eastAsia="Arial" w:hAnsi="Arial"/>
                <w:sz w:val="18"/>
                <w:szCs w:val="18"/>
                <w:color w:val="auto"/>
              </w:rPr>
              <w:t>Total capital</w:t>
            </w:r>
          </w:p>
        </w:tc>
        <w:tc>
          <w:tcPr>
            <w:tcW w:w="2480" w:type="dxa"/>
            <w:vAlign w:val="bottom"/>
            <w:tcBorders>
              <w:bottom w:val="single" w:sz="8" w:color="CFF0FC"/>
            </w:tcBorders>
          </w:tcPr>
          <w:p>
            <w:pPr>
              <w:spacing w:after="0"/>
              <w:rPr>
                <w:sz w:val="22"/>
                <w:szCs w:val="22"/>
                <w:color w:val="auto"/>
              </w:rPr>
            </w:pPr>
          </w:p>
        </w:tc>
        <w:tc>
          <w:tcPr>
            <w:tcW w:w="300" w:type="dxa"/>
            <w:vAlign w:val="bottom"/>
            <w:tcBorders>
              <w:bottom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2,939,088</w:t>
            </w:r>
          </w:p>
        </w:tc>
        <w:tc>
          <w:tcPr>
            <w:tcW w:w="240" w:type="dxa"/>
            <w:vAlign w:val="bottom"/>
            <w:tcBorders>
              <w:bottom w:val="single" w:sz="8" w:color="CFF0FC"/>
            </w:tcBorders>
          </w:tcPr>
          <w:p>
            <w:pPr>
              <w:spacing w:after="0"/>
              <w:rPr>
                <w:sz w:val="22"/>
                <w:szCs w:val="22"/>
                <w:color w:val="auto"/>
              </w:rPr>
            </w:pPr>
          </w:p>
        </w:tc>
        <w:tc>
          <w:tcPr>
            <w:tcW w:w="100" w:type="dxa"/>
            <w:vAlign w:val="bottom"/>
            <w:tcBorders>
              <w:bottom w:val="single" w:sz="8" w:color="CFF0FC"/>
            </w:tcBorders>
          </w:tcPr>
          <w:p>
            <w:pPr>
              <w:spacing w:after="0"/>
              <w:rPr>
                <w:sz w:val="22"/>
                <w:szCs w:val="22"/>
                <w:color w:val="auto"/>
              </w:rPr>
            </w:pPr>
          </w:p>
        </w:tc>
        <w:tc>
          <w:tcPr>
            <w:tcW w:w="260" w:type="dxa"/>
            <w:vAlign w:val="bottom"/>
            <w:tcBorders>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2,835,188</w:t>
            </w:r>
          </w:p>
        </w:tc>
        <w:tc>
          <w:tcPr>
            <w:tcW w:w="180" w:type="dxa"/>
            <w:vAlign w:val="bottom"/>
            <w:tcBorders>
              <w:bottom w:val="single" w:sz="8" w:color="CFF0FC"/>
            </w:tcBorders>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15"/>
                <w:szCs w:val="15"/>
                <w:color w:val="auto"/>
              </w:rPr>
              <w:t>(1)</w:t>
            </w:r>
          </w:p>
        </w:tc>
        <w:tc>
          <w:tcPr>
            <w:tcW w:w="2480" w:type="dxa"/>
            <w:vAlign w:val="bottom"/>
            <w:shd w:val="clear" w:color="auto" w:fill="CFF0FC"/>
          </w:tcPr>
          <w:p>
            <w:pPr>
              <w:spacing w:after="0"/>
              <w:rPr>
                <w:sz w:val="18"/>
                <w:szCs w:val="18"/>
                <w:color w:val="auto"/>
              </w:rPr>
            </w:pPr>
          </w:p>
        </w:tc>
        <w:tc>
          <w:tcPr>
            <w:tcW w:w="300" w:type="dxa"/>
            <w:vAlign w:val="bottom"/>
            <w:shd w:val="clear" w:color="auto" w:fill="CFF0FC"/>
          </w:tcPr>
          <w:p>
            <w:pPr>
              <w:spacing w:after="0"/>
              <w:rPr>
                <w:sz w:val="18"/>
                <w:szCs w:val="18"/>
                <w:color w:val="auto"/>
              </w:rPr>
            </w:pPr>
          </w:p>
        </w:tc>
        <w:tc>
          <w:tcPr>
            <w:tcW w:w="1620" w:type="dxa"/>
            <w:vAlign w:val="bottom"/>
            <w:gridSpan w:val="2"/>
            <w:shd w:val="clear" w:color="auto" w:fill="CFF0FC"/>
          </w:tcPr>
          <w:p>
            <w:pPr>
              <w:jc w:val="right"/>
              <w:ind w:right="100"/>
              <w:spacing w:after="0"/>
              <w:rPr>
                <w:sz w:val="20"/>
                <w:szCs w:val="20"/>
                <w:color w:val="auto"/>
              </w:rPr>
            </w:pPr>
            <w:r>
              <w:rPr>
                <w:rFonts w:ascii="Arial" w:cs="Arial" w:eastAsia="Arial" w:hAnsi="Arial"/>
                <w:sz w:val="18"/>
                <w:szCs w:val="18"/>
                <w:color w:val="auto"/>
              </w:rPr>
              <w:t>42.3%</w:t>
            </w:r>
          </w:p>
        </w:tc>
        <w:tc>
          <w:tcPr>
            <w:tcW w:w="100" w:type="dxa"/>
            <w:vAlign w:val="bottom"/>
            <w:shd w:val="clear" w:color="auto" w:fill="CFF0FC"/>
          </w:tcPr>
          <w:p>
            <w:pPr>
              <w:spacing w:after="0"/>
              <w:rPr>
                <w:sz w:val="18"/>
                <w:szCs w:val="18"/>
                <w:color w:val="auto"/>
              </w:rPr>
            </w:pPr>
          </w:p>
        </w:tc>
        <w:tc>
          <w:tcPr>
            <w:tcW w:w="260" w:type="dxa"/>
            <w:vAlign w:val="bottom"/>
            <w:shd w:val="clear" w:color="auto" w:fill="CFF0FC"/>
          </w:tcPr>
          <w:p>
            <w:pPr>
              <w:spacing w:after="0"/>
              <w:rPr>
                <w:sz w:val="18"/>
                <w:szCs w:val="18"/>
                <w:color w:val="auto"/>
              </w:rPr>
            </w:pPr>
          </w:p>
        </w:tc>
        <w:tc>
          <w:tcPr>
            <w:tcW w:w="16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41.3%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Borders>
              <w:top w:val="single" w:sz="8" w:color="CFF0FC"/>
            </w:tcBorders>
          </w:tcPr>
          <w:p>
            <w:pPr>
              <w:spacing w:after="0" w:line="20" w:lineRule="exact"/>
              <w:rPr>
                <w:sz w:val="1"/>
                <w:szCs w:val="1"/>
                <w:color w:val="auto"/>
              </w:rPr>
            </w:pPr>
          </w:p>
        </w:tc>
        <w:tc>
          <w:tcPr>
            <w:tcW w:w="2480" w:type="dxa"/>
            <w:vAlign w:val="bottom"/>
            <w:tcBorders>
              <w:top w:val="single" w:sz="8" w:color="CFF0FC"/>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restart"/>
          </w:tcPr>
          <w:p>
            <w:pPr>
              <w:spacing w:after="0"/>
              <w:rPr>
                <w:sz w:val="18"/>
                <w:szCs w:val="18"/>
                <w:color w:val="auto"/>
              </w:rPr>
            </w:pPr>
          </w:p>
        </w:tc>
        <w:tc>
          <w:tcPr>
            <w:tcW w:w="500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5000" w:type="dxa"/>
            <w:vAlign w:val="bottom"/>
            <w:shd w:val="clear" w:color="auto" w:fill="CFF0FC"/>
          </w:tcPr>
          <w:p>
            <w:pPr>
              <w:spacing w:after="0"/>
              <w:rPr>
                <w:sz w:val="20"/>
                <w:szCs w:val="20"/>
                <w:color w:val="auto"/>
              </w:rPr>
            </w:pPr>
            <w:r>
              <w:rPr>
                <w:rFonts w:ascii="Arial" w:cs="Arial" w:eastAsia="Arial" w:hAnsi="Arial"/>
                <w:sz w:val="18"/>
                <w:szCs w:val="18"/>
                <w:color w:val="auto"/>
              </w:rPr>
              <w:t>Total debt</w:t>
            </w:r>
          </w:p>
        </w:tc>
        <w:tc>
          <w:tcPr>
            <w:tcW w:w="2780" w:type="dxa"/>
            <w:vAlign w:val="bottom"/>
            <w:gridSpan w:val="2"/>
            <w:shd w:val="clear" w:color="auto" w:fill="CFF0FC"/>
          </w:tcPr>
          <w:p>
            <w:pPr>
              <w:jc w:val="right"/>
              <w:ind w:right="110"/>
              <w:spacing w:after="0"/>
              <w:rPr>
                <w:sz w:val="20"/>
                <w:szCs w:val="20"/>
                <w:color w:val="auto"/>
              </w:rPr>
            </w:pPr>
            <w:r>
              <w:rPr>
                <w:rFonts w:ascii="Arial" w:cs="Arial" w:eastAsia="Arial" w:hAnsi="Arial"/>
                <w:sz w:val="18"/>
                <w:szCs w:val="18"/>
                <w:color w:val="auto"/>
              </w:rPr>
              <w:t>$</w:t>
            </w:r>
          </w:p>
        </w:tc>
        <w:tc>
          <w:tcPr>
            <w:tcW w:w="13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1,244,331</w:t>
            </w:r>
          </w:p>
        </w:tc>
        <w:tc>
          <w:tcPr>
            <w:tcW w:w="240" w:type="dxa"/>
            <w:vAlign w:val="bottom"/>
            <w:shd w:val="clear" w:color="auto" w:fill="CFF0FC"/>
          </w:tcPr>
          <w:p>
            <w:pPr>
              <w:spacing w:after="0"/>
              <w:rPr>
                <w:sz w:val="19"/>
                <w:szCs w:val="19"/>
                <w:color w:val="auto"/>
              </w:rPr>
            </w:pPr>
          </w:p>
        </w:tc>
        <w:tc>
          <w:tcPr>
            <w:tcW w:w="360" w:type="dxa"/>
            <w:vAlign w:val="bottom"/>
            <w:gridSpan w:val="2"/>
            <w:shd w:val="clear" w:color="auto" w:fill="CFF0FC"/>
          </w:tcPr>
          <w:p>
            <w:pPr>
              <w:jc w:val="right"/>
              <w:ind w:right="70"/>
              <w:spacing w:after="0"/>
              <w:rPr>
                <w:sz w:val="20"/>
                <w:szCs w:val="20"/>
                <w:color w:val="auto"/>
              </w:rPr>
            </w:pPr>
            <w:r>
              <w:rPr>
                <w:rFonts w:ascii="Arial" w:cs="Arial" w:eastAsia="Arial" w:hAnsi="Arial"/>
                <w:sz w:val="18"/>
                <w:szCs w:val="18"/>
                <w:color w:val="auto"/>
              </w:rPr>
              <w:t>$</w:t>
            </w:r>
          </w:p>
        </w:tc>
        <w:tc>
          <w:tcPr>
            <w:tcW w:w="14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1,170,505</w:t>
            </w: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Pr>
          <w:p>
            <w:pPr>
              <w:spacing w:after="0"/>
              <w:rPr>
                <w:sz w:val="20"/>
                <w:szCs w:val="20"/>
                <w:color w:val="auto"/>
              </w:rPr>
            </w:pPr>
            <w:r>
              <w:rPr>
                <w:rFonts w:ascii="Arial" w:cs="Arial" w:eastAsia="Arial" w:hAnsi="Arial"/>
                <w:sz w:val="18"/>
                <w:szCs w:val="18"/>
                <w:color w:val="auto"/>
              </w:rPr>
              <w:t>Less: Cash and cash equivalents</w:t>
            </w:r>
          </w:p>
        </w:tc>
        <w:tc>
          <w:tcPr>
            <w:tcW w:w="24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20" w:type="dxa"/>
            <w:vAlign w:val="bottom"/>
            <w:gridSpan w:val="2"/>
          </w:tcPr>
          <w:p>
            <w:pPr>
              <w:jc w:val="right"/>
              <w:ind w:right="180"/>
              <w:spacing w:after="0"/>
              <w:rPr>
                <w:sz w:val="20"/>
                <w:szCs w:val="20"/>
                <w:color w:val="auto"/>
              </w:rPr>
            </w:pPr>
            <w:r>
              <w:rPr>
                <w:rFonts w:ascii="Arial" w:cs="Arial" w:eastAsia="Arial" w:hAnsi="Arial"/>
                <w:sz w:val="18"/>
                <w:szCs w:val="18"/>
                <w:color w:val="auto"/>
              </w:rPr>
              <w:t>(144,019)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40" w:type="dxa"/>
            <w:vAlign w:val="bottom"/>
            <w:gridSpan w:val="2"/>
          </w:tcPr>
          <w:p>
            <w:pPr>
              <w:jc w:val="right"/>
              <w:ind w:right="120"/>
              <w:spacing w:after="0"/>
              <w:rPr>
                <w:sz w:val="20"/>
                <w:szCs w:val="20"/>
                <w:color w:val="auto"/>
              </w:rPr>
            </w:pPr>
            <w:r>
              <w:rPr>
                <w:rFonts w:ascii="Arial" w:cs="Arial" w:eastAsia="Arial" w:hAnsi="Arial"/>
                <w:sz w:val="18"/>
                <w:szCs w:val="18"/>
                <w:color w:val="auto"/>
              </w:rPr>
              <w:t>(214,485)</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Borders>
              <w:top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Net debt</w:t>
            </w:r>
          </w:p>
        </w:tc>
        <w:tc>
          <w:tcPr>
            <w:tcW w:w="2480" w:type="dxa"/>
            <w:vAlign w:val="bottom"/>
            <w:tcBorders>
              <w:top w:val="single" w:sz="8" w:color="CFF0FC"/>
            </w:tcBorders>
            <w:shd w:val="clear" w:color="auto" w:fill="CFF0FC"/>
          </w:tcPr>
          <w:p>
            <w:pPr>
              <w:spacing w:after="0"/>
              <w:rPr>
                <w:sz w:val="19"/>
                <w:szCs w:val="19"/>
                <w:color w:val="auto"/>
              </w:rPr>
            </w:pPr>
          </w:p>
        </w:tc>
        <w:tc>
          <w:tcPr>
            <w:tcW w:w="300" w:type="dxa"/>
            <w:vAlign w:val="bottom"/>
            <w:tcBorders>
              <w:top w:val="single" w:sz="8" w:color="auto"/>
            </w:tcBorders>
            <w:shd w:val="clear" w:color="auto" w:fill="CFF0FC"/>
          </w:tcPr>
          <w:p>
            <w:pPr>
              <w:spacing w:after="0"/>
              <w:rPr>
                <w:sz w:val="19"/>
                <w:szCs w:val="19"/>
                <w:color w:val="auto"/>
              </w:rPr>
            </w:pPr>
          </w:p>
        </w:tc>
        <w:tc>
          <w:tcPr>
            <w:tcW w:w="13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1,100,312</w:t>
            </w:r>
          </w:p>
        </w:tc>
        <w:tc>
          <w:tcPr>
            <w:tcW w:w="2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60" w:type="dxa"/>
            <w:vAlign w:val="bottom"/>
            <w:tcBorders>
              <w:top w:val="single" w:sz="8" w:color="auto"/>
            </w:tcBorders>
            <w:shd w:val="clear" w:color="auto" w:fill="CFF0FC"/>
          </w:tcPr>
          <w:p>
            <w:pPr>
              <w:spacing w:after="0"/>
              <w:rPr>
                <w:sz w:val="19"/>
                <w:szCs w:val="19"/>
                <w:color w:val="auto"/>
              </w:rPr>
            </w:pPr>
          </w:p>
        </w:tc>
        <w:tc>
          <w:tcPr>
            <w:tcW w:w="14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956,020</w:t>
            </w:r>
          </w:p>
        </w:tc>
        <w:tc>
          <w:tcPr>
            <w:tcW w:w="180" w:type="dxa"/>
            <w:vAlign w:val="bottom"/>
            <w:tcBorders>
              <w:top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0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Stockholders' equity</w:t>
            </w:r>
          </w:p>
        </w:tc>
        <w:tc>
          <w:tcPr>
            <w:tcW w:w="248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1,694,757</w:t>
            </w:r>
          </w:p>
        </w:tc>
        <w:tc>
          <w:tcPr>
            <w:tcW w:w="240" w:type="dxa"/>
            <w:vAlign w:val="bottom"/>
            <w:tcBorders>
              <w:bottom w:val="single" w:sz="8" w:color="CFF0FC"/>
            </w:tcBorders>
          </w:tcPr>
          <w:p>
            <w:pPr>
              <w:spacing w:after="0"/>
              <w:rPr>
                <w:sz w:val="19"/>
                <w:szCs w:val="19"/>
                <w:color w:val="auto"/>
              </w:rPr>
            </w:pPr>
          </w:p>
        </w:tc>
        <w:tc>
          <w:tcPr>
            <w:tcW w:w="10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1,664,683</w:t>
            </w:r>
          </w:p>
        </w:tc>
        <w:tc>
          <w:tcPr>
            <w:tcW w:w="180" w:type="dxa"/>
            <w:vAlign w:val="bottom"/>
            <w:tcBorders>
              <w:bottom w:val="single" w:sz="8" w:color="CFF0FC"/>
            </w:tcBorders>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00" w:type="dxa"/>
            <w:vAlign w:val="bottom"/>
            <w:tcBorders>
              <w:bottom w:val="single" w:sz="8" w:color="CFF0FC"/>
            </w:tcBorders>
            <w:shd w:val="clear" w:color="auto" w:fill="CFF0FC"/>
          </w:tcPr>
          <w:p>
            <w:pPr>
              <w:ind w:left="120"/>
              <w:spacing w:after="0"/>
              <w:rPr>
                <w:sz w:val="20"/>
                <w:szCs w:val="20"/>
                <w:color w:val="auto"/>
              </w:rPr>
            </w:pPr>
            <w:r>
              <w:rPr>
                <w:rFonts w:ascii="Arial" w:cs="Arial" w:eastAsia="Arial" w:hAnsi="Arial"/>
                <w:sz w:val="18"/>
                <w:szCs w:val="18"/>
                <w:color w:val="auto"/>
              </w:rPr>
              <w:t>Total capital</w:t>
            </w:r>
          </w:p>
        </w:tc>
        <w:tc>
          <w:tcPr>
            <w:tcW w:w="248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10"/>
              <w:spacing w:after="0"/>
              <w:rPr>
                <w:sz w:val="20"/>
                <w:szCs w:val="20"/>
                <w:color w:val="auto"/>
              </w:rPr>
            </w:pPr>
            <w:r>
              <w:rPr>
                <w:rFonts w:ascii="Arial" w:cs="Arial" w:eastAsia="Arial" w:hAnsi="Arial"/>
                <w:sz w:val="18"/>
                <w:szCs w:val="18"/>
                <w:color w:val="auto"/>
                <w:w w:val="79"/>
              </w:rPr>
              <w:t>$</w:t>
            </w:r>
          </w:p>
        </w:tc>
        <w:tc>
          <w:tcPr>
            <w:tcW w:w="13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2,795,069</w:t>
            </w:r>
          </w:p>
        </w:tc>
        <w:tc>
          <w:tcPr>
            <w:tcW w:w="240" w:type="dxa"/>
            <w:vAlign w:val="bottom"/>
            <w:tcBorders>
              <w:bottom w:val="single" w:sz="8" w:color="CFF0FC"/>
            </w:tcBorders>
            <w:shd w:val="clear" w:color="auto" w:fill="CFF0FC"/>
          </w:tcPr>
          <w:p>
            <w:pPr>
              <w:spacing w:after="0"/>
              <w:rPr>
                <w:sz w:val="19"/>
                <w:szCs w:val="19"/>
                <w:color w:val="auto"/>
              </w:rPr>
            </w:pPr>
          </w:p>
        </w:tc>
        <w:tc>
          <w:tcPr>
            <w:tcW w:w="100" w:type="dxa"/>
            <w:vAlign w:val="bottom"/>
            <w:tcBorders>
              <w:bottom w:val="single" w:sz="8" w:color="CFF0FC"/>
            </w:tcBorders>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jc w:val="right"/>
              <w:ind w:right="70"/>
              <w:spacing w:after="0"/>
              <w:rPr>
                <w:sz w:val="20"/>
                <w:szCs w:val="20"/>
                <w:color w:val="auto"/>
              </w:rPr>
            </w:pPr>
            <w:r>
              <w:rPr>
                <w:rFonts w:ascii="Arial" w:cs="Arial" w:eastAsia="Arial" w:hAnsi="Arial"/>
                <w:sz w:val="18"/>
                <w:szCs w:val="18"/>
                <w:color w:val="auto"/>
                <w:w w:val="79"/>
              </w:rPr>
              <w:t>$</w:t>
            </w:r>
          </w:p>
        </w:tc>
        <w:tc>
          <w:tcPr>
            <w:tcW w:w="14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2,620,703</w:t>
            </w:r>
          </w:p>
        </w:tc>
        <w:tc>
          <w:tcPr>
            <w:tcW w:w="180" w:type="dxa"/>
            <w:vAlign w:val="bottom"/>
            <w:tcBorders>
              <w:bottom w:val="single" w:sz="8" w:color="CFF0FC"/>
            </w:tcBorders>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020" w:type="dxa"/>
            <w:vAlign w:val="bottom"/>
            <w:gridSpan w:val="2"/>
            <w:vMerge w:val="restart"/>
          </w:tcPr>
          <w:p>
            <w:pPr>
              <w:spacing w:after="0"/>
              <w:rPr>
                <w:sz w:val="20"/>
                <w:szCs w:val="20"/>
                <w:color w:val="auto"/>
              </w:rPr>
            </w:pPr>
            <w:r>
              <w:rPr>
                <w:rFonts w:ascii="Arial" w:cs="Arial" w:eastAsia="Arial" w:hAnsi="Arial"/>
                <w:sz w:val="18"/>
                <w:szCs w:val="18"/>
                <w:color w:val="auto"/>
              </w:rPr>
              <w:t>Ratio of net debt-to-capital</w:t>
            </w:r>
            <w:r>
              <w:rPr>
                <w:rFonts w:ascii="Arial" w:cs="Arial" w:eastAsia="Arial" w:hAnsi="Arial"/>
                <w:sz w:val="15"/>
                <w:szCs w:val="15"/>
                <w:color w:val="auto"/>
              </w:rPr>
              <w:t>(2)</w:t>
            </w:r>
          </w:p>
        </w:tc>
        <w:tc>
          <w:tcPr>
            <w:tcW w:w="248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20" w:type="dxa"/>
            <w:vAlign w:val="bottom"/>
            <w:gridSpan w:val="2"/>
            <w:vMerge w:val="continue"/>
          </w:tcPr>
          <w:p>
            <w:pPr>
              <w:spacing w:after="0"/>
              <w:rPr>
                <w:sz w:val="18"/>
                <w:szCs w:val="18"/>
                <w:color w:val="auto"/>
              </w:rPr>
            </w:pPr>
          </w:p>
        </w:tc>
        <w:tc>
          <w:tcPr>
            <w:tcW w:w="2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20" w:type="dxa"/>
            <w:vAlign w:val="bottom"/>
            <w:gridSpan w:val="2"/>
          </w:tcPr>
          <w:p>
            <w:pPr>
              <w:jc w:val="right"/>
              <w:ind w:right="100"/>
              <w:spacing w:after="0"/>
              <w:rPr>
                <w:sz w:val="20"/>
                <w:szCs w:val="20"/>
                <w:color w:val="auto"/>
              </w:rPr>
            </w:pPr>
            <w:r>
              <w:rPr>
                <w:rFonts w:ascii="Arial" w:cs="Arial" w:eastAsia="Arial" w:hAnsi="Arial"/>
                <w:sz w:val="18"/>
                <w:szCs w:val="18"/>
                <w:color w:val="auto"/>
              </w:rPr>
              <w:t>39.4%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40" w:type="dxa"/>
            <w:vAlign w:val="bottom"/>
            <w:gridSpan w:val="2"/>
          </w:tcPr>
          <w:p>
            <w:pPr>
              <w:jc w:val="right"/>
              <w:ind w:right="40"/>
              <w:spacing w:after="0"/>
              <w:rPr>
                <w:sz w:val="20"/>
                <w:szCs w:val="20"/>
                <w:color w:val="auto"/>
              </w:rPr>
            </w:pPr>
            <w:r>
              <w:rPr>
                <w:rFonts w:ascii="Arial" w:cs="Arial" w:eastAsia="Arial" w:hAnsi="Arial"/>
                <w:sz w:val="18"/>
                <w:szCs w:val="18"/>
                <w:color w:val="auto"/>
              </w:rPr>
              <w:t>36.5%</w:t>
            </w:r>
          </w:p>
        </w:tc>
        <w:tc>
          <w:tcPr>
            <w:tcW w:w="0" w:type="dxa"/>
            <w:vAlign w:val="bottom"/>
          </w:tcPr>
          <w:p>
            <w:pPr>
              <w:spacing w:after="0"/>
              <w:rPr>
                <w:sz w:val="1"/>
                <w:szCs w:val="1"/>
                <w:color w:val="auto"/>
              </w:rPr>
            </w:pPr>
          </w:p>
        </w:tc>
      </w:tr>
      <w:tr>
        <w:trPr>
          <w:trHeight w:val="20"/>
        </w:trPr>
        <w:tc>
          <w:tcPr>
            <w:tcW w:w="5020" w:type="dxa"/>
            <w:vAlign w:val="bottom"/>
            <w:gridSpan w:val="2"/>
            <w:vMerge w:val="restart"/>
          </w:tcPr>
          <w:p>
            <w:pPr>
              <w:spacing w:after="0"/>
              <w:rPr>
                <w:sz w:val="20"/>
                <w:szCs w:val="20"/>
                <w:color w:val="auto"/>
              </w:rPr>
            </w:pPr>
            <w:r>
              <w:rPr>
                <w:rFonts w:ascii="Arial" w:cs="Arial" w:eastAsia="Arial" w:hAnsi="Arial"/>
                <w:sz w:val="16"/>
                <w:szCs w:val="16"/>
                <w:color w:val="auto"/>
              </w:rPr>
              <w:t>__________</w:t>
            </w:r>
          </w:p>
        </w:tc>
        <w:tc>
          <w:tcPr>
            <w:tcW w:w="24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5020" w:type="dxa"/>
            <w:vAlign w:val="bottom"/>
            <w:gridSpan w:val="2"/>
            <w:vMerge w:val="continue"/>
          </w:tcPr>
          <w:p>
            <w:pPr>
              <w:spacing w:after="0"/>
              <w:rPr>
                <w:sz w:val="15"/>
                <w:szCs w:val="15"/>
                <w:color w:val="auto"/>
              </w:rPr>
            </w:pPr>
          </w:p>
        </w:tc>
        <w:tc>
          <w:tcPr>
            <w:tcW w:w="24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ind w:left="520" w:hanging="512"/>
        <w:spacing w:after="0"/>
        <w:tabs>
          <w:tab w:leader="none" w:pos="520" w:val="left"/>
        </w:tabs>
        <w:numPr>
          <w:ilvl w:val="0"/>
          <w:numId w:val="8"/>
        </w:numPr>
        <w:rPr>
          <w:rFonts w:ascii="Arial" w:cs="Arial" w:eastAsia="Arial" w:hAnsi="Arial"/>
          <w:sz w:val="15"/>
          <w:szCs w:val="15"/>
          <w:color w:val="auto"/>
        </w:rPr>
      </w:pPr>
      <w:r>
        <w:rPr>
          <w:rFonts w:ascii="Arial" w:cs="Arial" w:eastAsia="Arial" w:hAnsi="Arial"/>
          <w:sz w:val="18"/>
          <w:szCs w:val="18"/>
          <w:color w:val="auto"/>
        </w:rPr>
        <w:t>The ratio of debt-to-capital is computed as the quotient obtained by dividing debt by the sum of debt plus equity.</w:t>
      </w:r>
    </w:p>
    <w:p>
      <w:pPr>
        <w:spacing w:after="0" w:line="23" w:lineRule="exact"/>
        <w:rPr>
          <w:rFonts w:ascii="Arial" w:cs="Arial" w:eastAsia="Arial" w:hAnsi="Arial"/>
          <w:sz w:val="15"/>
          <w:szCs w:val="15"/>
          <w:color w:val="auto"/>
        </w:rPr>
      </w:pPr>
    </w:p>
    <w:p>
      <w:pPr>
        <w:ind w:left="520" w:right="160" w:hanging="512"/>
        <w:spacing w:after="0" w:line="261" w:lineRule="auto"/>
        <w:tabs>
          <w:tab w:leader="none" w:pos="520" w:val="left"/>
        </w:tabs>
        <w:numPr>
          <w:ilvl w:val="0"/>
          <w:numId w:val="8"/>
        </w:numPr>
        <w:rPr>
          <w:rFonts w:ascii="Arial" w:cs="Arial" w:eastAsia="Arial" w:hAnsi="Arial"/>
          <w:sz w:val="15"/>
          <w:szCs w:val="15"/>
          <w:color w:val="auto"/>
        </w:rPr>
      </w:pPr>
      <w:r>
        <w:rPr>
          <w:rFonts w:ascii="Arial" w:cs="Arial" w:eastAsia="Arial" w:hAnsi="Arial"/>
          <w:sz w:val="18"/>
          <w:szCs w:val="18"/>
          <w:color w:val="auto"/>
        </w:rPr>
        <w:t>The ratio of net debt-to-capital is computed as the quotient obtained by dividing net debt (which is debt less cash and cash equivalents) by the sum of net debt plus equity. The most directly comparable GAAP financial measure is the ratio of debt-to-capital.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69" w:right="239" w:bottom="1440" w:gutter="0" w:footer="0" w:header="0"/>
        </w:sectPr>
      </w:pPr>
    </w:p>
    <w:bookmarkStart w:id="16" w:name="page17"/>
    <w:bookmarkEnd w:id="1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2807335</wp:posOffset>
            </wp:positionH>
            <wp:positionV relativeFrom="page">
              <wp:posOffset>88900</wp:posOffset>
            </wp:positionV>
            <wp:extent cx="1946910" cy="4375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1946910" cy="437515"/>
                    </a:xfrm>
                    <a:prstGeom prst="rect">
                      <a:avLst/>
                    </a:prstGeom>
                    <a:noFill/>
                  </pic:spPr>
                </pic:pic>
              </a:graphicData>
            </a:graphic>
          </wp:anchor>
        </w:drawing>
        <w:t>RECONCILIATION OF NON-GAAP FINANCIAL MEASURES (continued)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11" w:lineRule="exact"/>
        <w:rPr>
          <w:sz w:val="20"/>
          <w:szCs w:val="20"/>
          <w:color w:val="auto"/>
        </w:rPr>
      </w:pPr>
    </w:p>
    <w:p>
      <w:pPr>
        <w:ind w:right="200" w:firstLine="518"/>
        <w:spacing w:after="0" w:line="291" w:lineRule="auto"/>
        <w:rPr>
          <w:sz w:val="20"/>
          <w:szCs w:val="20"/>
          <w:color w:val="auto"/>
        </w:rPr>
      </w:pPr>
      <w:r>
        <w:rPr>
          <w:rFonts w:ascii="Arial" w:cs="Arial" w:eastAsia="Arial" w:hAnsi="Arial"/>
          <w:sz w:val="16"/>
          <w:szCs w:val="16"/>
          <w:color w:val="auto"/>
        </w:rPr>
        <w:t>The following table calculates the non-GAAP measures of EBITDA and Adjusted EBITDA and reconciles those amounts to net income, as reported and prepared in accordance with GAAP. EBITDA means net income before (a) interest expense, (b) income taxes, (c) depreciation and amortization,</w:t>
      </w:r>
    </w:p>
    <w:p>
      <w:pPr>
        <w:ind w:right="40" w:firstLine="8"/>
        <w:spacing w:after="0" w:line="254" w:lineRule="auto"/>
        <w:tabs>
          <w:tab w:leader="none" w:pos="255" w:val="left"/>
        </w:tabs>
        <w:numPr>
          <w:ilvl w:val="0"/>
          <w:numId w:val="9"/>
        </w:numPr>
        <w:rPr>
          <w:rFonts w:ascii="Arial" w:cs="Arial" w:eastAsia="Arial" w:hAnsi="Arial"/>
          <w:sz w:val="18"/>
          <w:szCs w:val="18"/>
          <w:color w:val="auto"/>
        </w:rPr>
      </w:pPr>
      <w:r>
        <w:rPr>
          <w:rFonts w:ascii="Arial" w:cs="Arial" w:eastAsia="Arial" w:hAnsi="Arial"/>
          <w:sz w:val="18"/>
          <w:szCs w:val="18"/>
          <w:color w:val="auto"/>
        </w:rPr>
        <w:t>expensing of previously capitalized interest included in costs of home sales and (e) amortization of stock-based compensation. Adjusted EBITDA means EBITDA before (f) impairment and lot option abandonments (g) restructuring charges and (h) transaction related expenses. Other companies may calculate EBITDA and Adjusted EBITDA (or similarly titled measures) differently. We believe EBITDA and Adjusted EBITDA are useful measures of the Company’s ability to service debt and obtain financing.</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5620" w:type="dxa"/>
            <w:vAlign w:val="bottom"/>
          </w:tcPr>
          <w:p>
            <w:pPr>
              <w:spacing w:after="0"/>
              <w:rPr>
                <w:sz w:val="16"/>
                <w:szCs w:val="16"/>
                <w:color w:val="auto"/>
              </w:rPr>
            </w:pPr>
          </w:p>
        </w:tc>
        <w:tc>
          <w:tcPr>
            <w:tcW w:w="22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60" w:type="dxa"/>
            <w:vAlign w:val="bottom"/>
            <w:gridSpan w:val="4"/>
          </w:tcPr>
          <w:p>
            <w:pPr>
              <w:jc w:val="center"/>
              <w:spacing w:after="0"/>
              <w:rPr>
                <w:sz w:val="20"/>
                <w:szCs w:val="20"/>
                <w:color w:val="auto"/>
              </w:rPr>
            </w:pPr>
            <w:r>
              <w:rPr>
                <w:rFonts w:ascii="Arial" w:cs="Arial" w:eastAsia="Arial" w:hAnsi="Arial"/>
                <w:sz w:val="14"/>
                <w:szCs w:val="14"/>
                <w:b w:val="1"/>
                <w:bCs w:val="1"/>
                <w:color w:val="auto"/>
                <w:w w:val="95"/>
              </w:rPr>
              <w:t>Three Months Ended</w:t>
            </w: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r>
      <w:tr>
        <w:trPr>
          <w:trHeight w:val="255"/>
        </w:trPr>
        <w:tc>
          <w:tcPr>
            <w:tcW w:w="5620" w:type="dxa"/>
            <w:vAlign w:val="bottom"/>
          </w:tcPr>
          <w:p>
            <w:pPr>
              <w:spacing w:after="0"/>
              <w:rPr>
                <w:sz w:val="22"/>
                <w:szCs w:val="22"/>
                <w:color w:val="auto"/>
              </w:rPr>
            </w:pPr>
          </w:p>
        </w:tc>
        <w:tc>
          <w:tcPr>
            <w:tcW w:w="2240" w:type="dxa"/>
            <w:vAlign w:val="bottom"/>
          </w:tcPr>
          <w:p>
            <w:pPr>
              <w:spacing w:after="0"/>
              <w:rPr>
                <w:sz w:val="22"/>
                <w:szCs w:val="22"/>
                <w:color w:val="auto"/>
              </w:rPr>
            </w:pPr>
          </w:p>
        </w:tc>
        <w:tc>
          <w:tcPr>
            <w:tcW w:w="100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9"/>
              </w:rPr>
              <w:t>March 31,</w:t>
            </w:r>
          </w:p>
        </w:tc>
        <w:tc>
          <w:tcPr>
            <w:tcW w:w="98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r>
      <w:tr>
        <w:trPr>
          <w:trHeight w:val="223"/>
        </w:trPr>
        <w:tc>
          <w:tcPr>
            <w:tcW w:w="5620" w:type="dxa"/>
            <w:vAlign w:val="bottom"/>
          </w:tcPr>
          <w:p>
            <w:pPr>
              <w:spacing w:after="0"/>
              <w:rPr>
                <w:sz w:val="19"/>
                <w:szCs w:val="19"/>
                <w:color w:val="auto"/>
              </w:rPr>
            </w:pPr>
          </w:p>
        </w:tc>
        <w:tc>
          <w:tcPr>
            <w:tcW w:w="3240" w:type="dxa"/>
            <w:vAlign w:val="bottom"/>
            <w:gridSpan w:val="2"/>
          </w:tcPr>
          <w:p>
            <w:pPr>
              <w:jc w:val="right"/>
              <w:spacing w:after="0"/>
              <w:rPr>
                <w:sz w:val="20"/>
                <w:szCs w:val="20"/>
                <w:color w:val="auto"/>
              </w:rPr>
            </w:pPr>
            <w:r>
              <w:rPr>
                <w:rFonts w:ascii="Arial" w:cs="Arial" w:eastAsia="Arial" w:hAnsi="Arial"/>
                <w:sz w:val="14"/>
                <w:szCs w:val="14"/>
                <w:b w:val="1"/>
                <w:bCs w:val="1"/>
                <w:color w:val="auto"/>
              </w:rPr>
              <w:t>2016</w:t>
            </w: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80" w:type="dxa"/>
            <w:vAlign w:val="bottom"/>
          </w:tcPr>
          <w:p>
            <w:pPr>
              <w:jc w:val="right"/>
              <w:ind w:right="511"/>
              <w:spacing w:after="0"/>
              <w:rPr>
                <w:sz w:val="20"/>
                <w:szCs w:val="20"/>
                <w:color w:val="auto"/>
              </w:rPr>
            </w:pPr>
            <w:r>
              <w:rPr>
                <w:rFonts w:ascii="Arial" w:cs="Arial" w:eastAsia="Arial" w:hAnsi="Arial"/>
                <w:sz w:val="14"/>
                <w:szCs w:val="14"/>
                <w:b w:val="1"/>
                <w:bCs w:val="1"/>
                <w:color w:val="auto"/>
              </w:rPr>
              <w:t>2015</w:t>
            </w:r>
          </w:p>
        </w:tc>
        <w:tc>
          <w:tcPr>
            <w:tcW w:w="120" w:type="dxa"/>
            <w:vAlign w:val="bottom"/>
          </w:tcPr>
          <w:p>
            <w:pPr>
              <w:spacing w:after="0"/>
              <w:rPr>
                <w:sz w:val="19"/>
                <w:szCs w:val="19"/>
                <w:color w:val="auto"/>
              </w:rPr>
            </w:pPr>
          </w:p>
        </w:tc>
      </w:tr>
      <w:tr>
        <w:trPr>
          <w:trHeight w:val="223"/>
        </w:trPr>
        <w:tc>
          <w:tcPr>
            <w:tcW w:w="5620" w:type="dxa"/>
            <w:vAlign w:val="bottom"/>
          </w:tcPr>
          <w:p>
            <w:pPr>
              <w:spacing w:after="0"/>
              <w:rPr>
                <w:sz w:val="19"/>
                <w:szCs w:val="19"/>
                <w:color w:val="auto"/>
              </w:rPr>
            </w:pPr>
          </w:p>
        </w:tc>
        <w:tc>
          <w:tcPr>
            <w:tcW w:w="2240" w:type="dxa"/>
            <w:vAlign w:val="bottom"/>
          </w:tcPr>
          <w:p>
            <w:pPr>
              <w:spacing w:after="0"/>
              <w:rPr>
                <w:sz w:val="19"/>
                <w:szCs w:val="19"/>
                <w:color w:val="auto"/>
              </w:rPr>
            </w:pPr>
          </w:p>
        </w:tc>
        <w:tc>
          <w:tcPr>
            <w:tcW w:w="1000" w:type="dxa"/>
            <w:vAlign w:val="bottom"/>
            <w:tcBorders>
              <w:top w:val="single" w:sz="8" w:color="auto"/>
            </w:tcBorders>
          </w:tcPr>
          <w:p>
            <w:pPr>
              <w:spacing w:after="0"/>
              <w:rPr>
                <w:sz w:val="19"/>
                <w:szCs w:val="19"/>
                <w:color w:val="auto"/>
              </w:rPr>
            </w:pPr>
          </w:p>
        </w:tc>
        <w:tc>
          <w:tcPr>
            <w:tcW w:w="1460" w:type="dxa"/>
            <w:vAlign w:val="bottom"/>
            <w:tcBorders>
              <w:top w:val="single" w:sz="8" w:color="auto"/>
            </w:tcBorders>
            <w:gridSpan w:val="4"/>
          </w:tcPr>
          <w:p>
            <w:pPr>
              <w:jc w:val="center"/>
              <w:spacing w:after="0"/>
              <w:rPr>
                <w:sz w:val="20"/>
                <w:szCs w:val="20"/>
                <w:color w:val="auto"/>
              </w:rPr>
            </w:pPr>
            <w:r>
              <w:rPr>
                <w:rFonts w:ascii="Arial" w:cs="Arial" w:eastAsia="Arial" w:hAnsi="Arial"/>
                <w:sz w:val="18"/>
                <w:szCs w:val="18"/>
                <w:color w:val="auto"/>
                <w:w w:val="89"/>
              </w:rPr>
              <w:t>(in thousands)</w:t>
            </w:r>
          </w:p>
        </w:tc>
        <w:tc>
          <w:tcPr>
            <w:tcW w:w="9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5620" w:type="dxa"/>
            <w:vAlign w:val="bottom"/>
            <w:shd w:val="clear" w:color="auto" w:fill="CFF0FC"/>
          </w:tcPr>
          <w:p>
            <w:pPr>
              <w:spacing w:after="0"/>
              <w:rPr>
                <w:sz w:val="20"/>
                <w:szCs w:val="20"/>
                <w:color w:val="auto"/>
              </w:rPr>
            </w:pPr>
            <w:r>
              <w:rPr>
                <w:rFonts w:ascii="Arial" w:cs="Arial" w:eastAsia="Arial" w:hAnsi="Arial"/>
                <w:sz w:val="18"/>
                <w:szCs w:val="18"/>
                <w:color w:val="auto"/>
              </w:rPr>
              <w:t>Net income available to common stockholders</w:t>
            </w:r>
          </w:p>
        </w:tc>
        <w:tc>
          <w:tcPr>
            <w:tcW w:w="3240" w:type="dxa"/>
            <w:vAlign w:val="bottom"/>
            <w:gridSpan w:val="2"/>
            <w:shd w:val="clear" w:color="auto" w:fill="CFF0FC"/>
          </w:tcPr>
          <w:p>
            <w:pPr>
              <w:jc w:val="right"/>
              <w:ind w:right="810"/>
              <w:spacing w:after="0"/>
              <w:rPr>
                <w:sz w:val="20"/>
                <w:szCs w:val="20"/>
                <w:color w:val="auto"/>
              </w:rPr>
            </w:pPr>
            <w:r>
              <w:rPr>
                <w:rFonts w:ascii="Arial" w:cs="Arial" w:eastAsia="Arial" w:hAnsi="Arial"/>
                <w:sz w:val="18"/>
                <w:szCs w:val="18"/>
                <w:color w:val="auto"/>
              </w:rPr>
              <w:t>$</w:t>
            </w: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28,550</w:t>
            </w:r>
          </w:p>
        </w:tc>
        <w:tc>
          <w:tcPr>
            <w:tcW w:w="280" w:type="dxa"/>
            <w:vAlign w:val="bottom"/>
            <w:shd w:val="clear" w:color="auto" w:fill="CFF0FC"/>
          </w:tcPr>
          <w:p>
            <w:pPr>
              <w:spacing w:after="0"/>
              <w:rPr>
                <w:sz w:val="19"/>
                <w:szCs w:val="19"/>
                <w:color w:val="auto"/>
              </w:rPr>
            </w:pPr>
          </w:p>
        </w:tc>
        <w:tc>
          <w:tcPr>
            <w:tcW w:w="600" w:type="dxa"/>
            <w:vAlign w:val="bottom"/>
            <w:gridSpan w:val="2"/>
            <w:shd w:val="clear" w:color="auto" w:fill="CFF0FC"/>
          </w:tcPr>
          <w:p>
            <w:pPr>
              <w:jc w:val="right"/>
              <w:ind w:right="470"/>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15,297</w:t>
            </w:r>
          </w:p>
        </w:tc>
        <w:tc>
          <w:tcPr>
            <w:tcW w:w="120" w:type="dxa"/>
            <w:vAlign w:val="bottom"/>
            <w:shd w:val="clear" w:color="auto" w:fill="CFF0FC"/>
          </w:tcPr>
          <w:p>
            <w:pPr>
              <w:spacing w:after="0"/>
              <w:rPr>
                <w:sz w:val="19"/>
                <w:szCs w:val="19"/>
                <w:color w:val="auto"/>
              </w:rPr>
            </w:pPr>
          </w:p>
        </w:tc>
      </w:tr>
      <w:tr>
        <w:trPr>
          <w:trHeight w:val="230"/>
        </w:trPr>
        <w:tc>
          <w:tcPr>
            <w:tcW w:w="5620" w:type="dxa"/>
            <w:vAlign w:val="bottom"/>
          </w:tcPr>
          <w:p>
            <w:pPr>
              <w:ind w:left="260"/>
              <w:spacing w:after="0"/>
              <w:rPr>
                <w:sz w:val="20"/>
                <w:szCs w:val="20"/>
                <w:color w:val="auto"/>
              </w:rPr>
            </w:pPr>
            <w:r>
              <w:rPr>
                <w:rFonts w:ascii="Arial" w:cs="Arial" w:eastAsia="Arial" w:hAnsi="Arial"/>
                <w:sz w:val="18"/>
                <w:szCs w:val="18"/>
                <w:color w:val="auto"/>
              </w:rPr>
              <w:t>Interest expense:</w:t>
            </w:r>
          </w:p>
        </w:tc>
        <w:tc>
          <w:tcPr>
            <w:tcW w:w="2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r>
      <w:tr>
        <w:trPr>
          <w:trHeight w:val="230"/>
        </w:trPr>
        <w:tc>
          <w:tcPr>
            <w:tcW w:w="5620" w:type="dxa"/>
            <w:vAlign w:val="bottom"/>
            <w:shd w:val="clear" w:color="auto" w:fill="CFF0FC"/>
          </w:tcPr>
          <w:p>
            <w:pPr>
              <w:ind w:left="500"/>
              <w:spacing w:after="0"/>
              <w:rPr>
                <w:sz w:val="20"/>
                <w:szCs w:val="20"/>
                <w:color w:val="auto"/>
              </w:rPr>
            </w:pPr>
            <w:r>
              <w:rPr>
                <w:rFonts w:ascii="Arial" w:cs="Arial" w:eastAsia="Arial" w:hAnsi="Arial"/>
                <w:sz w:val="18"/>
                <w:szCs w:val="18"/>
                <w:color w:val="auto"/>
              </w:rPr>
              <w:t>Interest incurred</w:t>
            </w:r>
          </w:p>
        </w:tc>
        <w:tc>
          <w:tcPr>
            <w:tcW w:w="2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15,149</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15,176</w:t>
            </w:r>
          </w:p>
        </w:tc>
        <w:tc>
          <w:tcPr>
            <w:tcW w:w="120" w:type="dxa"/>
            <w:vAlign w:val="bottom"/>
            <w:shd w:val="clear" w:color="auto" w:fill="CFF0FC"/>
          </w:tcPr>
          <w:p>
            <w:pPr>
              <w:spacing w:after="0"/>
              <w:rPr>
                <w:sz w:val="19"/>
                <w:szCs w:val="19"/>
                <w:color w:val="auto"/>
              </w:rPr>
            </w:pPr>
          </w:p>
        </w:tc>
      </w:tr>
      <w:tr>
        <w:trPr>
          <w:trHeight w:val="230"/>
        </w:trPr>
        <w:tc>
          <w:tcPr>
            <w:tcW w:w="5620" w:type="dxa"/>
            <w:vAlign w:val="bottom"/>
          </w:tcPr>
          <w:p>
            <w:pPr>
              <w:ind w:left="500"/>
              <w:spacing w:after="0"/>
              <w:rPr>
                <w:sz w:val="20"/>
                <w:szCs w:val="20"/>
                <w:color w:val="auto"/>
              </w:rPr>
            </w:pPr>
            <w:r>
              <w:rPr>
                <w:rFonts w:ascii="Arial" w:cs="Arial" w:eastAsia="Arial" w:hAnsi="Arial"/>
                <w:sz w:val="18"/>
                <w:szCs w:val="18"/>
                <w:color w:val="auto"/>
              </w:rPr>
              <w:t>Interest capitalized</w:t>
            </w:r>
          </w:p>
        </w:tc>
        <w:tc>
          <w:tcPr>
            <w:tcW w:w="2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w w:val="92"/>
              </w:rPr>
              <w:t>(15,149)</w:t>
            </w: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100" w:type="dxa"/>
            <w:vAlign w:val="bottom"/>
            <w:gridSpan w:val="2"/>
          </w:tcPr>
          <w:p>
            <w:pPr>
              <w:jc w:val="right"/>
              <w:ind w:right="60"/>
              <w:spacing w:after="0"/>
              <w:rPr>
                <w:sz w:val="20"/>
                <w:szCs w:val="20"/>
                <w:color w:val="auto"/>
              </w:rPr>
            </w:pPr>
            <w:r>
              <w:rPr>
                <w:rFonts w:ascii="Arial" w:cs="Arial" w:eastAsia="Arial" w:hAnsi="Arial"/>
                <w:sz w:val="18"/>
                <w:szCs w:val="18"/>
                <w:color w:val="auto"/>
              </w:rPr>
              <w:t>(15,176)</w:t>
            </w:r>
          </w:p>
        </w:tc>
      </w:tr>
      <w:tr>
        <w:trPr>
          <w:trHeight w:val="230"/>
        </w:trPr>
        <w:tc>
          <w:tcPr>
            <w:tcW w:w="56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Amortization of interest in cost of sales</w:t>
            </w:r>
          </w:p>
        </w:tc>
        <w:tc>
          <w:tcPr>
            <w:tcW w:w="2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8,830</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6,765</w:t>
            </w:r>
          </w:p>
        </w:tc>
        <w:tc>
          <w:tcPr>
            <w:tcW w:w="120" w:type="dxa"/>
            <w:vAlign w:val="bottom"/>
            <w:shd w:val="clear" w:color="auto" w:fill="CFF0FC"/>
          </w:tcPr>
          <w:p>
            <w:pPr>
              <w:spacing w:after="0"/>
              <w:rPr>
                <w:sz w:val="19"/>
                <w:szCs w:val="19"/>
                <w:color w:val="auto"/>
              </w:rPr>
            </w:pPr>
          </w:p>
        </w:tc>
      </w:tr>
      <w:tr>
        <w:trPr>
          <w:trHeight w:val="230"/>
        </w:trPr>
        <w:tc>
          <w:tcPr>
            <w:tcW w:w="5620" w:type="dxa"/>
            <w:vAlign w:val="bottom"/>
          </w:tcPr>
          <w:p>
            <w:pPr>
              <w:ind w:left="260"/>
              <w:spacing w:after="0"/>
              <w:rPr>
                <w:sz w:val="20"/>
                <w:szCs w:val="20"/>
                <w:color w:val="auto"/>
              </w:rPr>
            </w:pPr>
            <w:r>
              <w:rPr>
                <w:rFonts w:ascii="Arial" w:cs="Arial" w:eastAsia="Arial" w:hAnsi="Arial"/>
                <w:sz w:val="18"/>
                <w:szCs w:val="18"/>
                <w:color w:val="auto"/>
              </w:rPr>
              <w:t>Provision for income taxes</w:t>
            </w:r>
          </w:p>
        </w:tc>
        <w:tc>
          <w:tcPr>
            <w:tcW w:w="2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15,490</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7,827</w:t>
            </w:r>
          </w:p>
        </w:tc>
        <w:tc>
          <w:tcPr>
            <w:tcW w:w="120" w:type="dxa"/>
            <w:vAlign w:val="bottom"/>
          </w:tcPr>
          <w:p>
            <w:pPr>
              <w:spacing w:after="0"/>
              <w:rPr>
                <w:sz w:val="19"/>
                <w:szCs w:val="19"/>
                <w:color w:val="auto"/>
              </w:rPr>
            </w:pPr>
          </w:p>
        </w:tc>
      </w:tr>
      <w:tr>
        <w:trPr>
          <w:trHeight w:val="230"/>
        </w:trPr>
        <w:tc>
          <w:tcPr>
            <w:tcW w:w="56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Depreciation and amortization</w:t>
            </w:r>
          </w:p>
        </w:tc>
        <w:tc>
          <w:tcPr>
            <w:tcW w:w="2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1,792</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1,481</w:t>
            </w:r>
          </w:p>
        </w:tc>
        <w:tc>
          <w:tcPr>
            <w:tcW w:w="120" w:type="dxa"/>
            <w:vAlign w:val="bottom"/>
            <w:shd w:val="clear" w:color="auto" w:fill="CFF0FC"/>
          </w:tcPr>
          <w:p>
            <w:pPr>
              <w:spacing w:after="0"/>
              <w:rPr>
                <w:sz w:val="19"/>
                <w:szCs w:val="19"/>
                <w:color w:val="auto"/>
              </w:rPr>
            </w:pPr>
          </w:p>
        </w:tc>
      </w:tr>
      <w:tr>
        <w:trPr>
          <w:trHeight w:val="230"/>
        </w:trPr>
        <w:tc>
          <w:tcPr>
            <w:tcW w:w="5620" w:type="dxa"/>
            <w:vAlign w:val="bottom"/>
            <w:tcBorders>
              <w:bottom w:val="single" w:sz="8" w:color="CFF0FC"/>
            </w:tcBorders>
          </w:tcPr>
          <w:p>
            <w:pPr>
              <w:ind w:left="260"/>
              <w:spacing w:after="0"/>
              <w:rPr>
                <w:sz w:val="20"/>
                <w:szCs w:val="20"/>
                <w:color w:val="auto"/>
              </w:rPr>
            </w:pPr>
            <w:r>
              <w:rPr>
                <w:rFonts w:ascii="Arial" w:cs="Arial" w:eastAsia="Arial" w:hAnsi="Arial"/>
                <w:sz w:val="18"/>
                <w:szCs w:val="18"/>
                <w:color w:val="auto"/>
              </w:rPr>
              <w:t>Amortization of stock-based compensation</w:t>
            </w:r>
          </w:p>
        </w:tc>
        <w:tc>
          <w:tcPr>
            <w:tcW w:w="2240" w:type="dxa"/>
            <w:vAlign w:val="bottom"/>
            <w:tcBorders>
              <w:bottom w:val="single" w:sz="8" w:color="CFF0FC"/>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2,605</w:t>
            </w:r>
          </w:p>
        </w:tc>
        <w:tc>
          <w:tcPr>
            <w:tcW w:w="28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2,381</w:t>
            </w:r>
          </w:p>
        </w:tc>
        <w:tc>
          <w:tcPr>
            <w:tcW w:w="120" w:type="dxa"/>
            <w:vAlign w:val="bottom"/>
            <w:tcBorders>
              <w:bottom w:val="single" w:sz="8" w:color="CFF0FC"/>
            </w:tcBorders>
          </w:tcPr>
          <w:p>
            <w:pPr>
              <w:spacing w:after="0"/>
              <w:rPr>
                <w:sz w:val="19"/>
                <w:szCs w:val="19"/>
                <w:color w:val="auto"/>
              </w:rPr>
            </w:pPr>
          </w:p>
        </w:tc>
      </w:tr>
      <w:tr>
        <w:trPr>
          <w:trHeight w:val="223"/>
        </w:trPr>
        <w:tc>
          <w:tcPr>
            <w:tcW w:w="5620" w:type="dxa"/>
            <w:vAlign w:val="bottom"/>
            <w:shd w:val="clear" w:color="auto" w:fill="CFF0FC"/>
          </w:tcPr>
          <w:p>
            <w:pPr>
              <w:spacing w:after="0"/>
              <w:rPr>
                <w:sz w:val="20"/>
                <w:szCs w:val="20"/>
                <w:color w:val="auto"/>
              </w:rPr>
            </w:pPr>
            <w:r>
              <w:rPr>
                <w:rFonts w:ascii="Arial" w:cs="Arial" w:eastAsia="Arial" w:hAnsi="Arial"/>
                <w:sz w:val="18"/>
                <w:szCs w:val="18"/>
                <w:color w:val="auto"/>
              </w:rPr>
              <w:t>EBITDA</w:t>
            </w:r>
          </w:p>
        </w:tc>
        <w:tc>
          <w:tcPr>
            <w:tcW w:w="2240" w:type="dxa"/>
            <w:vAlign w:val="bottom"/>
            <w:shd w:val="clear" w:color="auto" w:fill="CFF0FC"/>
          </w:tcPr>
          <w:p>
            <w:pPr>
              <w:spacing w:after="0"/>
              <w:rPr>
                <w:sz w:val="19"/>
                <w:szCs w:val="19"/>
                <w:color w:val="auto"/>
              </w:rPr>
            </w:pPr>
          </w:p>
        </w:tc>
        <w:tc>
          <w:tcPr>
            <w:tcW w:w="1000" w:type="dxa"/>
            <w:vAlign w:val="bottom"/>
            <w:shd w:val="clear" w:color="auto" w:fill="CFF0FC"/>
          </w:tcPr>
          <w:p>
            <w:pPr>
              <w:spacing w:after="0"/>
              <w:rPr>
                <w:sz w:val="19"/>
                <w:szCs w:val="19"/>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8"/>
                <w:szCs w:val="18"/>
                <w:color w:val="auto"/>
                <w:w w:val="98"/>
              </w:rPr>
              <w:t>57,267</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33,751</w:t>
            </w:r>
          </w:p>
        </w:tc>
        <w:tc>
          <w:tcPr>
            <w:tcW w:w="120" w:type="dxa"/>
            <w:vAlign w:val="bottom"/>
            <w:shd w:val="clear" w:color="auto" w:fill="CFF0FC"/>
          </w:tcPr>
          <w:p>
            <w:pPr>
              <w:spacing w:after="0"/>
              <w:rPr>
                <w:sz w:val="19"/>
                <w:szCs w:val="19"/>
                <w:color w:val="auto"/>
              </w:rPr>
            </w:pPr>
          </w:p>
        </w:tc>
      </w:tr>
      <w:tr>
        <w:trPr>
          <w:trHeight w:val="230"/>
        </w:trPr>
        <w:tc>
          <w:tcPr>
            <w:tcW w:w="5620" w:type="dxa"/>
            <w:vAlign w:val="bottom"/>
          </w:tcPr>
          <w:p>
            <w:pPr>
              <w:ind w:left="260"/>
              <w:spacing w:after="0"/>
              <w:rPr>
                <w:sz w:val="20"/>
                <w:szCs w:val="20"/>
                <w:color w:val="auto"/>
              </w:rPr>
            </w:pPr>
            <w:r>
              <w:rPr>
                <w:rFonts w:ascii="Arial" w:cs="Arial" w:eastAsia="Arial" w:hAnsi="Arial"/>
                <w:sz w:val="18"/>
                <w:szCs w:val="18"/>
                <w:color w:val="auto"/>
              </w:rPr>
              <w:t>Impairments and lot abandonments</w:t>
            </w:r>
          </w:p>
        </w:tc>
        <w:tc>
          <w:tcPr>
            <w:tcW w:w="2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182</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360</w:t>
            </w:r>
          </w:p>
        </w:tc>
        <w:tc>
          <w:tcPr>
            <w:tcW w:w="120" w:type="dxa"/>
            <w:vAlign w:val="bottom"/>
          </w:tcPr>
          <w:p>
            <w:pPr>
              <w:spacing w:after="0"/>
              <w:rPr>
                <w:sz w:val="19"/>
                <w:szCs w:val="19"/>
                <w:color w:val="auto"/>
              </w:rPr>
            </w:pPr>
          </w:p>
        </w:tc>
      </w:tr>
      <w:tr>
        <w:trPr>
          <w:trHeight w:val="230"/>
        </w:trPr>
        <w:tc>
          <w:tcPr>
            <w:tcW w:w="5620" w:type="dxa"/>
            <w:vAlign w:val="bottom"/>
            <w:shd w:val="clear" w:color="auto" w:fill="CFF0FC"/>
          </w:tcPr>
          <w:p>
            <w:pPr>
              <w:ind w:left="260"/>
              <w:spacing w:after="0"/>
              <w:rPr>
                <w:sz w:val="20"/>
                <w:szCs w:val="20"/>
                <w:color w:val="auto"/>
              </w:rPr>
            </w:pPr>
            <w:r>
              <w:rPr>
                <w:rFonts w:ascii="Arial" w:cs="Arial" w:eastAsia="Arial" w:hAnsi="Arial"/>
                <w:sz w:val="18"/>
                <w:szCs w:val="18"/>
                <w:color w:val="auto"/>
              </w:rPr>
              <w:t>Restructuring charges</w:t>
            </w:r>
          </w:p>
        </w:tc>
        <w:tc>
          <w:tcPr>
            <w:tcW w:w="2240" w:type="dxa"/>
            <w:vAlign w:val="bottom"/>
            <w:shd w:val="clear" w:color="auto" w:fill="CFF0FC"/>
          </w:tcPr>
          <w:p>
            <w:pPr>
              <w:spacing w:after="0"/>
              <w:rPr>
                <w:sz w:val="19"/>
                <w:szCs w:val="19"/>
                <w:color w:val="auto"/>
              </w:rPr>
            </w:pPr>
          </w:p>
        </w:tc>
        <w:tc>
          <w:tcPr>
            <w:tcW w:w="1000" w:type="dxa"/>
            <w:vAlign w:val="bottom"/>
            <w:tcBorders>
              <w:bottom w:val="single" w:sz="8" w:color="auto"/>
            </w:tcBorders>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135</w:t>
            </w:r>
          </w:p>
        </w:tc>
        <w:tc>
          <w:tcPr>
            <w:tcW w:w="28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58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222</w:t>
            </w:r>
          </w:p>
        </w:tc>
        <w:tc>
          <w:tcPr>
            <w:tcW w:w="120" w:type="dxa"/>
            <w:vAlign w:val="bottom"/>
            <w:shd w:val="clear" w:color="auto" w:fill="CFF0FC"/>
          </w:tcPr>
          <w:p>
            <w:pPr>
              <w:spacing w:after="0"/>
              <w:rPr>
                <w:sz w:val="19"/>
                <w:szCs w:val="19"/>
                <w:color w:val="auto"/>
              </w:rPr>
            </w:pPr>
          </w:p>
        </w:tc>
      </w:tr>
      <w:tr>
        <w:trPr>
          <w:trHeight w:val="223"/>
        </w:trPr>
        <w:tc>
          <w:tcPr>
            <w:tcW w:w="5620" w:type="dxa"/>
            <w:vAlign w:val="bottom"/>
          </w:tcPr>
          <w:p>
            <w:pPr>
              <w:spacing w:after="0"/>
              <w:rPr>
                <w:sz w:val="20"/>
                <w:szCs w:val="20"/>
                <w:color w:val="auto"/>
              </w:rPr>
            </w:pPr>
            <w:r>
              <w:rPr>
                <w:rFonts w:ascii="Arial" w:cs="Arial" w:eastAsia="Arial" w:hAnsi="Arial"/>
                <w:sz w:val="18"/>
                <w:szCs w:val="18"/>
                <w:color w:val="auto"/>
              </w:rPr>
              <w:t>Adjusted EBITDA</w:t>
            </w:r>
          </w:p>
        </w:tc>
        <w:tc>
          <w:tcPr>
            <w:tcW w:w="2240" w:type="dxa"/>
            <w:vAlign w:val="bottom"/>
          </w:tcPr>
          <w:p>
            <w:pPr>
              <w:spacing w:after="0"/>
              <w:rPr>
                <w:sz w:val="19"/>
                <w:szCs w:val="19"/>
                <w:color w:val="auto"/>
              </w:rPr>
            </w:pPr>
          </w:p>
        </w:tc>
        <w:tc>
          <w:tcPr>
            <w:tcW w:w="1000" w:type="dxa"/>
            <w:vAlign w:val="bottom"/>
            <w:tcBorders>
              <w:bottom w:val="single" w:sz="8" w:color="auto"/>
            </w:tcBorders>
          </w:tcPr>
          <w:p>
            <w:pPr>
              <w:jc w:val="right"/>
              <w:ind w:right="810"/>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57,584</w:t>
            </w: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ind w:right="470"/>
              <w:spacing w:after="0"/>
              <w:rPr>
                <w:sz w:val="20"/>
                <w:szCs w:val="20"/>
                <w:color w:val="auto"/>
              </w:rPr>
            </w:pPr>
            <w:r>
              <w:rPr>
                <w:rFonts w:ascii="Arial" w:cs="Arial" w:eastAsia="Arial" w:hAnsi="Arial"/>
                <w:sz w:val="10"/>
                <w:szCs w:val="10"/>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34,333</w:t>
            </w:r>
          </w:p>
        </w:tc>
        <w:tc>
          <w:tcPr>
            <w:tcW w:w="120" w:type="dxa"/>
            <w:vAlign w:val="bottom"/>
          </w:tcPr>
          <w:p>
            <w:pPr>
              <w:spacing w:after="0"/>
              <w:rPr>
                <w:sz w:val="19"/>
                <w:szCs w:val="19"/>
                <w:color w:val="auto"/>
              </w:rPr>
            </w:pPr>
          </w:p>
        </w:tc>
      </w:tr>
      <w:tr>
        <w:trPr>
          <w:trHeight w:val="20"/>
        </w:trPr>
        <w:tc>
          <w:tcPr>
            <w:tcW w:w="56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13</w:t>
      </w:r>
    </w:p>
    <w:sectPr>
      <w:pgSz w:w="11900" w:h="16838" w:orient="portrait"/>
      <w:cols w:equalWidth="0" w:num="1">
        <w:col w:w="11420"/>
      </w:cols>
      <w:pgMar w:left="240" w:top="126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1)"/>
      <w:numFmt w:val="lowerLetter"/>
      <w:start w:val="4"/>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lvl w:ilvl="1">
      <w:lvlJc w:val="left"/>
      <w:lvlText w:val="*"/>
      <w:numFmt w:val="bullet"/>
      <w:start w:val="1"/>
    </w:lvl>
    <w:lvl w:ilvl="2">
      <w:lvlJc w:val="left"/>
      <w:lvlText w:val="o"/>
      <w:numFmt w:val="bullet"/>
      <w:start w:val="1"/>
    </w:lvl>
  </w:abstractNum>
  <w:abstractNum w:abstractNumId="4">
    <w:nsid w:val="41B71EFB"/>
    <w:multiLevelType w:val="hybridMultilevel"/>
    <w:lvl w:ilvl="0">
      <w:lvlJc w:val="left"/>
      <w:lvlText w:val="(%1)"/>
      <w:numFmt w:val="decimal"/>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1)"/>
      <w:numFmt w:val="decimal"/>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pn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png"/><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jpeg"/><Relationship Id="rId46" Type="http://schemas.openxmlformats.org/officeDocument/2006/relationships/image" Target="media/image39.png"/><Relationship Id="rId47" Type="http://schemas.openxmlformats.org/officeDocument/2006/relationships/image" Target="media/image4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2020-01-20T06:06:47Z</dcterms:created>
  <dcterms:modified xsi:type="dcterms:W3CDTF">2020-01-20T06:06:47Z</dcterms:modified>
</cp:coreProperties>
</file>