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0</w:t>
      </w:r>
    </w:p>
    <w:p>
      <w:pPr>
        <w:spacing w:after="0" w:line="238" w:lineRule="auto"/>
        <w:rPr>
          <w:sz w:val="20"/>
          <w:szCs w:val="20"/>
          <w:color w:val="auto"/>
        </w:rPr>
      </w:pPr>
      <w:r>
        <w:rPr>
          <w:rFonts w:ascii="Courier New" w:cs="Courier New" w:eastAsia="Courier New" w:hAnsi="Courier New"/>
          <w:sz w:val="18"/>
          <w:szCs w:val="18"/>
          <w:color w:val="auto"/>
        </w:rPr>
        <w:t>TRI POINTE GROUP INC</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Cusip #87265H109</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ind w:left="1060" w:hanging="1052"/>
        <w:spacing w:after="0" w:line="237" w:lineRule="auto"/>
        <w:tabs>
          <w:tab w:leader="none" w:pos="10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13d-1(b)</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13d-1(c)</w:t>
      </w:r>
    </w:p>
    <w:p>
      <w:pPr>
        <w:spacing w:after="0" w:line="4" w:lineRule="exact"/>
        <w:rPr>
          <w:rFonts w:ascii="Courier New" w:cs="Courier New" w:eastAsia="Courier New" w:hAnsi="Courier New"/>
          <w:sz w:val="18"/>
          <w:szCs w:val="18"/>
          <w:color w:val="auto"/>
        </w:rPr>
      </w:pPr>
    </w:p>
    <w:p>
      <w:pPr>
        <w:ind w:right="7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 ] Rule 13d-1(d) Cusip #87265H109</w:t>
      </w:r>
    </w:p>
    <w:p>
      <w:pPr>
        <w:spacing w:after="0" w:line="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Item 1:</w:t>
      </w:r>
      <w:r>
        <w:rPr>
          <w:rFonts w:ascii="Courier New" w:cs="Courier New" w:eastAsia="Courier New" w:hAnsi="Courier New"/>
          <w:sz w:val="16"/>
          <w:szCs w:val="16"/>
          <w:color w:val="auto"/>
        </w:rPr>
        <w:t>Reporting Person - FMR LLC</w:t>
      </w:r>
    </w:p>
    <w:tbl>
      <w:tblPr>
        <w:tblLayout w:type="fixed"/>
        <w:tblInd w:w="0" w:type="dxa"/>
        <w:tblCellMar>
          <w:top w:w="0" w:type="dxa"/>
          <w:left w:w="0" w:type="dxa"/>
          <w:bottom w:w="0" w:type="dxa"/>
          <w:right w:w="0" w:type="dxa"/>
        </w:tblCellMar>
      </w:tblPr>
      <w:tr>
        <w:trPr>
          <w:trHeight w:val="203"/>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w:t>
            </w: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(a)</w:t>
            </w:r>
          </w:p>
        </w:tc>
        <w:tc>
          <w:tcPr>
            <w:tcW w:w="2520" w:type="dxa"/>
            <w:vAlign w:val="bottom"/>
          </w:tcPr>
          <w:p>
            <w:pPr>
              <w:ind w:left="100"/>
              <w:spacing w:after="0"/>
              <w:rPr>
                <w:sz w:val="20"/>
                <w:szCs w:val="20"/>
                <w:color w:val="auto"/>
              </w:rPr>
            </w:pPr>
            <w:r>
              <w:rPr>
                <w:rFonts w:ascii="Courier New" w:cs="Courier New" w:eastAsia="Courier New" w:hAnsi="Courier New"/>
                <w:sz w:val="18"/>
                <w:szCs w:val="18"/>
                <w:color w:val="auto"/>
              </w:rPr>
              <w:t>[ ]</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 ]</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Delaware</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411,525</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8,647,703</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8,647,703</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5.748%</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HC</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Cusip #87265H109</w:t>
            </w:r>
          </w:p>
        </w:tc>
        <w:tc>
          <w:tcPr>
            <w:tcW w:w="8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16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Reporting Person - Abigail P. Johnson</w:t>
            </w: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2:</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w:t>
            </w:r>
          </w:p>
        </w:tc>
        <w:tc>
          <w:tcPr>
            <w:tcW w:w="25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 ]</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 ]</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United States of America</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8,647,703</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8,647,703</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5.748%</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IN</w:t>
            </w: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1(a).</w:t>
            </w:r>
          </w:p>
        </w:tc>
        <w:tc>
          <w:tcPr>
            <w:tcW w:w="33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Name of Issuer:</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100"/>
              <w:spacing w:after="0"/>
              <w:rPr>
                <w:sz w:val="20"/>
                <w:szCs w:val="20"/>
                <w:color w:val="auto"/>
              </w:rPr>
            </w:pPr>
            <w:r>
              <w:rPr>
                <w:rFonts w:ascii="Courier New" w:cs="Courier New" w:eastAsia="Courier New" w:hAnsi="Courier New"/>
                <w:sz w:val="18"/>
                <w:szCs w:val="18"/>
                <w:color w:val="auto"/>
              </w:rPr>
              <w:t>TRI POINTE GROUP INC</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1(b).</w:t>
            </w:r>
          </w:p>
        </w:tc>
        <w:tc>
          <w:tcPr>
            <w:tcW w:w="6480" w:type="dxa"/>
            <w:vAlign w:val="bottom"/>
            <w:gridSpan w:val="4"/>
          </w:tcPr>
          <w:p>
            <w:pPr>
              <w:ind w:left="60"/>
              <w:spacing w:after="0"/>
              <w:rPr>
                <w:sz w:val="20"/>
                <w:szCs w:val="20"/>
                <w:color w:val="auto"/>
              </w:rPr>
            </w:pPr>
            <w:r>
              <w:rPr>
                <w:rFonts w:ascii="Courier New" w:cs="Courier New" w:eastAsia="Courier New" w:hAnsi="Courier New"/>
                <w:sz w:val="18"/>
                <w:szCs w:val="18"/>
                <w:color w:val="auto"/>
              </w:rPr>
              <w:t>Address of Issuer's Principal Executive Offices:</w:t>
            </w: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360" w:type="dxa"/>
            <w:vAlign w:val="bottom"/>
            <w:gridSpan w:val="2"/>
          </w:tcPr>
          <w:p>
            <w:pPr>
              <w:ind w:left="100"/>
              <w:spacing w:after="0"/>
              <w:rPr>
                <w:sz w:val="20"/>
                <w:szCs w:val="20"/>
                <w:color w:val="auto"/>
              </w:rPr>
            </w:pPr>
            <w:r>
              <w:rPr>
                <w:rFonts w:ascii="Courier New" w:cs="Courier New" w:eastAsia="Courier New" w:hAnsi="Courier New"/>
                <w:sz w:val="18"/>
                <w:szCs w:val="18"/>
                <w:color w:val="auto"/>
                <w:w w:val="99"/>
              </w:rPr>
              <w:t>19540 JAMBOREE ROAD, SUITE 300</w:t>
            </w:r>
          </w:p>
        </w:tc>
        <w:tc>
          <w:tcPr>
            <w:tcW w:w="2320" w:type="dxa"/>
            <w:vAlign w:val="bottom"/>
          </w:tcPr>
          <w:p>
            <w:pPr>
              <w:spacing w:after="0"/>
              <w:rPr>
                <w:sz w:val="24"/>
                <w:szCs w:val="24"/>
                <w:color w:val="auto"/>
              </w:rPr>
            </w:pPr>
          </w:p>
        </w:tc>
      </w:tr>
      <w:tr>
        <w:trPr>
          <w:trHeight w:val="203"/>
        </w:trPr>
        <w:tc>
          <w:tcPr>
            <w:tcW w:w="24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5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IRVINE, CA 92612</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5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USA</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2(a).</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Name of Person Filing:</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FMR LLC</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2(b).</w:t>
            </w:r>
          </w:p>
        </w:tc>
        <w:tc>
          <w:tcPr>
            <w:tcW w:w="6480" w:type="dxa"/>
            <w:vAlign w:val="bottom"/>
            <w:gridSpan w:val="4"/>
          </w:tcPr>
          <w:p>
            <w:pPr>
              <w:ind w:left="160"/>
              <w:spacing w:after="0"/>
              <w:rPr>
                <w:sz w:val="20"/>
                <w:szCs w:val="20"/>
                <w:color w:val="auto"/>
              </w:rPr>
            </w:pPr>
            <w:r>
              <w:rPr>
                <w:rFonts w:ascii="Courier New" w:cs="Courier New" w:eastAsia="Courier New" w:hAnsi="Courier New"/>
                <w:sz w:val="18"/>
                <w:szCs w:val="18"/>
                <w:color w:val="auto"/>
              </w:rPr>
              <w:t>Address or Principal Business Office or, if None,</w:t>
            </w: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Residence:</w:t>
            </w:r>
          </w:p>
        </w:tc>
        <w:tc>
          <w:tcPr>
            <w:tcW w:w="8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680" w:type="dxa"/>
            <w:vAlign w:val="bottom"/>
            <w:gridSpan w:val="3"/>
          </w:tcPr>
          <w:p>
            <w:pPr>
              <w:ind w:left="200"/>
              <w:spacing w:after="0"/>
              <w:rPr>
                <w:sz w:val="20"/>
                <w:szCs w:val="20"/>
                <w:color w:val="auto"/>
              </w:rPr>
            </w:pPr>
            <w:r>
              <w:rPr>
                <w:rFonts w:ascii="Courier New" w:cs="Courier New" w:eastAsia="Courier New" w:hAnsi="Courier New"/>
                <w:sz w:val="18"/>
                <w:szCs w:val="18"/>
                <w:color w:val="auto"/>
              </w:rPr>
              <w:t>245 Summer Street, Boston, Massachusetts 02210</w:t>
            </w: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2(c).</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Citizenship:</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Not applicable</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2(d).</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Title of Class of Securities:</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COMMON STOCK</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2(e).</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CUSIP Number:</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520" w:type="dxa"/>
            <w:vAlign w:val="bottom"/>
          </w:tcPr>
          <w:p>
            <w:pPr>
              <w:ind w:left="200"/>
              <w:spacing w:after="0"/>
              <w:rPr>
                <w:sz w:val="20"/>
                <w:szCs w:val="20"/>
                <w:color w:val="auto"/>
              </w:rPr>
            </w:pPr>
            <w:r>
              <w:rPr>
                <w:rFonts w:ascii="Courier New" w:cs="Courier New" w:eastAsia="Courier New" w:hAnsi="Courier New"/>
                <w:sz w:val="18"/>
                <w:szCs w:val="18"/>
                <w:color w:val="auto"/>
              </w:rPr>
              <w:t>87265H109</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6480" w:type="dxa"/>
            <w:vAlign w:val="bottom"/>
            <w:gridSpan w:val="4"/>
          </w:tcPr>
          <w:p>
            <w:pPr>
              <w:ind w:left="60"/>
              <w:spacing w:after="0"/>
              <w:rPr>
                <w:sz w:val="20"/>
                <w:szCs w:val="20"/>
                <w:color w:val="auto"/>
              </w:rPr>
            </w:pPr>
            <w:r>
              <w:rPr>
                <w:rFonts w:ascii="Courier New" w:cs="Courier New" w:eastAsia="Courier New" w:hAnsi="Courier New"/>
                <w:sz w:val="18"/>
                <w:szCs w:val="18"/>
                <w:color w:val="auto"/>
                <w:w w:val="97"/>
              </w:rPr>
              <w:t>This statement is filed pursuant to Rule 13d-1(b) or 13d-2(b)</w:t>
            </w: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or (c) and the</w:t>
            </w:r>
          </w:p>
        </w:tc>
        <w:tc>
          <w:tcPr>
            <w:tcW w:w="8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person filing, FMR LLC,</w:t>
            </w:r>
          </w:p>
        </w:tc>
        <w:tc>
          <w:tcPr>
            <w:tcW w:w="648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is a parent holding company in accordance with</w:t>
            </w:r>
          </w:p>
        </w:tc>
      </w:tr>
      <w:tr>
        <w:trPr>
          <w:trHeight w:val="203"/>
        </w:trPr>
        <w:tc>
          <w:tcPr>
            <w:tcW w:w="664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Section 240.13d-1(b)(1)(ii)(G).   (Note:  See Exhibit A).</w:t>
            </w: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Ownership</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(a)</w:t>
            </w:r>
          </w:p>
        </w:tc>
        <w:tc>
          <w:tcPr>
            <w:tcW w:w="3360" w:type="dxa"/>
            <w:vAlign w:val="bottom"/>
            <w:gridSpan w:val="2"/>
          </w:tcPr>
          <w:p>
            <w:pPr>
              <w:spacing w:after="0"/>
              <w:rPr>
                <w:sz w:val="20"/>
                <w:szCs w:val="20"/>
                <w:color w:val="auto"/>
              </w:rPr>
            </w:pPr>
            <w:r>
              <w:rPr>
                <w:rFonts w:ascii="Courier New" w:cs="Courier New" w:eastAsia="Courier New" w:hAnsi="Courier New"/>
                <w:sz w:val="18"/>
                <w:szCs w:val="18"/>
                <w:color w:val="auto"/>
              </w:rPr>
              <w:t>Amount Beneficially Owned:</w:t>
            </w:r>
          </w:p>
        </w:tc>
        <w:tc>
          <w:tcPr>
            <w:tcW w:w="2320" w:type="dxa"/>
            <w:vAlign w:val="bottom"/>
          </w:tcPr>
          <w:p>
            <w:pPr>
              <w:jc w:val="right"/>
              <w:ind w:right="1172"/>
              <w:spacing w:after="0"/>
              <w:rPr>
                <w:sz w:val="20"/>
                <w:szCs w:val="20"/>
                <w:color w:val="auto"/>
              </w:rPr>
            </w:pPr>
            <w:r>
              <w:rPr>
                <w:rFonts w:ascii="Courier New" w:cs="Courier New" w:eastAsia="Courier New" w:hAnsi="Courier New"/>
                <w:sz w:val="18"/>
                <w:szCs w:val="18"/>
                <w:color w:val="auto"/>
              </w:rPr>
              <w:t>8,647,703</w:t>
            </w:r>
          </w:p>
        </w:tc>
      </w:tr>
      <w:tr>
        <w:trPr>
          <w:trHeight w:val="405"/>
        </w:trPr>
        <w:tc>
          <w:tcPr>
            <w:tcW w:w="248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(b)</w:t>
            </w:r>
          </w:p>
        </w:tc>
        <w:tc>
          <w:tcPr>
            <w:tcW w:w="2520" w:type="dxa"/>
            <w:vAlign w:val="bottom"/>
          </w:tcPr>
          <w:p>
            <w:pPr>
              <w:spacing w:after="0"/>
              <w:rPr>
                <w:sz w:val="20"/>
                <w:szCs w:val="20"/>
                <w:color w:val="auto"/>
              </w:rPr>
            </w:pPr>
            <w:r>
              <w:rPr>
                <w:rFonts w:ascii="Courier New" w:cs="Courier New" w:eastAsia="Courier New" w:hAnsi="Courier New"/>
                <w:sz w:val="18"/>
                <w:szCs w:val="18"/>
                <w:color w:val="auto"/>
              </w:rPr>
              <w:t>Percent of Class:</w:t>
            </w:r>
          </w:p>
        </w:tc>
        <w:tc>
          <w:tcPr>
            <w:tcW w:w="840" w:type="dxa"/>
            <w:vAlign w:val="bottom"/>
          </w:tcPr>
          <w:p>
            <w:pPr>
              <w:jc w:val="right"/>
              <w:ind w:right="12"/>
              <w:spacing w:after="0"/>
              <w:rPr>
                <w:sz w:val="20"/>
                <w:szCs w:val="20"/>
                <w:color w:val="auto"/>
              </w:rPr>
            </w:pPr>
            <w:r>
              <w:rPr>
                <w:rFonts w:ascii="Courier New" w:cs="Courier New" w:eastAsia="Courier New" w:hAnsi="Courier New"/>
                <w:sz w:val="18"/>
                <w:szCs w:val="18"/>
                <w:color w:val="auto"/>
              </w:rPr>
              <w:t>5.748%</w:t>
            </w:r>
          </w:p>
        </w:tc>
        <w:tc>
          <w:tcPr>
            <w:tcW w:w="2320" w:type="dxa"/>
            <w:vAlign w:val="bottom"/>
          </w:tcPr>
          <w:p>
            <w:pPr>
              <w:spacing w:after="0"/>
              <w:rPr>
                <w:sz w:val="24"/>
                <w:szCs w:val="24"/>
                <w:color w:val="auto"/>
              </w:rPr>
            </w:pPr>
          </w:p>
        </w:tc>
      </w:tr>
    </w:tbl>
    <w:p>
      <w:pPr>
        <w:spacing w:after="0" w:line="201" w:lineRule="exact"/>
        <w:rPr>
          <w:sz w:val="24"/>
          <w:szCs w:val="24"/>
          <w:color w:val="auto"/>
        </w:rPr>
      </w:pPr>
    </w:p>
    <w:p>
      <w:pPr>
        <w:ind w:left="3280" w:hanging="743"/>
        <w:spacing w:after="0"/>
        <w:tabs>
          <w:tab w:leader="none" w:pos="328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1" w:lineRule="exact"/>
        <w:rPr>
          <w:rFonts w:ascii="Courier New" w:cs="Courier New" w:eastAsia="Courier New" w:hAnsi="Courier New"/>
          <w:sz w:val="18"/>
          <w:szCs w:val="18"/>
          <w:color w:val="auto"/>
        </w:rPr>
      </w:pPr>
    </w:p>
    <w:p>
      <w:pPr>
        <w:ind w:left="4020" w:hanging="746"/>
        <w:spacing w:after="0"/>
        <w:tabs>
          <w:tab w:leader="none" w:pos="402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w:t>
      </w:r>
    </w:p>
    <w:p>
      <w:pPr>
        <w:sectPr>
          <w:pgSz w:w="11900" w:h="16855" w:orient="portrait"/>
          <w:cols w:equalWidth="0" w:num="1">
            <w:col w:w="10219"/>
          </w:cols>
          <w:pgMar w:left="240" w:top="244" w:right="1440"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4"/>
        </w:trPr>
        <w:tc>
          <w:tcPr>
            <w:tcW w:w="2060" w:type="dxa"/>
            <w:vAlign w:val="bottom"/>
          </w:tcPr>
          <w:p>
            <w:pPr>
              <w:spacing w:after="0"/>
              <w:rPr>
                <w:sz w:val="20"/>
                <w:szCs w:val="20"/>
                <w:color w:val="auto"/>
              </w:rPr>
            </w:pPr>
            <w:r>
              <w:rPr>
                <w:rFonts w:ascii="Courier New" w:cs="Courier New" w:eastAsia="Courier New" w:hAnsi="Courier New"/>
                <w:sz w:val="18"/>
                <w:szCs w:val="18"/>
                <w:color w:val="auto"/>
              </w:rPr>
              <w:t>411,525</w:t>
            </w:r>
          </w:p>
        </w:tc>
        <w:tc>
          <w:tcPr>
            <w:tcW w:w="206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4"/>
                <w:szCs w:val="24"/>
                <w:color w:val="auto"/>
              </w:rPr>
            </w:pPr>
          </w:p>
        </w:tc>
        <w:tc>
          <w:tcPr>
            <w:tcW w:w="2060" w:type="dxa"/>
            <w:vAlign w:val="bottom"/>
          </w:tcPr>
          <w:p>
            <w:pPr>
              <w:ind w:left="1220"/>
              <w:spacing w:after="0"/>
              <w:rPr>
                <w:sz w:val="20"/>
                <w:szCs w:val="20"/>
                <w:color w:val="auto"/>
              </w:rPr>
            </w:pPr>
            <w:r>
              <w:rPr>
                <w:rFonts w:ascii="Courier New" w:cs="Courier New" w:eastAsia="Courier New" w:hAnsi="Courier New"/>
                <w:sz w:val="18"/>
                <w:szCs w:val="18"/>
                <w:color w:val="auto"/>
              </w:rPr>
              <w:t>(ii)</w:t>
            </w:r>
          </w:p>
        </w:tc>
        <w:tc>
          <w:tcPr>
            <w:tcW w:w="2480" w:type="dxa"/>
            <w:vAlign w:val="bottom"/>
          </w:tcPr>
          <w:p>
            <w:pPr>
              <w:jc w:val="right"/>
              <w:spacing w:after="0"/>
              <w:rPr>
                <w:sz w:val="20"/>
                <w:szCs w:val="20"/>
                <w:color w:val="auto"/>
              </w:rPr>
            </w:pPr>
            <w:r>
              <w:rPr>
                <w:rFonts w:ascii="Courier New" w:cs="Courier New" w:eastAsia="Courier New" w:hAnsi="Courier New"/>
                <w:sz w:val="18"/>
                <w:szCs w:val="18"/>
                <w:color w:val="auto"/>
                <w:w w:val="96"/>
              </w:rPr>
              <w:t>shared power to vote or</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to direct the vote:</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060" w:type="dxa"/>
            <w:vAlign w:val="bottom"/>
          </w:tcPr>
          <w:p>
            <w:pPr>
              <w:spacing w:after="0"/>
              <w:rPr>
                <w:sz w:val="24"/>
                <w:szCs w:val="24"/>
                <w:color w:val="auto"/>
              </w:rPr>
            </w:pPr>
          </w:p>
        </w:tc>
        <w:tc>
          <w:tcPr>
            <w:tcW w:w="2060" w:type="dxa"/>
            <w:vAlign w:val="bottom"/>
          </w:tcPr>
          <w:p>
            <w:pPr>
              <w:ind w:left="1220"/>
              <w:spacing w:after="0"/>
              <w:rPr>
                <w:sz w:val="20"/>
                <w:szCs w:val="20"/>
                <w:color w:val="auto"/>
              </w:rPr>
            </w:pPr>
            <w:r>
              <w:rPr>
                <w:rFonts w:ascii="Courier New" w:cs="Courier New" w:eastAsia="Courier New" w:hAnsi="Courier New"/>
                <w:sz w:val="18"/>
                <w:szCs w:val="18"/>
                <w:color w:val="auto"/>
              </w:rPr>
              <w:t>(iii)</w:t>
            </w:r>
          </w:p>
        </w:tc>
        <w:tc>
          <w:tcPr>
            <w:tcW w:w="4840" w:type="dxa"/>
            <w:vAlign w:val="bottom"/>
            <w:gridSpan w:val="2"/>
          </w:tcPr>
          <w:p>
            <w:pPr>
              <w:ind w:left="100"/>
              <w:spacing w:after="0"/>
              <w:rPr>
                <w:sz w:val="20"/>
                <w:szCs w:val="20"/>
                <w:color w:val="auto"/>
              </w:rPr>
            </w:pPr>
            <w:r>
              <w:rPr>
                <w:rFonts w:ascii="Courier New" w:cs="Courier New" w:eastAsia="Courier New" w:hAnsi="Courier New"/>
                <w:sz w:val="18"/>
                <w:szCs w:val="18"/>
                <w:color w:val="auto"/>
              </w:rPr>
              <w:t>sole power to dispose or to direct the</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206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8,647,703</w:t>
            </w:r>
          </w:p>
        </w:tc>
        <w:tc>
          <w:tcPr>
            <w:tcW w:w="248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4"/>
                <w:szCs w:val="24"/>
                <w:color w:val="auto"/>
              </w:rPr>
            </w:pPr>
          </w:p>
        </w:tc>
        <w:tc>
          <w:tcPr>
            <w:tcW w:w="2060" w:type="dxa"/>
            <w:vAlign w:val="bottom"/>
          </w:tcPr>
          <w:p>
            <w:pPr>
              <w:ind w:left="1220"/>
              <w:spacing w:after="0"/>
              <w:rPr>
                <w:sz w:val="20"/>
                <w:szCs w:val="20"/>
                <w:color w:val="auto"/>
              </w:rPr>
            </w:pPr>
            <w:r>
              <w:rPr>
                <w:rFonts w:ascii="Courier New" w:cs="Courier New" w:eastAsia="Courier New" w:hAnsi="Courier New"/>
                <w:sz w:val="18"/>
                <w:szCs w:val="18"/>
                <w:color w:val="auto"/>
              </w:rPr>
              <w:t>(iv)</w:t>
            </w:r>
          </w:p>
        </w:tc>
        <w:tc>
          <w:tcPr>
            <w:tcW w:w="2480" w:type="dxa"/>
            <w:vAlign w:val="bottom"/>
          </w:tcPr>
          <w:p>
            <w:pPr>
              <w:jc w:val="right"/>
              <w:spacing w:after="0"/>
              <w:rPr>
                <w:sz w:val="20"/>
                <w:szCs w:val="20"/>
                <w:color w:val="auto"/>
              </w:rPr>
            </w:pPr>
            <w:r>
              <w:rPr>
                <w:rFonts w:ascii="Courier New" w:cs="Courier New" w:eastAsia="Courier New" w:hAnsi="Courier New"/>
                <w:sz w:val="18"/>
                <w:szCs w:val="18"/>
                <w:color w:val="auto"/>
                <w:w w:val="96"/>
              </w:rPr>
              <w:t>shared power to dispose</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or to direct the</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206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0</w:t>
            </w:r>
          </w:p>
        </w:tc>
        <w:tc>
          <w:tcPr>
            <w:tcW w:w="248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5.</w:t>
            </w:r>
          </w:p>
        </w:tc>
        <w:tc>
          <w:tcPr>
            <w:tcW w:w="4540" w:type="dxa"/>
            <w:vAlign w:val="bottom"/>
            <w:gridSpan w:val="2"/>
          </w:tcPr>
          <w:p>
            <w:pPr>
              <w:jc w:val="right"/>
              <w:spacing w:after="0"/>
              <w:rPr>
                <w:sz w:val="20"/>
                <w:szCs w:val="20"/>
                <w:color w:val="auto"/>
              </w:rPr>
            </w:pPr>
            <w:r>
              <w:rPr>
                <w:rFonts w:ascii="Courier New" w:cs="Courier New" w:eastAsia="Courier New" w:hAnsi="Courier New"/>
                <w:sz w:val="18"/>
                <w:szCs w:val="18"/>
                <w:color w:val="auto"/>
              </w:rPr>
              <w:t>Ownership of Five Percent or Less of a</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Class.</w:t>
            </w:r>
          </w:p>
        </w:tc>
        <w:tc>
          <w:tcPr>
            <w:tcW w:w="42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2060" w:type="dxa"/>
            <w:vAlign w:val="bottom"/>
          </w:tcPr>
          <w:p>
            <w:pPr>
              <w:ind w:left="480"/>
              <w:spacing w:after="0"/>
              <w:rPr>
                <w:sz w:val="20"/>
                <w:szCs w:val="20"/>
                <w:color w:val="auto"/>
              </w:rPr>
            </w:pPr>
            <w:r>
              <w:rPr>
                <w:rFonts w:ascii="Courier New" w:cs="Courier New" w:eastAsia="Courier New" w:hAnsi="Courier New"/>
                <w:sz w:val="18"/>
                <w:szCs w:val="18"/>
                <w:color w:val="auto"/>
                <w:w w:val="96"/>
              </w:rPr>
              <w:t>Not applicable.</w:t>
            </w:r>
          </w:p>
        </w:tc>
        <w:tc>
          <w:tcPr>
            <w:tcW w:w="2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6.</w:t>
            </w:r>
          </w:p>
        </w:tc>
        <w:tc>
          <w:tcPr>
            <w:tcW w:w="4540" w:type="dxa"/>
            <w:vAlign w:val="bottom"/>
            <w:gridSpan w:val="2"/>
          </w:tcPr>
          <w:p>
            <w:pPr>
              <w:jc w:val="right"/>
              <w:spacing w:after="0"/>
              <w:rPr>
                <w:sz w:val="20"/>
                <w:szCs w:val="20"/>
                <w:color w:val="auto"/>
              </w:rPr>
            </w:pPr>
            <w:r>
              <w:rPr>
                <w:rFonts w:ascii="Courier New" w:cs="Courier New" w:eastAsia="Courier New" w:hAnsi="Courier New"/>
                <w:sz w:val="18"/>
                <w:szCs w:val="18"/>
                <w:color w:val="auto"/>
              </w:rPr>
              <w:t>Ownership of More than Five Percent on</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Behalf of Another</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206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bl>
    <w:p>
      <w:pPr>
        <w:spacing w:after="0" w:line="207" w:lineRule="exact"/>
        <w:rPr>
          <w:sz w:val="20"/>
          <w:szCs w:val="20"/>
          <w:color w:val="auto"/>
        </w:rPr>
      </w:pPr>
    </w:p>
    <w:p>
      <w:pPr>
        <w:ind w:right="1779" w:firstLine="948"/>
        <w:spacing w:after="0" w:line="235"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w:t>
      </w:r>
    </w:p>
    <w:p>
      <w:pPr>
        <w:spacing w:after="0" w:line="6" w:lineRule="exact"/>
        <w:rPr>
          <w:sz w:val="20"/>
          <w:szCs w:val="20"/>
          <w:color w:val="auto"/>
        </w:rPr>
      </w:pPr>
    </w:p>
    <w:p>
      <w:pPr>
        <w:ind w:right="2619"/>
        <w:spacing w:after="0" w:line="236" w:lineRule="auto"/>
        <w:rPr>
          <w:sz w:val="20"/>
          <w:szCs w:val="20"/>
          <w:color w:val="auto"/>
        </w:rPr>
      </w:pPr>
      <w:r>
        <w:rPr>
          <w:rFonts w:ascii="Courier New" w:cs="Courier New" w:eastAsia="Courier New" w:hAnsi="Courier New"/>
          <w:sz w:val="18"/>
          <w:szCs w:val="18"/>
          <w:color w:val="auto"/>
        </w:rPr>
        <w:t>sale of, the COMMON STOCK of TRI POINTE GROUP INC. No one other person's interest in the COMMON STOCK of TRI POINTE GROUP INC is more than five percent of the total outstanding COMMON STOCK.</w:t>
      </w:r>
    </w:p>
    <w:p>
      <w:pPr>
        <w:spacing w:after="0" w:line="209" w:lineRule="exact"/>
        <w:rPr>
          <w:sz w:val="20"/>
          <w:szCs w:val="20"/>
          <w:color w:val="auto"/>
        </w:rPr>
      </w:pPr>
    </w:p>
    <w:p>
      <w:pPr>
        <w:ind w:right="167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See attached Exhibit A.</w:t>
      </w:r>
    </w:p>
    <w:p>
      <w:pPr>
        <w:sectPr>
          <w:pgSz w:w="11900" w:h="16838" w:orient="portrait"/>
          <w:cols w:equalWidth="0" w:num="1">
            <w:col w:w="10219"/>
          </w:cols>
          <w:pgMar w:left="240" w:top="136" w:right="1440" w:bottom="133"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8.</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Identification and Classification of Members of the Group.</w:t>
      </w:r>
    </w:p>
    <w:p>
      <w:pPr>
        <w:spacing w:after="0" w:line="200" w:lineRule="exact"/>
        <w:rPr>
          <w:sz w:val="20"/>
          <w:szCs w:val="20"/>
          <w:color w:val="auto"/>
        </w:rPr>
      </w:pPr>
    </w:p>
    <w:p>
      <w:pPr>
        <w:sectPr>
          <w:pgSz w:w="11900" w:h="16838" w:orient="portrait"/>
          <w:cols w:equalWidth="0" w:num="2">
            <w:col w:w="1820" w:space="720"/>
            <w:col w:w="7679"/>
          </w:cols>
          <w:pgMar w:left="240" w:top="136" w:right="1440" w:bottom="133" w:gutter="0" w:footer="0" w:header="0"/>
          <w:type w:val="continuous"/>
        </w:sectPr>
      </w:pPr>
    </w:p>
    <w:p>
      <w:pPr>
        <w:spacing w:after="0" w:line="24"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36" w:right="1440" w:bottom="133"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9.</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Notice of Dissolution of Group.</w:t>
      </w:r>
    </w:p>
    <w:p>
      <w:pPr>
        <w:spacing w:after="0" w:line="200" w:lineRule="exact"/>
        <w:rPr>
          <w:sz w:val="20"/>
          <w:szCs w:val="20"/>
          <w:color w:val="auto"/>
        </w:rPr>
      </w:pPr>
    </w:p>
    <w:p>
      <w:pPr>
        <w:sectPr>
          <w:pgSz w:w="11900" w:h="16838" w:orient="portrait"/>
          <w:cols w:equalWidth="0" w:num="2">
            <w:col w:w="1820" w:space="720"/>
            <w:col w:w="7679"/>
          </w:cols>
          <w:pgMar w:left="240" w:top="136" w:right="1440" w:bottom="133" w:gutter="0" w:footer="0" w:header="0"/>
          <w:type w:val="continuous"/>
        </w:sectPr>
      </w:pPr>
    </w:p>
    <w:p>
      <w:pPr>
        <w:spacing w:after="0" w:line="24"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36" w:right="1440" w:bottom="133"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Certifications.</w:t>
      </w:r>
    </w:p>
    <w:p>
      <w:pPr>
        <w:spacing w:after="0" w:line="200" w:lineRule="exact"/>
        <w:rPr>
          <w:sz w:val="20"/>
          <w:szCs w:val="20"/>
          <w:color w:val="auto"/>
        </w:rPr>
      </w:pPr>
    </w:p>
    <w:p>
      <w:pPr>
        <w:sectPr>
          <w:pgSz w:w="11900" w:h="16838" w:orient="portrait"/>
          <w:cols w:equalWidth="0" w:num="2">
            <w:col w:w="1820" w:space="720"/>
            <w:col w:w="7679"/>
          </w:cols>
          <w:pgMar w:left="240" w:top="136" w:right="1440" w:bottom="133" w:gutter="0" w:footer="0" w:header="0"/>
          <w:type w:val="continuous"/>
        </w:sectPr>
      </w:pPr>
    </w:p>
    <w:p>
      <w:pPr>
        <w:spacing w:after="0" w:line="200" w:lineRule="exact"/>
        <w:rPr>
          <w:sz w:val="20"/>
          <w:szCs w:val="20"/>
          <w:color w:val="auto"/>
        </w:rPr>
      </w:pPr>
    </w:p>
    <w:p>
      <w:pPr>
        <w:spacing w:after="0" w:line="229" w:lineRule="exact"/>
        <w:rPr>
          <w:sz w:val="20"/>
          <w:szCs w:val="20"/>
          <w:color w:val="auto"/>
        </w:rPr>
      </w:pPr>
    </w:p>
    <w:p>
      <w:pPr>
        <w:ind w:right="2319"/>
        <w:spacing w:after="0" w:line="272"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4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February 13, 2018</w:t>
      </w:r>
    </w:p>
    <w:p>
      <w:pPr>
        <w:ind w:left="860"/>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 Marc R. Bryant</w:t>
      </w:r>
    </w:p>
    <w:p>
      <w:pPr>
        <w:ind w:left="86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Marc R. Bryant</w:t>
      </w:r>
    </w:p>
    <w:p>
      <w:pPr>
        <w:spacing w:after="0" w:line="4" w:lineRule="exact"/>
        <w:rPr>
          <w:sz w:val="20"/>
          <w:szCs w:val="20"/>
          <w:color w:val="auto"/>
        </w:rPr>
      </w:pPr>
    </w:p>
    <w:p>
      <w:pPr>
        <w:ind w:right="1999" w:firstLine="948"/>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372" w:lineRule="exact"/>
        <w:rPr>
          <w:sz w:val="20"/>
          <w:szCs w:val="20"/>
          <w:color w:val="auto"/>
        </w:rPr>
      </w:pPr>
    </w:p>
    <w:p>
      <w:pPr>
        <w:ind w:right="2419" w:firstLine="8"/>
        <w:spacing w:after="0" w:line="236" w:lineRule="auto"/>
        <w:tabs>
          <w:tab w:leader="none" w:pos="211"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619" w:firstLine="1791"/>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219"/>
          </w:cols>
          <w:pgMar w:left="240" w:top="136" w:right="1440" w:bottom="133"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04"/>
        </w:trPr>
        <w:tc>
          <w:tcPr>
            <w:tcW w:w="860" w:type="dxa"/>
            <w:vAlign w:val="bottom"/>
          </w:tcPr>
          <w:p>
            <w:pPr>
              <w:spacing w:after="0"/>
              <w:rPr>
                <w:sz w:val="20"/>
                <w:szCs w:val="20"/>
                <w:color w:val="auto"/>
              </w:rPr>
            </w:pPr>
            <w:r>
              <w:rPr>
                <w:rFonts w:ascii="Courier New" w:cs="Courier New" w:eastAsia="Courier New" w:hAnsi="Courier New"/>
                <w:sz w:val="18"/>
                <w:szCs w:val="18"/>
                <w:color w:val="auto"/>
              </w:rPr>
              <w:t>Entity</w:t>
            </w:r>
          </w:p>
        </w:tc>
        <w:tc>
          <w:tcPr>
            <w:tcW w:w="68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420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Classification</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4880" w:type="dxa"/>
            <w:vAlign w:val="bottom"/>
            <w:gridSpan w:val="3"/>
          </w:tcPr>
          <w:p>
            <w:pPr>
              <w:ind w:left="100"/>
              <w:spacing w:after="0" w:line="203" w:lineRule="exact"/>
              <w:rPr>
                <w:sz w:val="20"/>
                <w:szCs w:val="20"/>
                <w:color w:val="auto"/>
              </w:rPr>
            </w:pPr>
            <w:r>
              <w:rPr>
                <w:rFonts w:ascii="Courier New" w:cs="Courier New" w:eastAsia="Courier New" w:hAnsi="Courier New"/>
                <w:sz w:val="18"/>
                <w:szCs w:val="18"/>
                <w:color w:val="auto"/>
              </w:rPr>
              <w:t>(Canada) Asset Management ULC  FI</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4880" w:type="dxa"/>
            <w:vAlign w:val="bottom"/>
            <w:gridSpan w:val="3"/>
          </w:tcPr>
          <w:p>
            <w:pPr>
              <w:ind w:left="100"/>
              <w:spacing w:after="0" w:line="203" w:lineRule="exact"/>
              <w:rPr>
                <w:sz w:val="20"/>
                <w:szCs w:val="20"/>
                <w:color w:val="auto"/>
              </w:rPr>
            </w:pPr>
            <w:r>
              <w:rPr>
                <w:rFonts w:ascii="Courier New" w:cs="Courier New" w:eastAsia="Courier New" w:hAnsi="Courier New"/>
                <w:sz w:val="18"/>
                <w:szCs w:val="18"/>
                <w:color w:val="auto"/>
              </w:rPr>
              <w:t>Institutional Asset Management Trust Company</w:t>
            </w:r>
          </w:p>
        </w:tc>
        <w:tc>
          <w:tcPr>
            <w:tcW w:w="3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w w:val="92"/>
              </w:rPr>
              <w:t>BK</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16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SELECTCO, LLC</w:t>
            </w:r>
          </w:p>
        </w:tc>
        <w:tc>
          <w:tcPr>
            <w:tcW w:w="3200" w:type="dxa"/>
            <w:vAlign w:val="bottom"/>
          </w:tcPr>
          <w:p>
            <w:pPr>
              <w:spacing w:after="0" w:line="203" w:lineRule="exact"/>
              <w:rPr>
                <w:sz w:val="20"/>
                <w:szCs w:val="20"/>
                <w:color w:val="auto"/>
              </w:rPr>
            </w:pPr>
            <w:r>
              <w:rPr>
                <w:rFonts w:ascii="Courier New" w:cs="Courier New" w:eastAsia="Courier New" w:hAnsi="Courier New"/>
                <w:sz w:val="18"/>
                <w:szCs w:val="18"/>
                <w:color w:val="auto"/>
              </w:rPr>
              <w:t>IA</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FMR CO.,</w:t>
            </w:r>
          </w:p>
        </w:tc>
        <w:tc>
          <w:tcPr>
            <w:tcW w:w="6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INC *</w:t>
            </w:r>
          </w:p>
        </w:tc>
        <w:tc>
          <w:tcPr>
            <w:tcW w:w="100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IA</w:t>
            </w:r>
          </w:p>
        </w:tc>
        <w:tc>
          <w:tcPr>
            <w:tcW w:w="320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03"/>
        </w:trPr>
        <w:tc>
          <w:tcPr>
            <w:tcW w:w="254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w w:val="97"/>
              </w:rPr>
              <w:t>STRATEGIC ADVISERS, INC.</w:t>
            </w:r>
          </w:p>
        </w:tc>
        <w:tc>
          <w:tcPr>
            <w:tcW w:w="3200" w:type="dxa"/>
            <w:vAlign w:val="bottom"/>
          </w:tcPr>
          <w:p>
            <w:pPr>
              <w:ind w:left="840"/>
              <w:spacing w:after="0" w:line="203" w:lineRule="exact"/>
              <w:rPr>
                <w:sz w:val="20"/>
                <w:szCs w:val="20"/>
                <w:color w:val="auto"/>
              </w:rPr>
            </w:pPr>
            <w:r>
              <w:rPr>
                <w:rFonts w:ascii="Courier New" w:cs="Courier New" w:eastAsia="Courier New" w:hAnsi="Courier New"/>
                <w:sz w:val="18"/>
                <w:szCs w:val="18"/>
                <w:color w:val="auto"/>
              </w:rPr>
              <w:t>IA</w:t>
            </w:r>
          </w:p>
        </w:tc>
        <w:tc>
          <w:tcPr>
            <w:tcW w:w="380" w:type="dxa"/>
            <w:vAlign w:val="bottom"/>
          </w:tcPr>
          <w:p>
            <w:pPr>
              <w:spacing w:after="0"/>
              <w:rPr>
                <w:sz w:val="17"/>
                <w:szCs w:val="17"/>
                <w:color w:val="auto"/>
              </w:rPr>
            </w:pPr>
          </w:p>
        </w:tc>
      </w:tr>
    </w:tbl>
    <w:p>
      <w:pPr>
        <w:spacing w:after="0" w:line="200" w:lineRule="exact"/>
        <w:rPr>
          <w:sz w:val="20"/>
          <w:szCs w:val="20"/>
          <w:color w:val="auto"/>
        </w:rPr>
      </w:pPr>
    </w:p>
    <w:p>
      <w:pPr>
        <w:spacing w:after="0" w:line="209" w:lineRule="exact"/>
        <w:rPr>
          <w:sz w:val="20"/>
          <w:szCs w:val="20"/>
          <w:color w:val="auto"/>
        </w:rPr>
      </w:pPr>
    </w:p>
    <w:p>
      <w:pPr>
        <w:ind w:right="2519" w:firstLine="8"/>
        <w:spacing w:after="0" w:line="235" w:lineRule="auto"/>
        <w:tabs>
          <w:tab w:leader="none" w:pos="211"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2839" w:firstLine="1685"/>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w:t>
      </w: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319" w:firstLine="1685"/>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Fidelity Management &amp; Research Company carries out the voting of the shares under written guidelines established by the Fidelity Funds' Boards of Trustees.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0" w:lineRule="exact"/>
        <w:rPr>
          <w:sz w:val="20"/>
          <w:szCs w:val="20"/>
          <w:color w:val="auto"/>
        </w:rPr>
      </w:pPr>
    </w:p>
    <w:p>
      <w:pPr>
        <w:spacing w:after="0" w:line="209" w:lineRule="exact"/>
        <w:rPr>
          <w:sz w:val="20"/>
          <w:szCs w:val="20"/>
          <w:color w:val="auto"/>
        </w:rPr>
      </w:pPr>
    </w:p>
    <w:p>
      <w:pPr>
        <w:ind w:right="2619" w:firstLine="1685"/>
        <w:spacing w:after="0" w:line="237" w:lineRule="auto"/>
        <w:rPr>
          <w:sz w:val="20"/>
          <w:szCs w:val="20"/>
          <w:color w:val="auto"/>
        </w:rPr>
      </w:pPr>
      <w:r>
        <w:rPr>
          <w:rFonts w:ascii="Courier New" w:cs="Courier New" w:eastAsia="Courier New" w:hAnsi="Courier New"/>
          <w:sz w:val="18"/>
          <w:szCs w:val="18"/>
          <w:color w:val="auto"/>
        </w:rPr>
        <w:t>The undersigned persons, on February 13, 2018, agree and consent to the joint filing on their behalf of this Schedule 13G in connection with their beneficial ownership of the COMMON STOCK of TRI POINTE GROUP INC at December 29, 2017.</w:t>
      </w:r>
    </w:p>
    <w:p>
      <w:pPr>
        <w:spacing w:after="0" w:line="200" w:lineRule="exact"/>
        <w:rPr>
          <w:sz w:val="20"/>
          <w:szCs w:val="20"/>
          <w:color w:val="auto"/>
        </w:rPr>
      </w:pPr>
    </w:p>
    <w:p>
      <w:pPr>
        <w:spacing w:after="0" w:line="20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099" w:firstLine="843"/>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16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199" w:firstLine="843"/>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December 16, 2015, by and on behalf of Abigail P. Johnson*</w:t>
      </w:r>
    </w:p>
    <w:p>
      <w:pPr>
        <w:sectPr>
          <w:pgSz w:w="11900" w:h="16838" w:orient="portrait"/>
          <w:cols w:equalWidth="0" w:num="1">
            <w:col w:w="10219"/>
          </w:cols>
          <w:pgMar w:left="240" w:top="136" w:right="1440" w:bottom="134" w:gutter="0" w:footer="0" w:header="0"/>
        </w:sectPr>
      </w:pPr>
    </w:p>
    <w:bookmarkStart w:id="3" w:name="page4"/>
    <w:bookmarkEnd w:id="3"/>
    <w:p>
      <w:pPr>
        <w:ind w:left="-8" w:right="2419" w:firstLine="8"/>
        <w:spacing w:after="0" w:line="236" w:lineRule="auto"/>
        <w:tabs>
          <w:tab w:leader="none" w:pos="20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sectPr>
      <w:pgSz w:w="11900" w:h="16838" w:orient="portrait"/>
      <w:cols w:equalWidth="0" w:num="1">
        <w:col w:w="10211"/>
      </w:cols>
      <w:pgMar w:left="248"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lowerRoman"/>
      <w:start w:val="10"/>
    </w:lvl>
  </w:abstractNum>
  <w:abstractNum w:abstractNumId="1">
    <w:nsid w:val="2AE8944A"/>
    <w:multiLevelType w:val="hybridMultilevel"/>
    <w:lvl w:ilvl="0">
      <w:lvlJc w:val="left"/>
      <w:lvlText w:val="(%1)"/>
      <w:numFmt w:val="lowerLetter"/>
      <w:start w:val="3"/>
    </w:lvl>
    <w:lvl w:ilvl="1">
      <w:lvlJc w:val="left"/>
      <w:lvlText w:val="(%2)"/>
      <w:numFmt w:val="lowerLetter"/>
      <w:start w:val="9"/>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2020-01-14T08:30:44Z</dcterms:created>
  <dcterms:modified xsi:type="dcterms:W3CDTF">2020-01-14T08:30:44Z</dcterms:modified>
</cp:coreProperties>
</file>