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As filed with the Securities and Exchange Commission on June 24, 2022</w:t>
      </w:r>
    </w:p>
    <w:p>
      <w:pPr>
        <w:spacing w:after="0" w:line="31" w:lineRule="exact"/>
        <w:rPr>
          <w:sz w:val="24"/>
          <w:szCs w:val="24"/>
          <w:color w:val="auto"/>
        </w:rPr>
      </w:pPr>
    </w:p>
    <w:p>
      <w:pPr>
        <w:ind w:left="8660"/>
        <w:spacing w:after="0"/>
        <w:rPr>
          <w:sz w:val="20"/>
          <w:szCs w:val="20"/>
          <w:color w:val="auto"/>
        </w:rPr>
      </w:pPr>
      <w:r>
        <w:rPr>
          <w:rFonts w:ascii="Times New Roman" w:cs="Times New Roman" w:eastAsia="Times New Roman" w:hAnsi="Times New Roman"/>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108585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9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FORM S-8</w:t>
      </w:r>
    </w:p>
    <w:p>
      <w:pPr>
        <w:spacing w:after="0" w:line="3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REGISTRATION STATEMENT</w:t>
      </w:r>
    </w:p>
    <w:p>
      <w:pPr>
        <w:jc w:val="center"/>
        <w:ind w:right="-39"/>
        <w:spacing w:after="0" w:line="230" w:lineRule="auto"/>
        <w:rPr>
          <w:sz w:val="20"/>
          <w:szCs w:val="20"/>
          <w:color w:val="auto"/>
        </w:rPr>
      </w:pPr>
      <w:r>
        <w:rPr>
          <w:rFonts w:ascii="Times New Roman" w:cs="Times New Roman" w:eastAsia="Times New Roman" w:hAnsi="Times New Roman"/>
          <w:sz w:val="22"/>
          <w:szCs w:val="22"/>
          <w:b w:val="1"/>
          <w:bCs w:val="1"/>
          <w:i w:val="1"/>
          <w:iCs w:val="1"/>
          <w:color w:val="auto"/>
        </w:rPr>
        <w:t>Under</w:t>
      </w:r>
    </w:p>
    <w:p>
      <w:pPr>
        <w:spacing w:after="0" w:line="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43"/>
          <w:szCs w:val="43"/>
          <w:b w:val="1"/>
          <w:bCs w:val="1"/>
          <w:color w:val="auto"/>
        </w:rPr>
        <w:t>FORTE BIOSCIENCES, INC.</w:t>
      </w:r>
    </w:p>
    <w:p>
      <w:pPr>
        <w:spacing w:after="0" w:line="5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0960"/>
          </w:cols>
          <w:pgMar w:left="440" w:top="225" w:right="49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242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26-1243872</w:t>
      </w:r>
    </w:p>
    <w:p>
      <w:pPr>
        <w:spacing w:after="0" w:line="12" w:lineRule="exact"/>
        <w:rPr>
          <w:sz w:val="24"/>
          <w:szCs w:val="24"/>
          <w:color w:val="auto"/>
        </w:rPr>
      </w:pPr>
    </w:p>
    <w:p>
      <w:pPr>
        <w:sectPr>
          <w:pgSz w:w="11900" w:h="16838" w:orient="portrait"/>
          <w:cols w:equalWidth="0" w:num="2">
            <w:col w:w="7180" w:space="720"/>
            <w:col w:w="3060"/>
          </w:cols>
          <w:pgMar w:left="440" w:top="225" w:right="499" w:bottom="1440" w:gutter="0" w:footer="0" w:header="0"/>
          <w:type w:val="continuous"/>
        </w:sectPr>
      </w:pPr>
    </w:p>
    <w:p>
      <w:pPr>
        <w:ind w:left="1880"/>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p>
      <w:pPr>
        <w:ind w:left="1840"/>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19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900"/>
        <w:spacing w:after="0"/>
        <w:rPr>
          <w:sz w:val="20"/>
          <w:szCs w:val="20"/>
          <w:color w:val="auto"/>
        </w:rPr>
      </w:pPr>
      <w:r>
        <w:rPr>
          <w:rFonts w:ascii="Times New Roman" w:cs="Times New Roman" w:eastAsia="Times New Roman" w:hAnsi="Times New Roman"/>
          <w:sz w:val="14"/>
          <w:szCs w:val="14"/>
          <w:b w:val="1"/>
          <w:bCs w:val="1"/>
          <w:color w:val="auto"/>
        </w:rPr>
        <w:t>Identification Number)</w:t>
      </w:r>
    </w:p>
    <w:p>
      <w:pPr>
        <w:spacing w:after="0" w:line="188" w:lineRule="exact"/>
        <w:rPr>
          <w:sz w:val="24"/>
          <w:szCs w:val="24"/>
          <w:color w:val="auto"/>
        </w:rPr>
      </w:pPr>
    </w:p>
    <w:p>
      <w:pPr>
        <w:sectPr>
          <w:pgSz w:w="11900" w:h="16838" w:orient="portrait"/>
          <w:cols w:equalWidth="0" w:num="2">
            <w:col w:w="6900" w:space="720"/>
            <w:col w:w="3340"/>
          </w:cols>
          <w:pgMar w:left="440" w:top="225" w:right="499" w:bottom="1440" w:gutter="0" w:footer="0" w:header="0"/>
          <w:type w:val="continuous"/>
        </w:sect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3060 Pegasus Park Drive, Building 6</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Dallas, Texas 75247</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including zip code)</w:t>
      </w:r>
    </w:p>
    <w:p>
      <w:pPr>
        <w:spacing w:after="0" w:line="188" w:lineRule="exact"/>
        <w:rPr>
          <w:sz w:val="24"/>
          <w:szCs w:val="24"/>
          <w:color w:val="auto"/>
        </w:rPr>
      </w:pPr>
    </w:p>
    <w:p>
      <w:pPr>
        <w:ind w:left="4120"/>
        <w:spacing w:after="0"/>
        <w:rPr>
          <w:sz w:val="20"/>
          <w:szCs w:val="20"/>
          <w:color w:val="auto"/>
        </w:rPr>
      </w:pPr>
      <w:r>
        <w:rPr>
          <w:rFonts w:ascii="Times New Roman" w:cs="Times New Roman" w:eastAsia="Times New Roman" w:hAnsi="Times New Roman"/>
          <w:sz w:val="18"/>
          <w:szCs w:val="18"/>
          <w:b w:val="1"/>
          <w:bCs w:val="1"/>
          <w:color w:val="auto"/>
        </w:rPr>
        <w:t>2017 Employee Stock Purchase Plan</w:t>
      </w:r>
    </w:p>
    <w:p>
      <w:pPr>
        <w:spacing w:after="0" w:line="31" w:lineRule="exact"/>
        <w:rPr>
          <w:sz w:val="24"/>
          <w:szCs w:val="24"/>
          <w:color w:val="auto"/>
        </w:rPr>
      </w:pPr>
    </w:p>
    <w:p>
      <w:pPr>
        <w:ind w:left="4460"/>
        <w:spacing w:after="0"/>
        <w:rPr>
          <w:sz w:val="20"/>
          <w:szCs w:val="20"/>
          <w:color w:val="auto"/>
        </w:rPr>
      </w:pPr>
      <w:r>
        <w:rPr>
          <w:rFonts w:ascii="Times New Roman" w:cs="Times New Roman" w:eastAsia="Times New Roman" w:hAnsi="Times New Roman"/>
          <w:sz w:val="18"/>
          <w:szCs w:val="18"/>
          <w:b w:val="1"/>
          <w:bCs w:val="1"/>
          <w:color w:val="auto"/>
        </w:rPr>
        <w:t>2021 Equity Incentive Plan</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(Full title of the plan)</w:t>
      </w:r>
    </w:p>
    <w:p>
      <w:pPr>
        <w:sectPr>
          <w:pgSz w:w="11900" w:h="16838" w:orient="portrait"/>
          <w:cols w:equalWidth="0" w:num="1">
            <w:col w:w="10960"/>
          </w:cols>
          <w:pgMar w:left="440" w:top="225" w:right="499" w:bottom="1440" w:gutter="0" w:footer="0" w:header="0"/>
          <w:type w:val="continuous"/>
        </w:sectPr>
      </w:pPr>
    </w:p>
    <w:p>
      <w:pPr>
        <w:spacing w:after="0" w:line="18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Paul A. Wagner, Ph.D.</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Chief Executive Officer</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Forte Biosciences, Inc.</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3060 Pegasus Park Drive, Building 6</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Dallas, Texas 75247</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(310) 618-6994</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(Name, address and telephone number, including area code, of agent for service)</w:t>
      </w:r>
    </w:p>
    <w:p>
      <w:pPr>
        <w:spacing w:after="0" w:line="18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i w:val="1"/>
          <w:iCs w:val="1"/>
          <w:color w:val="auto"/>
        </w:rPr>
        <w:t>Copies to:</w:t>
      </w:r>
    </w:p>
    <w:p>
      <w:pPr>
        <w:spacing w:after="0" w:line="225"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Dan Koeppen</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Wilson Sonsini Goodrich &amp; Rosati, P.C.</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12235 El Camino Real</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San Diego, California 92130</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(858) 350-2300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237490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65" w:lineRule="exact"/>
        <w:rPr>
          <w:sz w:val="24"/>
          <w:szCs w:val="24"/>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7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52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Accelerated filer</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52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530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Emerging growth company</w:t>
            </w:r>
          </w:p>
        </w:tc>
        <w:tc>
          <w:tcPr>
            <w:tcW w:w="340" w:type="dxa"/>
            <w:vAlign w:val="bottom"/>
          </w:tcPr>
          <w:p>
            <w:pPr>
              <w:ind w:left="1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4"/>
          <w:szCs w:val="24"/>
          <w:color w:val="auto"/>
        </w:rPr>
      </w:pPr>
    </w:p>
    <w:p>
      <w:pPr>
        <w:ind w:right="2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133985</wp:posOffset>
            </wp:positionV>
            <wp:extent cx="6995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960"/>
          </w:cols>
          <w:pgMar w:left="440" w:top="225" w:right="499" w:bottom="1440" w:gutter="0" w:footer="0" w:header="0"/>
          <w:type w:val="continuous"/>
        </w:sectPr>
      </w:pPr>
    </w:p>
    <w:bookmarkStart w:id="1" w:name="page2"/>
    <w:bookmarkEnd w:id="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EXPLANATORY NOTE</w:t>
      </w:r>
    </w:p>
    <w:p>
      <w:pPr>
        <w:spacing w:after="0" w:line="229" w:lineRule="exact"/>
        <w:rPr>
          <w:sz w:val="20"/>
          <w:szCs w:val="20"/>
          <w:color w:val="auto"/>
        </w:rPr>
      </w:pPr>
    </w:p>
    <w:p>
      <w:pPr>
        <w:ind w:right="80" w:firstLine="440"/>
        <w:spacing w:after="0" w:line="261" w:lineRule="auto"/>
        <w:rPr>
          <w:sz w:val="20"/>
          <w:szCs w:val="20"/>
          <w:color w:val="auto"/>
        </w:rPr>
      </w:pPr>
      <w:r>
        <w:rPr>
          <w:rFonts w:ascii="Times New Roman" w:cs="Times New Roman" w:eastAsia="Times New Roman" w:hAnsi="Times New Roman"/>
          <w:sz w:val="18"/>
          <w:szCs w:val="18"/>
          <w:color w:val="auto"/>
        </w:rPr>
        <w:t>This Registration Statement on Form S-8 (the “Registration Statement”) is filed by Forte Biosciences, Inc. (the “Registrant”) for the purpose of registering (i) 2,500,000 shares of common stock of the Registrant, par value $0.001 per share (“Common Stock”) reserved for issuance under the 2021 Equity Incentive Plan as adopted by the board of directors in April 2021 and approved by the stockholders at the 2021 annual meeting and (ii) 147,544 shares of Common Stock issuable to eligible employees of Registrant under the Registrant’s 2017 Employee Stock Purchase Plan.</w:t>
      </w:r>
    </w:p>
    <w:p>
      <w:pPr>
        <w:spacing w:after="0" w:line="3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REQUIRED IN THE PROSPECTUS</w:t>
      </w:r>
    </w:p>
    <w:p>
      <w:pPr>
        <w:spacing w:after="0" w:line="229" w:lineRule="exact"/>
        <w:rPr>
          <w:sz w:val="20"/>
          <w:szCs w:val="20"/>
          <w:color w:val="auto"/>
        </w:rPr>
      </w:pPr>
    </w:p>
    <w:p>
      <w:pPr>
        <w:ind w:right="100" w:firstLine="991"/>
        <w:spacing w:after="0" w:line="261" w:lineRule="auto"/>
        <w:rPr>
          <w:sz w:val="20"/>
          <w:szCs w:val="20"/>
          <w:color w:val="auto"/>
        </w:rPr>
      </w:pPr>
      <w:r>
        <w:rPr>
          <w:rFonts w:ascii="Times New Roman" w:cs="Times New Roman" w:eastAsia="Times New Roman" w:hAnsi="Times New Roman"/>
          <w:sz w:val="18"/>
          <w:szCs w:val="18"/>
          <w:color w:val="auto"/>
        </w:rPr>
        <w:t>The information specified in Item 1 and Item 2 of Part I of Form S-8 is omitted from this Registration Statement in accordance with the provisions of Rule 428 under the Securities Act and the introductory note to Part I of Form S-8. The documents containing the information specified in Part I of Form S-8 will be delivered to the participants in the equity benefit plans covered by this Registration Statement as specified by Rule 428(b)(1) under the Securities Act.</w:t>
      </w:r>
    </w:p>
    <w:p>
      <w:pPr>
        <w:spacing w:after="0" w:line="3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REQUIRED IN REGISTRATION STATEMENT</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Incorporation of Documents by Reference.</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Registrant hereby incorporates by reference into this Registration Statement the following documents previously filed with the Securities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Exchange Commission (the “SEC”):</w:t>
      </w:r>
    </w:p>
    <w:p>
      <w:pPr>
        <w:spacing w:after="0" w:line="112" w:lineRule="exact"/>
        <w:rPr>
          <w:sz w:val="20"/>
          <w:szCs w:val="20"/>
          <w:color w:val="auto"/>
        </w:rPr>
      </w:pPr>
    </w:p>
    <w:p>
      <w:pPr>
        <w:ind w:left="960" w:hanging="532"/>
        <w:spacing w:after="0"/>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Registrant’s Annual Report on </w:t>
      </w:r>
      <w:hyperlink r:id="rId17">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fiscal year ended December 31, 2021 filed with the SEC on March 31, 2022.</w:t>
      </w:r>
    </w:p>
    <w:p>
      <w:pPr>
        <w:spacing w:after="0" w:line="130" w:lineRule="exact"/>
        <w:rPr>
          <w:rFonts w:ascii="Times New Roman" w:cs="Times New Roman" w:eastAsia="Times New Roman" w:hAnsi="Times New Roman"/>
          <w:sz w:val="18"/>
          <w:szCs w:val="18"/>
          <w:color w:val="auto"/>
        </w:rPr>
      </w:pPr>
    </w:p>
    <w:p>
      <w:pPr>
        <w:ind w:left="960" w:hanging="532"/>
        <w:spacing w:after="0"/>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Registrant’s Quarterly Report on </w:t>
      </w:r>
      <w:hyperlink r:id="rId18">
        <w:r>
          <w:rPr>
            <w:rFonts w:ascii="Times New Roman" w:cs="Times New Roman" w:eastAsia="Times New Roman" w:hAnsi="Times New Roman"/>
            <w:sz w:val="18"/>
            <w:szCs w:val="18"/>
            <w:u w:val="single" w:color="auto"/>
            <w:color w:val="0000EE"/>
          </w:rPr>
          <w:t>Form 10-Q</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period ended March 31, 2022, filed with the SEC on May 16, 2022.</w:t>
      </w:r>
    </w:p>
    <w:p>
      <w:pPr>
        <w:spacing w:after="0" w:line="130" w:lineRule="exact"/>
        <w:rPr>
          <w:rFonts w:ascii="Times New Roman" w:cs="Times New Roman" w:eastAsia="Times New Roman" w:hAnsi="Times New Roman"/>
          <w:sz w:val="18"/>
          <w:szCs w:val="18"/>
          <w:color w:val="auto"/>
        </w:rPr>
      </w:pPr>
    </w:p>
    <w:p>
      <w:pPr>
        <w:ind w:left="960" w:right="200" w:hanging="532"/>
        <w:spacing w:after="0" w:line="282"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Registrant’s Current Reports on Form 8-K filed on </w:t>
      </w:r>
      <w:hyperlink r:id="rId19">
        <w:r>
          <w:rPr>
            <w:rFonts w:ascii="Times New Roman" w:cs="Times New Roman" w:eastAsia="Times New Roman" w:hAnsi="Times New Roman"/>
            <w:sz w:val="18"/>
            <w:szCs w:val="18"/>
            <w:u w:val="single" w:color="auto"/>
            <w:color w:val="0000EE"/>
          </w:rPr>
          <w:t>February 2, 2022</w:t>
        </w:r>
      </w:hyperlink>
      <w:r>
        <w:rPr>
          <w:rFonts w:ascii="Times New Roman" w:cs="Times New Roman" w:eastAsia="Times New Roman" w:hAnsi="Times New Roman"/>
          <w:sz w:val="18"/>
          <w:szCs w:val="18"/>
          <w:color w:val="auto"/>
        </w:rPr>
        <w:t xml:space="preserve">, </w:t>
      </w:r>
      <w:hyperlink r:id="rId20">
        <w:r>
          <w:rPr>
            <w:rFonts w:ascii="Times New Roman" w:cs="Times New Roman" w:eastAsia="Times New Roman" w:hAnsi="Times New Roman"/>
            <w:sz w:val="18"/>
            <w:szCs w:val="18"/>
            <w:u w:val="single" w:color="auto"/>
            <w:color w:val="0000EE"/>
          </w:rPr>
          <w:t>March 18, 2022</w:t>
        </w:r>
      </w:hyperlink>
      <w:r>
        <w:rPr>
          <w:rFonts w:ascii="Times New Roman" w:cs="Times New Roman" w:eastAsia="Times New Roman" w:hAnsi="Times New Roman"/>
          <w:sz w:val="18"/>
          <w:szCs w:val="18"/>
          <w:color w:val="auto"/>
        </w:rPr>
        <w:t xml:space="preserve">, </w:t>
      </w:r>
      <w:hyperlink r:id="rId21">
        <w:r>
          <w:rPr>
            <w:rFonts w:ascii="Times New Roman" w:cs="Times New Roman" w:eastAsia="Times New Roman" w:hAnsi="Times New Roman"/>
            <w:sz w:val="18"/>
            <w:szCs w:val="18"/>
            <w:u w:val="single" w:color="auto"/>
            <w:color w:val="0000EE"/>
          </w:rPr>
          <w:t>April 1, 2022</w:t>
        </w:r>
      </w:hyperlink>
      <w:r>
        <w:rPr>
          <w:rFonts w:ascii="Times New Roman" w:cs="Times New Roman" w:eastAsia="Times New Roman" w:hAnsi="Times New Roman"/>
          <w:sz w:val="18"/>
          <w:szCs w:val="18"/>
          <w:color w:val="auto"/>
        </w:rPr>
        <w:t xml:space="preserve">, </w:t>
      </w:r>
      <w:hyperlink r:id="rId22">
        <w:r>
          <w:rPr>
            <w:rFonts w:ascii="Times New Roman" w:cs="Times New Roman" w:eastAsia="Times New Roman" w:hAnsi="Times New Roman"/>
            <w:sz w:val="18"/>
            <w:szCs w:val="18"/>
            <w:u w:val="single" w:color="auto"/>
            <w:color w:val="0000EE"/>
          </w:rPr>
          <w:t>May 16, 2022</w:t>
        </w:r>
      </w:hyperlink>
      <w:r>
        <w:rPr>
          <w:rFonts w:ascii="Times New Roman" w:cs="Times New Roman" w:eastAsia="Times New Roman" w:hAnsi="Times New Roman"/>
          <w:sz w:val="18"/>
          <w:szCs w:val="18"/>
          <w:color w:val="auto"/>
        </w:rPr>
        <w:t xml:space="preserve">, </w:t>
      </w:r>
      <w:hyperlink r:id="rId23">
        <w:r>
          <w:rPr>
            <w:rFonts w:ascii="Times New Roman" w:cs="Times New Roman" w:eastAsia="Times New Roman" w:hAnsi="Times New Roman"/>
            <w:sz w:val="18"/>
            <w:szCs w:val="18"/>
            <w:u w:val="single" w:color="auto"/>
            <w:color w:val="0000EE"/>
          </w:rPr>
          <w:t>June 2, 2022</w:t>
        </w:r>
      </w:hyperlink>
      <w:r>
        <w:rPr>
          <w:rFonts w:ascii="Times New Roman" w:cs="Times New Roman" w:eastAsia="Times New Roman" w:hAnsi="Times New Roman"/>
          <w:sz w:val="18"/>
          <w:szCs w:val="18"/>
          <w:color w:val="auto"/>
        </w:rPr>
        <w:t xml:space="preserve"> and </w:t>
      </w:r>
      <w:hyperlink r:id="rId24">
        <w:r>
          <w:rPr>
            <w:rFonts w:ascii="Times New Roman" w:cs="Times New Roman" w:eastAsia="Times New Roman" w:hAnsi="Times New Roman"/>
            <w:sz w:val="18"/>
            <w:szCs w:val="18"/>
            <w:u w:val="single" w:color="auto"/>
            <w:color w:val="0000EE"/>
          </w:rPr>
          <w:t>June 7,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(other than information furnished rather than filed).</w:t>
      </w:r>
    </w:p>
    <w:p>
      <w:pPr>
        <w:spacing w:after="0" w:line="67" w:lineRule="exact"/>
        <w:rPr>
          <w:rFonts w:ascii="Times New Roman" w:cs="Times New Roman" w:eastAsia="Times New Roman" w:hAnsi="Times New Roman"/>
          <w:sz w:val="18"/>
          <w:szCs w:val="18"/>
          <w:color w:val="auto"/>
        </w:rPr>
      </w:pPr>
    </w:p>
    <w:p>
      <w:pPr>
        <w:ind w:left="960" w:right="260" w:hanging="532"/>
        <w:spacing w:after="0" w:line="282"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reports filed with the Commission pursuant to Section 13(a) or 15(d) of the Securities Exchange Act of 1934, as amended (the “Exchange Act”), since the end of the fiscal year covered by the Registrant’s Annual Report referred to in (1), (2) and (3) above.</w:t>
      </w:r>
    </w:p>
    <w:p>
      <w:pPr>
        <w:spacing w:after="0" w:line="67" w:lineRule="exact"/>
        <w:rPr>
          <w:rFonts w:ascii="Times New Roman" w:cs="Times New Roman" w:eastAsia="Times New Roman" w:hAnsi="Times New Roman"/>
          <w:sz w:val="18"/>
          <w:szCs w:val="18"/>
          <w:color w:val="auto"/>
        </w:rPr>
      </w:pPr>
    </w:p>
    <w:p>
      <w:pPr>
        <w:ind w:left="960" w:hanging="532"/>
        <w:spacing w:after="0" w:line="266"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the Registrant’s common stock contained in the Company’s Annual Report on </w:t>
      </w:r>
      <w:hyperlink r:id="rId25">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filed with the Commission on February 27, 2020, pursuant to Section 12(b) of the Exchange Act, including any amendment or report filed for the purpose of updating such description.</w:t>
      </w:r>
    </w:p>
    <w:p>
      <w:pPr>
        <w:spacing w:after="0" w:line="176" w:lineRule="exact"/>
        <w:rPr>
          <w:rFonts w:ascii="Times New Roman" w:cs="Times New Roman" w:eastAsia="Times New Roman" w:hAnsi="Times New Roman"/>
          <w:sz w:val="18"/>
          <w:szCs w:val="18"/>
          <w:color w:val="auto"/>
        </w:rPr>
      </w:pPr>
    </w:p>
    <w:p>
      <w:pPr>
        <w:ind w:right="20" w:firstLine="440"/>
        <w:spacing w:after="0" w:line="254" w:lineRule="auto"/>
        <w:rPr>
          <w:sz w:val="20"/>
          <w:szCs w:val="20"/>
          <w:color w:val="auto"/>
        </w:rPr>
      </w:pPr>
      <w:r>
        <w:rPr>
          <w:rFonts w:ascii="Times New Roman" w:cs="Times New Roman" w:eastAsia="Times New Roman" w:hAnsi="Times New Roman"/>
          <w:sz w:val="18"/>
          <w:szCs w:val="18"/>
          <w:color w:val="auto"/>
        </w:rPr>
        <w:t xml:space="preserve">All documents filed by the Registrant pursuant to Sections 13(a), 13(c), 14 and 15(d) of the Exchange Act on or after the date of this Registration Statement and prior to the filing of a post-effective amendment to this Registration Statement that indicates that all securities offered have been sold or that deregisters all securities then remaining unsold shall be deemed to be incorporated by reference in this Registration Statement and to be part hereof from the date of filing of such documents;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documents or information deemed to have been furnished and not filed in accordance with the rules of the SEC shall not be deemed incorporated by reference into this Registration Statement. Any statement contained in a document incorporated or deemed to be incorporated by reference herein shall be deemed to be modified or superseded for purposes of this Registration Statement to the extent that a statement contained herein or in any subsequently filed document which also is deemed to be incorporated by reference herein modifies or supersedes such statement. Any such statement so modified or superseded shall not be deemed, except as so modified or superseded, to constitute a part of this Registration Statement.</w:t>
      </w:r>
    </w:p>
    <w:p>
      <w:pPr>
        <w:sectPr>
          <w:pgSz w:w="11900" w:h="16838" w:orient="portrait"/>
          <w:cols w:equalWidth="0" w:num="1">
            <w:col w:w="10980"/>
          </w:cols>
          <w:pgMar w:left="440" w:top="266" w:right="47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Item 4. Description of Securities.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Interests of Named Experts and Counsel.</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Indemnification of Directors and Officers.</w:t>
      </w:r>
    </w:p>
    <w:p>
      <w:pPr>
        <w:spacing w:after="0" w:line="121" w:lineRule="exact"/>
        <w:rPr>
          <w:sz w:val="20"/>
          <w:szCs w:val="20"/>
          <w:color w:val="auto"/>
        </w:rPr>
      </w:pPr>
    </w:p>
    <w:p>
      <w:pPr>
        <w:ind w:firstLine="440"/>
        <w:spacing w:after="0" w:line="255" w:lineRule="auto"/>
        <w:rPr>
          <w:sz w:val="20"/>
          <w:szCs w:val="20"/>
          <w:color w:val="auto"/>
        </w:rPr>
      </w:pPr>
      <w:r>
        <w:rPr>
          <w:rFonts w:ascii="Times New Roman" w:cs="Times New Roman" w:eastAsia="Times New Roman" w:hAnsi="Times New Roman"/>
          <w:sz w:val="18"/>
          <w:szCs w:val="18"/>
          <w:color w:val="auto"/>
        </w:rPr>
        <w:t>The Registrant’s amended and restated certificate of incorporation provides that to the fullest extent permitted by applicable law, the Registrant is authorized to provide indemnification of (and advancement of expenses to) directors, officers and agents of the Registrant (and any other persons to which applicable law permits the Registrant to provide indemnification) through bylaw provisions, agreements with such agents or other persons, vote of stockholders or disinterested directors or otherwise in excess of the indemnification and advancement otherwise permitted by such applicable law. If applicable law is amended after approval by the stockholders of the Registrant’s amended and restated certificate of incorporation to authorize corporate action further eliminating or limiting the personal liability of directors, then the liability of a director to the Registrant shall be eliminated or limited to the fullest extent permitted by applicable law as so amended.</w:t>
      </w:r>
    </w:p>
    <w:p>
      <w:pPr>
        <w:spacing w:after="0" w:line="189"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color w:val="auto"/>
        </w:rPr>
        <w:t>The Registrant’s amended and restated bylaws provide that the Registrant shall indemnify its directors and officers to the extent not prohibited by the Delaware General Corporate Law (“DGCL”) or any other applicable law; provided, however, that the Registrant may modify the extent of such indemnification by individual contracts with its directors and officers; and, provided, further, that the Registrant shall not be required to indemnify any director or officer in connection with any proceeding (or part thereof) initiated by such person unless (i) such indemnification is expressly required to be made by law, (ii) the proceeding was authorized by the Registrant’s Board of Directors, (iii) such indemnification is provided by the Registrant, in its sole discretion, pursuant to the powers vested in the Registrant under the DGCL or any other applicable law or (iv) such indemnification is otherwise required to be made the amended and restated bylaws. The Registrant’s amended and restated bylaws also permit it to advance expenses to any director or officer who was or is a party or is threatened to be made a party to any action by reason of such status.</w:t>
      </w:r>
    </w:p>
    <w:p>
      <w:pPr>
        <w:spacing w:after="0" w:line="192" w:lineRule="exact"/>
        <w:rPr>
          <w:sz w:val="20"/>
          <w:szCs w:val="20"/>
          <w:color w:val="auto"/>
        </w:rPr>
      </w:pPr>
    </w:p>
    <w:p>
      <w:pPr>
        <w:ind w:firstLine="440"/>
        <w:spacing w:after="0" w:line="266" w:lineRule="auto"/>
        <w:rPr>
          <w:sz w:val="20"/>
          <w:szCs w:val="20"/>
          <w:color w:val="auto"/>
        </w:rPr>
      </w:pPr>
      <w:r>
        <w:rPr>
          <w:rFonts w:ascii="Times New Roman" w:cs="Times New Roman" w:eastAsia="Times New Roman" w:hAnsi="Times New Roman"/>
          <w:sz w:val="18"/>
          <w:szCs w:val="18"/>
          <w:color w:val="auto"/>
        </w:rPr>
        <w:t>The rights conferred in the amended and restated certificate of incorporation and amended and restated bylaws are not exclusive, and the Registrant is authorized to enter into indemnification agreements with its directors, officers, employees, and agents and to obtain insurance to indemnify such persons.</w:t>
      </w:r>
    </w:p>
    <w:p>
      <w:pPr>
        <w:spacing w:after="0" w:line="176" w:lineRule="exact"/>
        <w:rPr>
          <w:sz w:val="20"/>
          <w:szCs w:val="20"/>
          <w:color w:val="auto"/>
        </w:rPr>
      </w:pPr>
    </w:p>
    <w:p>
      <w:pPr>
        <w:ind w:firstLine="440"/>
        <w:spacing w:after="0" w:line="261" w:lineRule="auto"/>
        <w:rPr>
          <w:sz w:val="20"/>
          <w:szCs w:val="20"/>
          <w:color w:val="auto"/>
        </w:rPr>
      </w:pPr>
      <w:r>
        <w:rPr>
          <w:rFonts w:ascii="Times New Roman" w:cs="Times New Roman" w:eastAsia="Times New Roman" w:hAnsi="Times New Roman"/>
          <w:sz w:val="18"/>
          <w:szCs w:val="18"/>
          <w:color w:val="auto"/>
        </w:rPr>
        <w:t>The Registrant has entered into indemnification agreements with its directors and executive officers that provide the maximum indemnity allowed to directors and executive officers by Section 145 of the DGCL and also to provide for certain additional procedural protections, in addition to the indemnification provided for in its amended and restated certificate of incorporation and bylaws, and intends to enter into indemnification agreements with any new directors and executive officers in the future.</w:t>
      </w:r>
    </w:p>
    <w:p>
      <w:pPr>
        <w:spacing w:after="0" w:line="180" w:lineRule="exact"/>
        <w:rPr>
          <w:sz w:val="20"/>
          <w:szCs w:val="20"/>
          <w:color w:val="auto"/>
        </w:rPr>
      </w:pPr>
    </w:p>
    <w:p>
      <w:pPr>
        <w:ind w:right="140" w:firstLine="440"/>
        <w:spacing w:after="0" w:line="266" w:lineRule="auto"/>
        <w:rPr>
          <w:sz w:val="20"/>
          <w:szCs w:val="20"/>
          <w:color w:val="auto"/>
        </w:rPr>
      </w:pPr>
      <w:r>
        <w:rPr>
          <w:rFonts w:ascii="Times New Roman" w:cs="Times New Roman" w:eastAsia="Times New Roman" w:hAnsi="Times New Roman"/>
          <w:sz w:val="18"/>
          <w:szCs w:val="18"/>
          <w:color w:val="auto"/>
        </w:rPr>
        <w:t>The Registrant has purchased and currently intends to maintain insurance on behalf of each and any person who is or was a director or officer of the Registrant against any loss arising from any claim asserted against him or her and incurred by him or her in any such capacity, subject to certain exclusions.</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See also the undertakings set out in response to Item 9 herein.</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 Exemption from Registration Claimed.</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 Exhibits.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Registrant has filed the exhibits listed on the accompanying Exhibit Index of this Registration Statement.</w:t>
      </w:r>
    </w:p>
    <w:p>
      <w:pPr>
        <w:sectPr>
          <w:pgSz w:w="11900" w:h="16838" w:orient="portrait"/>
          <w:cols w:equalWidth="0" w:num="1">
            <w:col w:w="10960"/>
          </w:cols>
          <w:pgMar w:left="440" w:top="266" w:right="499" w:bottom="1440" w:gutter="0" w:footer="0" w:header="0"/>
        </w:sectPr>
      </w:pPr>
    </w:p>
    <w:bookmarkStart w:id="3" w:name="page4"/>
    <w:bookmarkEnd w:id="3"/>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INDEX</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920" w:type="dxa"/>
            <w:vAlign w:val="bottom"/>
            <w:gridSpan w:val="5"/>
          </w:tcPr>
          <w:p>
            <w:pPr>
              <w:ind w:left="320"/>
              <w:spacing w:after="0"/>
              <w:rPr>
                <w:sz w:val="20"/>
                <w:szCs w:val="20"/>
                <w:color w:val="auto"/>
              </w:rPr>
            </w:pPr>
            <w:r>
              <w:rPr>
                <w:rFonts w:ascii="Times New Roman" w:cs="Times New Roman" w:eastAsia="Times New Roman" w:hAnsi="Times New Roman"/>
                <w:sz w:val="14"/>
                <w:szCs w:val="14"/>
                <w:b w:val="1"/>
                <w:bCs w:val="1"/>
                <w:color w:val="auto"/>
              </w:rPr>
              <w:t>Incorporated by Reference</w:t>
            </w:r>
          </w:p>
        </w:tc>
        <w:tc>
          <w:tcPr>
            <w:tcW w:w="0" w:type="dxa"/>
            <w:vAlign w:val="bottom"/>
          </w:tcPr>
          <w:p>
            <w:pPr>
              <w:spacing w:after="0"/>
              <w:rPr>
                <w:sz w:val="1"/>
                <w:szCs w:val="1"/>
                <w:color w:val="auto"/>
              </w:rPr>
            </w:pPr>
          </w:p>
        </w:tc>
      </w:tr>
      <w:tr>
        <w:trPr>
          <w:trHeight w:val="25"/>
        </w:trPr>
        <w:tc>
          <w:tcPr>
            <w:tcW w:w="5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w w:val="96"/>
              </w:rPr>
              <w:t>Number</w:t>
            </w:r>
          </w:p>
        </w:tc>
        <w:tc>
          <w:tcPr>
            <w:tcW w:w="2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vMerge w:val="restart"/>
          </w:tcPr>
          <w:p>
            <w:pPr>
              <w:spacing w:after="0"/>
              <w:rPr>
                <w:sz w:val="2"/>
                <w:szCs w:val="2"/>
                <w:color w:val="auto"/>
              </w:rPr>
            </w:pPr>
          </w:p>
        </w:tc>
        <w:tc>
          <w:tcPr>
            <w:tcW w:w="680" w:type="dxa"/>
            <w:vAlign w:val="bottom"/>
            <w:vMerge w:val="restart"/>
          </w:tcPr>
          <w:p>
            <w:pPr>
              <w:spacing w:after="0"/>
              <w:rPr>
                <w:sz w:val="2"/>
                <w:szCs w:val="2"/>
                <w:color w:val="auto"/>
              </w:rPr>
            </w:pPr>
          </w:p>
        </w:tc>
        <w:tc>
          <w:tcPr>
            <w:tcW w:w="3920" w:type="dxa"/>
            <w:vAlign w:val="bottom"/>
            <w:gridSpan w:val="6"/>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120" w:type="dxa"/>
            <w:vAlign w:val="bottom"/>
            <w:vMerge w:val="restart"/>
          </w:tcPr>
          <w:p>
            <w:pPr>
              <w:spacing w:after="0"/>
              <w:rPr>
                <w:sz w:val="2"/>
                <w:szCs w:val="2"/>
                <w:color w:val="auto"/>
              </w:rPr>
            </w:pPr>
          </w:p>
        </w:tc>
        <w:tc>
          <w:tcPr>
            <w:tcW w:w="64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5"/>
        </w:trPr>
        <w:tc>
          <w:tcPr>
            <w:tcW w:w="500" w:type="dxa"/>
            <w:vAlign w:val="bottom"/>
            <w:tcBorders>
              <w:bottom w:val="single" w:sz="8" w:color="auto"/>
            </w:tcBorders>
            <w:vMerge w:val="continue"/>
          </w:tcPr>
          <w:p>
            <w:pPr>
              <w:spacing w:after="0"/>
              <w:rPr>
                <w:sz w:val="11"/>
                <w:szCs w:val="11"/>
                <w:color w:val="auto"/>
              </w:rPr>
            </w:pPr>
          </w:p>
        </w:tc>
        <w:tc>
          <w:tcPr>
            <w:tcW w:w="220" w:type="dxa"/>
            <w:vAlign w:val="bottom"/>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580" w:type="dxa"/>
            <w:vAlign w:val="bottom"/>
            <w:tcBorders>
              <w:bottom w:val="single" w:sz="8" w:color="auto"/>
            </w:tcBorders>
            <w:vMerge w:val="continue"/>
          </w:tcPr>
          <w:p>
            <w:pPr>
              <w:spacing w:after="0"/>
              <w:rPr>
                <w:sz w:val="11"/>
                <w:szCs w:val="11"/>
                <w:color w:val="auto"/>
              </w:rPr>
            </w:pPr>
          </w:p>
        </w:tc>
        <w:tc>
          <w:tcPr>
            <w:tcW w:w="680" w:type="dxa"/>
            <w:vAlign w:val="bottom"/>
            <w:tcBorders>
              <w:bottom w:val="single" w:sz="8" w:color="auto"/>
            </w:tcBorders>
            <w:vMerge w:val="continue"/>
          </w:tcPr>
          <w:p>
            <w:pPr>
              <w:spacing w:after="0"/>
              <w:rPr>
                <w:sz w:val="11"/>
                <w:szCs w:val="11"/>
                <w:color w:val="auto"/>
              </w:rPr>
            </w:pPr>
          </w:p>
        </w:tc>
        <w:tc>
          <w:tcPr>
            <w:tcW w:w="3920" w:type="dxa"/>
            <w:vAlign w:val="bottom"/>
            <w:tcBorders>
              <w:bottom w:val="single" w:sz="8" w:color="auto"/>
            </w:tcBorders>
            <w:gridSpan w:val="6"/>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480" w:type="dxa"/>
            <w:vAlign w:val="bottom"/>
            <w:tcBorders>
              <w:bottom w:val="single" w:sz="8" w:color="auto"/>
            </w:tcBorders>
          </w:tcPr>
          <w:p>
            <w:pPr>
              <w:ind w:left="60"/>
              <w:spacing w:after="0" w:line="129" w:lineRule="exact"/>
              <w:rPr>
                <w:sz w:val="20"/>
                <w:szCs w:val="20"/>
                <w:color w:val="auto"/>
              </w:rPr>
            </w:pPr>
            <w:r>
              <w:rPr>
                <w:rFonts w:ascii="Times New Roman" w:cs="Times New Roman" w:eastAsia="Times New Roman" w:hAnsi="Times New Roman"/>
                <w:sz w:val="14"/>
                <w:szCs w:val="14"/>
                <w:b w:val="1"/>
                <w:bCs w:val="1"/>
                <w:color w:val="auto"/>
              </w:rPr>
              <w:t>Form</w:t>
            </w:r>
          </w:p>
        </w:tc>
        <w:tc>
          <w:tcPr>
            <w:tcW w:w="160" w:type="dxa"/>
            <w:vAlign w:val="bottom"/>
          </w:tcPr>
          <w:p>
            <w:pPr>
              <w:spacing w:after="0"/>
              <w:rPr>
                <w:sz w:val="11"/>
                <w:szCs w:val="11"/>
                <w:color w:val="auto"/>
              </w:rPr>
            </w:pPr>
          </w:p>
        </w:tc>
        <w:tc>
          <w:tcPr>
            <w:tcW w:w="940" w:type="dxa"/>
            <w:vAlign w:val="bottom"/>
            <w:tcBorders>
              <w:bottom w:val="single" w:sz="8" w:color="auto"/>
            </w:tcBorders>
          </w:tcPr>
          <w:p>
            <w:pPr>
              <w:jc w:val="right"/>
              <w:ind w:right="157"/>
              <w:spacing w:after="0" w:line="129" w:lineRule="exact"/>
              <w:rPr>
                <w:sz w:val="20"/>
                <w:szCs w:val="20"/>
                <w:color w:val="auto"/>
              </w:rPr>
            </w:pPr>
            <w:r>
              <w:rPr>
                <w:rFonts w:ascii="Times New Roman" w:cs="Times New Roman" w:eastAsia="Times New Roman" w:hAnsi="Times New Roman"/>
                <w:sz w:val="14"/>
                <w:szCs w:val="14"/>
                <w:b w:val="1"/>
                <w:bCs w:val="1"/>
                <w:color w:val="auto"/>
              </w:rPr>
              <w:t>File No.</w:t>
            </w:r>
          </w:p>
        </w:tc>
        <w:tc>
          <w:tcPr>
            <w:tcW w:w="160" w:type="dxa"/>
            <w:vAlign w:val="bottom"/>
          </w:tcPr>
          <w:p>
            <w:pPr>
              <w:spacing w:after="0"/>
              <w:rPr>
                <w:sz w:val="11"/>
                <w:szCs w:val="11"/>
                <w:color w:val="auto"/>
              </w:rPr>
            </w:pPr>
          </w:p>
        </w:tc>
        <w:tc>
          <w:tcPr>
            <w:tcW w:w="460" w:type="dxa"/>
            <w:vAlign w:val="bottom"/>
            <w:tcBorders>
              <w:bottom w:val="single" w:sz="8" w:color="auto"/>
            </w:tcBorders>
          </w:tcPr>
          <w:p>
            <w:pPr>
              <w:jc w:val="right"/>
              <w:spacing w:after="0" w:line="129" w:lineRule="exact"/>
              <w:rPr>
                <w:sz w:val="20"/>
                <w:szCs w:val="20"/>
                <w:color w:val="auto"/>
              </w:rPr>
            </w:pPr>
            <w:r>
              <w:rPr>
                <w:rFonts w:ascii="Times New Roman" w:cs="Times New Roman" w:eastAsia="Times New Roman" w:hAnsi="Times New Roman"/>
                <w:sz w:val="14"/>
                <w:szCs w:val="14"/>
                <w:b w:val="1"/>
                <w:bCs w:val="1"/>
                <w:color w:val="auto"/>
                <w:w w:val="99"/>
              </w:rPr>
              <w:t>Exhibit</w:t>
            </w:r>
          </w:p>
        </w:tc>
        <w:tc>
          <w:tcPr>
            <w:tcW w:w="160" w:type="dxa"/>
            <w:vAlign w:val="bottom"/>
          </w:tcPr>
          <w:p>
            <w:pPr>
              <w:spacing w:after="0"/>
              <w:rPr>
                <w:sz w:val="11"/>
                <w:szCs w:val="11"/>
                <w:color w:val="auto"/>
              </w:rPr>
            </w:pPr>
          </w:p>
        </w:tc>
        <w:tc>
          <w:tcPr>
            <w:tcW w:w="1200" w:type="dxa"/>
            <w:vAlign w:val="bottom"/>
            <w:tcBorders>
              <w:bottom w:val="single" w:sz="8" w:color="auto"/>
            </w:tcBorders>
          </w:tcPr>
          <w:p>
            <w:pPr>
              <w:ind w:left="260"/>
              <w:spacing w:after="0" w:line="129" w:lineRule="exact"/>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270"/>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220" w:type="dxa"/>
            <w:vAlign w:val="bottom"/>
          </w:tcPr>
          <w:p>
            <w:pPr>
              <w:spacing w:after="0"/>
              <w:rPr>
                <w:sz w:val="23"/>
                <w:szCs w:val="23"/>
                <w:color w:val="auto"/>
              </w:rPr>
            </w:pPr>
          </w:p>
        </w:tc>
        <w:tc>
          <w:tcPr>
            <w:tcW w:w="6680" w:type="dxa"/>
            <w:vAlign w:val="bottom"/>
            <w:gridSpan w:val="10"/>
          </w:tcPr>
          <w:p>
            <w:pPr>
              <w:spacing w:after="0"/>
              <w:rPr>
                <w:rFonts w:ascii="Times New Roman" w:cs="Times New Roman" w:eastAsia="Times New Roman" w:hAnsi="Times New Roman"/>
                <w:sz w:val="18"/>
                <w:szCs w:val="18"/>
                <w:color w:val="0000EE"/>
              </w:rPr>
            </w:pPr>
            <w:hyperlink r:id="rId28">
              <w:r>
                <w:rPr>
                  <w:rFonts w:ascii="Times New Roman" w:cs="Times New Roman" w:eastAsia="Times New Roman" w:hAnsi="Times New Roman"/>
                  <w:sz w:val="18"/>
                  <w:szCs w:val="18"/>
                  <w:color w:val="0000EE"/>
                </w:rPr>
                <w:t>Specimen common stock certificate of the Registrant</w:t>
              </w:r>
            </w:hyperlink>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S-1/A</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333-216574</w:t>
            </w:r>
          </w:p>
        </w:tc>
        <w:tc>
          <w:tcPr>
            <w:tcW w:w="160" w:type="dxa"/>
            <w:vAlign w:val="bottom"/>
          </w:tcPr>
          <w:p>
            <w:pPr>
              <w:spacing w:after="0"/>
              <w:rPr>
                <w:sz w:val="23"/>
                <w:szCs w:val="23"/>
                <w:color w:val="auto"/>
              </w:rPr>
            </w:pPr>
          </w:p>
        </w:tc>
        <w:tc>
          <w:tcPr>
            <w:tcW w:w="46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4.1</w:t>
            </w:r>
          </w:p>
        </w:tc>
        <w:tc>
          <w:tcPr>
            <w:tcW w:w="160" w:type="dxa"/>
            <w:vAlign w:val="bottom"/>
          </w:tcPr>
          <w:p>
            <w:pPr>
              <w:spacing w:after="0"/>
              <w:rPr>
                <w:sz w:val="23"/>
                <w:szCs w:val="23"/>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April 3, 2017</w:t>
            </w: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5.1*</w:t>
            </w:r>
          </w:p>
        </w:tc>
        <w:tc>
          <w:tcPr>
            <w:tcW w:w="220" w:type="dxa"/>
            <w:vAlign w:val="bottom"/>
          </w:tcPr>
          <w:p>
            <w:pPr>
              <w:spacing w:after="0"/>
              <w:rPr>
                <w:sz w:val="24"/>
                <w:szCs w:val="24"/>
                <w:color w:val="auto"/>
              </w:rPr>
            </w:pPr>
          </w:p>
        </w:tc>
        <w:tc>
          <w:tcPr>
            <w:tcW w:w="3720" w:type="dxa"/>
            <w:vAlign w:val="bottom"/>
            <w:tcBorders>
              <w:top w:val="single" w:sz="8" w:color="0000EE"/>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8"/>
              </w:rPr>
              <w:t>Opinion of Wilson Sonsini Goodrich &amp; Rosati, P.C.</w:t>
            </w:r>
          </w:p>
        </w:tc>
        <w:tc>
          <w:tcPr>
            <w:tcW w:w="80" w:type="dxa"/>
            <w:vAlign w:val="bottom"/>
            <w:tcBorders>
              <w:top w:val="single" w:sz="8" w:color="0000EE"/>
            </w:tcBorders>
          </w:tcPr>
          <w:p>
            <w:pPr>
              <w:spacing w:after="0"/>
              <w:rPr>
                <w:sz w:val="24"/>
                <w:szCs w:val="24"/>
                <w:color w:val="auto"/>
              </w:rPr>
            </w:pPr>
          </w:p>
        </w:tc>
        <w:tc>
          <w:tcPr>
            <w:tcW w:w="2880" w:type="dxa"/>
            <w:vAlign w:val="bottom"/>
            <w:gridSpan w:val="5"/>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600" w:type="dxa"/>
            <w:vAlign w:val="bottom"/>
            <w:gridSpan w:val="2"/>
          </w:tcPr>
          <w:p>
            <w:pPr>
              <w:ind w:left="220"/>
              <w:spacing w:after="0"/>
              <w:rPr>
                <w:rFonts w:ascii="Times New Roman" w:cs="Times New Roman" w:eastAsia="Times New Roman" w:hAnsi="Times New Roman"/>
                <w:sz w:val="18"/>
                <w:szCs w:val="18"/>
                <w:color w:val="0000EE"/>
                <w:w w:val="99"/>
              </w:rPr>
            </w:pPr>
            <w:hyperlink r:id="rId29">
              <w:r>
                <w:rPr>
                  <w:rFonts w:ascii="Times New Roman" w:cs="Times New Roman" w:eastAsia="Times New Roman" w:hAnsi="Times New Roman"/>
                  <w:sz w:val="18"/>
                  <w:szCs w:val="18"/>
                  <w:color w:val="0000EE"/>
                  <w:w w:val="99"/>
                </w:rPr>
                <w:t>2021</w:t>
              </w:r>
            </w:hyperlink>
          </w:p>
        </w:tc>
        <w:tc>
          <w:tcPr>
            <w:tcW w:w="6300" w:type="dxa"/>
            <w:vAlign w:val="bottom"/>
            <w:gridSpan w:val="9"/>
          </w:tcPr>
          <w:p>
            <w:pPr>
              <w:ind w:left="20"/>
              <w:spacing w:after="0"/>
              <w:rPr>
                <w:rFonts w:ascii="Times New Roman" w:cs="Times New Roman" w:eastAsia="Times New Roman" w:hAnsi="Times New Roman"/>
                <w:sz w:val="18"/>
                <w:szCs w:val="18"/>
                <w:color w:val="0000EE"/>
              </w:rPr>
            </w:pPr>
            <w:hyperlink r:id="rId29">
              <w:r>
                <w:rPr>
                  <w:rFonts w:ascii="Times New Roman" w:cs="Times New Roman" w:eastAsia="Times New Roman" w:hAnsi="Times New Roman"/>
                  <w:sz w:val="18"/>
                  <w:szCs w:val="18"/>
                  <w:color w:val="0000EE"/>
                </w:rPr>
                <w:t>Equity Incentive Plan</w:t>
              </w:r>
            </w:hyperlink>
          </w:p>
        </w:tc>
        <w:tc>
          <w:tcPr>
            <w:tcW w:w="6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10-K</w:t>
            </w:r>
          </w:p>
        </w:tc>
        <w:tc>
          <w:tcPr>
            <w:tcW w:w="15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001-38052   10.32</w:t>
            </w:r>
          </w:p>
        </w:tc>
        <w:tc>
          <w:tcPr>
            <w:tcW w:w="160" w:type="dxa"/>
            <w:vAlign w:val="bottom"/>
          </w:tcPr>
          <w:p>
            <w:pPr>
              <w:spacing w:after="0"/>
              <w:rPr>
                <w:sz w:val="24"/>
                <w:szCs w:val="24"/>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2022</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600" w:type="dxa"/>
            <w:vAlign w:val="bottom"/>
            <w:gridSpan w:val="2"/>
          </w:tcPr>
          <w:p>
            <w:pPr>
              <w:ind w:left="220"/>
              <w:spacing w:after="0"/>
              <w:rPr>
                <w:rFonts w:ascii="Times New Roman" w:cs="Times New Roman" w:eastAsia="Times New Roman" w:hAnsi="Times New Roman"/>
                <w:sz w:val="18"/>
                <w:szCs w:val="18"/>
                <w:color w:val="0000EE"/>
                <w:w w:val="99"/>
              </w:rPr>
            </w:pPr>
            <w:hyperlink r:id="rId30">
              <w:r>
                <w:rPr>
                  <w:rFonts w:ascii="Times New Roman" w:cs="Times New Roman" w:eastAsia="Times New Roman" w:hAnsi="Times New Roman"/>
                  <w:sz w:val="18"/>
                  <w:szCs w:val="18"/>
                  <w:color w:val="0000EE"/>
                  <w:w w:val="99"/>
                </w:rPr>
                <w:t>2017</w:t>
              </w:r>
            </w:hyperlink>
          </w:p>
        </w:tc>
        <w:tc>
          <w:tcPr>
            <w:tcW w:w="6300" w:type="dxa"/>
            <w:vAlign w:val="bottom"/>
            <w:gridSpan w:val="9"/>
          </w:tcPr>
          <w:p>
            <w:pPr>
              <w:ind w:left="20"/>
              <w:spacing w:after="0"/>
              <w:rPr>
                <w:rFonts w:ascii="Times New Roman" w:cs="Times New Roman" w:eastAsia="Times New Roman" w:hAnsi="Times New Roman"/>
                <w:sz w:val="18"/>
                <w:szCs w:val="18"/>
                <w:color w:val="0000EE"/>
              </w:rPr>
            </w:pPr>
            <w:hyperlink r:id="rId30">
              <w:r>
                <w:rPr>
                  <w:rFonts w:ascii="Times New Roman" w:cs="Times New Roman" w:eastAsia="Times New Roman" w:hAnsi="Times New Roman"/>
                  <w:sz w:val="18"/>
                  <w:szCs w:val="18"/>
                  <w:color w:val="0000EE"/>
                </w:rPr>
                <w:t>Employee Stock Purchase Plan</w:t>
              </w:r>
            </w:hyperlink>
          </w:p>
        </w:tc>
        <w:tc>
          <w:tcPr>
            <w:tcW w:w="6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S-1/A</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333-216574</w:t>
            </w:r>
          </w:p>
        </w:tc>
        <w:tc>
          <w:tcPr>
            <w:tcW w:w="16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w:t>
            </w:r>
          </w:p>
        </w:tc>
        <w:tc>
          <w:tcPr>
            <w:tcW w:w="160" w:type="dxa"/>
            <w:vAlign w:val="bottom"/>
          </w:tcPr>
          <w:p>
            <w:pPr>
              <w:spacing w:after="0"/>
              <w:rPr>
                <w:sz w:val="24"/>
                <w:szCs w:val="24"/>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April 3, 2017</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40" w:type="dxa"/>
            <w:vAlign w:val="bottom"/>
            <w:gridSpan w:val="3"/>
            <w:shd w:val="clear" w:color="auto" w:fill="0000EE"/>
          </w:tcPr>
          <w:p>
            <w:pPr>
              <w:spacing w:after="0" w:line="20" w:lineRule="exact"/>
              <w:rPr>
                <w:sz w:val="1"/>
                <w:szCs w:val="1"/>
                <w:color w:val="auto"/>
              </w:rPr>
            </w:pPr>
          </w:p>
        </w:tc>
        <w:tc>
          <w:tcPr>
            <w:tcW w:w="16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23.1*</w:t>
            </w:r>
          </w:p>
        </w:tc>
        <w:tc>
          <w:tcPr>
            <w:tcW w:w="220" w:type="dxa"/>
            <w:vAlign w:val="bottom"/>
          </w:tcPr>
          <w:p>
            <w:pPr>
              <w:spacing w:after="0"/>
              <w:rPr>
                <w:sz w:val="24"/>
                <w:szCs w:val="24"/>
                <w:color w:val="auto"/>
              </w:rPr>
            </w:pPr>
          </w:p>
        </w:tc>
        <w:tc>
          <w:tcPr>
            <w:tcW w:w="4360" w:type="dxa"/>
            <w:vAlign w:val="bottom"/>
            <w:tcBorders>
              <w:bottom w:val="single" w:sz="8" w:color="0000EE"/>
            </w:tcBorders>
            <w:gridSpan w:val="7"/>
          </w:tcPr>
          <w:p>
            <w:pPr>
              <w:spacing w:after="0"/>
              <w:rPr>
                <w:sz w:val="20"/>
                <w:szCs w:val="20"/>
                <w:color w:val="auto"/>
              </w:rPr>
            </w:pPr>
            <w:r>
              <w:rPr>
                <w:rFonts w:ascii="Times New Roman" w:cs="Times New Roman" w:eastAsia="Times New Roman" w:hAnsi="Times New Roman"/>
                <w:sz w:val="18"/>
                <w:szCs w:val="18"/>
                <w:color w:val="0000EE"/>
                <w:w w:val="99"/>
              </w:rPr>
              <w:t>Consent of Independent Registered Public Accounting Firm.</w:t>
            </w:r>
          </w:p>
        </w:tc>
        <w:tc>
          <w:tcPr>
            <w:tcW w:w="2320" w:type="dxa"/>
            <w:vAlign w:val="bottom"/>
            <w:gridSpan w:val="3"/>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23.3*</w:t>
            </w:r>
          </w:p>
        </w:tc>
        <w:tc>
          <w:tcPr>
            <w:tcW w:w="220" w:type="dxa"/>
            <w:vAlign w:val="bottom"/>
          </w:tcPr>
          <w:p>
            <w:pPr>
              <w:spacing w:after="0"/>
              <w:rPr>
                <w:sz w:val="24"/>
                <w:szCs w:val="24"/>
                <w:color w:val="auto"/>
              </w:rPr>
            </w:pPr>
          </w:p>
        </w:tc>
        <w:tc>
          <w:tcPr>
            <w:tcW w:w="6680" w:type="dxa"/>
            <w:vAlign w:val="bottom"/>
            <w:gridSpan w:val="10"/>
          </w:tcPr>
          <w:p>
            <w:pPr>
              <w:spacing w:after="0"/>
              <w:rPr>
                <w:sz w:val="20"/>
                <w:szCs w:val="20"/>
                <w:color w:val="auto"/>
              </w:rPr>
            </w:pPr>
            <w:r>
              <w:rPr>
                <w:rFonts w:ascii="Times New Roman" w:cs="Times New Roman" w:eastAsia="Times New Roman" w:hAnsi="Times New Roman"/>
                <w:sz w:val="18"/>
                <w:szCs w:val="18"/>
                <w:color w:val="0000EE"/>
              </w:rPr>
              <w:t>Consent of Wilson Sonsini Goodrich &amp; Rosati, P.C. (included in Exhibit 5.1 hereto).</w:t>
            </w: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24.1*</w:t>
            </w:r>
          </w:p>
        </w:tc>
        <w:tc>
          <w:tcPr>
            <w:tcW w:w="220" w:type="dxa"/>
            <w:vAlign w:val="bottom"/>
          </w:tcPr>
          <w:p>
            <w:pPr>
              <w:spacing w:after="0"/>
              <w:rPr>
                <w:sz w:val="24"/>
                <w:szCs w:val="24"/>
                <w:color w:val="auto"/>
              </w:rPr>
            </w:pPr>
          </w:p>
        </w:tc>
        <w:tc>
          <w:tcPr>
            <w:tcW w:w="4240" w:type="dxa"/>
            <w:vAlign w:val="bottom"/>
            <w:tcBorders>
              <w:top w:val="single" w:sz="8" w:color="0000EE"/>
              <w:bottom w:val="single" w:sz="8" w:color="0000EE"/>
            </w:tcBorders>
            <w:gridSpan w:val="6"/>
          </w:tcPr>
          <w:p>
            <w:pPr>
              <w:spacing w:after="0"/>
              <w:rPr>
                <w:sz w:val="20"/>
                <w:szCs w:val="20"/>
                <w:color w:val="auto"/>
              </w:rPr>
            </w:pPr>
            <w:r>
              <w:rPr>
                <w:rFonts w:ascii="Times New Roman" w:cs="Times New Roman" w:eastAsia="Times New Roman" w:hAnsi="Times New Roman"/>
                <w:sz w:val="18"/>
                <w:szCs w:val="18"/>
                <w:color w:val="0000EE"/>
                <w:w w:val="99"/>
              </w:rPr>
              <w:t>Power of Attorney (included on the signature page hereto).</w:t>
            </w:r>
          </w:p>
        </w:tc>
        <w:tc>
          <w:tcPr>
            <w:tcW w:w="1820" w:type="dxa"/>
            <w:vAlign w:val="bottom"/>
            <w:tcBorders>
              <w:top w:val="single" w:sz="8" w:color="0000EE"/>
            </w:tcBorders>
            <w:gridSpan w:val="2"/>
          </w:tcPr>
          <w:p>
            <w:pPr>
              <w:spacing w:after="0"/>
              <w:rPr>
                <w:sz w:val="24"/>
                <w:szCs w:val="24"/>
                <w:color w:val="auto"/>
              </w:rPr>
            </w:pPr>
          </w:p>
        </w:tc>
        <w:tc>
          <w:tcPr>
            <w:tcW w:w="620" w:type="dxa"/>
            <w:vAlign w:val="bottom"/>
            <w:gridSpan w:val="2"/>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17"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color w:val="auto"/>
        </w:rPr>
        <w:t>107*</w:t>
      </w:r>
      <w:r>
        <w:rPr>
          <w:sz w:val="20"/>
          <w:szCs w:val="20"/>
          <w:color w:val="auto"/>
        </w:rPr>
        <w:tab/>
      </w:r>
      <w:r>
        <w:rPr>
          <w:rFonts w:ascii="Times New Roman" w:cs="Times New Roman" w:eastAsia="Times New Roman" w:hAnsi="Times New Roman"/>
          <w:sz w:val="18"/>
          <w:szCs w:val="18"/>
          <w:u w:val="single" w:color="auto"/>
          <w:color w:val="0000EE"/>
        </w:rPr>
        <w:t>Filing Fee Table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herewith.</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 Undertakings.</w:t>
      </w:r>
    </w:p>
    <w:p>
      <w:pPr>
        <w:spacing w:after="0" w:line="1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 The undersigned Registrant hereby undertakes:</w:t>
      </w:r>
    </w:p>
    <w:p>
      <w:pPr>
        <w:spacing w:after="0" w:line="225" w:lineRule="exact"/>
        <w:rPr>
          <w:sz w:val="20"/>
          <w:szCs w:val="20"/>
          <w:color w:val="auto"/>
        </w:rPr>
      </w:pPr>
    </w:p>
    <w:p>
      <w:pPr>
        <w:ind w:left="700" w:hanging="264"/>
        <w:spacing w:after="0"/>
        <w:tabs>
          <w:tab w:leader="none" w:pos="7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225" w:lineRule="exact"/>
        <w:rPr>
          <w:rFonts w:ascii="Times New Roman" w:cs="Times New Roman" w:eastAsia="Times New Roman" w:hAnsi="Times New Roman"/>
          <w:sz w:val="18"/>
          <w:szCs w:val="18"/>
          <w:color w:val="auto"/>
        </w:rPr>
      </w:pPr>
    </w:p>
    <w:p>
      <w:pPr>
        <w:ind w:left="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To include any prospectus required by Section 10(a)(3) of the Securities Act;</w:t>
      </w:r>
    </w:p>
    <w:p>
      <w:pPr>
        <w:spacing w:after="0" w:line="225" w:lineRule="exact"/>
        <w:rPr>
          <w:sz w:val="20"/>
          <w:szCs w:val="20"/>
          <w:color w:val="auto"/>
        </w:rPr>
      </w:pPr>
    </w:p>
    <w:p>
      <w:pPr>
        <w:ind w:right="40" w:firstLine="436"/>
        <w:spacing w:after="0" w:line="274" w:lineRule="auto"/>
        <w:tabs>
          <w:tab w:leader="none" w:pos="705"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172" w:lineRule="exact"/>
        <w:rPr>
          <w:rFonts w:ascii="Times New Roman" w:cs="Times New Roman" w:eastAsia="Times New Roman" w:hAnsi="Times New Roman"/>
          <w:sz w:val="17"/>
          <w:szCs w:val="17"/>
          <w:color w:val="auto"/>
        </w:rPr>
      </w:pPr>
    </w:p>
    <w:p>
      <w:pPr>
        <w:ind w:right="380" w:firstLine="436"/>
        <w:spacing w:after="0" w:line="261" w:lineRule="auto"/>
        <w:tabs>
          <w:tab w:leader="none" w:pos="75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ind w:right="8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that paragraphs (A)(1)(i) and (A)(1)(ii) do not apply if the information required to be included in a post-effective amendment by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those paragraphs is contained in periodic reports filed with or furnished to the Commission by the Registrant pursuant to Section 13 or Section 15(d) of the Securities Exchange Act of 1934 that are incorporated by reference in this Registration Statement.</w:t>
      </w:r>
    </w:p>
    <w:p>
      <w:pPr>
        <w:spacing w:after="0" w:line="186" w:lineRule="exact"/>
        <w:rPr>
          <w:sz w:val="20"/>
          <w:szCs w:val="20"/>
          <w:color w:val="auto"/>
        </w:rPr>
      </w:pPr>
    </w:p>
    <w:p>
      <w:pPr>
        <w:ind w:right="100" w:firstLine="436"/>
        <w:spacing w:after="0" w:line="266" w:lineRule="auto"/>
        <w:tabs>
          <w:tab w:leader="none" w:pos="69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75" w:lineRule="exact"/>
        <w:rPr>
          <w:rFonts w:ascii="Times New Roman" w:cs="Times New Roman" w:eastAsia="Times New Roman" w:hAnsi="Times New Roman"/>
          <w:sz w:val="18"/>
          <w:szCs w:val="18"/>
          <w:color w:val="auto"/>
        </w:rPr>
      </w:pPr>
    </w:p>
    <w:p>
      <w:pPr>
        <w:ind w:right="600" w:firstLine="436"/>
        <w:spacing w:after="0" w:line="282" w:lineRule="auto"/>
        <w:tabs>
          <w:tab w:leader="none" w:pos="69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ectPr>
          <w:pgSz w:w="11900" w:h="16838" w:orient="portrait"/>
          <w:cols w:equalWidth="0" w:num="1">
            <w:col w:w="10960"/>
          </w:cols>
          <w:pgMar w:left="440" w:top="266" w:right="499" w:bottom="1440" w:gutter="0" w:footer="0" w:header="0"/>
        </w:sectPr>
      </w:pPr>
    </w:p>
    <w:bookmarkStart w:id="4" w:name="page5"/>
    <w:bookmarkEnd w:id="4"/>
    <w:p>
      <w:pPr>
        <w:ind w:right="40" w:firstLine="44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 The undersigned Registrant hereby undertakes that, for purposes of determining any liability under the Securities Act,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3"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color w:val="auto"/>
        </w:rPr>
        <w:t>C. Insofar as indemnification for liabilities arising under the Securities Act may be permitted to directors, officers and controlling persons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ectPr>
          <w:pgSz w:w="11900" w:h="16838" w:orient="portrait"/>
          <w:cols w:equalWidth="0" w:num="1">
            <w:col w:w="10940"/>
          </w:cols>
          <w:pgMar w:left="440" w:top="270" w:right="51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229" w:lineRule="exact"/>
        <w:rPr>
          <w:sz w:val="20"/>
          <w:szCs w:val="20"/>
          <w:color w:val="auto"/>
        </w:rPr>
      </w:pPr>
    </w:p>
    <w:p>
      <w:pPr>
        <w:ind w:right="360" w:firstLine="440"/>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the Registrant certifies that it has reasonable grounds to believe that it meets all of the requirements for filing on Form S-8 and has duly caused this Registration Statement to be signed on its behalf by the undersigned, thereunto duly authorized, in the City of Dallas, State of Texas, on June 24, 2022.</w:t>
      </w:r>
    </w:p>
    <w:p>
      <w:pPr>
        <w:spacing w:after="0" w:line="19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FORTE BIOSCIENCES, INC.</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Paul A. Wagner,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Paul A. Wagner, Ph.D.</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POWER OF ATTORNEY</w:t>
      </w:r>
    </w:p>
    <w:p>
      <w:pPr>
        <w:spacing w:after="0" w:line="229" w:lineRule="exact"/>
        <w:rPr>
          <w:sz w:val="20"/>
          <w:szCs w:val="20"/>
          <w:color w:val="auto"/>
        </w:rPr>
      </w:pPr>
    </w:p>
    <w:p>
      <w:pPr>
        <w:ind w:firstLine="440"/>
        <w:spacing w:after="0" w:line="255" w:lineRule="auto"/>
        <w:rPr>
          <w:sz w:val="20"/>
          <w:szCs w:val="20"/>
          <w:color w:val="auto"/>
        </w:rPr>
      </w:pPr>
      <w:r>
        <w:rPr>
          <w:rFonts w:ascii="Times New Roman" w:cs="Times New Roman" w:eastAsia="Times New Roman" w:hAnsi="Times New Roman"/>
          <w:sz w:val="18"/>
          <w:szCs w:val="18"/>
          <w:color w:val="auto"/>
        </w:rPr>
        <w:t>KNOW ALL PERSONS BY THESE PRESENTS, that each person whose signature appears below constitutes and appoints Paul A. Wagner Ph.D. and Antony Riley, and each of them, as such individual’s true and lawful attorney in fact and agent with full power of substitution, for such individual in any and all capacities, to sign any and all amendments to this Registration Statement on Form S-8 (including post-effective amendments), and to file the same, with all exhibits thereto and other documents in connection therewith, with the Securities and Exchange Commission, granting unto said attorney in fact, proxy and agent full power and authority to do and perform each and every act and thing requisite and necessary to be done in connection therewith, as fully for all intents and purposes as he or she might or could do in person, hereby ratifying and confirming all that said attorney in fact, proxy and agent, or the individual’s substitute, may lawfully do or cause to be done by virtue hereof.</w:t>
      </w:r>
    </w:p>
    <w:p>
      <w:pPr>
        <w:spacing w:after="0" w:line="189" w:lineRule="exact"/>
        <w:rPr>
          <w:sz w:val="20"/>
          <w:szCs w:val="20"/>
          <w:color w:val="auto"/>
        </w:rPr>
      </w:pPr>
    </w:p>
    <w:p>
      <w:pPr>
        <w:ind w:right="14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this Registration Statement has been signed by the following persons in the capacities and on the dates indicated: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4"/>
                <w:szCs w:val="14"/>
                <w:b w:val="1"/>
                <w:bCs w:val="1"/>
                <w:color w:val="auto"/>
              </w:rPr>
              <w:t>Signature</w:t>
            </w:r>
          </w:p>
        </w:tc>
        <w:tc>
          <w:tcPr>
            <w:tcW w:w="120" w:type="dxa"/>
            <w:vAlign w:val="bottom"/>
          </w:tcPr>
          <w:p>
            <w:pPr>
              <w:spacing w:after="0"/>
              <w:rPr>
                <w:sz w:val="15"/>
                <w:szCs w:val="15"/>
                <w:color w:val="auto"/>
              </w:rPr>
            </w:pPr>
          </w:p>
        </w:tc>
        <w:tc>
          <w:tcPr>
            <w:tcW w:w="3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Title</w:t>
            </w:r>
          </w:p>
        </w:tc>
        <w:tc>
          <w:tcPr>
            <w:tcW w:w="100" w:type="dxa"/>
            <w:vAlign w:val="bottom"/>
          </w:tcPr>
          <w:p>
            <w:pPr>
              <w:spacing w:after="0"/>
              <w:rPr>
                <w:sz w:val="15"/>
                <w:szCs w:val="15"/>
                <w:color w:val="auto"/>
              </w:rPr>
            </w:pPr>
          </w:p>
        </w:tc>
        <w:tc>
          <w:tcPr>
            <w:tcW w:w="3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Date</w:t>
            </w:r>
          </w:p>
        </w:tc>
      </w:tr>
      <w:tr>
        <w:trPr>
          <w:trHeight w:val="311"/>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Paul A. Wagner, Ph.D.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Director and Chief Executive Officer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Paul A. Wagner, Ph.D.</w:t>
            </w:r>
          </w:p>
        </w:tc>
        <w:tc>
          <w:tcPr>
            <w:tcW w:w="120" w:type="dxa"/>
            <w:vAlign w:val="bottom"/>
          </w:tcPr>
          <w:p>
            <w:pPr>
              <w:spacing w:after="0"/>
              <w:rPr>
                <w:sz w:val="19"/>
                <w:szCs w:val="19"/>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(Principal Executive Officer)</w:t>
            </w: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Antony Riley</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Chief Financial Officer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Antony Riley</w:t>
            </w:r>
          </w:p>
        </w:tc>
        <w:tc>
          <w:tcPr>
            <w:tcW w:w="120" w:type="dxa"/>
            <w:vAlign w:val="bottom"/>
          </w:tcPr>
          <w:p>
            <w:pPr>
              <w:spacing w:after="0"/>
              <w:rPr>
                <w:sz w:val="19"/>
                <w:szCs w:val="19"/>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Stephen Doberstein, Ph.D.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Stephen Doberstein, Ph.D.</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Lawrence Eichenfield, M.D.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Lawrence Eichenfield, M.D.</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Barbara Finck, M.D.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Barbara Finck, M.D.</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Steven Kornfeld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Steven Kornfeld</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Patricia Walker, M.D, Ph.D.</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Patricia Walker, M.D, Ph.D.</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19"/>
        </w:trPr>
        <w:tc>
          <w:tcPr>
            <w:tcW w:w="38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Donald A. Williams</w:t>
            </w:r>
          </w:p>
        </w:tc>
        <w:tc>
          <w:tcPr>
            <w:tcW w:w="120" w:type="dxa"/>
            <w:vAlign w:val="bottom"/>
          </w:tcPr>
          <w:p>
            <w:pPr>
              <w:spacing w:after="0"/>
              <w:rPr>
                <w:sz w:val="24"/>
                <w:szCs w:val="24"/>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Director</w:t>
            </w:r>
          </w:p>
        </w:tc>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June 24, 2022</w:t>
            </w:r>
          </w:p>
        </w:tc>
      </w:tr>
      <w:tr>
        <w:trPr>
          <w:trHeight w:val="228"/>
        </w:trPr>
        <w:tc>
          <w:tcPr>
            <w:tcW w:w="3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Donald A. Williams</w:t>
            </w:r>
          </w:p>
        </w:tc>
        <w:tc>
          <w:tcPr>
            <w:tcW w:w="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r>
    </w:tbl>
    <w:p>
      <w:pPr>
        <w:sectPr>
          <w:pgSz w:w="11900" w:h="16838" w:orient="portrait"/>
          <w:cols w:equalWidth="0" w:num="1">
            <w:col w:w="11020"/>
          </w:cols>
          <w:pgMar w:left="440" w:top="266" w:right="439" w:bottom="1440" w:gutter="0" w:footer="0" w:header="0"/>
        </w:sectPr>
      </w:pPr>
    </w:p>
    <w:bookmarkStart w:id="6" w:name="page7"/>
    <w:bookmarkEnd w:id="6"/>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52"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14"/>
          <w:szCs w:val="14"/>
          <w:color w:val="auto"/>
        </w:rPr>
        <w:t>Wilson Sonsini Goodrich &amp; Rosati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-86995</wp:posOffset>
            </wp:positionV>
            <wp:extent cx="1097280" cy="4114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extLst>
                    </a:blip>
                    <a:srcRect/>
                    <a:stretch>
                      <a:fillRect/>
                    </a:stretch>
                  </pic:blipFill>
                  <pic:spPr bwMode="auto">
                    <a:xfrm>
                      <a:off x="0" y="0"/>
                      <a:ext cx="1097280" cy="411480"/>
                    </a:xfrm>
                    <a:prstGeom prst="rect">
                      <a:avLst/>
                    </a:prstGeom>
                    <a:noFill/>
                  </pic:spPr>
                </pic:pic>
              </a:graphicData>
            </a:graphic>
          </wp:anchor>
        </w:drawing>
      </w:r>
    </w:p>
    <w:p>
      <w:pPr>
        <w:ind w:left="8600"/>
        <w:spacing w:after="0"/>
        <w:rPr>
          <w:sz w:val="20"/>
          <w:szCs w:val="20"/>
          <w:color w:val="auto"/>
        </w:rPr>
      </w:pPr>
      <w:r>
        <w:rPr>
          <w:rFonts w:ascii="Times New Roman" w:cs="Times New Roman" w:eastAsia="Times New Roman" w:hAnsi="Times New Roman"/>
          <w:sz w:val="14"/>
          <w:szCs w:val="14"/>
          <w:color w:val="auto"/>
        </w:rPr>
        <w:t>Professional Corporation</w:t>
      </w:r>
    </w:p>
    <w:p>
      <w:pPr>
        <w:spacing w:after="0" w:line="93"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14"/>
          <w:szCs w:val="14"/>
          <w:color w:val="auto"/>
        </w:rPr>
        <w:t>650 Page Mill Road</w:t>
      </w:r>
    </w:p>
    <w:p>
      <w:pPr>
        <w:spacing w:after="0" w:line="4"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14"/>
          <w:szCs w:val="14"/>
          <w:color w:val="auto"/>
        </w:rPr>
        <w:t>Palo Alto, California 94304-1050</w:t>
      </w:r>
    </w:p>
    <w:p>
      <w:pPr>
        <w:spacing w:after="0" w:line="93"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12"/>
          <w:szCs w:val="12"/>
          <w:color w:val="auto"/>
        </w:rPr>
        <w:t>O</w:t>
      </w:r>
      <w:r>
        <w:rPr>
          <w:rFonts w:ascii="Times New Roman" w:cs="Times New Roman" w:eastAsia="Times New Roman" w:hAnsi="Times New Roman"/>
          <w:sz w:val="14"/>
          <w:szCs w:val="14"/>
          <w:color w:val="auto"/>
        </w:rPr>
        <w:t>: 650.493.9300</w:t>
      </w:r>
    </w:p>
    <w:p>
      <w:pPr>
        <w:spacing w:after="0" w:line="4"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12"/>
          <w:szCs w:val="12"/>
          <w:color w:val="auto"/>
        </w:rPr>
        <w:t>F</w:t>
      </w:r>
      <w:r>
        <w:rPr>
          <w:rFonts w:ascii="Times New Roman" w:cs="Times New Roman" w:eastAsia="Times New Roman" w:hAnsi="Times New Roman"/>
          <w:sz w:val="14"/>
          <w:szCs w:val="14"/>
          <w:color w:val="auto"/>
        </w:rPr>
        <w:t>: 650.493.6811</w:t>
      </w: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June 24, 2022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Forte Biosciences,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3060 Pegasus Park Dr.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Building 6</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Dallas, Texas 75247</w:t>
      </w:r>
    </w:p>
    <w:p>
      <w:pPr>
        <w:spacing w:after="0" w:line="230" w:lineRule="exact"/>
        <w:rPr>
          <w:sz w:val="20"/>
          <w:szCs w:val="20"/>
          <w:color w:val="auto"/>
        </w:rPr>
      </w:pPr>
    </w:p>
    <w:p>
      <w:pPr>
        <w:ind w:left="420"/>
        <w:spacing w:after="0"/>
        <w:tabs>
          <w:tab w:leader="none" w:pos="940" w:val="left"/>
        </w:tabs>
        <w:rPr>
          <w:sz w:val="20"/>
          <w:szCs w:val="20"/>
          <w:color w:val="auto"/>
        </w:rPr>
      </w:pPr>
      <w:r>
        <w:rPr>
          <w:rFonts w:ascii="Times New Roman" w:cs="Times New Roman" w:eastAsia="Times New Roman" w:hAnsi="Times New Roman"/>
          <w:sz w:val="18"/>
          <w:szCs w:val="18"/>
          <w:b w:val="1"/>
          <w:bCs w:val="1"/>
          <w:color w:val="auto"/>
        </w:rPr>
        <w:t>Re:</w:t>
        <w:tab/>
        <w:t>Registration Statement on Form S-8</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40" w:firstLine="440"/>
        <w:spacing w:after="0" w:line="255" w:lineRule="auto"/>
        <w:rPr>
          <w:sz w:val="20"/>
          <w:szCs w:val="20"/>
          <w:color w:val="auto"/>
        </w:rPr>
      </w:pPr>
      <w:r>
        <w:rPr>
          <w:rFonts w:ascii="Times New Roman" w:cs="Times New Roman" w:eastAsia="Times New Roman" w:hAnsi="Times New Roman"/>
          <w:sz w:val="18"/>
          <w:szCs w:val="18"/>
          <w:color w:val="auto"/>
        </w:rPr>
        <w:t>We have examined the Registration Statement on Form S-8 (the “Registration Statement”) to be filed by Forte Biosciences, Inc., a Delaware corporation (the “Company”), with the Securities and Exchange Commission on or about the date hereof, in connection with the registration under the Securities Act of 1933, as amended, of (i) 2,500,000 shares of your common stock, par value $0.001 per share (“Common Stock”), reserved for future issuance pursuant to the Forte Biosciences, Inc. 2021 Equity Incentive Plan, as amended and (ii) 147,544 shares of Common Stock reserved for issuance pursuant to the Company’s 2017 Employee Stock Purchase Plan, as amended. As your legal counsel, we have reviewed the actions proposed to be taken by you in connection with the issuance and sale of the Shares to be issued under such plans (which plans are referred to herein as the “Plans” and which shares of Common Stock are referred to herein as the “Shares”).</w:t>
      </w:r>
    </w:p>
    <w:p>
      <w:pPr>
        <w:spacing w:after="0" w:line="189" w:lineRule="exact"/>
        <w:rPr>
          <w:sz w:val="20"/>
          <w:szCs w:val="20"/>
          <w:color w:val="auto"/>
        </w:rPr>
      </w:pPr>
    </w:p>
    <w:p>
      <w:pPr>
        <w:ind w:right="260" w:firstLine="440"/>
        <w:spacing w:after="0" w:line="282" w:lineRule="auto"/>
        <w:rPr>
          <w:sz w:val="20"/>
          <w:szCs w:val="20"/>
          <w:color w:val="auto"/>
        </w:rPr>
      </w:pPr>
      <w:r>
        <w:rPr>
          <w:rFonts w:ascii="Times New Roman" w:cs="Times New Roman" w:eastAsia="Times New Roman" w:hAnsi="Times New Roman"/>
          <w:sz w:val="18"/>
          <w:szCs w:val="18"/>
          <w:color w:val="auto"/>
        </w:rPr>
        <w:t>It is our opinion that the Shares, when issued and sold in the manner referred to in the Plans and pursuant to the agreements that accompany the Plans, will be legally and validly issued, fully paid and nonassessable.</w:t>
      </w:r>
    </w:p>
    <w:p>
      <w:pPr>
        <w:spacing w:after="0" w:line="162" w:lineRule="exact"/>
        <w:rPr>
          <w:sz w:val="20"/>
          <w:szCs w:val="20"/>
          <w:color w:val="auto"/>
        </w:rPr>
      </w:pPr>
    </w:p>
    <w:p>
      <w:pPr>
        <w:ind w:right="40" w:firstLine="440"/>
        <w:spacing w:after="0" w:line="282" w:lineRule="auto"/>
        <w:rPr>
          <w:sz w:val="20"/>
          <w:szCs w:val="20"/>
          <w:color w:val="auto"/>
        </w:rPr>
      </w:pPr>
      <w:r>
        <w:rPr>
          <w:rFonts w:ascii="Times New Roman" w:cs="Times New Roman" w:eastAsia="Times New Roman" w:hAnsi="Times New Roman"/>
          <w:sz w:val="18"/>
          <w:szCs w:val="18"/>
          <w:color w:val="auto"/>
        </w:rPr>
        <w:t>We consent to the use of this opinion as an exhibit to the Registration Statement, and further consent to the use of our name wherever appearing in the Registration Statement and any amendments thereto.</w:t>
      </w:r>
    </w:p>
    <w:p>
      <w:pPr>
        <w:spacing w:after="0" w:line="16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/s/ Wilson Sonsini Goodrich &amp; Rosati, P.C.</w:t>
      </w:r>
    </w:p>
    <w:p>
      <w:pPr>
        <w:spacing w:after="0" w:line="225"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WILSON SONSINI GOODRICH &amp; ROSATI</w:t>
      </w:r>
    </w:p>
    <w:p>
      <w:pPr>
        <w:spacing w:after="0" w:line="2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Professional Corporation</w:t>
      </w:r>
    </w:p>
    <w:p>
      <w:pPr>
        <w:sectPr>
          <w:pgSz w:w="11900" w:h="16838" w:orient="portrait"/>
          <w:cols w:equalWidth="0" w:num="1">
            <w:col w:w="11020"/>
          </w:cols>
          <w:pgMar w:left="440" w:top="117" w:right="439" w:bottom="1440" w:gutter="0" w:footer="0" w:header="0"/>
        </w:sectPr>
      </w:pPr>
    </w:p>
    <w:p>
      <w:pPr>
        <w:spacing w:after="0" w:line="202" w:lineRule="exact"/>
        <w:rPr>
          <w:sz w:val="20"/>
          <w:szCs w:val="20"/>
          <w:color w:val="auto"/>
        </w:rPr>
      </w:pPr>
    </w:p>
    <w:p>
      <w:pPr>
        <w:ind w:left="1180"/>
        <w:spacing w:after="0"/>
        <w:tabs>
          <w:tab w:leader="none" w:pos="1960" w:val="left"/>
          <w:tab w:leader="none" w:pos="2800" w:val="left"/>
        </w:tabs>
        <w:rPr>
          <w:sz w:val="20"/>
          <w:szCs w:val="20"/>
          <w:color w:val="auto"/>
        </w:rPr>
      </w:pPr>
      <w:r>
        <w:rPr>
          <w:rFonts w:ascii="Times New Roman" w:cs="Times New Roman" w:eastAsia="Times New Roman" w:hAnsi="Times New Roman"/>
          <w:sz w:val="14"/>
          <w:szCs w:val="14"/>
          <w:color w:val="auto"/>
        </w:rPr>
        <w:t>AUSTIN</w:t>
      </w:r>
      <w:r>
        <w:rPr>
          <w:sz w:val="20"/>
          <w:szCs w:val="20"/>
          <w:color w:val="auto"/>
        </w:rPr>
        <w:tab/>
      </w:r>
      <w:r>
        <w:rPr>
          <w:rFonts w:ascii="Times New Roman" w:cs="Times New Roman" w:eastAsia="Times New Roman" w:hAnsi="Times New Roman"/>
          <w:sz w:val="14"/>
          <w:szCs w:val="14"/>
          <w:color w:val="auto"/>
        </w:rPr>
        <w:t>BEIJING</w:t>
      </w:r>
      <w:r>
        <w:rPr>
          <w:sz w:val="20"/>
          <w:szCs w:val="20"/>
          <w:color w:val="auto"/>
        </w:rPr>
        <w:tab/>
      </w:r>
      <w:r>
        <w:rPr>
          <w:rFonts w:ascii="Times New Roman" w:cs="Times New Roman" w:eastAsia="Times New Roman" w:hAnsi="Times New Roman"/>
          <w:sz w:val="14"/>
          <w:szCs w:val="14"/>
          <w:color w:val="auto"/>
        </w:rPr>
        <w:t>BOSTON</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tabs>
          <w:tab w:leader="none" w:pos="980" w:val="left"/>
          <w:tab w:leader="none" w:pos="2120" w:val="left"/>
          <w:tab w:leader="none" w:pos="3020" w:val="left"/>
        </w:tabs>
        <w:rPr>
          <w:sz w:val="20"/>
          <w:szCs w:val="20"/>
          <w:color w:val="auto"/>
        </w:rPr>
      </w:pPr>
      <w:r>
        <w:rPr>
          <w:rFonts w:ascii="Times New Roman" w:cs="Times New Roman" w:eastAsia="Times New Roman" w:hAnsi="Times New Roman"/>
          <w:sz w:val="14"/>
          <w:szCs w:val="14"/>
          <w:color w:val="auto"/>
        </w:rPr>
        <w:t>BRUSSELS</w:t>
      </w:r>
      <w:r>
        <w:rPr>
          <w:sz w:val="20"/>
          <w:szCs w:val="20"/>
          <w:color w:val="auto"/>
        </w:rPr>
        <w:tab/>
      </w:r>
      <w:r>
        <w:rPr>
          <w:rFonts w:ascii="Times New Roman" w:cs="Times New Roman" w:eastAsia="Times New Roman" w:hAnsi="Times New Roman"/>
          <w:sz w:val="14"/>
          <w:szCs w:val="14"/>
          <w:color w:val="auto"/>
        </w:rPr>
        <w:t>HONG KONG</w:t>
      </w:r>
      <w:r>
        <w:rPr>
          <w:sz w:val="20"/>
          <w:szCs w:val="20"/>
          <w:color w:val="auto"/>
        </w:rPr>
        <w:tab/>
      </w:r>
      <w:r>
        <w:rPr>
          <w:rFonts w:ascii="Times New Roman" w:cs="Times New Roman" w:eastAsia="Times New Roman" w:hAnsi="Times New Roman"/>
          <w:sz w:val="14"/>
          <w:szCs w:val="14"/>
          <w:color w:val="auto"/>
        </w:rPr>
        <w:t>LONDON</w:t>
      </w:r>
      <w:r>
        <w:rPr>
          <w:sz w:val="20"/>
          <w:szCs w:val="20"/>
          <w:color w:val="auto"/>
        </w:rPr>
        <w:tab/>
      </w:r>
      <w:r>
        <w:rPr>
          <w:rFonts w:ascii="Times New Roman" w:cs="Times New Roman" w:eastAsia="Times New Roman" w:hAnsi="Times New Roman"/>
          <w:sz w:val="14"/>
          <w:szCs w:val="14"/>
          <w:color w:val="auto"/>
        </w:rPr>
        <w:t>LOS ANGELES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4"/>
          <w:szCs w:val="14"/>
          <w:color w:val="auto"/>
        </w:rPr>
        <w:t>NEW YORK</w:t>
      </w:r>
      <w:r>
        <w:rPr>
          <w:sz w:val="20"/>
          <w:szCs w:val="20"/>
          <w:color w:val="auto"/>
        </w:rPr>
        <w:tab/>
      </w:r>
      <w:r>
        <w:rPr>
          <w:rFonts w:ascii="Times New Roman" w:cs="Times New Roman" w:eastAsia="Times New Roman" w:hAnsi="Times New Roman"/>
          <w:sz w:val="14"/>
          <w:szCs w:val="14"/>
          <w:color w:val="auto"/>
        </w:rPr>
        <w:t>PALO ALTO</w:t>
      </w:r>
    </w:p>
    <w:p>
      <w:pPr>
        <w:spacing w:after="0" w:line="96" w:lineRule="exact"/>
        <w:rPr>
          <w:sz w:val="20"/>
          <w:szCs w:val="20"/>
          <w:color w:val="auto"/>
        </w:rPr>
      </w:pPr>
    </w:p>
    <w:p>
      <w:pPr>
        <w:sectPr>
          <w:pgSz w:w="11900" w:h="16838" w:orient="portrait"/>
          <w:cols w:equalWidth="0" w:num="3">
            <w:col w:w="3400" w:space="320"/>
            <w:col w:w="4000" w:space="300"/>
            <w:col w:w="3000"/>
          </w:cols>
          <w:pgMar w:left="440" w:top="117" w:right="439" w:bottom="1440" w:gutter="0" w:footer="0" w:header="0"/>
          <w:type w:val="continuous"/>
        </w:sectPr>
      </w:pPr>
    </w:p>
    <w:p>
      <w:pPr>
        <w:ind w:left="1940"/>
        <w:spacing w:after="0"/>
        <w:tabs>
          <w:tab w:leader="none" w:pos="2980" w:val="left"/>
          <w:tab w:leader="none" w:pos="4400" w:val="left"/>
          <w:tab w:leader="none" w:pos="5280" w:val="left"/>
          <w:tab w:leader="none" w:pos="6320" w:val="left"/>
        </w:tabs>
        <w:rPr>
          <w:sz w:val="20"/>
          <w:szCs w:val="20"/>
          <w:color w:val="auto"/>
        </w:rPr>
      </w:pPr>
      <w:r>
        <w:rPr>
          <w:rFonts w:ascii="Times New Roman" w:cs="Times New Roman" w:eastAsia="Times New Roman" w:hAnsi="Times New Roman"/>
          <w:sz w:val="14"/>
          <w:szCs w:val="14"/>
          <w:color w:val="auto"/>
        </w:rPr>
        <w:t>SAN DIEGO</w:t>
      </w:r>
      <w:r>
        <w:rPr>
          <w:sz w:val="20"/>
          <w:szCs w:val="20"/>
          <w:color w:val="auto"/>
        </w:rPr>
        <w:tab/>
      </w:r>
      <w:r>
        <w:rPr>
          <w:rFonts w:ascii="Times New Roman" w:cs="Times New Roman" w:eastAsia="Times New Roman" w:hAnsi="Times New Roman"/>
          <w:sz w:val="14"/>
          <w:szCs w:val="14"/>
          <w:color w:val="auto"/>
        </w:rPr>
        <w:t>SAN FRANCISCO</w:t>
      </w:r>
      <w:r>
        <w:rPr>
          <w:sz w:val="20"/>
          <w:szCs w:val="20"/>
          <w:color w:val="auto"/>
        </w:rPr>
        <w:tab/>
      </w:r>
      <w:r>
        <w:rPr>
          <w:rFonts w:ascii="Times New Roman" w:cs="Times New Roman" w:eastAsia="Times New Roman" w:hAnsi="Times New Roman"/>
          <w:sz w:val="14"/>
          <w:szCs w:val="14"/>
          <w:color w:val="auto"/>
        </w:rPr>
        <w:t>SEATTLE</w:t>
      </w:r>
      <w:r>
        <w:rPr>
          <w:sz w:val="20"/>
          <w:szCs w:val="20"/>
          <w:color w:val="auto"/>
        </w:rPr>
        <w:tab/>
      </w:r>
      <w:r>
        <w:rPr>
          <w:rFonts w:ascii="Times New Roman" w:cs="Times New Roman" w:eastAsia="Times New Roman" w:hAnsi="Times New Roman"/>
          <w:sz w:val="14"/>
          <w:szCs w:val="14"/>
          <w:color w:val="auto"/>
        </w:rPr>
        <w:t>SHANGHAI</w:t>
      </w:r>
      <w:r>
        <w:rPr>
          <w:sz w:val="20"/>
          <w:szCs w:val="20"/>
          <w:color w:val="auto"/>
        </w:rPr>
        <w:tab/>
      </w:r>
      <w:r>
        <w:rPr>
          <w:rFonts w:ascii="Times New Roman" w:cs="Times New Roman" w:eastAsia="Times New Roman" w:hAnsi="Times New Roman"/>
          <w:sz w:val="14"/>
          <w:szCs w:val="14"/>
          <w:color w:val="auto"/>
        </w:rPr>
        <w:t>WASHINGTON, DC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4"/>
          <w:szCs w:val="14"/>
          <w:color w:val="auto"/>
        </w:rPr>
        <w:t>WILMINGTON, DE</w:t>
      </w:r>
    </w:p>
    <w:p>
      <w:pPr>
        <w:sectPr>
          <w:pgSz w:w="11900" w:h="16838" w:orient="portrait"/>
          <w:cols w:equalWidth="0" w:num="2">
            <w:col w:w="7580" w:space="280"/>
            <w:col w:w="3160"/>
          </w:cols>
          <w:pgMar w:left="440" w:top="117" w:right="439" w:bottom="1440" w:gutter="0" w:footer="0" w:header="0"/>
          <w:type w:val="continuous"/>
        </w:sectPr>
      </w:pPr>
    </w:p>
    <w:bookmarkStart w:id="7" w:name="page8"/>
    <w:bookmarkEnd w:id="7"/>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We consent to the incorporation by reference in this Registration Statement on Form S-8 of our report dated March 31, 2022, with respect to the consolidated financial statements of Forte Biosciences, Inc. as of December 31, 2021 and 2020 and for each of the two years in the period ended December 31, 2021, included in the Annual Report on Form 10-K for the year ended December 31, 2021.</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Mayer Hoffman McCann P.C.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 Diego, California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24, 2022</w:t>
      </w:r>
    </w:p>
    <w:p>
      <w:pPr>
        <w:sectPr>
          <w:pgSz w:w="11900" w:h="16838" w:orient="portrait"/>
          <w:cols w:equalWidth="0" w:num="1">
            <w:col w:w="11020"/>
          </w:cols>
          <w:pgMar w:left="440" w:top="117" w:right="439" w:bottom="1440" w:gutter="0" w:footer="0" w:header="0"/>
        </w:sectPr>
      </w:pPr>
    </w:p>
    <w:bookmarkStart w:id="8" w:name="page9"/>
    <w:bookmarkEnd w:id="8"/>
    <w:p>
      <w:pPr>
        <w:jc w:val="right"/>
        <w:spacing w:after="0"/>
        <w:rPr>
          <w:sz w:val="20"/>
          <w:szCs w:val="20"/>
          <w:color w:val="auto"/>
        </w:rPr>
      </w:pPr>
      <w:r>
        <w:rPr>
          <w:rFonts w:ascii="Times New Roman" w:cs="Times New Roman" w:eastAsia="Times New Roman" w:hAnsi="Times New Roman"/>
          <w:sz w:val="18"/>
          <w:szCs w:val="18"/>
          <w:b w:val="1"/>
          <w:bCs w:val="1"/>
          <w:color w:val="auto"/>
        </w:rPr>
        <w:t>Exhibit 107</w:t>
      </w:r>
    </w:p>
    <w:p>
      <w:pPr>
        <w:spacing w:after="0" w:line="21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Calculation of Filing Fee Tables</w:t>
      </w:r>
    </w:p>
    <w:p>
      <w:pPr>
        <w:spacing w:after="0" w:line="20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Form S-8</w:t>
      </w:r>
    </w:p>
    <w:p>
      <w:pPr>
        <w:spacing w:after="0" w:line="23"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(Form Type)</w:t>
      </w:r>
    </w:p>
    <w:p>
      <w:pPr>
        <w:spacing w:after="0" w:line="192"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Forte Biosciences, Inc.</w:t>
      </w:r>
    </w:p>
    <w:p>
      <w:pPr>
        <w:spacing w:after="0" w:line="23"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Table 1 – Newly Registered Securities</w:t>
      </w:r>
    </w:p>
    <w:p>
      <w:pPr>
        <w:spacing w:after="0" w:line="254" w:lineRule="exact"/>
        <w:rPr>
          <w:sz w:val="20"/>
          <w:szCs w:val="20"/>
          <w:color w:val="auto"/>
        </w:rPr>
      </w:pPr>
    </w:p>
    <w:tbl>
      <w:tblPr>
        <w:tblLayout w:type="fixed"/>
        <w:tblInd w:w="1334" w:type="dxa"/>
        <w:tblCellMar>
          <w:top w:w="0" w:type="dxa"/>
          <w:left w:w="0" w:type="dxa"/>
          <w:bottom w:w="0" w:type="dxa"/>
          <w:right w:w="0" w:type="dxa"/>
        </w:tblCellMar>
      </w:tblPr>
      <w:tr>
        <w:trPr>
          <w:trHeight w:val="144"/>
        </w:trPr>
        <w:tc>
          <w:tcPr>
            <w:tcW w:w="1340" w:type="dxa"/>
            <w:vAlign w:val="bottom"/>
            <w:tcBorders>
              <w:top w:val="single" w:sz="8" w:color="auto"/>
              <w:left w:val="single" w:sz="8" w:color="auto"/>
            </w:tcBorders>
          </w:tcPr>
          <w:p>
            <w:pPr>
              <w:spacing w:after="0"/>
              <w:rPr>
                <w:sz w:val="12"/>
                <w:szCs w:val="12"/>
                <w:color w:val="auto"/>
              </w:rPr>
            </w:pPr>
          </w:p>
        </w:tc>
        <w:tc>
          <w:tcPr>
            <w:tcW w:w="260" w:type="dxa"/>
            <w:vAlign w:val="bottom"/>
            <w:tcBorders>
              <w:top w:val="single" w:sz="8" w:color="auto"/>
              <w:right w:val="single" w:sz="8" w:color="auto"/>
            </w:tcBorders>
          </w:tcPr>
          <w:p>
            <w:pPr>
              <w:spacing w:after="0"/>
              <w:rPr>
                <w:sz w:val="12"/>
                <w:szCs w:val="12"/>
                <w:color w:val="auto"/>
              </w:rPr>
            </w:pPr>
          </w:p>
        </w:tc>
        <w:tc>
          <w:tcPr>
            <w:tcW w:w="1080" w:type="dxa"/>
            <w:vAlign w:val="bottom"/>
            <w:tcBorders>
              <w:top w:val="single" w:sz="8" w:color="auto"/>
              <w:right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20" w:type="dxa"/>
            <w:vAlign w:val="bottom"/>
            <w:tcBorders>
              <w:top w:val="single" w:sz="8" w:color="auto"/>
              <w:right w:val="single" w:sz="8" w:color="auto"/>
            </w:tcBorders>
          </w:tcPr>
          <w:p>
            <w:pPr>
              <w:spacing w:after="0"/>
              <w:rPr>
                <w:sz w:val="12"/>
                <w:szCs w:val="12"/>
                <w:color w:val="auto"/>
              </w:rPr>
            </w:pPr>
          </w:p>
        </w:tc>
        <w:tc>
          <w:tcPr>
            <w:tcW w:w="1000" w:type="dxa"/>
            <w:vAlign w:val="bottom"/>
            <w:tcBorders>
              <w:top w:val="single" w:sz="8" w:color="auto"/>
              <w:right w:val="single" w:sz="8" w:color="auto"/>
            </w:tcBorders>
          </w:tcPr>
          <w:p>
            <w:pPr>
              <w:spacing w:after="0"/>
              <w:rPr>
                <w:sz w:val="12"/>
                <w:szCs w:val="12"/>
                <w:color w:val="auto"/>
              </w:rPr>
            </w:pPr>
          </w:p>
        </w:tc>
        <w:tc>
          <w:tcPr>
            <w:tcW w:w="840" w:type="dxa"/>
            <w:vAlign w:val="bottom"/>
            <w:tcBorders>
              <w:top w:val="single" w:sz="8" w:color="auto"/>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3"/>
                <w:szCs w:val="13"/>
                <w:color w:val="auto"/>
                <w:w w:val="94"/>
              </w:rPr>
              <w:t>Proposed</w:t>
            </w:r>
          </w:p>
        </w:tc>
        <w:tc>
          <w:tcPr>
            <w:tcW w:w="12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3"/>
                <w:szCs w:val="13"/>
                <w:color w:val="auto"/>
                <w:w w:val="95"/>
              </w:rPr>
              <w:t>Maximum</w:t>
            </w:r>
          </w:p>
        </w:tc>
        <w:tc>
          <w:tcPr>
            <w:tcW w:w="1020" w:type="dxa"/>
            <w:vAlign w:val="bottom"/>
            <w:tcBorders>
              <w:top w:val="single" w:sz="8" w:color="auto"/>
              <w:right w:val="single" w:sz="8" w:color="auto"/>
            </w:tcBorders>
          </w:tcPr>
          <w:p>
            <w:pPr>
              <w:spacing w:after="0"/>
              <w:rPr>
                <w:sz w:val="12"/>
                <w:szCs w:val="12"/>
                <w:color w:val="auto"/>
              </w:rPr>
            </w:pPr>
          </w:p>
        </w:tc>
        <w:tc>
          <w:tcPr>
            <w:tcW w:w="740" w:type="dxa"/>
            <w:vAlign w:val="bottom"/>
            <w:tcBorders>
              <w:top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1340" w:type="dxa"/>
            <w:vAlign w:val="bottom"/>
            <w:tcBorders>
              <w:left w:val="single" w:sz="8" w:color="auto"/>
            </w:tcBorders>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jc w:val="center"/>
              <w:ind w:left="9"/>
              <w:spacing w:after="0" w:line="126" w:lineRule="exact"/>
              <w:rPr>
                <w:sz w:val="20"/>
                <w:szCs w:val="20"/>
                <w:color w:val="auto"/>
              </w:rPr>
            </w:pPr>
            <w:r>
              <w:rPr>
                <w:rFonts w:ascii="Times New Roman" w:cs="Times New Roman" w:eastAsia="Times New Roman" w:hAnsi="Times New Roman"/>
                <w:sz w:val="13"/>
                <w:szCs w:val="13"/>
                <w:color w:val="auto"/>
                <w:w w:val="95"/>
              </w:rPr>
              <w:t>Maximum</w:t>
            </w:r>
          </w:p>
        </w:tc>
        <w:tc>
          <w:tcPr>
            <w:tcW w:w="1260" w:type="dxa"/>
            <w:vAlign w:val="bottom"/>
            <w:tcBorders>
              <w:right w:val="single" w:sz="8" w:color="auto"/>
            </w:tcBorders>
            <w:vMerge w:val="continue"/>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1340" w:type="dxa"/>
            <w:vAlign w:val="bottom"/>
            <w:tcBorders>
              <w:left w:val="single" w:sz="8" w:color="auto"/>
            </w:tcBorders>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Fee</w:t>
            </w:r>
          </w:p>
        </w:tc>
        <w:tc>
          <w:tcPr>
            <w:tcW w:w="100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3"/>
              </w:rPr>
              <w:t>Offering</w:t>
            </w:r>
          </w:p>
        </w:tc>
        <w:tc>
          <w:tcPr>
            <w:tcW w:w="126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Aggregate</w:t>
            </w:r>
          </w:p>
        </w:tc>
        <w:tc>
          <w:tcPr>
            <w:tcW w:w="10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Amount of</w:t>
            </w:r>
          </w:p>
        </w:tc>
        <w:tc>
          <w:tcPr>
            <w:tcW w:w="0" w:type="dxa"/>
            <w:vAlign w:val="bottom"/>
          </w:tcPr>
          <w:p>
            <w:pPr>
              <w:spacing w:after="0"/>
              <w:rPr>
                <w:sz w:val="1"/>
                <w:szCs w:val="1"/>
                <w:color w:val="auto"/>
              </w:rPr>
            </w:pPr>
          </w:p>
        </w:tc>
      </w:tr>
      <w:tr>
        <w:trPr>
          <w:trHeight w:val="135"/>
        </w:trPr>
        <w:tc>
          <w:tcPr>
            <w:tcW w:w="1340" w:type="dxa"/>
            <w:vAlign w:val="bottom"/>
            <w:tcBorders>
              <w:left w:val="single" w:sz="8" w:color="auto"/>
            </w:tcBorders>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tcPr>
          <w:p>
            <w:pPr>
              <w:ind w:left="200"/>
              <w:spacing w:after="0" w:line="135" w:lineRule="exact"/>
              <w:rPr>
                <w:sz w:val="20"/>
                <w:szCs w:val="20"/>
                <w:color w:val="auto"/>
              </w:rPr>
            </w:pPr>
            <w:r>
              <w:rPr>
                <w:rFonts w:ascii="Times New Roman" w:cs="Times New Roman" w:eastAsia="Times New Roman" w:hAnsi="Times New Roman"/>
                <w:sz w:val="13"/>
                <w:szCs w:val="13"/>
                <w:color w:val="auto"/>
              </w:rPr>
              <w:t>Security Class</w:t>
            </w:r>
          </w:p>
        </w:tc>
        <w:tc>
          <w:tcPr>
            <w:tcW w:w="120" w:type="dxa"/>
            <w:vAlign w:val="bottom"/>
          </w:tcPr>
          <w:p>
            <w:pPr>
              <w:spacing w:after="0"/>
              <w:rPr>
                <w:sz w:val="11"/>
                <w:szCs w:val="11"/>
                <w:color w:val="auto"/>
              </w:rPr>
            </w:pPr>
          </w:p>
        </w:tc>
        <w:tc>
          <w:tcPr>
            <w:tcW w:w="72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6"/>
              </w:rPr>
              <w:t>Calculation</w:t>
            </w:r>
          </w:p>
        </w:tc>
        <w:tc>
          <w:tcPr>
            <w:tcW w:w="100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Amount</w:t>
            </w:r>
          </w:p>
        </w:tc>
        <w:tc>
          <w:tcPr>
            <w:tcW w:w="8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7"/>
              </w:rPr>
              <w:t>Price Per</w:t>
            </w:r>
          </w:p>
        </w:tc>
        <w:tc>
          <w:tcPr>
            <w:tcW w:w="126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Offering</w:t>
            </w:r>
          </w:p>
        </w:tc>
        <w:tc>
          <w:tcPr>
            <w:tcW w:w="10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4"/>
              </w:rPr>
              <w:t>Registration</w:t>
            </w:r>
          </w:p>
        </w:tc>
        <w:tc>
          <w:tcPr>
            <w:tcW w:w="0" w:type="dxa"/>
            <w:vAlign w:val="bottom"/>
          </w:tcPr>
          <w:p>
            <w:pPr>
              <w:spacing w:after="0"/>
              <w:rPr>
                <w:sz w:val="1"/>
                <w:szCs w:val="1"/>
                <w:color w:val="auto"/>
              </w:rPr>
            </w:pPr>
          </w:p>
        </w:tc>
      </w:tr>
      <w:tr>
        <w:trPr>
          <w:trHeight w:val="174"/>
        </w:trPr>
        <w:tc>
          <w:tcPr>
            <w:tcW w:w="1340" w:type="dxa"/>
            <w:vAlign w:val="bottom"/>
            <w:tcBorders>
              <w:left w:val="single" w:sz="8" w:color="auto"/>
              <w:bottom w:val="single" w:sz="8" w:color="auto"/>
            </w:tcBorders>
          </w:tcPr>
          <w:p>
            <w:pPr>
              <w:jc w:val="center"/>
              <w:ind w:left="319"/>
              <w:spacing w:after="0"/>
              <w:rPr>
                <w:sz w:val="20"/>
                <w:szCs w:val="20"/>
                <w:color w:val="auto"/>
              </w:rPr>
            </w:pPr>
            <w:r>
              <w:rPr>
                <w:rFonts w:ascii="Times New Roman" w:cs="Times New Roman" w:eastAsia="Times New Roman" w:hAnsi="Times New Roman"/>
                <w:sz w:val="13"/>
                <w:szCs w:val="13"/>
                <w:color w:val="auto"/>
                <w:w w:val="95"/>
              </w:rPr>
              <w:t>Security Type</w:t>
            </w:r>
          </w:p>
        </w:tc>
        <w:tc>
          <w:tcPr>
            <w:tcW w:w="260" w:type="dxa"/>
            <w:vAlign w:val="bottom"/>
            <w:tcBorders>
              <w:bottom w:val="single" w:sz="8" w:color="auto"/>
              <w:right w:val="single" w:sz="8" w:color="auto"/>
            </w:tcBorders>
          </w:tcPr>
          <w:p>
            <w:pPr>
              <w:spacing w:after="0"/>
              <w:rPr>
                <w:sz w:val="15"/>
                <w:szCs w:val="15"/>
                <w:color w:val="auto"/>
              </w:rPr>
            </w:pPr>
          </w:p>
        </w:tc>
        <w:tc>
          <w:tcPr>
            <w:tcW w:w="10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13"/>
                <w:szCs w:val="13"/>
                <w:color w:val="auto"/>
              </w:rPr>
              <w:t>Title</w:t>
            </w:r>
          </w:p>
        </w:tc>
        <w:tc>
          <w:tcPr>
            <w:tcW w:w="120" w:type="dxa"/>
            <w:vAlign w:val="bottom"/>
            <w:tcBorders>
              <w:bottom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Rule</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8"/>
              </w:rPr>
              <w:t>Registered</w:t>
            </w:r>
            <w:r>
              <w:rPr>
                <w:rFonts w:ascii="Times New Roman" w:cs="Times New Roman" w:eastAsia="Times New Roman" w:hAnsi="Times New Roman"/>
                <w:sz w:val="10"/>
                <w:szCs w:val="10"/>
                <w:color w:val="auto"/>
                <w:w w:val="98"/>
              </w:rPr>
              <w:t>(1)</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4"/>
              </w:rPr>
              <w:t>Unit</w:t>
            </w: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89"/>
              </w:rPr>
              <w:t>Price</w:t>
            </w:r>
          </w:p>
        </w:tc>
        <w:tc>
          <w:tcPr>
            <w:tcW w:w="10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5"/>
              </w:rPr>
              <w:t>Fee Rate</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w:t>
            </w:r>
          </w:p>
        </w:tc>
        <w:tc>
          <w:tcPr>
            <w:tcW w:w="0" w:type="dxa"/>
            <w:vAlign w:val="bottom"/>
          </w:tcPr>
          <w:p>
            <w:pPr>
              <w:spacing w:after="0"/>
              <w:rPr>
                <w:sz w:val="1"/>
                <w:szCs w:val="1"/>
                <w:color w:val="auto"/>
              </w:rPr>
            </w:pPr>
          </w:p>
        </w:tc>
      </w:tr>
      <w:tr>
        <w:trPr>
          <w:trHeight w:val="206"/>
        </w:trPr>
        <w:tc>
          <w:tcPr>
            <w:tcW w:w="1340" w:type="dxa"/>
            <w:vAlign w:val="bottom"/>
            <w:tcBorders>
              <w:left w:val="single" w:sz="8" w:color="auto"/>
            </w:tcBorders>
          </w:tcPr>
          <w:p>
            <w:pPr>
              <w:jc w:val="center"/>
              <w:ind w:left="299"/>
              <w:spacing w:after="0" w:line="206" w:lineRule="exact"/>
              <w:rPr>
                <w:sz w:val="20"/>
                <w:szCs w:val="20"/>
                <w:color w:val="auto"/>
              </w:rPr>
            </w:pPr>
            <w:r>
              <w:rPr>
                <w:rFonts w:ascii="Times New Roman" w:cs="Times New Roman" w:eastAsia="Times New Roman" w:hAnsi="Times New Roman"/>
                <w:sz w:val="18"/>
                <w:szCs w:val="18"/>
                <w:color w:val="auto"/>
                <w:w w:val="99"/>
              </w:rPr>
              <w:t>Equity</w:t>
            </w:r>
          </w:p>
        </w:tc>
        <w:tc>
          <w:tcPr>
            <w:tcW w:w="260" w:type="dxa"/>
            <w:vAlign w:val="bottom"/>
            <w:tcBorders>
              <w:right w:val="single" w:sz="8" w:color="auto"/>
            </w:tcBorders>
          </w:tcPr>
          <w:p>
            <w:pPr>
              <w:spacing w:after="0"/>
              <w:rPr>
                <w:sz w:val="17"/>
                <w:szCs w:val="17"/>
                <w:color w:val="auto"/>
              </w:rPr>
            </w:pPr>
          </w:p>
        </w:tc>
        <w:tc>
          <w:tcPr>
            <w:tcW w:w="1080" w:type="dxa"/>
            <w:vAlign w:val="bottom"/>
            <w:tcBorders>
              <w:right w:val="single" w:sz="8" w:color="auto"/>
            </w:tcBorders>
          </w:tcPr>
          <w:p>
            <w:pPr>
              <w:ind w:left="60"/>
              <w:spacing w:after="0" w:line="206" w:lineRule="exact"/>
              <w:rPr>
                <w:sz w:val="20"/>
                <w:szCs w:val="20"/>
                <w:color w:val="auto"/>
              </w:rPr>
            </w:pPr>
            <w:r>
              <w:rPr>
                <w:rFonts w:ascii="Times New Roman" w:cs="Times New Roman" w:eastAsia="Times New Roman" w:hAnsi="Times New Roman"/>
                <w:sz w:val="18"/>
                <w:szCs w:val="18"/>
                <w:color w:val="auto"/>
              </w:rPr>
              <w:t>Common</w:t>
            </w:r>
          </w:p>
        </w:tc>
        <w:tc>
          <w:tcPr>
            <w:tcW w:w="120" w:type="dxa"/>
            <w:vAlign w:val="bottom"/>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Stock, par</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value $0.001</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per share,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reserved for</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issuance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under the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Registrant’s</w:t>
            </w:r>
          </w:p>
        </w:tc>
        <w:tc>
          <w:tcPr>
            <w:tcW w:w="120" w:type="dxa"/>
            <w:vAlign w:val="bottom"/>
          </w:tcPr>
          <w:p>
            <w:pPr>
              <w:spacing w:after="0"/>
              <w:rPr>
                <w:sz w:val="18"/>
                <w:szCs w:val="18"/>
                <w:color w:val="auto"/>
              </w:rPr>
            </w:pP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Rule</w:t>
            </w: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2021 Equity</w:t>
            </w:r>
          </w:p>
        </w:tc>
        <w:tc>
          <w:tcPr>
            <w:tcW w:w="120" w:type="dxa"/>
            <w:vAlign w:val="bottom"/>
          </w:tcPr>
          <w:p>
            <w:pPr>
              <w:spacing w:after="0"/>
              <w:rPr>
                <w:sz w:val="18"/>
                <w:szCs w:val="18"/>
                <w:color w:val="auto"/>
              </w:rPr>
            </w:pP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457(c)</w:t>
            </w: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$92.70 per</w:t>
            </w: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340" w:type="dxa"/>
            <w:vAlign w:val="bottom"/>
            <w:tcBorders>
              <w:left w:val="single" w:sz="8" w:color="auto"/>
            </w:tcBorders>
          </w:tcPr>
          <w:p>
            <w:pPr>
              <w:spacing w:after="0"/>
              <w:rPr>
                <w:sz w:val="17"/>
                <w:szCs w:val="17"/>
                <w:color w:val="auto"/>
              </w:rPr>
            </w:pPr>
          </w:p>
        </w:tc>
        <w:tc>
          <w:tcPr>
            <w:tcW w:w="260" w:type="dxa"/>
            <w:vAlign w:val="bottom"/>
            <w:tcBorders>
              <w:right w:val="single" w:sz="8" w:color="auto"/>
            </w:tcBorders>
          </w:tcPr>
          <w:p>
            <w:pPr>
              <w:spacing w:after="0"/>
              <w:rPr>
                <w:sz w:val="17"/>
                <w:szCs w:val="17"/>
                <w:color w:val="auto"/>
              </w:rPr>
            </w:pPr>
          </w:p>
        </w:tc>
        <w:tc>
          <w:tcPr>
            <w:tcW w:w="1080" w:type="dxa"/>
            <w:vAlign w:val="bottom"/>
            <w:tcBorders>
              <w:right w:val="single" w:sz="8" w:color="auto"/>
            </w:tcBorders>
          </w:tcPr>
          <w:p>
            <w:pPr>
              <w:ind w:left="60"/>
              <w:spacing w:after="0" w:line="202" w:lineRule="exact"/>
              <w:rPr>
                <w:sz w:val="20"/>
                <w:szCs w:val="20"/>
                <w:color w:val="auto"/>
              </w:rPr>
            </w:pPr>
            <w:r>
              <w:rPr>
                <w:rFonts w:ascii="Times New Roman" w:cs="Times New Roman" w:eastAsia="Times New Roman" w:hAnsi="Times New Roman"/>
                <w:sz w:val="18"/>
                <w:szCs w:val="18"/>
                <w:color w:val="auto"/>
              </w:rPr>
              <w:t>Incentive</w:t>
            </w:r>
          </w:p>
        </w:tc>
        <w:tc>
          <w:tcPr>
            <w:tcW w:w="120" w:type="dxa"/>
            <w:vAlign w:val="bottom"/>
          </w:tcPr>
          <w:p>
            <w:pPr>
              <w:spacing w:after="0"/>
              <w:rPr>
                <w:sz w:val="17"/>
                <w:szCs w:val="17"/>
                <w:color w:val="auto"/>
              </w:rPr>
            </w:pPr>
          </w:p>
        </w:tc>
        <w:tc>
          <w:tcPr>
            <w:tcW w:w="720" w:type="dxa"/>
            <w:vAlign w:val="bottom"/>
            <w:tcBorders>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and Rule</w:t>
            </w:r>
          </w:p>
        </w:tc>
        <w:tc>
          <w:tcPr>
            <w:tcW w:w="100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vMerge w:val="continue"/>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1340" w:type="dxa"/>
            <w:vAlign w:val="bottom"/>
            <w:tcBorders>
              <w:left w:val="single" w:sz="8" w:color="auto"/>
              <w:bottom w:val="single" w:sz="8" w:color="auto"/>
            </w:tcBorders>
          </w:tcPr>
          <w:p>
            <w:pPr>
              <w:spacing w:after="0"/>
              <w:rPr>
                <w:sz w:val="22"/>
                <w:szCs w:val="22"/>
                <w:color w:val="auto"/>
              </w:rPr>
            </w:pPr>
          </w:p>
        </w:tc>
        <w:tc>
          <w:tcPr>
            <w:tcW w:w="260" w:type="dxa"/>
            <w:vAlign w:val="bottom"/>
            <w:tcBorders>
              <w:bottom w:val="single" w:sz="8" w:color="auto"/>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Plan</w:t>
            </w:r>
          </w:p>
        </w:tc>
        <w:tc>
          <w:tcPr>
            <w:tcW w:w="120" w:type="dxa"/>
            <w:vAlign w:val="bottom"/>
            <w:tcBorders>
              <w:bottom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2,500,000</w:t>
            </w:r>
            <w:r>
              <w:rPr>
                <w:rFonts w:ascii="Times New Roman" w:cs="Times New Roman" w:eastAsia="Times New Roman" w:hAnsi="Times New Roman"/>
                <w:sz w:val="15"/>
                <w:szCs w:val="15"/>
                <w:color w:val="auto"/>
              </w:rPr>
              <w:t>(2)</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$1.22</w:t>
            </w:r>
            <w:r>
              <w:rPr>
                <w:rFonts w:ascii="Times New Roman" w:cs="Times New Roman" w:eastAsia="Times New Roman" w:hAnsi="Times New Roman"/>
                <w:sz w:val="15"/>
                <w:szCs w:val="15"/>
                <w:color w:val="auto"/>
                <w:w w:val="99"/>
              </w:rPr>
              <w:t>(3)</w:t>
            </w: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$3,050,000.00</w:t>
            </w:r>
          </w:p>
        </w:tc>
        <w:tc>
          <w:tcPr>
            <w:tcW w:w="10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$1,000,000</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$282.74</w:t>
            </w:r>
          </w:p>
        </w:tc>
        <w:tc>
          <w:tcPr>
            <w:tcW w:w="0" w:type="dxa"/>
            <w:vAlign w:val="bottom"/>
          </w:tcPr>
          <w:p>
            <w:pPr>
              <w:spacing w:after="0"/>
              <w:rPr>
                <w:sz w:val="1"/>
                <w:szCs w:val="1"/>
                <w:color w:val="auto"/>
              </w:rPr>
            </w:pPr>
          </w:p>
        </w:tc>
      </w:tr>
      <w:tr>
        <w:trPr>
          <w:trHeight w:val="211"/>
        </w:trPr>
        <w:tc>
          <w:tcPr>
            <w:tcW w:w="1340" w:type="dxa"/>
            <w:vAlign w:val="bottom"/>
            <w:tcBorders>
              <w:left w:val="single" w:sz="8" w:color="auto"/>
            </w:tcBorders>
          </w:tcPr>
          <w:p>
            <w:pPr>
              <w:jc w:val="center"/>
              <w:ind w:left="299"/>
              <w:spacing w:after="0"/>
              <w:rPr>
                <w:sz w:val="20"/>
                <w:szCs w:val="20"/>
                <w:color w:val="auto"/>
              </w:rPr>
            </w:pPr>
            <w:r>
              <w:rPr>
                <w:rFonts w:ascii="Times New Roman" w:cs="Times New Roman" w:eastAsia="Times New Roman" w:hAnsi="Times New Roman"/>
                <w:sz w:val="18"/>
                <w:szCs w:val="18"/>
                <w:color w:val="auto"/>
                <w:w w:val="99"/>
              </w:rPr>
              <w:t>Equity</w:t>
            </w: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Common</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Stock, par</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value $0.001</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per share,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reserved for</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issuance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under the</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Registrant’s</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2017</w:t>
            </w:r>
          </w:p>
        </w:tc>
        <w:tc>
          <w:tcPr>
            <w:tcW w:w="12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Employee</w:t>
            </w:r>
          </w:p>
        </w:tc>
        <w:tc>
          <w:tcPr>
            <w:tcW w:w="120" w:type="dxa"/>
            <w:vAlign w:val="bottom"/>
          </w:tcPr>
          <w:p>
            <w:pPr>
              <w:spacing w:after="0"/>
              <w:rPr>
                <w:sz w:val="18"/>
                <w:szCs w:val="18"/>
                <w:color w:val="auto"/>
              </w:rPr>
            </w:pP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Rule</w:t>
            </w: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Stock</w:t>
            </w:r>
          </w:p>
        </w:tc>
        <w:tc>
          <w:tcPr>
            <w:tcW w:w="120" w:type="dxa"/>
            <w:vAlign w:val="bottom"/>
          </w:tcPr>
          <w:p>
            <w:pPr>
              <w:spacing w:after="0"/>
              <w:rPr>
                <w:sz w:val="18"/>
                <w:szCs w:val="18"/>
                <w:color w:val="auto"/>
              </w:rPr>
            </w:pP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457(c)</w:t>
            </w:r>
          </w:p>
        </w:tc>
        <w:tc>
          <w:tcPr>
            <w:tcW w:w="100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$92.70 per</w:t>
            </w: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340" w:type="dxa"/>
            <w:vAlign w:val="bottom"/>
            <w:tcBorders>
              <w:left w:val="single" w:sz="8" w:color="auto"/>
            </w:tcBorders>
          </w:tcPr>
          <w:p>
            <w:pPr>
              <w:spacing w:after="0"/>
              <w:rPr>
                <w:sz w:val="17"/>
                <w:szCs w:val="17"/>
                <w:color w:val="auto"/>
              </w:rPr>
            </w:pPr>
          </w:p>
        </w:tc>
        <w:tc>
          <w:tcPr>
            <w:tcW w:w="260" w:type="dxa"/>
            <w:vAlign w:val="bottom"/>
            <w:tcBorders>
              <w:right w:val="single" w:sz="8" w:color="auto"/>
            </w:tcBorders>
          </w:tcPr>
          <w:p>
            <w:pPr>
              <w:spacing w:after="0"/>
              <w:rPr>
                <w:sz w:val="17"/>
                <w:szCs w:val="17"/>
                <w:color w:val="auto"/>
              </w:rPr>
            </w:pPr>
          </w:p>
        </w:tc>
        <w:tc>
          <w:tcPr>
            <w:tcW w:w="1080" w:type="dxa"/>
            <w:vAlign w:val="bottom"/>
            <w:tcBorders>
              <w:right w:val="single" w:sz="8" w:color="auto"/>
            </w:tcBorders>
          </w:tcPr>
          <w:p>
            <w:pPr>
              <w:ind w:left="60"/>
              <w:spacing w:after="0" w:line="202" w:lineRule="exact"/>
              <w:rPr>
                <w:sz w:val="20"/>
                <w:szCs w:val="20"/>
                <w:color w:val="auto"/>
              </w:rPr>
            </w:pPr>
            <w:r>
              <w:rPr>
                <w:rFonts w:ascii="Times New Roman" w:cs="Times New Roman" w:eastAsia="Times New Roman" w:hAnsi="Times New Roman"/>
                <w:sz w:val="18"/>
                <w:szCs w:val="18"/>
                <w:color w:val="auto"/>
              </w:rPr>
              <w:t>Purchase</w:t>
            </w:r>
          </w:p>
        </w:tc>
        <w:tc>
          <w:tcPr>
            <w:tcW w:w="120" w:type="dxa"/>
            <w:vAlign w:val="bottom"/>
          </w:tcPr>
          <w:p>
            <w:pPr>
              <w:spacing w:after="0"/>
              <w:rPr>
                <w:sz w:val="17"/>
                <w:szCs w:val="17"/>
                <w:color w:val="auto"/>
              </w:rPr>
            </w:pPr>
          </w:p>
        </w:tc>
        <w:tc>
          <w:tcPr>
            <w:tcW w:w="720" w:type="dxa"/>
            <w:vAlign w:val="bottom"/>
            <w:tcBorders>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and Rule</w:t>
            </w:r>
          </w:p>
        </w:tc>
        <w:tc>
          <w:tcPr>
            <w:tcW w:w="100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vMerge w:val="continue"/>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1340" w:type="dxa"/>
            <w:vAlign w:val="bottom"/>
            <w:tcBorders>
              <w:left w:val="single" w:sz="8" w:color="auto"/>
              <w:bottom w:val="single" w:sz="8" w:color="auto"/>
            </w:tcBorders>
          </w:tcPr>
          <w:p>
            <w:pPr>
              <w:spacing w:after="0"/>
              <w:rPr>
                <w:sz w:val="22"/>
                <w:szCs w:val="22"/>
                <w:color w:val="auto"/>
              </w:rPr>
            </w:pPr>
          </w:p>
        </w:tc>
        <w:tc>
          <w:tcPr>
            <w:tcW w:w="260" w:type="dxa"/>
            <w:vAlign w:val="bottom"/>
            <w:tcBorders>
              <w:bottom w:val="single" w:sz="8" w:color="auto"/>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Plan</w:t>
            </w:r>
          </w:p>
        </w:tc>
        <w:tc>
          <w:tcPr>
            <w:tcW w:w="120" w:type="dxa"/>
            <w:vAlign w:val="bottom"/>
            <w:tcBorders>
              <w:bottom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147,544</w:t>
            </w:r>
            <w:r>
              <w:rPr>
                <w:rFonts w:ascii="Times New Roman" w:cs="Times New Roman" w:eastAsia="Times New Roman" w:hAnsi="Times New Roman"/>
                <w:sz w:val="15"/>
                <w:szCs w:val="15"/>
                <w:color w:val="auto"/>
              </w:rPr>
              <w:t>(4)</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$1.04</w:t>
            </w:r>
            <w:r>
              <w:rPr>
                <w:rFonts w:ascii="Times New Roman" w:cs="Times New Roman" w:eastAsia="Times New Roman" w:hAnsi="Times New Roman"/>
                <w:sz w:val="15"/>
                <w:szCs w:val="15"/>
                <w:color w:val="auto"/>
                <w:w w:val="99"/>
              </w:rPr>
              <w:t>(5)</w:t>
            </w: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$153,003.13</w:t>
            </w:r>
          </w:p>
        </w:tc>
        <w:tc>
          <w:tcPr>
            <w:tcW w:w="10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$1,000,000</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$14.18</w:t>
            </w:r>
          </w:p>
        </w:tc>
        <w:tc>
          <w:tcPr>
            <w:tcW w:w="0" w:type="dxa"/>
            <w:vAlign w:val="bottom"/>
          </w:tcPr>
          <w:p>
            <w:pPr>
              <w:spacing w:after="0"/>
              <w:rPr>
                <w:sz w:val="1"/>
                <w:szCs w:val="1"/>
                <w:color w:val="auto"/>
              </w:rPr>
            </w:pPr>
          </w:p>
        </w:tc>
      </w:tr>
      <w:tr>
        <w:trPr>
          <w:trHeight w:val="239"/>
        </w:trPr>
        <w:tc>
          <w:tcPr>
            <w:tcW w:w="1340" w:type="dxa"/>
            <w:vAlign w:val="bottom"/>
            <w:tcBorders>
              <w:left w:val="single" w:sz="8" w:color="auto"/>
              <w:bottom w:val="single" w:sz="8" w:color="auto"/>
            </w:tcBorders>
          </w:tcPr>
          <w:p>
            <w:pPr>
              <w:spacing w:after="0"/>
              <w:rPr>
                <w:sz w:val="20"/>
                <w:szCs w:val="20"/>
                <w:color w:val="auto"/>
              </w:rPr>
            </w:pPr>
          </w:p>
        </w:tc>
        <w:tc>
          <w:tcPr>
            <w:tcW w:w="2180" w:type="dxa"/>
            <w:vAlign w:val="bottom"/>
            <w:tcBorders>
              <w:bottom w:val="single" w:sz="8" w:color="auto"/>
            </w:tcBorders>
            <w:gridSpan w:val="4"/>
          </w:tcPr>
          <w:p>
            <w:pPr>
              <w:jc w:val="center"/>
              <w:ind w:right="117"/>
              <w:spacing w:after="0"/>
              <w:rPr>
                <w:sz w:val="20"/>
                <w:szCs w:val="20"/>
                <w:color w:val="auto"/>
              </w:rPr>
            </w:pPr>
            <w:r>
              <w:rPr>
                <w:rFonts w:ascii="Times New Roman" w:cs="Times New Roman" w:eastAsia="Times New Roman" w:hAnsi="Times New Roman"/>
                <w:sz w:val="18"/>
                <w:szCs w:val="18"/>
                <w:color w:val="auto"/>
                <w:w w:val="99"/>
              </w:rPr>
              <w:t>Total Offering Amounts</w:t>
            </w:r>
          </w:p>
        </w:tc>
        <w:tc>
          <w:tcPr>
            <w:tcW w:w="100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$3,203,003.13</w:t>
            </w:r>
          </w:p>
        </w:tc>
        <w:tc>
          <w:tcPr>
            <w:tcW w:w="10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$296.92</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920" w:type="dxa"/>
            <w:vAlign w:val="bottom"/>
            <w:tcBorders>
              <w:bottom w:val="single" w:sz="8" w:color="auto"/>
            </w:tcBorders>
            <w:gridSpan w:val="3"/>
          </w:tcPr>
          <w:p>
            <w:pPr>
              <w:jc w:val="center"/>
              <w:ind w:right="377"/>
              <w:spacing w:after="0"/>
              <w:rPr>
                <w:sz w:val="20"/>
                <w:szCs w:val="20"/>
                <w:color w:val="auto"/>
              </w:rPr>
            </w:pPr>
            <w:r>
              <w:rPr>
                <w:rFonts w:ascii="Times New Roman" w:cs="Times New Roman" w:eastAsia="Times New Roman" w:hAnsi="Times New Roman"/>
                <w:sz w:val="18"/>
                <w:szCs w:val="18"/>
                <w:color w:val="auto"/>
                <w:w w:val="99"/>
              </w:rPr>
              <w:t>Total Fee Offsets</w:t>
            </w:r>
            <w:r>
              <w:rPr>
                <w:rFonts w:ascii="Times New Roman" w:cs="Times New Roman" w:eastAsia="Times New Roman" w:hAnsi="Times New Roman"/>
                <w:sz w:val="15"/>
                <w:szCs w:val="15"/>
                <w:color w:val="auto"/>
                <w:w w:val="99"/>
              </w:rPr>
              <w:t>(6)</w:t>
            </w:r>
          </w:p>
        </w:tc>
        <w:tc>
          <w:tcPr>
            <w:tcW w:w="100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jc w:val="center"/>
              <w:ind w:left="172"/>
              <w:spacing w:after="0"/>
              <w:rPr>
                <w:sz w:val="20"/>
                <w:szCs w:val="20"/>
                <w:color w:val="auto"/>
              </w:rPr>
            </w:pPr>
            <w:r>
              <w:rPr>
                <w:rFonts w:ascii="Times New Roman" w:cs="Times New Roman" w:eastAsia="Times New Roman" w:hAnsi="Times New Roman"/>
                <w:sz w:val="18"/>
                <w:szCs w:val="18"/>
                <w:color w:val="auto"/>
                <w:w w:val="98"/>
              </w:rPr>
              <w:t>Net Fee Due</w:t>
            </w:r>
          </w:p>
        </w:tc>
        <w:tc>
          <w:tcPr>
            <w:tcW w:w="720" w:type="dxa"/>
            <w:vAlign w:val="bottom"/>
            <w:tcBorders>
              <w:bottom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$296.92</w:t>
            </w: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424" w:right="400" w:hanging="424"/>
        <w:spacing w:after="0" w:line="255"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Rule 416(a) of the Securities Act of 1933, as amended (the “Securities Act”), this Registration Statement shall also cover any additional shares of the Registrant’s common stock that become issuable under the 2021 Equity Incentive Plan (the “2021 EIP”) and the 2017 Employee Stock Purchase Plan (the “2017 ESPP”), by reason of any stock dividend, stock split, recapitalization or other similar transaction effected without receipt of consideration that increases the number of the Registrant’s outstanding shares of common stock.</w:t>
      </w:r>
    </w:p>
    <w:p>
      <w:pPr>
        <w:spacing w:after="0" w:line="2"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2,500,000 shares of common stock reserved for issuance under the 2021 EIP.</w:t>
      </w:r>
    </w:p>
    <w:p>
      <w:pPr>
        <w:spacing w:after="0" w:line="9" w:lineRule="exact"/>
        <w:rPr>
          <w:rFonts w:ascii="Times New Roman" w:cs="Times New Roman" w:eastAsia="Times New Roman" w:hAnsi="Times New Roman"/>
          <w:sz w:val="18"/>
          <w:szCs w:val="18"/>
          <w:color w:val="auto"/>
        </w:rPr>
      </w:pPr>
    </w:p>
    <w:p>
      <w:pPr>
        <w:ind w:left="424" w:right="120" w:hanging="424"/>
        <w:spacing w:after="0" w:line="250"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pursuant to Rule 457(c) and 457(h) solely for the purpose of calculating the total registration fee on the basis of $1.22 per share, which represents the average of the high and low prices of the Registrant’s common stock as reported on The Nasdaq Capital Market on June 21, 2022 (such date being within five business days of the filing date of this Registration Statement).</w:t>
      </w:r>
    </w:p>
    <w:p>
      <w:pPr>
        <w:spacing w:after="0" w:line="1" w:lineRule="exact"/>
        <w:rPr>
          <w:rFonts w:ascii="Times New Roman" w:cs="Times New Roman" w:eastAsia="Times New Roman" w:hAnsi="Times New Roman"/>
          <w:sz w:val="18"/>
          <w:szCs w:val="18"/>
          <w:color w:val="auto"/>
        </w:rPr>
      </w:pPr>
    </w:p>
    <w:p>
      <w:pPr>
        <w:ind w:left="424" w:right="80" w:hanging="424"/>
        <w:spacing w:after="0" w:line="250"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147,544 shares of common stock reserved for issuance pursuant to future awards as a result of the annual evergreen increase under the 2017 ESPP.</w:t>
      </w:r>
    </w:p>
    <w:p>
      <w:pPr>
        <w:ind w:left="424" w:right="180" w:hanging="424"/>
        <w:spacing w:after="0" w:line="250"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pursuant to Rule 457(c) and 457(h) under the Securities Act, solely for the purpose of calculating the registration fee, on the basis of 85% of $1.22, which represents the average of the high and low prices of the Registrant’s common stock as reported on The Nasdaq Capital Market on June 21, 2022 (such date being within five business days of the filing date of this Registration Statement). Pursuant to the 2017 ESPP, the purchase price of the shares of common stock reserved for issuance thereunder will be 85% of the lower of the fair market value of the common stock on (i) the enrollment date or (ii) the exercise date.</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 does not have any fee offsets.</w:t>
      </w:r>
    </w:p>
    <w:sectPr>
      <w:pgSz w:w="11900" w:h="16838" w:orient="portrait"/>
      <w:cols w:equalWidth="0" w:num="1">
        <w:col w:w="11024"/>
      </w:cols>
      <w:pgMar w:left="436"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lowerRoman"/>
      <w:start w:val="2"/>
    </w:lvl>
  </w:abstractNum>
  <w:abstractNum w:abstractNumId="3">
    <w:nsid w:val="238E1F29"/>
    <w:multiLevelType w:val="hybridMultilevel"/>
    <w:lvl w:ilvl="0">
      <w:lvlJc w:val="left"/>
      <w:lvlText w:val="(%1)"/>
      <w:numFmt w:val="decimal"/>
      <w:start w:val="2"/>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31" Type="http://schemas.openxmlformats.org/officeDocument/2006/relationships/image" Target="media/image12.png"/><Relationship Id="rId32" Type="http://schemas.openxmlformats.org/officeDocument/2006/relationships/image" Target="media/image13.png"/><Relationship Id="rId33" Type="http://schemas.openxmlformats.org/officeDocument/2006/relationships/image" Target="media/image14.png"/><Relationship Id="rId34" Type="http://schemas.openxmlformats.org/officeDocument/2006/relationships/image" Target="media/image15.jpeg"/><Relationship Id="rId17" Type="http://schemas.openxmlformats.org/officeDocument/2006/relationships/hyperlink" Target="http://www.sec.gov/ix?doc=/Archives/edgar/data/1419041/000156459022012987/fbrx-10k_20211231.htm" TargetMode="External"/><Relationship Id="rId18" Type="http://schemas.openxmlformats.org/officeDocument/2006/relationships/hyperlink" Target="http://www.sec.gov/ix?doc=/Archives/edgar/data/1419041/000156459022020257/fbrx-10q_20220331.htm" TargetMode="External"/><Relationship Id="rId19" Type="http://schemas.openxmlformats.org/officeDocument/2006/relationships/hyperlink" Target="http://www.sec.gov/ix?doc=/Archives/edgar/data/1419041/000119312522025772/d303337d8k.htm" TargetMode="External"/><Relationship Id="rId20" Type="http://schemas.openxmlformats.org/officeDocument/2006/relationships/hyperlink" Target="http://www.sec.gov/ix?doc=/Archives/edgar/data/1419041/000119312522079036/d322296d8k.htm" TargetMode="External"/><Relationship Id="rId21" Type="http://schemas.openxmlformats.org/officeDocument/2006/relationships/hyperlink" Target="http://www.sec.gov/ix?doc=/Archives/edgar/data/1419041/000119312522092360/d345612d8k.htm" TargetMode="External"/><Relationship Id="rId22" Type="http://schemas.openxmlformats.org/officeDocument/2006/relationships/hyperlink" Target="http://www.sec.gov/ix?doc=/Archives/edgar/data/1419041/000119312522151007/d358978d8k.htm" TargetMode="External"/><Relationship Id="rId23" Type="http://schemas.openxmlformats.org/officeDocument/2006/relationships/hyperlink" Target="http://www.sec.gov/ix?doc=/Archives/edgar/data/1419041/000119312522166208/d348649d8k.htm" TargetMode="External"/><Relationship Id="rId24" Type="http://schemas.openxmlformats.org/officeDocument/2006/relationships/hyperlink" Target="http://www.sec.gov/ix?doc=/Archives/edgar/data/1419041/000119312522168911/d274694d8k.htm" TargetMode="External"/><Relationship Id="rId25" Type="http://schemas.openxmlformats.org/officeDocument/2006/relationships/hyperlink" Target="http://www.sec.gov/Archives/edgar/data/1419041/000156459020007402/toca-10k_20191231.htm" TargetMode="External"/><Relationship Id="rId28" Type="http://schemas.openxmlformats.org/officeDocument/2006/relationships/hyperlink" Target="http://www.sec.gov/Archives/edgar/data/1419041/000119312517107559/d312753dex41.htm" TargetMode="External"/><Relationship Id="rId29" Type="http://schemas.openxmlformats.org/officeDocument/2006/relationships/hyperlink" Target="http://www.sec.gov/Archives/edgar/data/1419041/000156459022012987/fbrx-ex1032_71.htm" TargetMode="External"/><Relationship Id="rId30" Type="http://schemas.openxmlformats.org/officeDocument/2006/relationships/hyperlink" Target="http://www.sec.gov/Archives/edgar/data/1419041/000119312517107559/d312753dex104.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2022-06-24T15:10:40Z</dcterms:created>
  <dcterms:modified xsi:type="dcterms:W3CDTF">2022-06-24T15:10:40Z</dcterms:modified>
</cp:coreProperties>
</file>