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7044055" cy="635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635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540"/>
          </w:cols>
          <w:pgMar w:left="460" w:top="219" w:right="4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Olivan Javier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META PLATFORMS, INC.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1601 WILLOW ROAD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Meta Platforms,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META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02/17/2023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460" w:hanging="5"/>
        <w:spacing w:after="0" w:line="267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74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Chief Operating Officer</w:t>
      </w:r>
    </w:p>
    <w:p>
      <w:pPr>
        <w:spacing w:after="0" w:line="40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095" w:space="720"/>
            <w:col w:w="3265"/>
          </w:cols>
          <w:pgMar w:left="460" w:top="219" w:right="4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4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80" w:type="dxa"/>
            <w:vAlign w:val="bottom"/>
            <w:gridSpan w:val="5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80" w:type="dxa"/>
            <w:vAlign w:val="bottom"/>
            <w:gridSpan w:val="5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MENLO PARK CA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94025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2200" w:type="dxa"/>
            <w:vAlign w:val="bottom"/>
            <w:gridSpan w:val="2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8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ind w:left="1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ind w:left="1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20" w:type="dxa"/>
            <w:vAlign w:val="bottom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02/17/2023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0000FF"/>
                <w:vertAlign w:val="subscript"/>
              </w:rPr>
              <w:t>S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13,341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170.23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67,111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8,622</w:t>
            </w:r>
          </w:p>
        </w:tc>
        <w:tc>
          <w:tcPr>
            <w:tcW w:w="9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Olivan 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LLC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2,999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Olivan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Reinhold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 LLC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(3)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9"/>
              </w:rPr>
              <w:t>8,622</w:t>
            </w:r>
          </w:p>
        </w:tc>
        <w:tc>
          <w:tcPr>
            <w:tcW w:w="92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Reinhold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 LLC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vertAlign w:val="superscript"/>
              </w:rPr>
              <w:t>(4)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5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7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980" w:type="dxa"/>
            <w:vAlign w:val="bottom"/>
          </w:tcPr>
          <w:p>
            <w:pPr>
              <w:ind w:left="4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6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sale reported was effected pursuant to a Rule 10b5-1 trading plan adopted by the reporting person.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held of record by the reporting person, manager of Olivan D LLC.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held of record by the reporting person and his spouse, managers of Olivan Reinhold D LLC.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Shares held of record by the reporting person's spouse, manager of Reinhold D LLC.</w:t>
      </w:r>
    </w:p>
    <w:p>
      <w:pPr>
        <w:ind w:left="6580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 xml:space="preserve">/s/ Erin Guldiken, attorney-in- </w:t>
      </w:r>
      <w:r>
        <w:rPr>
          <w:rFonts w:ascii="Times New Roman" w:cs="Times New Roman" w:eastAsia="Times New Roman" w:hAnsi="Times New Roman"/>
          <w:sz w:val="34"/>
          <w:szCs w:val="34"/>
          <w:color w:val="0000FF"/>
          <w:vertAlign w:val="subscript"/>
        </w:rPr>
        <w:t>02/21/2023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-27940</wp:posOffset>
            </wp:positionV>
            <wp:extent cx="133159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fact for Javier Olivan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-17145</wp:posOffset>
            </wp:positionV>
            <wp:extent cx="93726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5580380</wp:posOffset>
            </wp:positionH>
            <wp:positionV relativeFrom="paragraph">
              <wp:posOffset>-84455</wp:posOffset>
            </wp:positionV>
            <wp:extent cx="501015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both"/>
        <w:ind w:left="40" w:right="3260" w:firstLine="7"/>
        <w:spacing w:after="0" w:line="320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00"/>
      </w:cols>
      <w:pgMar w:left="460" w:top="219" w:right="4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564475" TargetMode="External"/><Relationship Id="rId13" Type="http://schemas.openxmlformats.org/officeDocument/2006/relationships/hyperlink" Target="http://www.sec.gov/cgi-bin/browse-edgar?action=getcompany&amp;CIK=00013268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2023-02-21T17:54:58Z</dcterms:created>
  <dcterms:modified xsi:type="dcterms:W3CDTF">2023-02-21T17:54:58Z</dcterms:modified>
</cp:coreProperties>
</file>