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No.3</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META PLATFORMS INC</w:t>
      </w:r>
    </w:p>
    <w:p>
      <w:pPr>
        <w:spacing w:after="0" w:line="238" w:lineRule="auto"/>
        <w:rPr>
          <w:sz w:val="20"/>
          <w:szCs w:val="20"/>
          <w:color w:val="auto"/>
        </w:rPr>
      </w:pPr>
      <w:r>
        <w:rPr>
          <w:rFonts w:ascii="Courier New" w:cs="Courier New" w:eastAsia="Courier New" w:hAnsi="Courier New"/>
          <w:sz w:val="18"/>
          <w:szCs w:val="18"/>
          <w:color w:val="auto"/>
        </w:rPr>
        <w:t>CLASS A COMMON STOCK</w:t>
      </w:r>
    </w:p>
    <w:p>
      <w:pPr>
        <w:spacing w:after="0" w:line="238" w:lineRule="auto"/>
        <w:rPr>
          <w:sz w:val="20"/>
          <w:szCs w:val="20"/>
          <w:color w:val="auto"/>
        </w:rPr>
      </w:pPr>
      <w:r>
        <w:rPr>
          <w:rFonts w:ascii="Courier New" w:cs="Courier New" w:eastAsia="Courier New" w:hAnsi="Courier New"/>
          <w:sz w:val="18"/>
          <w:szCs w:val="18"/>
          <w:color w:val="auto"/>
        </w:rPr>
        <w:t>Cusip #30303M102</w:t>
      </w: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jc w:val="both"/>
        <w:ind w:right="8339" w:firstLine="8"/>
        <w:spacing w:after="0" w:line="323"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4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#30303M102</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 Reporting Person - FMR LLC</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jc w:val="both"/>
        <w:ind w:right="8139" w:firstLine="850"/>
        <w:spacing w:after="0" w:line="268" w:lineRule="auto"/>
        <w:tabs>
          <w:tab w:leader="none" w:pos="1369"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Item 4: Delaware Item 5: 119,106,697 Item 6: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7: 123,373,905</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8: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9: 123,373,905</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11: 5.470%</w:t>
      </w: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12: HC</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#30303M102</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 Reporting Person - Abigail P. Johnson</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ind w:left="1380" w:hanging="530"/>
        <w:spacing w:after="0" w:line="238" w:lineRule="auto"/>
        <w:tabs>
          <w:tab w:leader="none" w:pos="13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rPr>
          <w:sz w:val="20"/>
          <w:szCs w:val="20"/>
          <w:color w:val="auto"/>
        </w:rPr>
      </w:pPr>
      <w:r>
        <w:rPr>
          <w:rFonts w:ascii="Courier New" w:cs="Courier New" w:eastAsia="Courier New" w:hAnsi="Courier New"/>
          <w:sz w:val="18"/>
          <w:szCs w:val="18"/>
          <w:color w:val="auto"/>
        </w:rPr>
        <w:t>Item 4: United States of America</w:t>
      </w:r>
    </w:p>
    <w:p>
      <w:pPr>
        <w:spacing w:after="0" w:line="238" w:lineRule="auto"/>
        <w:rPr>
          <w:sz w:val="20"/>
          <w:szCs w:val="20"/>
          <w:color w:val="auto"/>
        </w:rPr>
      </w:pPr>
      <w:r>
        <w:rPr>
          <w:rFonts w:ascii="Courier New" w:cs="Courier New" w:eastAsia="Courier New" w:hAnsi="Courier New"/>
          <w:sz w:val="18"/>
          <w:szCs w:val="18"/>
          <w:color w:val="auto"/>
        </w:rPr>
        <w:t>Item 5: 0</w:t>
      </w:r>
    </w:p>
    <w:p>
      <w:pPr>
        <w:spacing w:after="0" w:line="238" w:lineRule="auto"/>
        <w:rPr>
          <w:sz w:val="20"/>
          <w:szCs w:val="20"/>
          <w:color w:val="auto"/>
        </w:rPr>
      </w:pPr>
      <w:r>
        <w:rPr>
          <w:rFonts w:ascii="Courier New" w:cs="Courier New" w:eastAsia="Courier New" w:hAnsi="Courier New"/>
          <w:sz w:val="18"/>
          <w:szCs w:val="18"/>
          <w:color w:val="auto"/>
        </w:rPr>
        <w:t>Item 6: 0</w:t>
      </w:r>
    </w:p>
    <w:p>
      <w:pPr>
        <w:spacing w:after="0"/>
        <w:rPr>
          <w:sz w:val="20"/>
          <w:szCs w:val="20"/>
          <w:color w:val="auto"/>
        </w:rPr>
      </w:pPr>
      <w:r>
        <w:rPr>
          <w:rFonts w:ascii="Courier New" w:cs="Courier New" w:eastAsia="Courier New" w:hAnsi="Courier New"/>
          <w:sz w:val="18"/>
          <w:szCs w:val="18"/>
          <w:color w:val="auto"/>
        </w:rPr>
        <w:t>Item 7: 123,373,905</w:t>
      </w:r>
    </w:p>
    <w:p>
      <w:pPr>
        <w:spacing w:after="0" w:line="238" w:lineRule="auto"/>
        <w:rPr>
          <w:sz w:val="20"/>
          <w:szCs w:val="20"/>
          <w:color w:val="auto"/>
        </w:rPr>
      </w:pPr>
      <w:r>
        <w:rPr>
          <w:rFonts w:ascii="Courier New" w:cs="Courier New" w:eastAsia="Courier New" w:hAnsi="Courier New"/>
          <w:sz w:val="18"/>
          <w:szCs w:val="18"/>
          <w:color w:val="auto"/>
        </w:rPr>
        <w:t>Item 8: 0</w:t>
      </w:r>
    </w:p>
    <w:p>
      <w:pPr>
        <w:spacing w:after="0" w:line="238" w:lineRule="auto"/>
        <w:rPr>
          <w:sz w:val="20"/>
          <w:szCs w:val="20"/>
          <w:color w:val="auto"/>
        </w:rPr>
      </w:pPr>
      <w:r>
        <w:rPr>
          <w:rFonts w:ascii="Courier New" w:cs="Courier New" w:eastAsia="Courier New" w:hAnsi="Courier New"/>
          <w:sz w:val="18"/>
          <w:szCs w:val="18"/>
          <w:color w:val="auto"/>
        </w:rPr>
        <w:t>Item 9: 123,373,905</w:t>
      </w:r>
    </w:p>
    <w:p>
      <w:pPr>
        <w:spacing w:after="0"/>
        <w:rPr>
          <w:sz w:val="20"/>
          <w:szCs w:val="20"/>
          <w:color w:val="auto"/>
        </w:rPr>
      </w:pPr>
      <w:r>
        <w:rPr>
          <w:rFonts w:ascii="Courier New" w:cs="Courier New" w:eastAsia="Courier New" w:hAnsi="Courier New"/>
          <w:sz w:val="18"/>
          <w:szCs w:val="18"/>
          <w:color w:val="auto"/>
        </w:rPr>
        <w:t>Item 11: 5.470%</w:t>
      </w:r>
    </w:p>
    <w:p>
      <w:pPr>
        <w:spacing w:after="0"/>
        <w:rPr>
          <w:sz w:val="20"/>
          <w:szCs w:val="20"/>
          <w:color w:val="auto"/>
        </w:rPr>
      </w:pPr>
      <w:r>
        <w:rPr>
          <w:rFonts w:ascii="Courier New" w:cs="Courier New" w:eastAsia="Courier New" w:hAnsi="Courier New"/>
          <w:sz w:val="18"/>
          <w:szCs w:val="18"/>
          <w:color w:val="auto"/>
        </w:rPr>
        <w:t>Item 12: IN</w:t>
      </w:r>
    </w:p>
    <w:p>
      <w:pPr>
        <w:spacing w:after="0" w:line="200" w:lineRule="exact"/>
        <w:rPr>
          <w:sz w:val="24"/>
          <w:szCs w:val="24"/>
          <w:color w:val="auto"/>
        </w:rPr>
      </w:pPr>
    </w:p>
    <w:p>
      <w:pPr>
        <w:spacing w:after="0" w:line="37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META PLATFORMS INC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1601 WILLOW RD</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MENLO PARK, CA 94025</w:t>
      </w:r>
    </w:p>
    <w:p>
      <w:pPr>
        <w:spacing w:after="0"/>
        <w:rPr>
          <w:sz w:val="20"/>
          <w:szCs w:val="20"/>
          <w:color w:val="auto"/>
        </w:rPr>
      </w:pPr>
      <w:r>
        <w:rPr>
          <w:rFonts w:ascii="Courier New" w:cs="Courier New" w:eastAsia="Courier New" w:hAnsi="Courier New"/>
          <w:sz w:val="18"/>
          <w:szCs w:val="18"/>
          <w:color w:val="auto"/>
        </w:rPr>
        <w:t>USA</w:t>
      </w:r>
    </w:p>
    <w:p>
      <w:pPr>
        <w:spacing w:after="0" w:line="16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or Principal Business Office or, if None, Residence: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245 Summer Street, Boston, Massachusetts 02210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CLASS A COMMON STOCK</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30303M102</w:t>
      </w:r>
    </w:p>
    <w:p>
      <w:pPr>
        <w:spacing w:after="0" w:line="201" w:lineRule="exact"/>
        <w:rPr>
          <w:sz w:val="24"/>
          <w:szCs w:val="24"/>
          <w:color w:val="auto"/>
        </w:rPr>
      </w:pPr>
    </w:p>
    <w:p>
      <w:pPr>
        <w:ind w:right="1919"/>
        <w:spacing w:after="0" w:line="292" w:lineRule="auto"/>
        <w:rPr>
          <w:sz w:val="20"/>
          <w:szCs w:val="20"/>
          <w:color w:val="auto"/>
        </w:rPr>
      </w:pPr>
      <w:r>
        <w:rPr>
          <w:rFonts w:ascii="Courier New" w:cs="Courier New" w:eastAsia="Courier New" w:hAnsi="Courier New"/>
          <w:sz w:val="18"/>
          <w:szCs w:val="18"/>
          <w:color w:val="auto"/>
        </w:rPr>
        <w:t>Item 3. This statement is filed pursuant to Rule 13d-1(b) or 13d-2(b) or (c) and the person filing, FMR LLC, is a parent holding company in accordance with Section 240.13d-1(b)(1)(ii)(G). (Note: See Exhibit A).</w:t>
      </w:r>
    </w:p>
    <w:p>
      <w:pPr>
        <w:spacing w:after="0" w:line="6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123,373,905</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5.470%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ectPr>
          <w:pgSz w:w="11900" w:h="16838" w:orient="portrait"/>
          <w:cols w:equalWidth="0" w:num="1">
            <w:col w:w="10139"/>
          </w:cols>
          <w:pgMar w:left="320" w:top="218" w:right="1440" w:bottom="0" w:gutter="0" w:footer="0" w:header="0"/>
        </w:sectPr>
      </w:pPr>
    </w:p>
    <w:bookmarkStart w:id="1" w:name="page2"/>
    <w:bookmarkEnd w:id="1"/>
    <w:p>
      <w:pPr>
        <w:ind w:right="2439" w:firstLine="8"/>
        <w:spacing w:after="0" w:line="346" w:lineRule="auto"/>
        <w:tabs>
          <w:tab w:leader="none" w:pos="421"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Please see the responses to Items 5 and 6 on the cover page</w:t>
      </w:r>
    </w:p>
    <w:p>
      <w:pPr>
        <w:spacing w:after="0" w:line="19"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123,373,905</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1" w:lineRule="exact"/>
        <w:rPr>
          <w:sz w:val="20"/>
          <w:szCs w:val="20"/>
          <w:color w:val="auto"/>
        </w:rPr>
      </w:pPr>
    </w:p>
    <w:p>
      <w:pPr>
        <w:ind w:right="1919"/>
        <w:spacing w:after="0" w:line="265"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 sale of, the CLASS A COMMON STOCK of META PLATFORMS INC. No one other person's interest in the CLASS A COMMON STOCK of META PLATFORMS INC is more than five percent of the total outstanding CLASS A COMMON STOCK.</w:t>
      </w:r>
    </w:p>
    <w:p>
      <w:pPr>
        <w:spacing w:after="0" w:line="292" w:lineRule="exact"/>
        <w:rPr>
          <w:sz w:val="20"/>
          <w:szCs w:val="20"/>
          <w:color w:val="auto"/>
        </w:rPr>
      </w:pPr>
    </w:p>
    <w:p>
      <w:pPr>
        <w:ind w:right="1919"/>
        <w:spacing w:after="0" w:line="34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201" w:lineRule="exact"/>
        <w:rPr>
          <w:sz w:val="20"/>
          <w:szCs w:val="20"/>
          <w:color w:val="auto"/>
        </w:rPr>
      </w:pPr>
    </w:p>
    <w:p>
      <w:pPr>
        <w:ind w:right="2019"/>
        <w:spacing w:after="0" w:line="260"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orinfluencing the control of the issuer of the securities and were not acquired and are not held in connection with or as a participant in any transaction having that purpose or effect.</w:t>
      </w:r>
    </w:p>
    <w:p>
      <w:pPr>
        <w:spacing w:after="0" w:line="9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right="1919"/>
        <w:spacing w:after="0" w:line="292"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6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February 9, 2023</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Stephanie J. Brown</w:t>
      </w:r>
    </w:p>
    <w:p>
      <w:pPr>
        <w:spacing w:after="0" w:line="3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Stephanie J. Brown</w:t>
      </w:r>
    </w:p>
    <w:p>
      <w:pPr>
        <w:spacing w:after="0" w:line="31" w:lineRule="exact"/>
        <w:rPr>
          <w:sz w:val="20"/>
          <w:szCs w:val="20"/>
          <w:color w:val="auto"/>
        </w:rPr>
      </w:pPr>
    </w:p>
    <w:p>
      <w:pPr>
        <w:ind w:right="2239"/>
        <w:spacing w:after="0" w:line="309" w:lineRule="auto"/>
        <w:rPr>
          <w:sz w:val="20"/>
          <w:szCs w:val="20"/>
          <w:color w:val="auto"/>
        </w:rPr>
      </w:pPr>
      <w:r>
        <w:rPr>
          <w:rFonts w:ascii="Courier New" w:cs="Courier New" w:eastAsia="Courier New" w:hAnsi="Courier New"/>
          <w:sz w:val="18"/>
          <w:szCs w:val="18"/>
          <w:color w:val="auto"/>
        </w:rPr>
        <w:t>Duly authorized under Power of Attorney effective as of January 3, 2023, by and on behalf of FMR LLC and its direct and indirect subsidiaries*</w:t>
      </w:r>
    </w:p>
    <w:p>
      <w:pPr>
        <w:spacing w:after="0" w:line="253" w:lineRule="exact"/>
        <w:rPr>
          <w:sz w:val="20"/>
          <w:szCs w:val="20"/>
          <w:color w:val="auto"/>
        </w:rPr>
      </w:pPr>
    </w:p>
    <w:p>
      <w:pPr>
        <w:ind w:right="2019" w:firstLine="8"/>
        <w:spacing w:after="0" w:line="292"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January 10, 2023, accession number: 0000315066-23-000003.</w:t>
      </w:r>
    </w:p>
    <w:p>
      <w:pPr>
        <w:spacing w:after="0" w:line="26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4" w:lineRule="exact"/>
        <w:rPr>
          <w:sz w:val="20"/>
          <w:szCs w:val="20"/>
          <w:color w:val="auto"/>
        </w:rPr>
      </w:pPr>
    </w:p>
    <w:p>
      <w:pPr>
        <w:ind w:right="2019"/>
        <w:spacing w:after="0" w:line="274"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139"/>
          </w:cols>
          <w:pgMar w:left="320" w:top="312" w:right="1440" w:bottom="0" w:gutter="0" w:footer="0" w:header="0"/>
        </w:sectPr>
      </w:pPr>
    </w:p>
    <w:p>
      <w:pPr>
        <w:spacing w:after="0" w:line="8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200" w:lineRule="exact"/>
        <w:rPr>
          <w:sz w:val="20"/>
          <w:szCs w:val="20"/>
          <w:color w:val="auto"/>
        </w:rPr>
      </w:pPr>
    </w:p>
    <w:p>
      <w:pPr>
        <w:sectPr>
          <w:pgSz w:w="11900" w:h="16838" w:orient="portrait"/>
          <w:cols w:equalWidth="0" w:num="2">
            <w:col w:w="640" w:space="320"/>
            <w:col w:w="9179"/>
          </w:cols>
          <w:pgMar w:left="320" w:top="312" w:right="1440" w:bottom="0" w:gutter="0" w:footer="0" w:header="0"/>
          <w:type w:val="continuous"/>
        </w:sectPr>
      </w:pPr>
    </w:p>
    <w:p>
      <w:pPr>
        <w:spacing w:after="0" w:line="24" w:lineRule="exact"/>
        <w:rPr>
          <w:sz w:val="20"/>
          <w:szCs w:val="20"/>
          <w:color w:val="auto"/>
        </w:rPr>
      </w:pPr>
    </w:p>
    <w:p>
      <w:pPr>
        <w:spacing w:after="0"/>
        <w:tabs>
          <w:tab w:leader="none" w:pos="2200" w:val="left"/>
        </w:tabs>
        <w:rPr>
          <w:sz w:val="20"/>
          <w:szCs w:val="20"/>
          <w:color w:val="auto"/>
        </w:rPr>
      </w:pPr>
      <w:r>
        <w:rPr>
          <w:rFonts w:ascii="Courier New" w:cs="Courier New" w:eastAsia="Courier New" w:hAnsi="Courier New"/>
          <w:sz w:val="18"/>
          <w:szCs w:val="18"/>
          <w:color w:val="auto"/>
        </w:rPr>
        <w:t>Crosby Advisors LLC</w:t>
      </w:r>
      <w:r>
        <w:rPr>
          <w:sz w:val="20"/>
          <w:szCs w:val="20"/>
          <w:color w:val="auto"/>
        </w:rPr>
        <w:tab/>
      </w:r>
      <w:r>
        <w:rPr>
          <w:rFonts w:ascii="Courier New" w:cs="Courier New" w:eastAsia="Courier New" w:hAnsi="Courier New"/>
          <w:sz w:val="16"/>
          <w:szCs w:val="16"/>
          <w:color w:val="auto"/>
        </w:rPr>
        <w:t>N/A</w:t>
      </w:r>
    </w:p>
    <w:p>
      <w:pPr>
        <w:spacing w:after="0" w:line="29"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FIAM LLC</w:t>
        <w:tab/>
        <w:t>IA</w:t>
      </w:r>
    </w:p>
    <w:p>
      <w:pPr>
        <w:spacing w:after="0"/>
        <w:rPr>
          <w:sz w:val="20"/>
          <w:szCs w:val="20"/>
          <w:color w:val="auto"/>
        </w:rPr>
      </w:pPr>
      <w:r>
        <w:rPr>
          <w:rFonts w:ascii="Courier New" w:cs="Courier New" w:eastAsia="Courier New" w:hAnsi="Courier New"/>
          <w:sz w:val="16"/>
          <w:szCs w:val="16"/>
          <w:color w:val="auto"/>
        </w:rPr>
        <w:t>Fidelity Diversifying Solutions LLC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IA</w:t>
      </w:r>
    </w:p>
    <w:p>
      <w:pPr>
        <w:sectPr>
          <w:pgSz w:w="11900" w:h="16838" w:orient="portrait"/>
          <w:cols w:equalWidth="0" w:num="2">
            <w:col w:w="3700" w:space="200"/>
            <w:col w:w="6239"/>
          </w:cols>
          <w:pgMar w:left="320" w:top="312" w:right="1440" w:bottom="0" w:gutter="0" w:footer="0" w:header="0"/>
          <w:type w:val="continuous"/>
        </w:sectPr>
      </w:pPr>
    </w:p>
    <w:bookmarkStart w:id="2" w:name="page3"/>
    <w:bookmarkEnd w:id="2"/>
    <w:p>
      <w:pPr>
        <w:ind w:right="4119"/>
        <w:spacing w:after="0" w:line="274" w:lineRule="auto"/>
        <w:rPr>
          <w:sz w:val="20"/>
          <w:szCs w:val="20"/>
          <w:color w:val="auto"/>
        </w:rPr>
      </w:pPr>
      <w:r>
        <w:rPr>
          <w:rFonts w:ascii="Courier New" w:cs="Courier New" w:eastAsia="Courier New" w:hAnsi="Courier New"/>
          <w:sz w:val="18"/>
          <w:szCs w:val="18"/>
          <w:color w:val="auto"/>
        </w:rPr>
        <w:t>Fidelity Institutional Asset Management Trust Company BK Fidelity Management &amp; Research Company LLC IA Fidelity Management Trust Company BK Strategic Advisers LLC IA</w:t>
      </w:r>
    </w:p>
    <w:p>
      <w:pPr>
        <w:spacing w:after="0" w:line="200" w:lineRule="exact"/>
        <w:rPr>
          <w:sz w:val="20"/>
          <w:szCs w:val="20"/>
          <w:color w:val="auto"/>
        </w:rPr>
      </w:pPr>
    </w:p>
    <w:p>
      <w:pPr>
        <w:spacing w:after="0" w:line="286" w:lineRule="exact"/>
        <w:rPr>
          <w:sz w:val="20"/>
          <w:szCs w:val="20"/>
          <w:color w:val="auto"/>
        </w:rPr>
      </w:pPr>
    </w:p>
    <w:p>
      <w:pPr>
        <w:ind w:right="1919"/>
        <w:spacing w:after="0" w:line="346"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 w:lineRule="exact"/>
        <w:rPr>
          <w:sz w:val="20"/>
          <w:szCs w:val="20"/>
          <w:color w:val="auto"/>
        </w:rPr>
      </w:pPr>
    </w:p>
    <w:p>
      <w:pPr>
        <w:ind w:right="1919"/>
        <w:spacing w:after="0" w:line="250" w:lineRule="auto"/>
        <w:rPr>
          <w:sz w:val="20"/>
          <w:szCs w:val="20"/>
          <w:color w:val="auto"/>
        </w:rPr>
      </w:pPr>
      <w:r>
        <w:rPr>
          <w:rFonts w:ascii="Courier New" w:cs="Courier New" w:eastAsia="Courier New" w:hAnsi="Courier New"/>
          <w:sz w:val="18"/>
          <w:szCs w:val="18"/>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w:t>
      </w:r>
    </w:p>
    <w:p>
      <w:pPr>
        <w:spacing w:after="0" w:line="103" w:lineRule="exact"/>
        <w:rPr>
          <w:sz w:val="20"/>
          <w:szCs w:val="20"/>
          <w:color w:val="auto"/>
        </w:rPr>
      </w:pPr>
    </w:p>
    <w:p>
      <w:pPr>
        <w:ind w:right="1919"/>
        <w:spacing w:after="0" w:line="256" w:lineRule="auto"/>
        <w:rPr>
          <w:sz w:val="20"/>
          <w:szCs w:val="20"/>
          <w:color w:val="auto"/>
        </w:rPr>
      </w:pPr>
      <w:r>
        <w:rPr>
          <w:rFonts w:ascii="Courier New" w:cs="Courier New" w:eastAsia="Courier New" w:hAnsi="Courier New"/>
          <w:sz w:val="18"/>
          <w:szCs w:val="18"/>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3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1" w:lineRule="exact"/>
        <w:rPr>
          <w:sz w:val="20"/>
          <w:szCs w:val="20"/>
          <w:color w:val="auto"/>
        </w:rPr>
      </w:pPr>
    </w:p>
    <w:p>
      <w:pPr>
        <w:ind w:right="2119"/>
        <w:spacing w:after="0" w:line="274" w:lineRule="auto"/>
        <w:rPr>
          <w:sz w:val="20"/>
          <w:szCs w:val="20"/>
          <w:color w:val="auto"/>
        </w:rPr>
      </w:pPr>
      <w:r>
        <w:rPr>
          <w:rFonts w:ascii="Courier New" w:cs="Courier New" w:eastAsia="Courier New" w:hAnsi="Courier New"/>
          <w:sz w:val="18"/>
          <w:szCs w:val="18"/>
          <w:color w:val="auto"/>
        </w:rPr>
        <w:t>The undersigned persons, on February 9, 2023, agree and consent to the joint filing on their behalf of this Schedule 13G in connection with their beneficial ownership of the CLASS A COMMON STOCK of META PLATFORMS INC at December 30, 2022.</w:t>
      </w:r>
    </w:p>
    <w:p>
      <w:pPr>
        <w:spacing w:after="0" w:line="8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Stephanie J. Brown</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Stephanie J. Brown</w:t>
      </w:r>
    </w:p>
    <w:p>
      <w:pPr>
        <w:ind w:right="2239"/>
        <w:spacing w:after="0" w:line="309" w:lineRule="auto"/>
        <w:rPr>
          <w:sz w:val="20"/>
          <w:szCs w:val="20"/>
          <w:color w:val="auto"/>
        </w:rPr>
      </w:pPr>
      <w:r>
        <w:rPr>
          <w:rFonts w:ascii="Courier New" w:cs="Courier New" w:eastAsia="Courier New" w:hAnsi="Courier New"/>
          <w:sz w:val="18"/>
          <w:szCs w:val="18"/>
          <w:color w:val="auto"/>
        </w:rPr>
        <w:t>Duly authorized under Power of Attorney effective as of January 3, 2023, by and on behalf of FMR LLC and its direct and indirect subsidiaries*</w:t>
      </w:r>
    </w:p>
    <w:p>
      <w:pPr>
        <w:spacing w:after="0" w:line="5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Stephanie J. Brown</w:t>
      </w:r>
    </w:p>
    <w:p>
      <w:pPr>
        <w:spacing w:after="0" w:line="29"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Stephanie J. Brown</w:t>
      </w:r>
    </w:p>
    <w:p>
      <w:pPr>
        <w:ind w:right="2019"/>
        <w:spacing w:after="0" w:line="309" w:lineRule="auto"/>
        <w:rPr>
          <w:sz w:val="20"/>
          <w:szCs w:val="20"/>
          <w:color w:val="auto"/>
        </w:rPr>
      </w:pPr>
      <w:r>
        <w:rPr>
          <w:rFonts w:ascii="Courier New" w:cs="Courier New" w:eastAsia="Courier New" w:hAnsi="Courier New"/>
          <w:sz w:val="18"/>
          <w:szCs w:val="18"/>
          <w:color w:val="auto"/>
        </w:rPr>
        <w:t>Duly authorized under Power of Attorney effective as of January, 26, 2023, by and on behalf of Abigail P. Johnson**</w:t>
      </w:r>
    </w:p>
    <w:p>
      <w:pPr>
        <w:spacing w:after="0" w:line="253" w:lineRule="exact"/>
        <w:rPr>
          <w:sz w:val="20"/>
          <w:szCs w:val="20"/>
          <w:color w:val="auto"/>
        </w:rPr>
      </w:pPr>
    </w:p>
    <w:p>
      <w:pPr>
        <w:ind w:right="2019" w:firstLine="8"/>
        <w:spacing w:after="0" w:line="292" w:lineRule="auto"/>
        <w:tabs>
          <w:tab w:leader="none" w:pos="21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January 10, 2023, accession number: 0000315066-23-000003.</w:t>
      </w:r>
    </w:p>
    <w:p>
      <w:pPr>
        <w:spacing w:after="0" w:line="66" w:lineRule="exact"/>
        <w:rPr>
          <w:sz w:val="20"/>
          <w:szCs w:val="20"/>
          <w:color w:val="auto"/>
        </w:rPr>
      </w:pPr>
    </w:p>
    <w:p>
      <w:pPr>
        <w:ind w:right="1919" w:firstLine="8"/>
        <w:spacing w:after="0" w:line="292" w:lineRule="auto"/>
        <w:tabs>
          <w:tab w:leader="none" w:pos="316"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January 31, 2023, accession number: 0000315066-23-000038.</w:t>
      </w:r>
    </w:p>
    <w:sectPr>
      <w:pgSz w:w="11900" w:h="16838" w:orient="portrait"/>
      <w:cols w:equalWidth="0" w:num="1">
        <w:col w:w="10139"/>
      </w:cols>
      <w:pgMar w:left="32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lowerRoman"/>
      <w:start w:val="10"/>
    </w:lvl>
  </w:abstractNum>
  <w:abstractNum w:abstractNumId="1">
    <w:nsid w:val="46E87CCD"/>
    <w:multiLevelType w:val="hybridMultilevel"/>
    <w:lvl w:ilvl="0">
      <w:lvlJc w:val="left"/>
      <w:lvlText w:val="(%1)"/>
      <w:numFmt w:val="lowerLetter"/>
      <w:start w:val="2"/>
    </w:lvl>
  </w:abstractNum>
  <w:abstractNum w:abstractNumId="2">
    <w:nsid w:val="3D1B58BA"/>
    <w:multiLevelType w:val="hybridMultilevel"/>
    <w:lvl w:ilvl="0">
      <w:lvlJc w:val="left"/>
      <w:lvlText w:val="(%1)"/>
      <w:numFmt w:val="lowerLetter"/>
      <w:start w:val="2"/>
    </w:lvl>
  </w:abstractNum>
  <w:abstractNum w:abstractNumId="3">
    <w:nsid w:val="507ED7AB"/>
    <w:multiLevelType w:val="hybridMultilevel"/>
    <w:lvl w:ilvl="0">
      <w:lvlJc w:val="left"/>
      <w:lvlText w:val="(%1)"/>
      <w:numFmt w:val="lowerLetter"/>
      <w:start w:val="1"/>
    </w:lvl>
  </w:abstractNum>
  <w:abstractNum w:abstractNumId="4">
    <w:nsid w:val="2EB141F2"/>
    <w:multiLevelType w:val="hybridMultilevel"/>
    <w:lvl w:ilvl="0">
      <w:lvlJc w:val="left"/>
      <w:lvlText w:val="(%1)"/>
      <w:numFmt w:val="lowerRoman"/>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2023-02-09T10:24:58Z</dcterms:created>
  <dcterms:modified xsi:type="dcterms:W3CDTF">2023-02-09T10:24:58Z</dcterms:modified>
</cp:coreProperties>
</file>