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240"/>
        <w:spacing w:after="0"/>
        <w:rPr>
          <w:sz w:val="20"/>
          <w:szCs w:val="20"/>
          <w:color w:val="auto"/>
        </w:rPr>
      </w:pPr>
      <w:r>
        <w:rPr>
          <w:rFonts w:ascii="Arial" w:cs="Arial" w:eastAsia="Arial" w:hAnsi="Arial"/>
          <w:sz w:val="13"/>
          <w:szCs w:val="13"/>
          <w:b w:val="1"/>
          <w:bCs w:val="1"/>
          <w:color w:val="auto"/>
        </w:rPr>
        <w:t>__________________________________________________________________________________________________________________________</w:t>
      </w:r>
    </w:p>
    <w:p>
      <w:pPr>
        <w:spacing w:after="0" w:line="251"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Washington, D.C. 20549</w:t>
      </w:r>
    </w:p>
    <w:p>
      <w:pPr>
        <w:spacing w:after="0" w:line="1" w:lineRule="exact"/>
        <w:rPr>
          <w:sz w:val="24"/>
          <w:szCs w:val="24"/>
          <w:color w:val="auto"/>
        </w:rPr>
      </w:pPr>
    </w:p>
    <w:p>
      <w:pPr>
        <w:ind w:left="106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46"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31" w:lineRule="exact"/>
        <w:rPr>
          <w:sz w:val="24"/>
          <w:szCs w:val="24"/>
          <w:color w:val="auto"/>
        </w:rPr>
      </w:pPr>
    </w:p>
    <w:p>
      <w:pPr>
        <w:ind w:left="106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6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CURRENT REPORT</w:t>
      </w:r>
    </w:p>
    <w:p>
      <w:pPr>
        <w:spacing w:after="0" w:line="21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Securities Exchange Act of 1934</w:t>
      </w:r>
    </w:p>
    <w:p>
      <w:pPr>
        <w:spacing w:after="0" w:line="234"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February 22, 2022</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94" w:lineRule="exact"/>
        <w:rPr>
          <w:sz w:val="24"/>
          <w:szCs w:val="24"/>
          <w:color w:val="auto"/>
        </w:rPr>
      </w:pPr>
    </w:p>
    <w:p>
      <w:pPr>
        <w:ind w:left="106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60" w:lineRule="exact"/>
        <w:rPr>
          <w:sz w:val="24"/>
          <w:szCs w:val="24"/>
          <w:color w:val="auto"/>
        </w:rPr>
      </w:pPr>
    </w:p>
    <w:p>
      <w:pPr>
        <w:jc w:val="center"/>
        <w:ind w:right="-179"/>
        <w:spacing w:after="0"/>
        <w:rPr>
          <w:sz w:val="20"/>
          <w:szCs w:val="20"/>
          <w:color w:val="auto"/>
        </w:rPr>
      </w:pPr>
      <w:r>
        <w:rPr>
          <w:rFonts w:ascii="Arial" w:cs="Arial" w:eastAsia="Arial" w:hAnsi="Arial"/>
          <w:sz w:val="43"/>
          <w:szCs w:val="43"/>
          <w:b w:val="1"/>
          <w:bCs w:val="1"/>
          <w:color w:val="auto"/>
        </w:rPr>
        <w:t>Penumbra, Inc.</w:t>
      </w:r>
    </w:p>
    <w:p>
      <w:pPr>
        <w:spacing w:after="0" w:line="5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 w:lineRule="exact"/>
        <w:rPr>
          <w:sz w:val="24"/>
          <w:szCs w:val="24"/>
          <w:color w:val="auto"/>
        </w:rPr>
      </w:pPr>
    </w:p>
    <w:p>
      <w:pPr>
        <w:ind w:left="1060"/>
        <w:spacing w:after="0"/>
        <w:rPr>
          <w:sz w:val="20"/>
          <w:szCs w:val="20"/>
          <w:color w:val="auto"/>
        </w:rPr>
      </w:pPr>
      <w:r>
        <w:rPr>
          <w:rFonts w:ascii="Arial" w:cs="Arial" w:eastAsia="Arial" w:hAnsi="Arial"/>
          <w:sz w:val="12"/>
          <w:szCs w:val="12"/>
          <w:color w:val="auto"/>
        </w:rPr>
        <w:t>_______________________________________________________________________________________________________________________________</w:t>
      </w:r>
    </w:p>
    <w:p>
      <w:pPr>
        <w:sectPr>
          <w:pgSz w:w="11900" w:h="16838" w:orient="portrait"/>
          <w:cols w:equalWidth="0" w:num="1">
            <w:col w:w="11080"/>
          </w:cols>
          <w:pgMar w:left="320" w:top="1035" w:right="499" w:bottom="1440" w:gutter="0" w:footer="0" w:header="0"/>
        </w:sectPr>
      </w:pPr>
    </w:p>
    <w:p>
      <w:pPr>
        <w:spacing w:after="0" w:line="53" w:lineRule="exact"/>
        <w:rPr>
          <w:sz w:val="24"/>
          <w:szCs w:val="24"/>
          <w:color w:val="auto"/>
        </w:rPr>
      </w:pPr>
    </w:p>
    <w:p>
      <w:pPr>
        <w:jc w:val="center"/>
        <w:ind w:left="14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left="140"/>
        <w:spacing w:after="0"/>
        <w:rPr>
          <w:sz w:val="20"/>
          <w:szCs w:val="20"/>
          <w:color w:val="auto"/>
        </w:rPr>
      </w:pPr>
      <w:r>
        <w:rPr>
          <w:rFonts w:ascii="Arial" w:cs="Arial" w:eastAsia="Arial" w:hAnsi="Arial"/>
          <w:sz w:val="16"/>
          <w:szCs w:val="16"/>
          <w:b w:val="1"/>
          <w:bCs w:val="1"/>
          <w:color w:val="auto"/>
        </w:rPr>
        <w:t>(State or other jurisdiction of incorporation or</w:t>
      </w:r>
    </w:p>
    <w:p>
      <w:pPr>
        <w:spacing w:after="0" w:line="20" w:lineRule="exact"/>
        <w:rPr>
          <w:sz w:val="24"/>
          <w:szCs w:val="24"/>
          <w:color w:val="auto"/>
        </w:rPr>
      </w:pPr>
      <w:r>
        <w:rPr>
          <w:sz w:val="24"/>
          <w:szCs w:val="24"/>
          <w:color w:val="auto"/>
        </w:rPr>
        <w:br w:type="column"/>
      </w:r>
    </w:p>
    <w:p>
      <w:pPr>
        <w:spacing w:after="0" w:line="33" w:lineRule="exact"/>
        <w:rPr>
          <w:sz w:val="24"/>
          <w:szCs w:val="24"/>
          <w:color w:val="auto"/>
        </w:rPr>
      </w:pPr>
    </w:p>
    <w:p>
      <w:pPr>
        <w:jc w:val="center"/>
        <w:ind w:right="420"/>
        <w:spacing w:after="0"/>
        <w:rPr>
          <w:sz w:val="20"/>
          <w:szCs w:val="20"/>
          <w:color w:val="auto"/>
        </w:rPr>
      </w:pPr>
      <w:r>
        <w:rPr>
          <w:rFonts w:ascii="Arial" w:cs="Arial" w:eastAsia="Arial" w:hAnsi="Arial"/>
          <w:sz w:val="18"/>
          <w:szCs w:val="18"/>
          <w:b w:val="1"/>
          <w:bCs w:val="1"/>
          <w:color w:val="auto"/>
        </w:rPr>
        <w:t>001-37557</w:t>
      </w:r>
    </w:p>
    <w:p>
      <w:pPr>
        <w:spacing w:after="0" w:line="27" w:lineRule="exact"/>
        <w:rPr>
          <w:sz w:val="24"/>
          <w:szCs w:val="24"/>
          <w:color w:val="auto"/>
        </w:rPr>
      </w:pPr>
    </w:p>
    <w:p>
      <w:pPr>
        <w:jc w:val="center"/>
        <w:ind w:right="42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33" w:lineRule="exact"/>
        <w:rPr>
          <w:sz w:val="24"/>
          <w:szCs w:val="24"/>
          <w:color w:val="auto"/>
        </w:rPr>
      </w:pPr>
    </w:p>
    <w:p>
      <w:pPr>
        <w:jc w:val="center"/>
        <w:ind w:right="440"/>
        <w:spacing w:after="0"/>
        <w:rPr>
          <w:sz w:val="20"/>
          <w:szCs w:val="20"/>
          <w:color w:val="auto"/>
        </w:rPr>
      </w:pPr>
      <w:r>
        <w:rPr>
          <w:rFonts w:ascii="Arial" w:cs="Arial" w:eastAsia="Arial" w:hAnsi="Arial"/>
          <w:sz w:val="18"/>
          <w:szCs w:val="18"/>
          <w:b w:val="1"/>
          <w:bCs w:val="1"/>
          <w:color w:val="auto"/>
        </w:rPr>
        <w:t>05-0605598</w:t>
      </w:r>
    </w:p>
    <w:p>
      <w:pPr>
        <w:spacing w:after="0" w:line="27" w:lineRule="exact"/>
        <w:rPr>
          <w:sz w:val="24"/>
          <w:szCs w:val="24"/>
          <w:color w:val="auto"/>
        </w:rPr>
      </w:pPr>
    </w:p>
    <w:p>
      <w:pPr>
        <w:jc w:val="center"/>
        <w:ind w:right="440"/>
        <w:spacing w:after="0"/>
        <w:rPr>
          <w:sz w:val="20"/>
          <w:szCs w:val="20"/>
          <w:color w:val="auto"/>
        </w:rPr>
      </w:pPr>
      <w:r>
        <w:rPr>
          <w:rFonts w:ascii="Arial" w:cs="Arial" w:eastAsia="Arial" w:hAnsi="Arial"/>
          <w:sz w:val="16"/>
          <w:szCs w:val="16"/>
          <w:b w:val="1"/>
          <w:bCs w:val="1"/>
          <w:color w:val="auto"/>
        </w:rPr>
        <w:t>(I.R.S. employer identification number)</w:t>
      </w:r>
    </w:p>
    <w:p>
      <w:pPr>
        <w:spacing w:after="0" w:line="37" w:lineRule="exact"/>
        <w:rPr>
          <w:sz w:val="24"/>
          <w:szCs w:val="24"/>
          <w:color w:val="auto"/>
        </w:rPr>
      </w:pPr>
    </w:p>
    <w:p>
      <w:pPr>
        <w:sectPr>
          <w:pgSz w:w="11900" w:h="16838" w:orient="portrait"/>
          <w:cols w:equalWidth="0" w:num="3">
            <w:col w:w="4020" w:space="720"/>
            <w:col w:w="2140" w:space="720"/>
            <w:col w:w="3480"/>
          </w:cols>
          <w:pgMar w:left="320" w:top="1035" w:right="499" w:bottom="1440" w:gutter="0" w:footer="0" w:header="0"/>
          <w:type w:val="continuous"/>
        </w:sectPr>
      </w:pPr>
    </w:p>
    <w:p>
      <w:pPr>
        <w:ind w:left="1560"/>
        <w:spacing w:after="0"/>
        <w:rPr>
          <w:sz w:val="20"/>
          <w:szCs w:val="20"/>
          <w:color w:val="auto"/>
        </w:rPr>
      </w:pPr>
      <w:r>
        <w:rPr>
          <w:rFonts w:ascii="Arial" w:cs="Arial" w:eastAsia="Arial" w:hAnsi="Arial"/>
          <w:sz w:val="16"/>
          <w:szCs w:val="16"/>
          <w:b w:val="1"/>
          <w:bCs w:val="1"/>
          <w:color w:val="auto"/>
        </w:rPr>
        <w:t>organization)</w:t>
      </w:r>
    </w:p>
    <w:p>
      <w:pPr>
        <w:sectPr>
          <w:pgSz w:w="11900" w:h="16838" w:orient="portrait"/>
          <w:cols w:equalWidth="0" w:num="1">
            <w:col w:w="11080"/>
          </w:cols>
          <w:pgMar w:left="320" w:top="1035" w:right="499" w:bottom="1440" w:gutter="0" w:footer="0" w:header="0"/>
          <w:type w:val="continuous"/>
        </w:sectPr>
      </w:pPr>
    </w:p>
    <w:p>
      <w:pPr>
        <w:spacing w:after="0" w:line="238"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One Penumbra Place</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Alameda, CA 94502</w:t>
      </w:r>
    </w:p>
    <w:p>
      <w:pPr>
        <w:spacing w:after="0" w:line="9"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(Address of principal executive offices, including zip code)</w:t>
      </w:r>
    </w:p>
    <w:p>
      <w:pPr>
        <w:spacing w:after="0" w:line="20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(510) 748-3200</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211" w:lineRule="exact"/>
        <w:rPr>
          <w:sz w:val="24"/>
          <w:szCs w:val="24"/>
          <w:color w:val="auto"/>
        </w:rPr>
      </w:pPr>
    </w:p>
    <w:p>
      <w:pPr>
        <w:ind w:right="460"/>
        <w:spacing w:after="0" w:line="25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obligations of the registrant under any of the following provisions:</w:t>
      </w:r>
    </w:p>
    <w:p>
      <w:pPr>
        <w:spacing w:after="0" w:line="27" w:lineRule="exact"/>
        <w:rPr>
          <w:sz w:val="24"/>
          <w:szCs w:val="24"/>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38" w:lineRule="exact"/>
        <w:rPr>
          <w:rFonts w:ascii="MS PGothic" w:cs="MS PGothic" w:eastAsia="MS PGothic" w:hAnsi="MS PGothic"/>
          <w:sz w:val="18"/>
          <w:szCs w:val="18"/>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 w:lineRule="exact"/>
        <w:rPr>
          <w:rFonts w:ascii="MS PGothic" w:cs="MS PGothic" w:eastAsia="MS PGothic" w:hAnsi="MS PGothic"/>
          <w:sz w:val="18"/>
          <w:szCs w:val="18"/>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 w:lineRule="exact"/>
        <w:rPr>
          <w:rFonts w:ascii="MS PGothic" w:cs="MS PGothic" w:eastAsia="MS PGothic" w:hAnsi="MS PGothic"/>
          <w:sz w:val="18"/>
          <w:szCs w:val="18"/>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19" w:lineRule="exact"/>
        <w:rPr>
          <w:sz w:val="24"/>
          <w:szCs w:val="24"/>
          <w:color w:val="auto"/>
        </w:rPr>
      </w:pPr>
    </w:p>
    <w:tbl>
      <w:tblPr>
        <w:tblLayout w:type="fixed"/>
        <w:tblInd w:w="1000" w:type="dxa"/>
        <w:tblCellMar>
          <w:top w:w="0" w:type="dxa"/>
          <w:left w:w="0" w:type="dxa"/>
          <w:bottom w:w="0" w:type="dxa"/>
          <w:right w:w="0" w:type="dxa"/>
        </w:tblCellMar>
      </w:tblPr>
      <w:tr>
        <w:trPr>
          <w:trHeight w:val="206"/>
        </w:trPr>
        <w:tc>
          <w:tcPr>
            <w:tcW w:w="8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420" w:type="dxa"/>
            <w:vAlign w:val="bottom"/>
            <w:gridSpan w:val="4"/>
          </w:tcPr>
          <w:p>
            <w:pPr>
              <w:ind w:left="80"/>
              <w:spacing w:after="0"/>
              <w:rPr>
                <w:sz w:val="20"/>
                <w:szCs w:val="20"/>
                <w:color w:val="auto"/>
              </w:rPr>
            </w:pPr>
            <w:r>
              <w:rPr>
                <w:rFonts w:ascii="Arial" w:cs="Arial" w:eastAsia="Arial" w:hAnsi="Arial"/>
                <w:sz w:val="16"/>
                <w:szCs w:val="16"/>
                <w:color w:val="auto"/>
              </w:rPr>
              <w:t>Securities registered pursuant to Section 12(b) of the Act:</w:t>
            </w:r>
          </w:p>
        </w:tc>
      </w:tr>
      <w:tr>
        <w:trPr>
          <w:trHeight w:val="195"/>
        </w:trPr>
        <w:tc>
          <w:tcPr>
            <w:tcW w:w="800" w:type="dxa"/>
            <w:vAlign w:val="bottom"/>
          </w:tcPr>
          <w:p>
            <w:pPr>
              <w:spacing w:after="0"/>
              <w:rPr>
                <w:sz w:val="16"/>
                <w:szCs w:val="16"/>
                <w:color w:val="auto"/>
              </w:rPr>
            </w:pPr>
          </w:p>
        </w:tc>
        <w:tc>
          <w:tcPr>
            <w:tcW w:w="2100" w:type="dxa"/>
            <w:vAlign w:val="bottom"/>
            <w:gridSpan w:val="2"/>
          </w:tcPr>
          <w:p>
            <w:pPr>
              <w:jc w:val="center"/>
              <w:ind w:right="880"/>
              <w:spacing w:after="0"/>
              <w:rPr>
                <w:sz w:val="20"/>
                <w:szCs w:val="20"/>
                <w:color w:val="auto"/>
              </w:rPr>
            </w:pPr>
            <w:r>
              <w:rPr>
                <w:rFonts w:ascii="Arial" w:cs="Arial" w:eastAsia="Arial" w:hAnsi="Arial"/>
                <w:sz w:val="16"/>
                <w:szCs w:val="16"/>
                <w:b w:val="1"/>
                <w:bCs w:val="1"/>
                <w:color w:val="auto"/>
                <w:w w:val="88"/>
              </w:rPr>
              <w:t>Title of each class</w:t>
            </w:r>
          </w:p>
        </w:tc>
        <w:tc>
          <w:tcPr>
            <w:tcW w:w="1160" w:type="dxa"/>
            <w:vAlign w:val="bottom"/>
          </w:tcPr>
          <w:p>
            <w:pPr>
              <w:spacing w:after="0"/>
              <w:rPr>
                <w:sz w:val="16"/>
                <w:szCs w:val="16"/>
                <w:color w:val="auto"/>
              </w:rPr>
            </w:pPr>
          </w:p>
        </w:tc>
        <w:tc>
          <w:tcPr>
            <w:tcW w:w="1100" w:type="dxa"/>
            <w:vAlign w:val="bottom"/>
          </w:tcPr>
          <w:p>
            <w:pPr>
              <w:jc w:val="center"/>
              <w:spacing w:after="0"/>
              <w:rPr>
                <w:sz w:val="20"/>
                <w:szCs w:val="20"/>
                <w:color w:val="auto"/>
              </w:rPr>
            </w:pPr>
            <w:r>
              <w:rPr>
                <w:rFonts w:ascii="Arial" w:cs="Arial" w:eastAsia="Arial" w:hAnsi="Arial"/>
                <w:sz w:val="16"/>
                <w:szCs w:val="16"/>
                <w:b w:val="1"/>
                <w:bCs w:val="1"/>
                <w:color w:val="auto"/>
                <w:w w:val="90"/>
              </w:rPr>
              <w:t>Trading Symbol</w:t>
            </w:r>
          </w:p>
        </w:tc>
        <w:tc>
          <w:tcPr>
            <w:tcW w:w="1160" w:type="dxa"/>
            <w:vAlign w:val="bottom"/>
          </w:tcPr>
          <w:p>
            <w:pPr>
              <w:spacing w:after="0"/>
              <w:rPr>
                <w:sz w:val="16"/>
                <w:szCs w:val="16"/>
                <w:color w:val="auto"/>
              </w:rPr>
            </w:pPr>
          </w:p>
        </w:tc>
        <w:tc>
          <w:tcPr>
            <w:tcW w:w="3000" w:type="dxa"/>
            <w:vAlign w:val="bottom"/>
          </w:tcPr>
          <w:p>
            <w:pPr>
              <w:jc w:val="center"/>
              <w:spacing w:after="0"/>
              <w:rPr>
                <w:sz w:val="20"/>
                <w:szCs w:val="20"/>
                <w:color w:val="auto"/>
              </w:rPr>
            </w:pPr>
            <w:r>
              <w:rPr>
                <w:rFonts w:ascii="Arial" w:cs="Arial" w:eastAsia="Arial" w:hAnsi="Arial"/>
                <w:sz w:val="16"/>
                <w:szCs w:val="16"/>
                <w:b w:val="1"/>
                <w:bCs w:val="1"/>
                <w:color w:val="auto"/>
                <w:w w:val="88"/>
              </w:rPr>
              <w:t>Name of each exchange on which registered</w:t>
            </w:r>
          </w:p>
        </w:tc>
      </w:tr>
      <w:tr>
        <w:trPr>
          <w:trHeight w:val="20"/>
        </w:trPr>
        <w:tc>
          <w:tcPr>
            <w:tcW w:w="80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000" w:type="dxa"/>
            <w:vAlign w:val="bottom"/>
            <w:shd w:val="clear" w:color="auto" w:fill="000000"/>
          </w:tcPr>
          <w:p>
            <w:pPr>
              <w:spacing w:after="0" w:line="20" w:lineRule="exact"/>
              <w:rPr>
                <w:sz w:val="1"/>
                <w:szCs w:val="1"/>
                <w:color w:val="auto"/>
              </w:rPr>
            </w:pPr>
          </w:p>
        </w:tc>
      </w:tr>
      <w:tr>
        <w:trPr>
          <w:trHeight w:val="230"/>
        </w:trPr>
        <w:tc>
          <w:tcPr>
            <w:tcW w:w="2900" w:type="dxa"/>
            <w:vAlign w:val="bottom"/>
            <w:gridSpan w:val="3"/>
          </w:tcPr>
          <w:p>
            <w:pPr>
              <w:jc w:val="center"/>
              <w:ind w:right="80"/>
              <w:spacing w:after="0"/>
              <w:rPr>
                <w:sz w:val="20"/>
                <w:szCs w:val="20"/>
                <w:color w:val="auto"/>
              </w:rPr>
            </w:pPr>
            <w:r>
              <w:rPr>
                <w:rFonts w:ascii="Arial" w:cs="Arial" w:eastAsia="Arial" w:hAnsi="Arial"/>
                <w:sz w:val="16"/>
                <w:szCs w:val="16"/>
                <w:color w:val="auto"/>
                <w:w w:val="90"/>
              </w:rPr>
              <w:t>Common Stock, Par value $0.001 per share</w:t>
            </w:r>
          </w:p>
        </w:tc>
        <w:tc>
          <w:tcPr>
            <w:tcW w:w="1160" w:type="dxa"/>
            <w:vAlign w:val="bottom"/>
          </w:tcPr>
          <w:p>
            <w:pPr>
              <w:spacing w:after="0"/>
              <w:rPr>
                <w:sz w:val="20"/>
                <w:szCs w:val="20"/>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91"/>
              </w:rPr>
              <w:t>PEN</w:t>
            </w:r>
          </w:p>
        </w:tc>
        <w:tc>
          <w:tcPr>
            <w:tcW w:w="1160" w:type="dxa"/>
            <w:vAlign w:val="bottom"/>
          </w:tcPr>
          <w:p>
            <w:pPr>
              <w:spacing w:after="0"/>
              <w:rPr>
                <w:sz w:val="20"/>
                <w:szCs w:val="20"/>
                <w:color w:val="auto"/>
              </w:rPr>
            </w:pPr>
          </w:p>
        </w:tc>
        <w:tc>
          <w:tcPr>
            <w:tcW w:w="3000" w:type="dxa"/>
            <w:vAlign w:val="bottom"/>
          </w:tcPr>
          <w:p>
            <w:pPr>
              <w:jc w:val="center"/>
              <w:spacing w:after="0"/>
              <w:rPr>
                <w:sz w:val="20"/>
                <w:szCs w:val="20"/>
                <w:color w:val="auto"/>
              </w:rPr>
            </w:pPr>
            <w:r>
              <w:rPr>
                <w:rFonts w:ascii="Arial" w:cs="Arial" w:eastAsia="Arial" w:hAnsi="Arial"/>
                <w:sz w:val="16"/>
                <w:szCs w:val="16"/>
                <w:color w:val="auto"/>
                <w:w w:val="92"/>
              </w:rPr>
              <w:t>The New York Stock Exchange</w:t>
            </w:r>
          </w:p>
        </w:tc>
      </w:tr>
    </w:tbl>
    <w:p>
      <w:pPr>
        <w:spacing w:after="0" w:line="334" w:lineRule="exact"/>
        <w:rPr>
          <w:sz w:val="24"/>
          <w:szCs w:val="24"/>
          <w:color w:val="auto"/>
        </w:rPr>
      </w:pPr>
    </w:p>
    <w:p>
      <w:pPr>
        <w:ind w:right="20" w:firstLine="648"/>
        <w:spacing w:after="0" w:line="257"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69" w:lineRule="exact"/>
        <w:rPr>
          <w:sz w:val="24"/>
          <w:szCs w:val="24"/>
          <w:color w:val="auto"/>
        </w:rPr>
      </w:pPr>
    </w:p>
    <w:p>
      <w:pPr>
        <w:ind w:firstLine="432"/>
        <w:spacing w:after="0" w:line="275"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40" w:lineRule="exact"/>
        <w:rPr>
          <w:sz w:val="24"/>
          <w:szCs w:val="24"/>
          <w:color w:val="auto"/>
        </w:rPr>
      </w:pPr>
    </w:p>
    <w:p>
      <w:pPr>
        <w:ind w:left="1060"/>
        <w:spacing w:after="0"/>
        <w:rPr>
          <w:sz w:val="20"/>
          <w:szCs w:val="20"/>
          <w:color w:val="auto"/>
        </w:rPr>
      </w:pPr>
      <w:r>
        <w:rPr>
          <w:rFonts w:ascii="Arial" w:cs="Arial" w:eastAsia="Arial" w:hAnsi="Arial"/>
          <w:sz w:val="14"/>
          <w:szCs w:val="14"/>
          <w:b w:val="1"/>
          <w:bCs w:val="1"/>
          <w:color w:val="auto"/>
        </w:rPr>
        <w:t>_______________________________________________________________________________________________________________________________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739775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80"/>
          </w:cols>
          <w:pgMar w:left="320" w:top="1035" w:right="499" w:bottom="1440" w:gutter="0" w:footer="0" w:header="0"/>
          <w:type w:val="continuous"/>
        </w:sectPr>
      </w:pPr>
    </w:p>
    <w:bookmarkStart w:id="1" w:name="page2"/>
    <w:bookmarkEnd w:id="1"/>
    <w:p>
      <w:pPr>
        <w:ind w:left="1060"/>
        <w:spacing w:after="0"/>
        <w:rPr>
          <w:sz w:val="20"/>
          <w:szCs w:val="20"/>
          <w:color w:val="auto"/>
        </w:rPr>
      </w:pPr>
      <w:r>
        <w:rPr>
          <w:rFonts w:ascii="Arial" w:cs="Arial" w:eastAsia="Arial" w:hAnsi="Arial"/>
          <w:sz w:val="14"/>
          <w:szCs w:val="14"/>
          <w:b w:val="1"/>
          <w:bCs w:val="1"/>
          <w:color w:val="auto"/>
        </w:rPr>
        <w:t>_______________________________________________________________________________________________________________________________</w:t>
      </w:r>
    </w:p>
    <w:p>
      <w:pPr>
        <w:spacing w:after="0" w:line="289" w:lineRule="exact"/>
        <w:rPr>
          <w:sz w:val="20"/>
          <w:szCs w:val="20"/>
          <w:color w:val="auto"/>
        </w:rPr>
      </w:pPr>
    </w:p>
    <w:p>
      <w:pPr>
        <w:ind w:left="40"/>
        <w:spacing w:after="0"/>
        <w:tabs>
          <w:tab w:leader="none" w:pos="140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324" w:lineRule="exact"/>
        <w:rPr>
          <w:sz w:val="20"/>
          <w:szCs w:val="20"/>
          <w:color w:val="auto"/>
        </w:rPr>
      </w:pPr>
    </w:p>
    <w:p>
      <w:pPr>
        <w:ind w:right="140" w:firstLine="486"/>
        <w:spacing w:after="0" w:line="342" w:lineRule="auto"/>
        <w:rPr>
          <w:sz w:val="20"/>
          <w:szCs w:val="20"/>
          <w:color w:val="auto"/>
        </w:rPr>
      </w:pPr>
      <w:r>
        <w:rPr>
          <w:rFonts w:ascii="Arial" w:cs="Arial" w:eastAsia="Arial" w:hAnsi="Arial"/>
          <w:sz w:val="16"/>
          <w:szCs w:val="16"/>
          <w:color w:val="auto"/>
        </w:rPr>
        <w:t>On February 22, 2022, Penumbra, Inc. issued a press release announcing financial results for the fourth fiscal quarter and year ended December 31, 2021. A copy of the press release is furnished as Exhibit 99.1 to this Current Report on Form 8-K and is incorporated herein by reference.</w:t>
      </w:r>
    </w:p>
    <w:p>
      <w:pPr>
        <w:spacing w:after="0" w:line="151" w:lineRule="exact"/>
        <w:rPr>
          <w:sz w:val="20"/>
          <w:szCs w:val="20"/>
          <w:color w:val="auto"/>
        </w:rPr>
      </w:pPr>
    </w:p>
    <w:p>
      <w:pPr>
        <w:jc w:val="both"/>
        <w:ind w:right="120" w:firstLine="486"/>
        <w:spacing w:after="0" w:line="262" w:lineRule="auto"/>
        <w:rPr>
          <w:sz w:val="20"/>
          <w:szCs w:val="20"/>
          <w:color w:val="auto"/>
        </w:rPr>
      </w:pPr>
      <w:r>
        <w:rPr>
          <w:rFonts w:ascii="Arial" w:cs="Arial" w:eastAsia="Arial" w:hAnsi="Arial"/>
          <w:sz w:val="17"/>
          <w:szCs w:val="17"/>
          <w:color w:val="auto"/>
        </w:rPr>
        <w:t>The information furnished on this Current Report on Form 8-K, including the attached exhibit, shall not be deemed “filed” for purposes of Section 18 of the Securities Exchange Act of 1934, as amended (the “Exchange Act”), or otherwise subject to the liabilities of that section, nor shall it be deemed incorporated by reference into any other filing under the Securities Act of 1933, as amended, or the Exchange Act, regardless of any general incorporation language in such a filing, except as expressly set forth by specific reference in such a filing.</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280" w:type="dxa"/>
            <w:vAlign w:val="bottom"/>
            <w:gridSpan w:val="3"/>
          </w:tcPr>
          <w:p>
            <w:pPr>
              <w:spacing w:after="0"/>
              <w:rPr>
                <w:sz w:val="20"/>
                <w:szCs w:val="20"/>
                <w:color w:val="auto"/>
              </w:rPr>
            </w:pPr>
            <w:r>
              <w:rPr>
                <w:rFonts w:ascii="Arial" w:cs="Arial" w:eastAsia="Arial" w:hAnsi="Arial"/>
                <w:sz w:val="18"/>
                <w:szCs w:val="18"/>
                <w:b w:val="1"/>
                <w:bCs w:val="1"/>
                <w:color w:val="auto"/>
              </w:rPr>
              <w:t>Item 9.01.</w:t>
            </w:r>
          </w:p>
        </w:tc>
        <w:tc>
          <w:tcPr>
            <w:tcW w:w="9940" w:type="dxa"/>
            <w:vAlign w:val="bottom"/>
            <w:gridSpan w:val="3"/>
          </w:tcPr>
          <w:p>
            <w:pPr>
              <w:ind w:left="100"/>
              <w:spacing w:after="0"/>
              <w:rPr>
                <w:sz w:val="20"/>
                <w:szCs w:val="20"/>
                <w:color w:val="auto"/>
              </w:rPr>
            </w:pPr>
            <w:r>
              <w:rPr>
                <w:rFonts w:ascii="Arial" w:cs="Arial" w:eastAsia="Arial" w:hAnsi="Arial"/>
                <w:sz w:val="18"/>
                <w:szCs w:val="18"/>
                <w:b w:val="1"/>
                <w:bCs w:val="1"/>
                <w:color w:val="auto"/>
              </w:rPr>
              <w:t>Financial Statements and Exhibits.</w:t>
            </w:r>
          </w:p>
        </w:tc>
      </w:tr>
      <w:tr>
        <w:trPr>
          <w:trHeight w:val="540"/>
        </w:trPr>
        <w:tc>
          <w:tcPr>
            <w:tcW w:w="1300" w:type="dxa"/>
            <w:vAlign w:val="bottom"/>
            <w:gridSpan w:val="4"/>
          </w:tcPr>
          <w:p>
            <w:pPr>
              <w:spacing w:after="0"/>
              <w:rPr>
                <w:sz w:val="20"/>
                <w:szCs w:val="20"/>
                <w:color w:val="auto"/>
              </w:rPr>
            </w:pPr>
            <w:r>
              <w:rPr>
                <w:rFonts w:ascii="Arial" w:cs="Arial" w:eastAsia="Arial" w:hAnsi="Arial"/>
                <w:sz w:val="18"/>
                <w:szCs w:val="18"/>
                <w:color w:val="auto"/>
              </w:rPr>
              <w:t>(d) Exhibits.</w:t>
            </w:r>
          </w:p>
        </w:tc>
        <w:tc>
          <w:tcPr>
            <w:tcW w:w="7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380" w:type="dxa"/>
            <w:vAlign w:val="bottom"/>
          </w:tcPr>
          <w:p>
            <w:pPr>
              <w:spacing w:after="0"/>
              <w:rPr>
                <w:sz w:val="24"/>
                <w:szCs w:val="24"/>
                <w:color w:val="auto"/>
              </w:rPr>
            </w:pPr>
          </w:p>
        </w:tc>
      </w:tr>
      <w:tr>
        <w:trPr>
          <w:trHeight w:val="446"/>
        </w:trPr>
        <w:tc>
          <w:tcPr>
            <w:tcW w:w="20" w:type="dxa"/>
            <w:vAlign w:val="bottom"/>
          </w:tcPr>
          <w:p>
            <w:pPr>
              <w:spacing w:after="0"/>
              <w:rPr>
                <w:sz w:val="24"/>
                <w:szCs w:val="24"/>
                <w:color w:val="auto"/>
              </w:rPr>
            </w:pPr>
          </w:p>
        </w:tc>
        <w:tc>
          <w:tcPr>
            <w:tcW w:w="1180" w:type="dxa"/>
            <w:vAlign w:val="bottom"/>
            <w:gridSpan w:val="2"/>
          </w:tcPr>
          <w:p>
            <w:pPr>
              <w:spacing w:after="0"/>
              <w:rPr>
                <w:sz w:val="20"/>
                <w:szCs w:val="20"/>
                <w:color w:val="auto"/>
              </w:rPr>
            </w:pPr>
            <w:r>
              <w:rPr>
                <w:rFonts w:ascii="Arial" w:cs="Arial" w:eastAsia="Arial" w:hAnsi="Arial"/>
                <w:sz w:val="18"/>
                <w:szCs w:val="18"/>
                <w:color w:val="auto"/>
                <w:w w:val="94"/>
              </w:rPr>
              <w:t>Exhibit Number</w:t>
            </w: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2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38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180" w:type="dxa"/>
            <w:vAlign w:val="bottom"/>
            <w:gridSpan w:val="2"/>
          </w:tcPr>
          <w:p>
            <w:pPr>
              <w:spacing w:after="0"/>
              <w:rPr>
                <w:rFonts w:ascii="Arial" w:cs="Arial" w:eastAsia="Arial" w:hAnsi="Arial"/>
                <w:sz w:val="18"/>
                <w:szCs w:val="18"/>
                <w:color w:val="0000FF"/>
              </w:rPr>
            </w:pPr>
            <w:hyperlink w:anchor="page4">
              <w:r>
                <w:rPr>
                  <w:rFonts w:ascii="Arial" w:cs="Arial" w:eastAsia="Arial" w:hAnsi="Arial"/>
                  <w:sz w:val="18"/>
                  <w:szCs w:val="18"/>
                  <w:color w:val="0000FF"/>
                </w:rPr>
                <w:t>99.</w:t>
              </w:r>
              <w:r>
                <w:rPr>
                  <w:rFonts w:ascii="Arial" w:cs="Arial" w:eastAsia="Arial" w:hAnsi="Arial"/>
                  <w:sz w:val="18"/>
                  <w:szCs w:val="18"/>
                  <w:u w:val="single" w:color="auto"/>
                  <w:color w:val="0000FF"/>
                </w:rPr>
                <w:t>1</w:t>
              </w:r>
            </w:hyperlink>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220" w:type="dxa"/>
            <w:vAlign w:val="bottom"/>
            <w:gridSpan w:val="2"/>
          </w:tcPr>
          <w:p>
            <w:pPr>
              <w:spacing w:after="0"/>
              <w:rPr>
                <w:sz w:val="20"/>
                <w:szCs w:val="20"/>
                <w:color w:val="auto"/>
              </w:rPr>
            </w:pPr>
            <w:r>
              <w:rPr>
                <w:rFonts w:ascii="Arial" w:cs="Arial" w:eastAsia="Arial" w:hAnsi="Arial"/>
                <w:sz w:val="18"/>
                <w:szCs w:val="18"/>
                <w:color w:val="auto"/>
              </w:rPr>
              <w:t>Press release of Penumbra, Inc. dated February 22, 2022.</w:t>
            </w:r>
          </w:p>
        </w:tc>
      </w:tr>
      <w:tr>
        <w:trPr>
          <w:trHeight w:val="277"/>
        </w:trPr>
        <w:tc>
          <w:tcPr>
            <w:tcW w:w="20" w:type="dxa"/>
            <w:vAlign w:val="bottom"/>
          </w:tcPr>
          <w:p>
            <w:pPr>
              <w:spacing w:after="0"/>
              <w:rPr>
                <w:sz w:val="24"/>
                <w:szCs w:val="24"/>
                <w:color w:val="auto"/>
              </w:rPr>
            </w:pPr>
          </w:p>
        </w:tc>
        <w:tc>
          <w:tcPr>
            <w:tcW w:w="320" w:type="dxa"/>
            <w:vAlign w:val="bottom"/>
            <w:tcBorders>
              <w:top w:val="single" w:sz="8" w:color="0000FF"/>
            </w:tcBorders>
          </w:tcPr>
          <w:p>
            <w:pPr>
              <w:spacing w:after="0"/>
              <w:rPr>
                <w:sz w:val="20"/>
                <w:szCs w:val="20"/>
                <w:color w:val="auto"/>
              </w:rPr>
            </w:pPr>
            <w:r>
              <w:rPr>
                <w:rFonts w:ascii="Arial" w:cs="Arial" w:eastAsia="Arial" w:hAnsi="Arial"/>
                <w:sz w:val="18"/>
                <w:szCs w:val="18"/>
                <w:color w:val="auto"/>
                <w:w w:val="99"/>
              </w:rPr>
              <w:t>104</w:t>
            </w: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20" w:type="dxa"/>
            <w:vAlign w:val="bottom"/>
            <w:gridSpan w:val="2"/>
          </w:tcPr>
          <w:p>
            <w:pPr>
              <w:spacing w:after="0"/>
              <w:rPr>
                <w:sz w:val="20"/>
                <w:szCs w:val="20"/>
                <w:color w:val="auto"/>
              </w:rPr>
            </w:pPr>
            <w:r>
              <w:rPr>
                <w:rFonts w:ascii="Arial" w:cs="Arial" w:eastAsia="Arial" w:hAnsi="Arial"/>
                <w:sz w:val="18"/>
                <w:szCs w:val="18"/>
                <w:color w:val="auto"/>
              </w:rPr>
              <w:t>Cover Page Interactive Data File (formatted as Inline Extensible Business Reporting Language).</w:t>
            </w:r>
          </w:p>
        </w:tc>
      </w:tr>
      <w:tr>
        <w:trPr>
          <w:trHeight w:val="1020"/>
        </w:trPr>
        <w:tc>
          <w:tcPr>
            <w:tcW w:w="2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8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83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413" w:right="339" w:bottom="1440" w:gutter="0" w:footer="0" w:header="0"/>
        </w:sectPr>
      </w:pPr>
    </w:p>
    <w:bookmarkStart w:id="2" w:name="page3"/>
    <w:bookmarkEnd w:id="2"/>
    <w:p>
      <w:pPr>
        <w:spacing w:after="0" w:line="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60" w:firstLine="48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7"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3200" w:type="dxa"/>
            <w:vAlign w:val="bottom"/>
          </w:tcPr>
          <w:p>
            <w:pPr>
              <w:spacing w:after="0"/>
              <w:rPr>
                <w:sz w:val="20"/>
                <w:szCs w:val="20"/>
                <w:color w:val="auto"/>
              </w:rPr>
            </w:pPr>
          </w:p>
        </w:tc>
        <w:tc>
          <w:tcPr>
            <w:tcW w:w="8000" w:type="dxa"/>
            <w:vAlign w:val="bottom"/>
            <w:gridSpan w:val="2"/>
          </w:tcPr>
          <w:p>
            <w:pPr>
              <w:ind w:left="1440"/>
              <w:spacing w:after="0"/>
              <w:rPr>
                <w:sz w:val="20"/>
                <w:szCs w:val="20"/>
                <w:color w:val="auto"/>
              </w:rPr>
            </w:pPr>
            <w:r>
              <w:rPr>
                <w:rFonts w:ascii="Arial" w:cs="Arial" w:eastAsia="Arial" w:hAnsi="Arial"/>
                <w:sz w:val="18"/>
                <w:szCs w:val="18"/>
                <w:b w:val="1"/>
                <w:bCs w:val="1"/>
                <w:color w:val="auto"/>
              </w:rPr>
              <w:t>Penumbra, Inc.</w:t>
            </w:r>
          </w:p>
        </w:tc>
      </w:tr>
      <w:tr>
        <w:trPr>
          <w:trHeight w:val="459"/>
        </w:trPr>
        <w:tc>
          <w:tcPr>
            <w:tcW w:w="3200" w:type="dxa"/>
            <w:vAlign w:val="bottom"/>
          </w:tcPr>
          <w:p>
            <w:pPr>
              <w:spacing w:after="0"/>
              <w:rPr>
                <w:sz w:val="20"/>
                <w:szCs w:val="20"/>
                <w:color w:val="auto"/>
              </w:rPr>
            </w:pPr>
            <w:r>
              <w:rPr>
                <w:rFonts w:ascii="Arial" w:cs="Arial" w:eastAsia="Arial" w:hAnsi="Arial"/>
                <w:sz w:val="18"/>
                <w:szCs w:val="18"/>
                <w:color w:val="auto"/>
              </w:rPr>
              <w:t>Date: February 22, 2022</w:t>
            </w:r>
          </w:p>
        </w:tc>
        <w:tc>
          <w:tcPr>
            <w:tcW w:w="2160" w:type="dxa"/>
            <w:vAlign w:val="bottom"/>
          </w:tcPr>
          <w:p>
            <w:pPr>
              <w:ind w:left="1440"/>
              <w:spacing w:after="0"/>
              <w:rPr>
                <w:sz w:val="20"/>
                <w:szCs w:val="20"/>
                <w:color w:val="auto"/>
              </w:rPr>
            </w:pPr>
            <w:r>
              <w:rPr>
                <w:rFonts w:ascii="Arial" w:cs="Arial" w:eastAsia="Arial" w:hAnsi="Arial"/>
                <w:sz w:val="18"/>
                <w:szCs w:val="18"/>
                <w:color w:val="auto"/>
              </w:rPr>
              <w:t>By:</w:t>
            </w:r>
          </w:p>
        </w:tc>
        <w:tc>
          <w:tcPr>
            <w:tcW w:w="58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Maggie Yuen</w:t>
            </w:r>
          </w:p>
        </w:tc>
      </w:tr>
      <w:tr>
        <w:trPr>
          <w:trHeight w:val="222"/>
        </w:trPr>
        <w:tc>
          <w:tcPr>
            <w:tcW w:w="320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5840" w:type="dxa"/>
            <w:vAlign w:val="bottom"/>
          </w:tcPr>
          <w:p>
            <w:pPr>
              <w:ind w:left="20"/>
              <w:spacing w:after="0"/>
              <w:rPr>
                <w:sz w:val="20"/>
                <w:szCs w:val="20"/>
                <w:color w:val="auto"/>
              </w:rPr>
            </w:pPr>
            <w:r>
              <w:rPr>
                <w:rFonts w:ascii="Arial" w:cs="Arial" w:eastAsia="Arial" w:hAnsi="Arial"/>
                <w:sz w:val="18"/>
                <w:szCs w:val="18"/>
                <w:color w:val="auto"/>
              </w:rPr>
              <w:t>Maggie Yuen</w:t>
            </w:r>
          </w:p>
        </w:tc>
      </w:tr>
      <w:tr>
        <w:trPr>
          <w:trHeight w:val="230"/>
        </w:trPr>
        <w:tc>
          <w:tcPr>
            <w:tcW w:w="320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840" w:type="dxa"/>
            <w:vAlign w:val="bottom"/>
          </w:tcPr>
          <w:p>
            <w:pPr>
              <w:ind w:left="20"/>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220"/>
          </w:cols>
          <w:pgMar w:left="320" w:top="1440"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u w:val="single" w:color="auto"/>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485140</wp:posOffset>
            </wp:positionH>
            <wp:positionV relativeFrom="paragraph">
              <wp:posOffset>17145</wp:posOffset>
            </wp:positionV>
            <wp:extent cx="6172200" cy="8058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172200"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Penumbra, Inc. Reports Fourth Quarter and Full Year 2021 Financial Results</w:t>
      </w:r>
    </w:p>
    <w:p>
      <w:pPr>
        <w:spacing w:after="0" w:line="257" w:lineRule="exact"/>
        <w:rPr>
          <w:sz w:val="20"/>
          <w:szCs w:val="20"/>
          <w:color w:val="auto"/>
        </w:rPr>
      </w:pPr>
    </w:p>
    <w:p>
      <w:pPr>
        <w:ind w:right="100"/>
        <w:spacing w:after="0" w:line="282" w:lineRule="auto"/>
        <w:rPr>
          <w:sz w:val="20"/>
          <w:szCs w:val="20"/>
          <w:color w:val="auto"/>
        </w:rPr>
      </w:pPr>
      <w:r>
        <w:rPr>
          <w:rFonts w:ascii="Arial" w:cs="Arial" w:eastAsia="Arial" w:hAnsi="Arial"/>
          <w:sz w:val="18"/>
          <w:szCs w:val="18"/>
          <w:color w:val="auto"/>
        </w:rPr>
        <w:t xml:space="preserve">ALAMEDA, CA, February 22, 2022 (PR Newswire) - Penumbra, Inc. </w:t>
      </w:r>
      <w:r>
        <w:rPr>
          <w:rFonts w:ascii="Arial" w:cs="Arial" w:eastAsia="Arial" w:hAnsi="Arial"/>
          <w:sz w:val="18"/>
          <w:szCs w:val="18"/>
          <w:b w:val="1"/>
          <w:bCs w:val="1"/>
          <w:color w:val="auto"/>
        </w:rPr>
        <w:t>(NYSE: PEN)</w:t>
      </w:r>
      <w:r>
        <w:rPr>
          <w:rFonts w:ascii="Arial" w:cs="Arial" w:eastAsia="Arial" w:hAnsi="Arial"/>
          <w:sz w:val="18"/>
          <w:szCs w:val="18"/>
          <w:color w:val="auto"/>
        </w:rPr>
        <w:t>, a global healthcare company focused on innovative therapies, today reported financial results for the fourth quarter and full year ended December 31, 2021.</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Financial Highlights:</w:t>
      </w:r>
    </w:p>
    <w:p>
      <w:pPr>
        <w:spacing w:after="0" w:line="243" w:lineRule="exact"/>
        <w:rPr>
          <w:sz w:val="20"/>
          <w:szCs w:val="20"/>
          <w:color w:val="auto"/>
        </w:rPr>
      </w:pPr>
    </w:p>
    <w:p>
      <w:pPr>
        <w:ind w:left="660" w:right="120" w:hanging="328"/>
        <w:spacing w:after="0" w:line="229" w:lineRule="auto"/>
        <w:tabs>
          <w:tab w:leader="none" w:pos="648"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Revenue of $204.0 million for the fourth quarter of 2021, an increase of 22.2% compared to revenue of $166.9 million for the fourth quarter of 2020, or an increase of 23.0% in constant currency (a non-GAAP measure)</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US revenue of $144.5 million for the fourth quarter of 2021 was 23.7% above the same period a year ago.</w:t>
      </w:r>
    </w:p>
    <w:p>
      <w:pPr>
        <w:spacing w:after="0" w:line="218" w:lineRule="exact"/>
        <w:rPr>
          <w:rFonts w:ascii="Arial" w:cs="Arial" w:eastAsia="Arial" w:hAnsi="Arial"/>
          <w:sz w:val="20"/>
          <w:szCs w:val="20"/>
          <w:b w:val="1"/>
          <w:bCs w:val="1"/>
          <w:color w:val="auto"/>
        </w:rPr>
      </w:pPr>
    </w:p>
    <w:p>
      <w:pPr>
        <w:ind w:left="660" w:right="20" w:hanging="328"/>
        <w:spacing w:after="0" w:line="229" w:lineRule="auto"/>
        <w:tabs>
          <w:tab w:leader="none" w:pos="648"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Revenue of $747.6 million for the full year 2021 compared to revenue of $560.4 million for the full year 2020, or an increase of 32.6% in constant currency</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US revenue of $527.8 million for the full year 2021 was 31.9% above the same period a year ago.</w:t>
      </w:r>
    </w:p>
    <w:p>
      <w:pPr>
        <w:spacing w:after="0" w:line="21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Fourth Quarter 2021 Financial Results</w:t>
      </w:r>
    </w:p>
    <w:p>
      <w:pPr>
        <w:spacing w:after="0" w:line="24" w:lineRule="exact"/>
        <w:rPr>
          <w:sz w:val="20"/>
          <w:szCs w:val="20"/>
          <w:color w:val="auto"/>
        </w:rPr>
      </w:pPr>
    </w:p>
    <w:p>
      <w:pPr>
        <w:ind w:right="40"/>
        <w:spacing w:after="0" w:line="230" w:lineRule="auto"/>
        <w:rPr>
          <w:sz w:val="20"/>
          <w:szCs w:val="20"/>
          <w:color w:val="auto"/>
        </w:rPr>
      </w:pPr>
      <w:r>
        <w:rPr>
          <w:rFonts w:ascii="Arial" w:cs="Arial" w:eastAsia="Arial" w:hAnsi="Arial"/>
          <w:sz w:val="17"/>
          <w:szCs w:val="17"/>
          <w:color w:val="auto"/>
        </w:rPr>
        <w:t>Total revenue increased to $204.0 million for the fourth quarter of 2021 compared to $166.9 million for the fourth quarter of 2020, an increase of 22.2%, or 23.0% in constant currency</w:t>
      </w:r>
      <w:r>
        <w:rPr>
          <w:rFonts w:ascii="Arial" w:cs="Arial" w:eastAsia="Arial" w:hAnsi="Arial"/>
          <w:sz w:val="22"/>
          <w:szCs w:val="22"/>
          <w:color w:val="auto"/>
          <w:vertAlign w:val="superscript"/>
        </w:rPr>
        <w:t>1</w:t>
      </w:r>
      <w:r>
        <w:rPr>
          <w:rFonts w:ascii="Arial" w:cs="Arial" w:eastAsia="Arial" w:hAnsi="Arial"/>
          <w:sz w:val="17"/>
          <w:szCs w:val="17"/>
          <w:color w:val="auto"/>
        </w:rPr>
        <w:t>. The United States represented 71% of total revenue and international represented 29% of total revenue for the fourth quarter of 2021. Revenue from sales of vascular products grew to $113.6 million for the fourth quarter of 2021, an increase of 30.4% or 31.1% in constant currency</w:t>
      </w:r>
      <w:r>
        <w:rPr>
          <w:rFonts w:ascii="Arial" w:cs="Arial" w:eastAsia="Arial" w:hAnsi="Arial"/>
          <w:sz w:val="22"/>
          <w:szCs w:val="22"/>
          <w:color w:val="auto"/>
          <w:vertAlign w:val="superscript"/>
        </w:rPr>
        <w:t>1</w:t>
      </w:r>
      <w:r>
        <w:rPr>
          <w:rFonts w:ascii="Arial" w:cs="Arial" w:eastAsia="Arial" w:hAnsi="Arial"/>
          <w:sz w:val="17"/>
          <w:szCs w:val="17"/>
          <w:color w:val="auto"/>
        </w:rPr>
        <w:t>. US vascular revenue and international vascular revenue increased 26.9% and 56.6%, respectively, compared to the fourth quarter of 2020. Revenue from sales of neuro products grew to $90.4 million for the fourth quarter of 2021, an increase of 13.3% or 14.1% in constant currency</w:t>
      </w:r>
      <w:r>
        <w:rPr>
          <w:rFonts w:ascii="Arial" w:cs="Arial" w:eastAsia="Arial" w:hAnsi="Arial"/>
          <w:sz w:val="22"/>
          <w:szCs w:val="22"/>
          <w:color w:val="auto"/>
          <w:vertAlign w:val="superscript"/>
        </w:rPr>
        <w:t>1</w:t>
      </w:r>
      <w:r>
        <w:rPr>
          <w:rFonts w:ascii="Arial" w:cs="Arial" w:eastAsia="Arial" w:hAnsi="Arial"/>
          <w:sz w:val="17"/>
          <w:szCs w:val="17"/>
          <w:color w:val="auto"/>
        </w:rPr>
        <w:t>. US neuro revenue increased 17.6% while international neuro revenue increased 9.0% compared to the fourth quarter of 2020.</w:t>
      </w:r>
    </w:p>
    <w:p>
      <w:pPr>
        <w:spacing w:after="0" w:line="234" w:lineRule="exact"/>
        <w:rPr>
          <w:sz w:val="20"/>
          <w:szCs w:val="20"/>
          <w:color w:val="auto"/>
        </w:rPr>
      </w:pPr>
    </w:p>
    <w:p>
      <w:pPr>
        <w:jc w:val="both"/>
        <w:ind w:right="240"/>
        <w:spacing w:after="0" w:line="259" w:lineRule="auto"/>
        <w:rPr>
          <w:sz w:val="20"/>
          <w:szCs w:val="20"/>
          <w:color w:val="auto"/>
        </w:rPr>
      </w:pPr>
      <w:r>
        <w:rPr>
          <w:rFonts w:ascii="Arial" w:cs="Arial" w:eastAsia="Arial" w:hAnsi="Arial"/>
          <w:sz w:val="18"/>
          <w:szCs w:val="18"/>
          <w:color w:val="auto"/>
        </w:rPr>
        <w:t>Gross profit for the fourth quarter of 2021 was $125.4 million, or 61.5% of total revenue and was impacted by higher labor and logistics costs due to the impact of inflation. This compares to gross profit of $94.3 million, or 56.5% of total revenue, for the fourth quarter of 2020, which includes the one-time unfavorable impact of $18.4 million from the December 2020 voluntary recall of the Jet 7 Reperfusion Catheter with Xtra Flex technology (“December 2020 voluntary recall”).</w:t>
      </w:r>
    </w:p>
    <w:p>
      <w:pPr>
        <w:spacing w:after="0" w:line="200" w:lineRule="exact"/>
        <w:rPr>
          <w:sz w:val="20"/>
          <w:szCs w:val="20"/>
          <w:color w:val="auto"/>
        </w:rPr>
      </w:pPr>
    </w:p>
    <w:p>
      <w:pPr>
        <w:ind w:right="40"/>
        <w:spacing w:after="0" w:line="217" w:lineRule="auto"/>
        <w:rPr>
          <w:sz w:val="20"/>
          <w:szCs w:val="20"/>
          <w:color w:val="auto"/>
        </w:rPr>
      </w:pPr>
      <w:r>
        <w:rPr>
          <w:rFonts w:ascii="Arial" w:cs="Arial" w:eastAsia="Arial" w:hAnsi="Arial"/>
          <w:sz w:val="18"/>
          <w:szCs w:val="18"/>
          <w:color w:val="auto"/>
        </w:rPr>
        <w:t>Total operating expenses were $165.5 million, or 81.1% of total revenue for the fourth quarter of 2021, including a one-time $25.8 million expense associated with the accelerated vesting of options related to the Sixense acquisition, $15.0 million of non-recurring personnel-related expenses associated with the achievement of R&amp;D milestones for our Thunderbolt product, and a $1.8 million amortization expense of finite lived intangible assets acquired in connection with the Sixense acquisition. Excluding these charges, total non-GAAP operating expenses</w:t>
      </w:r>
      <w:r>
        <w:rPr>
          <w:rFonts w:ascii="Arial" w:cs="Arial" w:eastAsia="Arial" w:hAnsi="Arial"/>
          <w:sz w:val="23"/>
          <w:szCs w:val="23"/>
          <w:color w:val="auto"/>
          <w:vertAlign w:val="superscript"/>
        </w:rPr>
        <w:t>1</w:t>
      </w:r>
      <w:r>
        <w:rPr>
          <w:rFonts w:ascii="Arial" w:cs="Arial" w:eastAsia="Arial" w:hAnsi="Arial"/>
          <w:sz w:val="18"/>
          <w:szCs w:val="18"/>
          <w:color w:val="auto"/>
        </w:rPr>
        <w:t xml:space="preserve"> were $123.0 million or 60.3% of total revenue for the fourth quarter of 2021. This compares to GAAP and non-GAAP operating expenses of $96.1 million, or 57.6% of total revenue for the fourth quarter of 2020.</w:t>
      </w:r>
    </w:p>
    <w:p>
      <w:pPr>
        <w:spacing w:after="0" w:line="216" w:lineRule="exact"/>
        <w:rPr>
          <w:sz w:val="20"/>
          <w:szCs w:val="20"/>
          <w:color w:val="auto"/>
        </w:rPr>
      </w:pPr>
    </w:p>
    <w:p>
      <w:pPr>
        <w:ind w:right="80"/>
        <w:spacing w:after="0" w:line="258" w:lineRule="auto"/>
        <w:rPr>
          <w:sz w:val="20"/>
          <w:szCs w:val="20"/>
          <w:color w:val="auto"/>
        </w:rPr>
      </w:pPr>
      <w:r>
        <w:rPr>
          <w:rFonts w:ascii="Arial" w:cs="Arial" w:eastAsia="Arial" w:hAnsi="Arial"/>
          <w:sz w:val="17"/>
          <w:szCs w:val="17"/>
          <w:color w:val="auto"/>
        </w:rPr>
        <w:t>Operating loss was $40.1 million for the fourth quarter of 2021. Excluding the charges associated with the one-time accelerated vesting of options related to the Sixense acquisition, non-recurring personnel-related expenses associated with the achievement of R&amp;D milestones for our Thunderbolt product, and amortization expense of finite lived intangible assets acquired in connection with the Sixense acquisition, non-GAAP operating income</w:t>
      </w:r>
      <w:r>
        <w:rPr>
          <w:rFonts w:ascii="Arial" w:cs="Arial" w:eastAsia="Arial" w:hAnsi="Arial"/>
          <w:sz w:val="22"/>
          <w:szCs w:val="22"/>
          <w:color w:val="auto"/>
          <w:vertAlign w:val="superscript"/>
        </w:rPr>
        <w:t>1</w:t>
      </w:r>
      <w:r>
        <w:rPr>
          <w:rFonts w:ascii="Arial" w:cs="Arial" w:eastAsia="Arial" w:hAnsi="Arial"/>
          <w:sz w:val="17"/>
          <w:szCs w:val="17"/>
          <w:color w:val="auto"/>
        </w:rPr>
        <w:t xml:space="preserve"> was $2.5 million for the fourth quarter of 2021. This compares to a GAAP and non-GAAP operating loss of $1.7 million for the fourth quarter of 2020, which includes the one-time unfavorable impact of $18.4 million from the December 2020 voluntary recall.</w:t>
      </w:r>
    </w:p>
    <w:p>
      <w:pPr>
        <w:spacing w:after="0" w:line="2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Full Year 2021 Financial Results</w:t>
      </w:r>
    </w:p>
    <w:p>
      <w:pPr>
        <w:spacing w:after="0" w:line="24" w:lineRule="exact"/>
        <w:rPr>
          <w:sz w:val="20"/>
          <w:szCs w:val="20"/>
          <w:color w:val="auto"/>
        </w:rPr>
      </w:pPr>
    </w:p>
    <w:p>
      <w:pPr>
        <w:ind w:right="120"/>
        <w:spacing w:after="0" w:line="225" w:lineRule="auto"/>
        <w:rPr>
          <w:sz w:val="20"/>
          <w:szCs w:val="20"/>
          <w:color w:val="auto"/>
        </w:rPr>
      </w:pPr>
      <w:r>
        <w:rPr>
          <w:rFonts w:ascii="Arial" w:cs="Arial" w:eastAsia="Arial" w:hAnsi="Arial"/>
          <w:sz w:val="18"/>
          <w:szCs w:val="18"/>
          <w:color w:val="auto"/>
        </w:rPr>
        <w:t>Total revenue increased to $747.6 million for the year ended December 31, 2021 compared to $560.4 million for the year ended December 31, 2020, an increase of 33.4%, or 32.6% in constant currency</w:t>
      </w:r>
      <w:r>
        <w:rPr>
          <w:rFonts w:ascii="Arial" w:cs="Arial" w:eastAsia="Arial" w:hAnsi="Arial"/>
          <w:sz w:val="23"/>
          <w:szCs w:val="23"/>
          <w:color w:val="auto"/>
          <w:vertAlign w:val="superscript"/>
        </w:rPr>
        <w:t>1</w:t>
      </w:r>
      <w:r>
        <w:rPr>
          <w:rFonts w:ascii="Arial" w:cs="Arial" w:eastAsia="Arial" w:hAnsi="Arial"/>
          <w:sz w:val="18"/>
          <w:szCs w:val="18"/>
          <w:color w:val="auto"/>
        </w:rPr>
        <w:t>. The United States represented 71% of total revenue and international represented 29% of total revenue for the year ended December 31, 2021. Revenue from the sales of vascular products grew to $408.9 million for the year ended December 31, 2021, an increase of 52.7%, or 52.3% in constant currency</w:t>
      </w:r>
      <w:r>
        <w:rPr>
          <w:rFonts w:ascii="Arial" w:cs="Arial" w:eastAsia="Arial" w:hAnsi="Arial"/>
          <w:sz w:val="23"/>
          <w:szCs w:val="23"/>
          <w:color w:val="auto"/>
          <w:vertAlign w:val="superscript"/>
        </w:rPr>
        <w:t>1</w:t>
      </w:r>
      <w:r>
        <w:rPr>
          <w:rFonts w:ascii="Arial" w:cs="Arial" w:eastAsia="Arial" w:hAnsi="Arial"/>
          <w:sz w:val="18"/>
          <w:szCs w:val="18"/>
          <w:color w:val="auto"/>
        </w:rPr>
        <w:t>. US vascular revenue increased 52.6%, while international vascular revenue increased 53.1% compared to the year ended December 31, 2020.</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vertAlign w:val="superscript"/>
        </w:rPr>
        <w:t>1</w:t>
      </w:r>
      <w:r>
        <w:rPr>
          <w:rFonts w:ascii="Arial" w:cs="Arial" w:eastAsia="Arial" w:hAnsi="Arial"/>
          <w:sz w:val="14"/>
          <w:szCs w:val="14"/>
          <w:color w:val="auto"/>
        </w:rPr>
        <w:t>See “Non-GAAP Financial Measures” for important information about our use of non-GAAP measures.</w:t>
      </w:r>
    </w:p>
    <w:p>
      <w:pPr>
        <w:sectPr>
          <w:pgSz w:w="11900" w:h="16838" w:orient="portrait"/>
          <w:cols w:equalWidth="0" w:num="1">
            <w:col w:w="11240"/>
          </w:cols>
          <w:pgMar w:left="320" w:top="769" w:right="339" w:bottom="1440" w:gutter="0" w:footer="0" w:header="0"/>
        </w:sect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1</w:t>
      </w:r>
    </w:p>
    <w:p>
      <w:pPr>
        <w:sectPr>
          <w:pgSz w:w="11900" w:h="16838" w:orient="portrait"/>
          <w:cols w:equalWidth="0" w:num="1">
            <w:col w:w="11240"/>
          </w:cols>
          <w:pgMar w:left="320" w:top="769" w:right="339" w:bottom="1440" w:gutter="0" w:footer="0" w:header="0"/>
          <w:type w:val="continuous"/>
        </w:sectPr>
      </w:pPr>
    </w:p>
    <w:bookmarkStart w:id="4" w:name="page5"/>
    <w:bookmarkEnd w:id="4"/>
    <w:p>
      <w:pPr>
        <w:ind w:right="520"/>
        <w:spacing w:after="0" w:line="345" w:lineRule="auto"/>
        <w:rPr>
          <w:sz w:val="20"/>
          <w:szCs w:val="20"/>
          <w:color w:val="auto"/>
        </w:rPr>
      </w:pPr>
      <w:r>
        <w:rPr>
          <w:rFonts w:ascii="Arial" w:cs="Arial" w:eastAsia="Arial" w:hAnsi="Arial"/>
          <w:sz w:val="16"/>
          <w:szCs w:val="16"/>
          <w:color w:val="auto"/>
        </w:rPr>
        <w:t>Revenue from the sales of neuro products grew to $338.7 million for the year ended December 31, 2021, an increase of 15.7%, or 14.6% in constant currency</w:t>
      </w:r>
      <w:r>
        <w:rPr>
          <w:rFonts w:ascii="Arial" w:cs="Arial" w:eastAsia="Arial" w:hAnsi="Arial"/>
          <w:sz w:val="20"/>
          <w:szCs w:val="20"/>
          <w:color w:val="auto"/>
          <w:vertAlign w:val="superscript"/>
        </w:rPr>
        <w:t>1</w:t>
      </w:r>
      <w:r>
        <w:rPr>
          <w:rFonts w:ascii="Arial" w:cs="Arial" w:eastAsia="Arial" w:hAnsi="Arial"/>
          <w:sz w:val="16"/>
          <w:szCs w:val="16"/>
          <w:color w:val="auto"/>
        </w:rPr>
        <w:t>. US neuro revenue increased 3.2%, and international neuro revenue increased 32.7% compared to the year ended December 31, 2020.</w:t>
      </w:r>
    </w:p>
    <w:p>
      <w:pPr>
        <w:spacing w:after="0" w:line="80" w:lineRule="exact"/>
        <w:rPr>
          <w:sz w:val="20"/>
          <w:szCs w:val="20"/>
          <w:color w:val="auto"/>
        </w:rPr>
      </w:pPr>
    </w:p>
    <w:p>
      <w:pPr>
        <w:spacing w:after="0"/>
        <w:rPr>
          <w:sz w:val="20"/>
          <w:szCs w:val="20"/>
          <w:color w:val="auto"/>
        </w:rPr>
      </w:pPr>
      <w:r>
        <w:rPr>
          <w:rFonts w:ascii="Arial" w:cs="Arial" w:eastAsia="Arial" w:hAnsi="Arial"/>
          <w:sz w:val="17"/>
          <w:szCs w:val="17"/>
          <w:color w:val="auto"/>
        </w:rPr>
        <w:t>Gross profit for the year ended December 31, 2021 was $475.4 million, or 63.6% of total revenue. This compares to gross profit of $338.2 million, or</w:t>
      </w:r>
    </w:p>
    <w:p>
      <w:pPr>
        <w:spacing w:after="0" w:line="35" w:lineRule="exact"/>
        <w:rPr>
          <w:sz w:val="20"/>
          <w:szCs w:val="20"/>
          <w:color w:val="auto"/>
        </w:rPr>
      </w:pPr>
    </w:p>
    <w:p>
      <w:pPr>
        <w:ind w:right="80"/>
        <w:spacing w:after="0" w:line="260" w:lineRule="auto"/>
        <w:rPr>
          <w:sz w:val="20"/>
          <w:szCs w:val="20"/>
          <w:color w:val="auto"/>
        </w:rPr>
      </w:pPr>
      <w:r>
        <w:rPr>
          <w:rFonts w:ascii="Arial" w:cs="Arial" w:eastAsia="Arial" w:hAnsi="Arial"/>
          <w:sz w:val="18"/>
          <w:szCs w:val="18"/>
          <w:color w:val="auto"/>
        </w:rPr>
        <w:t>60.3% of total revenue, for the year ended December 31, 2020, which includes the one-time unfavorable impact of $18.4 million from the December 2020 voluntary recall.</w:t>
      </w:r>
    </w:p>
    <w:p>
      <w:pPr>
        <w:spacing w:after="0" w:line="212" w:lineRule="exact"/>
        <w:rPr>
          <w:sz w:val="20"/>
          <w:szCs w:val="20"/>
          <w:color w:val="auto"/>
        </w:rPr>
      </w:pPr>
    </w:p>
    <w:p>
      <w:pPr>
        <w:spacing w:after="0" w:line="281" w:lineRule="auto"/>
        <w:rPr>
          <w:sz w:val="20"/>
          <w:szCs w:val="20"/>
          <w:color w:val="auto"/>
        </w:rPr>
      </w:pPr>
      <w:r>
        <w:rPr>
          <w:rFonts w:ascii="Arial" w:cs="Arial" w:eastAsia="Arial" w:hAnsi="Arial"/>
          <w:sz w:val="16"/>
          <w:szCs w:val="16"/>
          <w:color w:val="auto"/>
        </w:rPr>
        <w:t>Total operating expenses for the year ended December 31, 2021 were $482.9 million, or 64.6% of total revenue, including a one-time $25.8 million expense associated with the accelerated vesting of options related to the Sixense acquisition, $15.0 million of non-recurring personnel-related expenses associated with the achievement of R&amp;D milestones for our Thunderbolt product, and a $1.8 million amortization expense of finite lived intangible assets acquired in connection with the Sixense acquisition. This compares to total operating expenses of $377.1 million, or 67.3% of total revenue, for the year ended December 31, 2020, which includes $20.7 million of one-time, non-recurring personnel-related expenses associated with the launch of our Lightning product. Excluding the charges noted above, total non-GAAP operating expenses</w:t>
      </w:r>
      <w:r>
        <w:rPr>
          <w:rFonts w:ascii="Arial" w:cs="Arial" w:eastAsia="Arial" w:hAnsi="Arial"/>
          <w:sz w:val="20"/>
          <w:szCs w:val="20"/>
          <w:color w:val="auto"/>
          <w:vertAlign w:val="superscript"/>
        </w:rPr>
        <w:t>1</w:t>
      </w:r>
      <w:r>
        <w:rPr>
          <w:rFonts w:ascii="Arial" w:cs="Arial" w:eastAsia="Arial" w:hAnsi="Arial"/>
          <w:sz w:val="16"/>
          <w:szCs w:val="16"/>
          <w:color w:val="auto"/>
        </w:rPr>
        <w:t xml:space="preserve"> were $440.3 million, or 58.9% of total revenue during the year ended December 31, 2021, and $356.5 million, or 63.6% of total revenue during the year ended December 31, 2020, respectively.</w:t>
      </w:r>
    </w:p>
    <w:p>
      <w:pPr>
        <w:spacing w:after="0" w:line="193" w:lineRule="exact"/>
        <w:rPr>
          <w:sz w:val="20"/>
          <w:szCs w:val="20"/>
          <w:color w:val="auto"/>
        </w:rPr>
      </w:pPr>
    </w:p>
    <w:p>
      <w:pPr>
        <w:ind w:right="120"/>
        <w:spacing w:after="0" w:line="231" w:lineRule="auto"/>
        <w:rPr>
          <w:sz w:val="20"/>
          <w:szCs w:val="20"/>
          <w:color w:val="auto"/>
        </w:rPr>
      </w:pPr>
      <w:r>
        <w:rPr>
          <w:rFonts w:ascii="Arial" w:cs="Arial" w:eastAsia="Arial" w:hAnsi="Arial"/>
          <w:sz w:val="18"/>
          <w:szCs w:val="18"/>
          <w:color w:val="auto"/>
        </w:rPr>
        <w:t>Operating loss was $7.5 million for the year ended December 31, 2021. Excluding the charges associated with the one-time accelerated vesting of options related to the Sixense acquisition, non-recurring personnel-related expenses associated with the achievement of R&amp;D milestones for our Thunderbolt product, and amortization expense of finite lived intangible assets acquired in connection with the Sixense acquisition, non-GAAP operating income</w:t>
      </w:r>
      <w:r>
        <w:rPr>
          <w:rFonts w:ascii="Arial" w:cs="Arial" w:eastAsia="Arial" w:hAnsi="Arial"/>
          <w:sz w:val="23"/>
          <w:szCs w:val="23"/>
          <w:color w:val="auto"/>
          <w:vertAlign w:val="superscript"/>
        </w:rPr>
        <w:t>1</w:t>
      </w:r>
      <w:r>
        <w:rPr>
          <w:rFonts w:ascii="Arial" w:cs="Arial" w:eastAsia="Arial" w:hAnsi="Arial"/>
          <w:sz w:val="18"/>
          <w:szCs w:val="18"/>
          <w:color w:val="auto"/>
        </w:rPr>
        <w:t xml:space="preserve"> was $35.0 million for the year ended December 31, 2021. Operating loss was $38.9 million for the year ended December 31, 2020. Excluding the charge associated with one-time, non-recurring personnel-related expenses associated with the launch of our Lightning product, non-GAAP operating loss</w:t>
      </w:r>
      <w:r>
        <w:rPr>
          <w:rFonts w:ascii="Arial" w:cs="Arial" w:eastAsia="Arial" w:hAnsi="Arial"/>
          <w:sz w:val="23"/>
          <w:szCs w:val="23"/>
          <w:color w:val="auto"/>
          <w:vertAlign w:val="superscript"/>
        </w:rPr>
        <w:t>1</w:t>
      </w:r>
      <w:r>
        <w:rPr>
          <w:rFonts w:ascii="Arial" w:cs="Arial" w:eastAsia="Arial" w:hAnsi="Arial"/>
          <w:sz w:val="18"/>
          <w:szCs w:val="18"/>
          <w:color w:val="auto"/>
        </w:rPr>
        <w:t xml:space="preserve"> was $18.3 million for the year ended December 31, 2020.</w:t>
      </w:r>
    </w:p>
    <w:p>
      <w:pPr>
        <w:spacing w:after="0" w:line="1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Full Year 2022 Financial Outlook</w:t>
      </w:r>
    </w:p>
    <w:p>
      <w:pPr>
        <w:spacing w:after="0" w:line="24"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color w:val="auto"/>
        </w:rPr>
        <w:t>Penumbra projects total revenue for 2022 to be in the range of $860 million to $875 million, which represents growth of 15% to 17% over 2021 revenue of $747.6 million.</w:t>
      </w:r>
    </w:p>
    <w:p>
      <w:pPr>
        <w:spacing w:after="0" w:line="20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Webcast and Conference Call Information</w:t>
      </w:r>
    </w:p>
    <w:p>
      <w:pPr>
        <w:spacing w:after="0" w:line="24" w:lineRule="exact"/>
        <w:rPr>
          <w:sz w:val="20"/>
          <w:szCs w:val="20"/>
          <w:color w:val="auto"/>
        </w:rPr>
      </w:pPr>
    </w:p>
    <w:p>
      <w:pPr>
        <w:ind w:right="220"/>
        <w:spacing w:after="0" w:line="252" w:lineRule="auto"/>
        <w:rPr>
          <w:sz w:val="20"/>
          <w:szCs w:val="20"/>
          <w:color w:val="auto"/>
        </w:rPr>
      </w:pPr>
      <w:r>
        <w:rPr>
          <w:rFonts w:ascii="Arial" w:cs="Arial" w:eastAsia="Arial" w:hAnsi="Arial"/>
          <w:sz w:val="18"/>
          <w:szCs w:val="18"/>
          <w:color w:val="auto"/>
        </w:rPr>
        <w:t xml:space="preserve">Penumbra, Inc. will host a conference call to discuss financial results for the fourth quarter and year ended December 31, 2021 after market close on Tuesday, February 22, 2022 at 4:30 PM Eastern Time. The conference call can be accessed live over the phone by dialing (888) 330-2443 for domestic callers and international callers (conference id: 4604622), or the webcast can be accessed on the “Events” section under the “Investors” tab of the Company’s website at: </w:t>
      </w:r>
      <w:r>
        <w:rPr>
          <w:rFonts w:ascii="Arial" w:cs="Arial" w:eastAsia="Arial" w:hAnsi="Arial"/>
          <w:sz w:val="18"/>
          <w:szCs w:val="18"/>
          <w:u w:val="single" w:color="auto"/>
          <w:color w:val="0000FF"/>
        </w:rPr>
        <w:t>www.penumbrainc.com</w:t>
      </w:r>
      <w:r>
        <w:rPr>
          <w:rFonts w:ascii="Arial" w:cs="Arial" w:eastAsia="Arial" w:hAnsi="Arial"/>
          <w:sz w:val="18"/>
          <w:szCs w:val="18"/>
          <w:color w:val="auto"/>
        </w:rPr>
        <w:t>. The webcast will be available on the Company’s website for two weeks following the completion of the call.</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Penumbra</w:t>
      </w:r>
    </w:p>
    <w:p>
      <w:pPr>
        <w:spacing w:after="0" w:line="24" w:lineRule="exact"/>
        <w:rPr>
          <w:sz w:val="20"/>
          <w:szCs w:val="20"/>
          <w:color w:val="auto"/>
        </w:rPr>
      </w:pPr>
    </w:p>
    <w:p>
      <w:pPr>
        <w:ind w:right="120"/>
        <w:spacing w:after="0" w:line="238" w:lineRule="auto"/>
        <w:rPr>
          <w:sz w:val="20"/>
          <w:szCs w:val="20"/>
          <w:color w:val="auto"/>
        </w:rPr>
      </w:pPr>
      <w:r>
        <w:rPr>
          <w:rFonts w:ascii="Arial" w:cs="Arial" w:eastAsia="Arial" w:hAnsi="Arial"/>
          <w:sz w:val="18"/>
          <w:szCs w:val="18"/>
          <w:color w:val="auto"/>
        </w:rPr>
        <w:t xml:space="preserve">Penumbra, Inc., headquartered in Alameda, California, is a global healthcare company focused on innovative therapies. Penumbra designs, develops, manufactures and markets novel products and has a broad portfolio that addresses challenging medical conditions in markets with significant unmet need. Penumbra supports healthcare providers, hospitals and clinics in more than 100 countries. The Penumbra logo is a trademark of Penumbra, Inc. For more information, visit </w:t>
      </w:r>
      <w:r>
        <w:rPr>
          <w:rFonts w:ascii="Arial" w:cs="Arial" w:eastAsia="Arial" w:hAnsi="Arial"/>
          <w:sz w:val="18"/>
          <w:szCs w:val="18"/>
          <w:u w:val="single" w:color="auto"/>
          <w:color w:val="0000FF"/>
        </w:rPr>
        <w:t>www.penumbrainc.com</w:t>
      </w:r>
      <w:r>
        <w:rPr>
          <w:rFonts w:ascii="Arial" w:cs="Arial" w:eastAsia="Arial" w:hAnsi="Arial"/>
          <w:sz w:val="18"/>
          <w:szCs w:val="18"/>
          <w:color w:val="auto"/>
        </w:rPr>
        <w:t xml:space="preserve"> and connect on </w:t>
      </w:r>
      <w:r>
        <w:rPr>
          <w:rFonts w:ascii="Arial" w:cs="Arial" w:eastAsia="Arial" w:hAnsi="Arial"/>
          <w:sz w:val="18"/>
          <w:szCs w:val="18"/>
          <w:u w:val="single" w:color="auto"/>
          <w:color w:val="0000FF"/>
        </w:rPr>
        <w:t>Twitter</w:t>
      </w:r>
      <w:r>
        <w:rPr>
          <w:rFonts w:ascii="Arial" w:cs="Arial" w:eastAsia="Arial" w:hAnsi="Arial"/>
          <w:sz w:val="18"/>
          <w:szCs w:val="18"/>
          <w:color w:val="auto"/>
        </w:rPr>
        <w:t xml:space="preserve"> and </w:t>
      </w:r>
      <w:r>
        <w:rPr>
          <w:rFonts w:ascii="Arial" w:cs="Arial" w:eastAsia="Arial" w:hAnsi="Arial"/>
          <w:sz w:val="18"/>
          <w:szCs w:val="18"/>
          <w:u w:val="single" w:color="auto"/>
          <w:color w:val="0000FF"/>
        </w:rPr>
        <w:t>LinkedIn</w:t>
      </w:r>
      <w:r>
        <w:rPr>
          <w:rFonts w:ascii="Arial" w:cs="Arial" w:eastAsia="Arial" w:hAnsi="Arial"/>
          <w:sz w:val="18"/>
          <w:szCs w:val="18"/>
          <w:color w:val="auto"/>
        </w:rPr>
        <w:t>.</w:t>
      </w:r>
    </w:p>
    <w:p>
      <w:pPr>
        <w:spacing w:after="0" w:line="314" w:lineRule="exact"/>
        <w:rPr>
          <w:sz w:val="20"/>
          <w:szCs w:val="20"/>
          <w:color w:val="auto"/>
        </w:rPr>
      </w:pPr>
    </w:p>
    <w:p>
      <w:pPr>
        <w:spacing w:after="0"/>
        <w:rPr>
          <w:sz w:val="20"/>
          <w:szCs w:val="20"/>
          <w:color w:val="auto"/>
        </w:rPr>
      </w:pPr>
      <w:r>
        <w:rPr>
          <w:rFonts w:ascii="Arial" w:cs="Arial" w:eastAsia="Arial" w:hAnsi="Arial"/>
          <w:sz w:val="18"/>
          <w:szCs w:val="18"/>
          <w:color w:val="auto"/>
          <w:vertAlign w:val="superscript"/>
        </w:rPr>
        <w:t>1</w:t>
      </w:r>
      <w:r>
        <w:rPr>
          <w:rFonts w:ascii="Arial" w:cs="Arial" w:eastAsia="Arial" w:hAnsi="Arial"/>
          <w:sz w:val="14"/>
          <w:szCs w:val="14"/>
          <w:color w:val="auto"/>
        </w:rPr>
        <w:t>See “Non-GAAP Financial Measures” for important information about our use of non-GAAP measures.</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00"/>
          </w:cols>
          <w:pgMar w:left="320" w:top="773" w:right="379" w:bottom="1440" w:gutter="0" w:footer="0" w:header="0"/>
        </w:sectPr>
      </w:pPr>
    </w:p>
    <w:bookmarkStart w:id="5" w:name="page6"/>
    <w:bookmarkEnd w:id="5"/>
    <w:p>
      <w:pPr>
        <w:spacing w:after="0"/>
        <w:rPr>
          <w:sz w:val="20"/>
          <w:szCs w:val="20"/>
          <w:color w:val="auto"/>
        </w:rPr>
      </w:pPr>
      <w:r>
        <w:rPr>
          <w:rFonts w:ascii="Arial" w:cs="Arial" w:eastAsia="Arial" w:hAnsi="Arial"/>
          <w:sz w:val="20"/>
          <w:szCs w:val="20"/>
          <w:b w:val="1"/>
          <w:bCs w:val="1"/>
          <w:color w:val="auto"/>
        </w:rPr>
        <w:t>Non-GAAP Financial Measures</w:t>
      </w:r>
    </w:p>
    <w:p>
      <w:pPr>
        <w:spacing w:after="0" w:line="24" w:lineRule="exact"/>
        <w:rPr>
          <w:sz w:val="20"/>
          <w:szCs w:val="20"/>
          <w:color w:val="auto"/>
        </w:rPr>
      </w:pPr>
    </w:p>
    <w:p>
      <w:pPr>
        <w:jc w:val="both"/>
        <w:ind w:right="160"/>
        <w:spacing w:after="0" w:line="239" w:lineRule="auto"/>
        <w:rPr>
          <w:sz w:val="20"/>
          <w:szCs w:val="20"/>
          <w:color w:val="auto"/>
        </w:rPr>
      </w:pPr>
      <w:r>
        <w:rPr>
          <w:rFonts w:ascii="Arial" w:cs="Arial" w:eastAsia="Arial" w:hAnsi="Arial"/>
          <w:sz w:val="18"/>
          <w:szCs w:val="18"/>
          <w:color w:val="auto"/>
        </w:rPr>
        <w:t>In addition to financial measures prepared in accordance with U.S. generally accepted accounting principles (“GAAP”), the Company uses the following non-GAAP financial measures in this press release: a) constant currency and b) non-GAAP operating expenses, non-GAAP operating income (loss), non-GAAP net income (loss) and non-GAAP diluted earnings per share (“EPS”).</w:t>
      </w:r>
    </w:p>
    <w:p>
      <w:pPr>
        <w:spacing w:after="0" w:line="216" w:lineRule="exact"/>
        <w:rPr>
          <w:sz w:val="20"/>
          <w:szCs w:val="20"/>
          <w:color w:val="auto"/>
        </w:rPr>
      </w:pPr>
    </w:p>
    <w:p>
      <w:pPr>
        <w:ind w:right="80"/>
        <w:spacing w:after="0" w:line="259" w:lineRule="auto"/>
        <w:rPr>
          <w:sz w:val="20"/>
          <w:szCs w:val="20"/>
          <w:color w:val="auto"/>
        </w:rPr>
      </w:pPr>
      <w:r>
        <w:rPr>
          <w:rFonts w:ascii="Arial" w:cs="Arial" w:eastAsia="Arial" w:hAnsi="Arial"/>
          <w:sz w:val="17"/>
          <w:szCs w:val="17"/>
          <w:i w:val="1"/>
          <w:iCs w:val="1"/>
          <w:color w:val="auto"/>
        </w:rPr>
        <w:t xml:space="preserve">Constant currency. </w:t>
      </w:r>
      <w:r>
        <w:rPr>
          <w:rFonts w:ascii="Arial" w:cs="Arial" w:eastAsia="Arial" w:hAnsi="Arial"/>
          <w:sz w:val="17"/>
          <w:szCs w:val="17"/>
          <w:color w:val="auto"/>
        </w:rPr>
        <w:t>The Company’s constant currency revenue disclosures estimate the impact of changes in foreign currency rates on the translation of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Company’s current period revenue as compared to the applicable comparable period in the prior year. This impact is derived by taking the current local currency revenue and translating it into U.S. dollars based upon the foreign currency exchange rates used to translate the local currency revenue for the applicable comparable period in the prior year, rather than the actual exchange rates in effect during the current period. It does not include any other effect of changes in foreign currency rates on the Company’s results or business</w:t>
      </w:r>
      <w:r>
        <w:rPr>
          <w:rFonts w:ascii="Arial" w:cs="Arial" w:eastAsia="Arial" w:hAnsi="Arial"/>
          <w:sz w:val="17"/>
          <w:szCs w:val="17"/>
          <w:i w:val="1"/>
          <w:iCs w:val="1"/>
          <w:color w:val="auto"/>
        </w:rPr>
        <w:t>.</w:t>
      </w: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 xml:space="preserve">Non-GAAP operating expenses, non-GAAP operating income (loss), non-GAAP net income (loss) and non-GAAP diluted EPS. </w:t>
      </w:r>
      <w:r>
        <w:rPr>
          <w:rFonts w:ascii="Arial" w:cs="Arial" w:eastAsia="Arial" w:hAnsi="Arial"/>
          <w:sz w:val="16"/>
          <w:szCs w:val="16"/>
          <w:color w:val="auto"/>
        </w:rPr>
        <w:t>The adjustments to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GAAP financial measures reflect the exclusion of:</w:t>
      </w:r>
    </w:p>
    <w:p>
      <w:pPr>
        <w:spacing w:after="0" w:line="238"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effects of non-recurring expenses associated with the achievement of R&amp;D milestones for our Thunderbolt product and our Lightning launch;</w:t>
      </w:r>
    </w:p>
    <w:p>
      <w:pPr>
        <w:spacing w:after="0" w:line="34" w:lineRule="exact"/>
        <w:rPr>
          <w:rFonts w:ascii="Arial" w:cs="Arial" w:eastAsia="Arial" w:hAnsi="Arial"/>
          <w:sz w:val="16"/>
          <w:szCs w:val="16"/>
          <w:color w:val="auto"/>
        </w:rPr>
      </w:pPr>
    </w:p>
    <w:p>
      <w:pPr>
        <w:ind w:left="660" w:right="120" w:hanging="328"/>
        <w:spacing w:after="0" w:line="226" w:lineRule="auto"/>
        <w:tabs>
          <w:tab w:leader="none" w:pos="655"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effects of the one-time expense associated with the accelerated vesting of options and the amortization of acquired intangible assets over their estimated useful lives in connection with the Sixense acquisition; and</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excess tax benefits associated with share-based compensation arrangements.</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Full reconciliation of these non-GAAP measures to the most comparable GAAP measures is set forth in the tables below.</w:t>
      </w:r>
    </w:p>
    <w:p>
      <w:pPr>
        <w:spacing w:after="0" w:line="239" w:lineRule="exact"/>
        <w:rPr>
          <w:sz w:val="20"/>
          <w:szCs w:val="20"/>
          <w:color w:val="auto"/>
        </w:rPr>
      </w:pPr>
    </w:p>
    <w:p>
      <w:pPr>
        <w:spacing w:after="0"/>
        <w:rPr>
          <w:sz w:val="20"/>
          <w:szCs w:val="20"/>
          <w:color w:val="auto"/>
        </w:rPr>
      </w:pPr>
      <w:r>
        <w:rPr>
          <w:rFonts w:ascii="Arial" w:cs="Arial" w:eastAsia="Arial" w:hAnsi="Arial"/>
          <w:sz w:val="17"/>
          <w:szCs w:val="17"/>
          <w:color w:val="auto"/>
        </w:rPr>
        <w:t>Our management believes the non-GAAP financial measures disclosed in this press release are useful to investors in assessing the operating performance of our business and provide meaningful comparisons to prior periods and thus a more complete understanding of our business than could be obtained absent this disclosure. Specifically, we consider the change in constant currency revenue as a useful metric as it provides an alternative framework for assessing how our underlying business performed excluding the effect of foreign currency rate fluctuations. We consider non-GAAP operating expenses, non-GAAP operating income (loss), non-GAAP net income (loss) and non-GAAP diluted EPS useful metrics as they provide an alternative framework for assessing how our underlying business performed excluding the items referred to above.</w:t>
      </w:r>
    </w:p>
    <w:p>
      <w:pPr>
        <w:spacing w:after="0" w:line="21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non-GAAP financial measures included in this press release may be different from, and therefore may not be comparable to, similarly titled measures used by other companies. These non-GAAP measures should not be considered in isolation or as alternatives to GAAP measures. We urge investors to review the reconciliation of these non-GAAP financial measures to the comparable GAAP financial measures included in this press release, and not to rely on any single financial measure to evaluate our business.</w:t>
      </w: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11" w:lineRule="exact"/>
        <w:rPr>
          <w:sz w:val="20"/>
          <w:szCs w:val="20"/>
          <w:color w:val="auto"/>
        </w:rPr>
      </w:pPr>
    </w:p>
    <w:p>
      <w:pPr>
        <w:ind w:right="80"/>
        <w:spacing w:after="0" w:line="249" w:lineRule="auto"/>
        <w:rPr>
          <w:sz w:val="20"/>
          <w:szCs w:val="20"/>
          <w:color w:val="auto"/>
        </w:rPr>
      </w:pPr>
      <w:r>
        <w:rPr>
          <w:rFonts w:ascii="Arial" w:cs="Arial" w:eastAsia="Arial" w:hAnsi="Arial"/>
          <w:sz w:val="16"/>
          <w:szCs w:val="16"/>
          <w:color w:val="auto"/>
        </w:rPr>
        <w:t>Except for historical information, certain statements in this press release are forward-looking in nature and are subject to risks, uncertainties and assumptions about us. Our business and operations are subject to a variety of risks and uncertainties and, consequently, actual results may differ materially from those projected by any forward-looking statements. Factors that could cause actual results to differ from those projected include, but are not limited to: the impact of the COVID-19 pandemic on our business, results of operations and financial condition; failure to sustain or grow profitability or generate positive cash flows; failure to effectively introduce and market new products; delays in product introductions; significant competition; inability to further penetrate our current customer base, expand our user base and increase the frequency of use of our products by our customers; inability to achieve or maintain satisfactory pricing and margins; manufacturing difficulties; permanent write-downs or write-offs of our inventory; product defects or failures; unfavorable outcomes in clinical trials; inability to maintain our culture as we grow; fluctuations in foreign currency exchange rates; potential adverse regulatory actions; and the potential impact of any acquisitions, mergers, dispositions, joint ventures or investments we may make. These risks and uncertainties, as well as others, are discussed in greater detail in our filings with the Securities and Exchange Commission (SEC), including our Annual Report on Form 10-K for the year ended December 31, 2021, which we expect to file with the SEC on or before March 1, 2022. There may be additional risks of which we are not presently aware or that we currently believe are immaterial which could have an adverse impact on our business. Any forward-looking statements are based on our current expectations, estimates and assumptions regarding future events and are applicable only as of the dates of such statements. We make no commitment to revise or update any forward-looking statements in order to reflect events or circumstances that may change.</w:t>
      </w: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765"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December 31,</w:t>
            </w:r>
          </w:p>
        </w:tc>
        <w:tc>
          <w:tcPr>
            <w:tcW w:w="980" w:type="dxa"/>
            <w:vAlign w:val="bottom"/>
            <w:tcBorders>
              <w:bottom w:val="single" w:sz="8" w:color="auto"/>
            </w:tcBorders>
          </w:tcPr>
          <w:p>
            <w:pPr>
              <w:spacing w:after="0"/>
              <w:rPr>
                <w:sz w:val="16"/>
                <w:szCs w:val="16"/>
                <w:color w:val="auto"/>
              </w:rPr>
            </w:pPr>
          </w:p>
        </w:tc>
      </w:tr>
      <w:tr>
        <w:trPr>
          <w:trHeight w:val="187"/>
        </w:trPr>
        <w:tc>
          <w:tcPr>
            <w:tcW w:w="82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2020</w:t>
            </w:r>
          </w:p>
        </w:tc>
      </w:tr>
      <w:tr>
        <w:trPr>
          <w:trHeight w:val="211"/>
        </w:trPr>
        <w:tc>
          <w:tcPr>
            <w:tcW w:w="822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r>
      <w:tr>
        <w:trPr>
          <w:trHeight w:val="230"/>
        </w:trPr>
        <w:tc>
          <w:tcPr>
            <w:tcW w:w="822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29"/>
        </w:trPr>
        <w:tc>
          <w:tcPr>
            <w:tcW w:w="82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Cash and cash equivalents</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59,379</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69,670</w:t>
            </w:r>
          </w:p>
        </w:tc>
      </w:tr>
      <w:tr>
        <w:trPr>
          <w:trHeight w:val="229"/>
        </w:trPr>
        <w:tc>
          <w:tcPr>
            <w:tcW w:w="8220" w:type="dxa"/>
            <w:vAlign w:val="bottom"/>
          </w:tcPr>
          <w:p>
            <w:pPr>
              <w:ind w:left="260"/>
              <w:spacing w:after="0"/>
              <w:rPr>
                <w:sz w:val="20"/>
                <w:szCs w:val="20"/>
                <w:color w:val="auto"/>
              </w:rPr>
            </w:pPr>
            <w:r>
              <w:rPr>
                <w:rFonts w:ascii="Arial" w:cs="Arial" w:eastAsia="Arial" w:hAnsi="Arial"/>
                <w:sz w:val="18"/>
                <w:szCs w:val="18"/>
                <w:color w:val="auto"/>
              </w:rPr>
              <w:t>Marketable investments</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195,496</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195,162</w:t>
            </w:r>
          </w:p>
        </w:tc>
      </w:tr>
      <w:tr>
        <w:trPr>
          <w:trHeight w:val="230"/>
        </w:trPr>
        <w:tc>
          <w:tcPr>
            <w:tcW w:w="82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Accounts receivable, net</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133,940</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114,608</w:t>
            </w:r>
          </w:p>
        </w:tc>
      </w:tr>
      <w:tr>
        <w:trPr>
          <w:trHeight w:val="229"/>
        </w:trPr>
        <w:tc>
          <w:tcPr>
            <w:tcW w:w="8220" w:type="dxa"/>
            <w:vAlign w:val="bottom"/>
          </w:tcPr>
          <w:p>
            <w:pPr>
              <w:ind w:left="260"/>
              <w:spacing w:after="0"/>
              <w:rPr>
                <w:sz w:val="20"/>
                <w:szCs w:val="20"/>
                <w:color w:val="auto"/>
              </w:rPr>
            </w:pPr>
            <w:r>
              <w:rPr>
                <w:rFonts w:ascii="Arial" w:cs="Arial" w:eastAsia="Arial" w:hAnsi="Arial"/>
                <w:sz w:val="18"/>
                <w:szCs w:val="18"/>
                <w:color w:val="auto"/>
              </w:rPr>
              <w:t>Inventories</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263,504</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219,527</w:t>
            </w:r>
          </w:p>
        </w:tc>
      </w:tr>
      <w:tr>
        <w:trPr>
          <w:trHeight w:val="230"/>
        </w:trPr>
        <w:tc>
          <w:tcPr>
            <w:tcW w:w="82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Prepaid expenses and other current assets</w:t>
            </w: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29,155</w:t>
            </w:r>
          </w:p>
        </w:tc>
        <w:tc>
          <w:tcPr>
            <w:tcW w:w="10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18,735</w:t>
            </w:r>
          </w:p>
        </w:tc>
      </w:tr>
      <w:tr>
        <w:trPr>
          <w:trHeight w:val="223"/>
        </w:trPr>
        <w:tc>
          <w:tcPr>
            <w:tcW w:w="8220" w:type="dxa"/>
            <w:vAlign w:val="bottom"/>
          </w:tcPr>
          <w:p>
            <w:pPr>
              <w:ind w:left="480"/>
              <w:spacing w:after="0"/>
              <w:rPr>
                <w:sz w:val="20"/>
                <w:szCs w:val="20"/>
                <w:color w:val="auto"/>
              </w:rPr>
            </w:pPr>
            <w:r>
              <w:rPr>
                <w:rFonts w:ascii="Arial" w:cs="Arial" w:eastAsia="Arial" w:hAnsi="Arial"/>
                <w:sz w:val="18"/>
                <w:szCs w:val="18"/>
                <w:color w:val="auto"/>
              </w:rPr>
              <w:t>Total current assets</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681,474</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617,702</w:t>
            </w:r>
          </w:p>
        </w:tc>
      </w:tr>
      <w:tr>
        <w:trPr>
          <w:trHeight w:val="230"/>
        </w:trPr>
        <w:tc>
          <w:tcPr>
            <w:tcW w:w="8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Property and equipment, net</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58,856</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48,169</w:t>
            </w:r>
          </w:p>
        </w:tc>
      </w:tr>
      <w:tr>
        <w:trPr>
          <w:trHeight w:val="229"/>
        </w:trPr>
        <w:tc>
          <w:tcPr>
            <w:tcW w:w="8220" w:type="dxa"/>
            <w:vAlign w:val="bottom"/>
          </w:tcPr>
          <w:p>
            <w:pPr>
              <w:ind w:left="20"/>
              <w:spacing w:after="0"/>
              <w:rPr>
                <w:sz w:val="20"/>
                <w:szCs w:val="20"/>
                <w:color w:val="auto"/>
              </w:rPr>
            </w:pPr>
            <w:r>
              <w:rPr>
                <w:rFonts w:ascii="Arial" w:cs="Arial" w:eastAsia="Arial" w:hAnsi="Arial"/>
                <w:sz w:val="18"/>
                <w:szCs w:val="18"/>
                <w:color w:val="auto"/>
              </w:rPr>
              <w:t>Operating lease right-of-use assets</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131,955</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41,192</w:t>
            </w:r>
          </w:p>
        </w:tc>
      </w:tr>
      <w:tr>
        <w:trPr>
          <w:trHeight w:val="229"/>
        </w:trPr>
        <w:tc>
          <w:tcPr>
            <w:tcW w:w="8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Finance lease right-of-use assets</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36,276</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38,065</w:t>
            </w:r>
          </w:p>
        </w:tc>
      </w:tr>
      <w:tr>
        <w:trPr>
          <w:trHeight w:val="230"/>
        </w:trPr>
        <w:tc>
          <w:tcPr>
            <w:tcW w:w="8220" w:type="dxa"/>
            <w:vAlign w:val="bottom"/>
          </w:tcPr>
          <w:p>
            <w:pPr>
              <w:ind w:left="20"/>
              <w:spacing w:after="0"/>
              <w:rPr>
                <w:sz w:val="20"/>
                <w:szCs w:val="20"/>
                <w:color w:val="auto"/>
              </w:rPr>
            </w:pPr>
            <w:r>
              <w:rPr>
                <w:rFonts w:ascii="Arial" w:cs="Arial" w:eastAsia="Arial" w:hAnsi="Arial"/>
                <w:sz w:val="18"/>
                <w:szCs w:val="18"/>
                <w:color w:val="auto"/>
              </w:rPr>
              <w:t>Intangible assets, net</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90,618</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10,639</w:t>
            </w:r>
          </w:p>
        </w:tc>
      </w:tr>
      <w:tr>
        <w:trPr>
          <w:trHeight w:val="229"/>
        </w:trPr>
        <w:tc>
          <w:tcPr>
            <w:tcW w:w="8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166,388</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8,372</w:t>
            </w:r>
          </w:p>
        </w:tc>
      </w:tr>
      <w:tr>
        <w:trPr>
          <w:trHeight w:val="229"/>
        </w:trPr>
        <w:tc>
          <w:tcPr>
            <w:tcW w:w="8220" w:type="dxa"/>
            <w:vAlign w:val="bottom"/>
          </w:tcPr>
          <w:p>
            <w:pPr>
              <w:ind w:left="20"/>
              <w:spacing w:after="0"/>
              <w:rPr>
                <w:sz w:val="20"/>
                <w:szCs w:val="20"/>
                <w:color w:val="auto"/>
              </w:rPr>
            </w:pPr>
            <w:r>
              <w:rPr>
                <w:rFonts w:ascii="Arial" w:cs="Arial" w:eastAsia="Arial" w:hAnsi="Arial"/>
                <w:sz w:val="18"/>
                <w:szCs w:val="18"/>
                <w:color w:val="auto"/>
              </w:rPr>
              <w:t>Deferred taxes</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65,698</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50,139</w:t>
            </w:r>
          </w:p>
        </w:tc>
      </w:tr>
      <w:tr>
        <w:trPr>
          <w:trHeight w:val="230"/>
        </w:trPr>
        <w:tc>
          <w:tcPr>
            <w:tcW w:w="8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non-current assets</w:t>
            </w: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12,985</w:t>
            </w:r>
          </w:p>
        </w:tc>
        <w:tc>
          <w:tcPr>
            <w:tcW w:w="10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8,705</w:t>
            </w:r>
          </w:p>
        </w:tc>
      </w:tr>
      <w:tr>
        <w:trPr>
          <w:trHeight w:val="223"/>
        </w:trPr>
        <w:tc>
          <w:tcPr>
            <w:tcW w:w="8220" w:type="dxa"/>
            <w:vAlign w:val="bottom"/>
          </w:tcPr>
          <w:p>
            <w:pPr>
              <w:ind w:left="480"/>
              <w:spacing w:after="0"/>
              <w:rPr>
                <w:sz w:val="20"/>
                <w:szCs w:val="20"/>
                <w:color w:val="auto"/>
              </w:rPr>
            </w:pPr>
            <w:r>
              <w:rPr>
                <w:rFonts w:ascii="Arial" w:cs="Arial" w:eastAsia="Arial" w:hAnsi="Arial"/>
                <w:sz w:val="18"/>
                <w:szCs w:val="18"/>
                <w:color w:val="auto"/>
              </w:rPr>
              <w:t>Total assets</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1,244,250</w:t>
            </w:r>
          </w:p>
        </w:tc>
        <w:tc>
          <w:tcPr>
            <w:tcW w:w="100" w:type="dxa"/>
            <w:vAlign w:val="bottom"/>
          </w:tcPr>
          <w:p>
            <w:pPr>
              <w:spacing w:after="0"/>
              <w:rPr>
                <w:sz w:val="19"/>
                <w:szCs w:val="19"/>
                <w:color w:val="auto"/>
              </w:rPr>
            </w:pPr>
          </w:p>
        </w:tc>
        <w:tc>
          <w:tcPr>
            <w:tcW w:w="4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822,983</w:t>
            </w:r>
          </w:p>
        </w:tc>
      </w:tr>
      <w:tr>
        <w:trPr>
          <w:trHeight w:val="20"/>
        </w:trPr>
        <w:tc>
          <w:tcPr>
            <w:tcW w:w="822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197"/>
        </w:trPr>
        <w:tc>
          <w:tcPr>
            <w:tcW w:w="822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30"/>
        </w:trPr>
        <w:tc>
          <w:tcPr>
            <w:tcW w:w="822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29"/>
        </w:trPr>
        <w:tc>
          <w:tcPr>
            <w:tcW w:w="82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Accounts payable</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13,421</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14,109</w:t>
            </w:r>
          </w:p>
        </w:tc>
      </w:tr>
      <w:tr>
        <w:trPr>
          <w:trHeight w:val="230"/>
        </w:trPr>
        <w:tc>
          <w:tcPr>
            <w:tcW w:w="8220" w:type="dxa"/>
            <w:vAlign w:val="bottom"/>
          </w:tcPr>
          <w:p>
            <w:pPr>
              <w:ind w:left="240"/>
              <w:spacing w:after="0"/>
              <w:rPr>
                <w:sz w:val="20"/>
                <w:szCs w:val="20"/>
                <w:color w:val="auto"/>
              </w:rPr>
            </w:pPr>
            <w:r>
              <w:rPr>
                <w:rFonts w:ascii="Arial" w:cs="Arial" w:eastAsia="Arial" w:hAnsi="Arial"/>
                <w:sz w:val="18"/>
                <w:szCs w:val="18"/>
                <w:color w:val="auto"/>
              </w:rPr>
              <w:t>Accrued liabilities</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99,796</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85,795</w:t>
            </w:r>
          </w:p>
        </w:tc>
      </w:tr>
      <w:tr>
        <w:trPr>
          <w:trHeight w:val="229"/>
        </w:trPr>
        <w:tc>
          <w:tcPr>
            <w:tcW w:w="82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Current operating lease liabilities</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8,267</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4,697</w:t>
            </w:r>
          </w:p>
        </w:tc>
      </w:tr>
      <w:tr>
        <w:trPr>
          <w:trHeight w:val="230"/>
        </w:trPr>
        <w:tc>
          <w:tcPr>
            <w:tcW w:w="822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Current finance lease liabilities</w:t>
            </w: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1,713</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1,331</w:t>
            </w:r>
          </w:p>
        </w:tc>
      </w:tr>
      <w:tr>
        <w:trPr>
          <w:trHeight w:val="223"/>
        </w:trPr>
        <w:tc>
          <w:tcPr>
            <w:tcW w:w="82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current liabilities</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123,197</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105,932</w:t>
            </w:r>
          </w:p>
        </w:tc>
      </w:tr>
      <w:tr>
        <w:trPr>
          <w:trHeight w:val="230"/>
        </w:trPr>
        <w:tc>
          <w:tcPr>
            <w:tcW w:w="8220" w:type="dxa"/>
            <w:vAlign w:val="bottom"/>
          </w:tcPr>
          <w:p>
            <w:pPr>
              <w:ind w:left="20"/>
              <w:spacing w:after="0"/>
              <w:rPr>
                <w:sz w:val="20"/>
                <w:szCs w:val="20"/>
                <w:color w:val="auto"/>
              </w:rPr>
            </w:pPr>
            <w:r>
              <w:rPr>
                <w:rFonts w:ascii="Arial" w:cs="Arial" w:eastAsia="Arial" w:hAnsi="Arial"/>
                <w:sz w:val="18"/>
                <w:szCs w:val="18"/>
                <w:color w:val="auto"/>
              </w:rPr>
              <w:t>Non-current operating lease liabilities</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137,045</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44,183</w:t>
            </w:r>
          </w:p>
        </w:tc>
      </w:tr>
      <w:tr>
        <w:trPr>
          <w:trHeight w:val="230"/>
        </w:trPr>
        <w:tc>
          <w:tcPr>
            <w:tcW w:w="8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Non-current finance lease liabilities</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26,523</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27,066</w:t>
            </w:r>
          </w:p>
        </w:tc>
      </w:tr>
      <w:tr>
        <w:trPr>
          <w:trHeight w:val="230"/>
        </w:trPr>
        <w:tc>
          <w:tcPr>
            <w:tcW w:w="82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 non-current liabilities</w:t>
            </w: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3,558</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8,014</w:t>
            </w:r>
          </w:p>
        </w:tc>
      </w:tr>
      <w:tr>
        <w:trPr>
          <w:trHeight w:val="223"/>
        </w:trPr>
        <w:tc>
          <w:tcPr>
            <w:tcW w:w="82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liabilities</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290,323</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185,195</w:t>
            </w:r>
          </w:p>
        </w:tc>
      </w:tr>
      <w:tr>
        <w:trPr>
          <w:trHeight w:val="229"/>
        </w:trPr>
        <w:tc>
          <w:tcPr>
            <w:tcW w:w="8220" w:type="dxa"/>
            <w:vAlign w:val="bottom"/>
          </w:tcPr>
          <w:p>
            <w:pPr>
              <w:ind w:left="20"/>
              <w:spacing w:after="0"/>
              <w:rPr>
                <w:sz w:val="20"/>
                <w:szCs w:val="20"/>
                <w:color w:val="auto"/>
              </w:rPr>
            </w:pPr>
            <w:r>
              <w:rPr>
                <w:rFonts w:ascii="Arial" w:cs="Arial" w:eastAsia="Arial" w:hAnsi="Arial"/>
                <w:sz w:val="18"/>
                <w:szCs w:val="18"/>
                <w:color w:val="auto"/>
              </w:rPr>
              <w:t>Stockholders’ equity:</w:t>
            </w: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30"/>
        </w:trPr>
        <w:tc>
          <w:tcPr>
            <w:tcW w:w="82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Preferred stock</w:t>
            </w:r>
          </w:p>
        </w:tc>
        <w:tc>
          <w:tcPr>
            <w:tcW w:w="34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8220" w:type="dxa"/>
            <w:vAlign w:val="bottom"/>
          </w:tcPr>
          <w:p>
            <w:pPr>
              <w:ind w:left="140"/>
              <w:spacing w:after="0"/>
              <w:rPr>
                <w:sz w:val="20"/>
                <w:szCs w:val="20"/>
                <w:color w:val="auto"/>
              </w:rPr>
            </w:pPr>
            <w:r>
              <w:rPr>
                <w:rFonts w:ascii="Arial" w:cs="Arial" w:eastAsia="Arial" w:hAnsi="Arial"/>
                <w:sz w:val="18"/>
                <w:szCs w:val="18"/>
                <w:color w:val="auto"/>
              </w:rPr>
              <w:t>Common stock</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30"/>
        </w:trPr>
        <w:tc>
          <w:tcPr>
            <w:tcW w:w="82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Additional paid-in capital</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910,614</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598,299</w:t>
            </w:r>
          </w:p>
        </w:tc>
      </w:tr>
      <w:tr>
        <w:trPr>
          <w:trHeight w:val="229"/>
        </w:trPr>
        <w:tc>
          <w:tcPr>
            <w:tcW w:w="8220" w:type="dxa"/>
            <w:vAlign w:val="bottom"/>
          </w:tcPr>
          <w:p>
            <w:pPr>
              <w:ind w:left="140"/>
              <w:spacing w:after="0"/>
              <w:rPr>
                <w:sz w:val="20"/>
                <w:szCs w:val="20"/>
                <w:color w:val="auto"/>
              </w:rPr>
            </w:pPr>
            <w:r>
              <w:rPr>
                <w:rFonts w:ascii="Arial" w:cs="Arial" w:eastAsia="Arial" w:hAnsi="Arial"/>
                <w:sz w:val="18"/>
                <w:szCs w:val="18"/>
                <w:color w:val="auto"/>
              </w:rPr>
              <w:t>Accumulated other comprehensive (loss) income</w:t>
            </w: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(2,630)</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2,541</w:t>
            </w:r>
          </w:p>
        </w:tc>
      </w:tr>
      <w:tr>
        <w:trPr>
          <w:trHeight w:val="230"/>
        </w:trPr>
        <w:tc>
          <w:tcPr>
            <w:tcW w:w="82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Retained earnings</w:t>
            </w: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45,906</w:t>
            </w:r>
          </w:p>
        </w:tc>
        <w:tc>
          <w:tcPr>
            <w:tcW w:w="10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40,622</w:t>
            </w:r>
          </w:p>
        </w:tc>
      </w:tr>
      <w:tr>
        <w:trPr>
          <w:trHeight w:val="223"/>
        </w:trPr>
        <w:tc>
          <w:tcPr>
            <w:tcW w:w="8220" w:type="dxa"/>
            <w:vAlign w:val="bottom"/>
            <w:tcBorders>
              <w:bottom w:val="single" w:sz="8" w:color="CCEEFF"/>
            </w:tcBorders>
          </w:tcPr>
          <w:p>
            <w:pPr>
              <w:ind w:left="480"/>
              <w:spacing w:after="0"/>
              <w:rPr>
                <w:sz w:val="20"/>
                <w:szCs w:val="20"/>
                <w:color w:val="auto"/>
              </w:rPr>
            </w:pPr>
            <w:r>
              <w:rPr>
                <w:rFonts w:ascii="Arial" w:cs="Arial" w:eastAsia="Arial" w:hAnsi="Arial"/>
                <w:sz w:val="18"/>
                <w:szCs w:val="18"/>
                <w:color w:val="auto"/>
              </w:rPr>
              <w:t>Total Penumbra, Inc. stockholders’ equity</w:t>
            </w: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953,927</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641,498</w:t>
            </w:r>
          </w:p>
        </w:tc>
      </w:tr>
      <w:tr>
        <w:trPr>
          <w:trHeight w:val="223"/>
        </w:trPr>
        <w:tc>
          <w:tcPr>
            <w:tcW w:w="82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Non-controlling interest</w:t>
            </w: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(3,710)</w:t>
            </w:r>
          </w:p>
        </w:tc>
      </w:tr>
      <w:tr>
        <w:trPr>
          <w:trHeight w:val="223"/>
        </w:trPr>
        <w:tc>
          <w:tcPr>
            <w:tcW w:w="8220" w:type="dxa"/>
            <w:vAlign w:val="bottom"/>
            <w:tcBorders>
              <w:bottom w:val="single" w:sz="8" w:color="CCEEFF"/>
            </w:tcBorders>
          </w:tcPr>
          <w:p>
            <w:pPr>
              <w:ind w:left="480"/>
              <w:spacing w:after="0"/>
              <w:rPr>
                <w:sz w:val="20"/>
                <w:szCs w:val="20"/>
                <w:color w:val="auto"/>
              </w:rPr>
            </w:pPr>
            <w:r>
              <w:rPr>
                <w:rFonts w:ascii="Arial" w:cs="Arial" w:eastAsia="Arial" w:hAnsi="Arial"/>
                <w:sz w:val="18"/>
                <w:szCs w:val="18"/>
                <w:color w:val="auto"/>
              </w:rPr>
              <w:t>Total stockholders’ equity</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953,927</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637,788</w:t>
            </w:r>
          </w:p>
        </w:tc>
      </w:tr>
      <w:tr>
        <w:trPr>
          <w:trHeight w:val="248"/>
        </w:trPr>
        <w:tc>
          <w:tcPr>
            <w:tcW w:w="8220" w:type="dxa"/>
            <w:vAlign w:val="bottom"/>
            <w:tcBorders>
              <w:bottom w:val="single" w:sz="8" w:color="CCEEFF"/>
            </w:tcBorders>
            <w:shd w:val="clear" w:color="auto" w:fill="CCEEFF"/>
          </w:tcPr>
          <w:p>
            <w:pPr>
              <w:ind w:left="560"/>
              <w:spacing w:after="0"/>
              <w:rPr>
                <w:sz w:val="20"/>
                <w:szCs w:val="20"/>
                <w:color w:val="auto"/>
              </w:rPr>
            </w:pPr>
            <w:r>
              <w:rPr>
                <w:rFonts w:ascii="Arial" w:cs="Arial" w:eastAsia="Arial" w:hAnsi="Arial"/>
                <w:sz w:val="18"/>
                <w:szCs w:val="18"/>
                <w:color w:val="auto"/>
              </w:rPr>
              <w:t>Total liabilities and stockholders’ equity</w:t>
            </w: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1,244,250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822,983</w:t>
            </w:r>
          </w:p>
        </w:tc>
      </w:tr>
      <w:tr>
        <w:trPr>
          <w:trHeight w:val="20"/>
        </w:trPr>
        <w:tc>
          <w:tcPr>
            <w:tcW w:w="82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769"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40" w:type="dxa"/>
            <w:vAlign w:val="bottom"/>
            <w:gridSpan w:val="5"/>
          </w:tcPr>
          <w:p>
            <w:pPr>
              <w:ind w:left="160"/>
              <w:spacing w:after="0"/>
              <w:rPr>
                <w:sz w:val="20"/>
                <w:szCs w:val="20"/>
                <w:color w:val="auto"/>
              </w:rPr>
            </w:pPr>
            <w:r>
              <w:rPr>
                <w:rFonts w:ascii="Arial" w:cs="Arial" w:eastAsia="Arial" w:hAnsi="Arial"/>
                <w:sz w:val="14"/>
                <w:szCs w:val="14"/>
                <w:b w:val="1"/>
                <w:bCs w:val="1"/>
                <w:color w:val="auto"/>
              </w:rPr>
              <w:t>Three Months Ended December 31,</w:t>
            </w:r>
          </w:p>
        </w:tc>
        <w:tc>
          <w:tcPr>
            <w:tcW w:w="340" w:type="dxa"/>
            <w:vAlign w:val="bottom"/>
          </w:tcPr>
          <w:p>
            <w:pPr>
              <w:spacing w:after="0"/>
              <w:rPr>
                <w:sz w:val="16"/>
                <w:szCs w:val="16"/>
                <w:color w:val="auto"/>
              </w:rPr>
            </w:pPr>
          </w:p>
        </w:tc>
        <w:tc>
          <w:tcPr>
            <w:tcW w:w="2680" w:type="dxa"/>
            <w:vAlign w:val="bottom"/>
            <w:gridSpan w:val="4"/>
          </w:tcPr>
          <w:p>
            <w:pPr>
              <w:jc w:val="right"/>
              <w:ind w:right="611"/>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87"/>
        </w:trPr>
        <w:tc>
          <w:tcPr>
            <w:tcW w:w="5120" w:type="dxa"/>
            <w:vAlign w:val="bottom"/>
            <w:tcBorders>
              <w:bottom w:val="single" w:sz="8" w:color="CCEEFF"/>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1180" w:type="dxa"/>
            <w:vAlign w:val="bottom"/>
            <w:tcBorders>
              <w:top w:val="single" w:sz="8" w:color="auto"/>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CEEFF"/>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00" w:type="dxa"/>
            <w:vAlign w:val="bottom"/>
            <w:tcBorders>
              <w:top w:val="single" w:sz="8" w:color="auto"/>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20" w:type="dxa"/>
            <w:vAlign w:val="bottom"/>
            <w:tcBorders>
              <w:top w:val="single" w:sz="8" w:color="auto"/>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20" w:type="dxa"/>
            <w:vAlign w:val="bottom"/>
            <w:tcBorders>
              <w:top w:val="single" w:sz="8" w:color="auto"/>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24"/>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204,011</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166,898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747,590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560,412</w:t>
            </w:r>
          </w:p>
        </w:tc>
        <w:tc>
          <w:tcPr>
            <w:tcW w:w="0" w:type="dxa"/>
            <w:vAlign w:val="bottom"/>
          </w:tcPr>
          <w:p>
            <w:pPr>
              <w:spacing w:after="0"/>
              <w:rPr>
                <w:sz w:val="1"/>
                <w:szCs w:val="1"/>
                <w:color w:val="auto"/>
              </w:rPr>
            </w:pPr>
          </w:p>
        </w:tc>
      </w:tr>
      <w:tr>
        <w:trPr>
          <w:trHeight w:val="229"/>
        </w:trPr>
        <w:tc>
          <w:tcPr>
            <w:tcW w:w="51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78,564</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72,585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272,208</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222,237</w:t>
            </w:r>
          </w:p>
        </w:tc>
        <w:tc>
          <w:tcPr>
            <w:tcW w:w="0" w:type="dxa"/>
            <w:vAlign w:val="bottom"/>
          </w:tcPr>
          <w:p>
            <w:pPr>
              <w:spacing w:after="0"/>
              <w:rPr>
                <w:sz w:val="1"/>
                <w:szCs w:val="1"/>
                <w:color w:val="auto"/>
              </w:rPr>
            </w:pPr>
          </w:p>
        </w:tc>
      </w:tr>
      <w:tr>
        <w:trPr>
          <w:trHeight w:val="223"/>
        </w:trPr>
        <w:tc>
          <w:tcPr>
            <w:tcW w:w="51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Gross profit</w:t>
            </w:r>
          </w:p>
        </w:tc>
        <w:tc>
          <w:tcPr>
            <w:tcW w:w="26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125,447</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94,313</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475,382</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338,175</w:t>
            </w:r>
          </w:p>
        </w:tc>
        <w:tc>
          <w:tcPr>
            <w:tcW w:w="0" w:type="dxa"/>
            <w:vAlign w:val="bottom"/>
          </w:tcPr>
          <w:p>
            <w:pPr>
              <w:spacing w:after="0"/>
              <w:rPr>
                <w:sz w:val="1"/>
                <w:szCs w:val="1"/>
                <w:color w:val="auto"/>
              </w:rPr>
            </w:pPr>
          </w:p>
        </w:tc>
      </w:tr>
      <w:tr>
        <w:trPr>
          <w:trHeight w:val="210"/>
        </w:trPr>
        <w:tc>
          <w:tcPr>
            <w:tcW w:w="512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2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51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Research and development</w:t>
            </w: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52,004</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19,455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104,552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90,049</w:t>
            </w:r>
          </w:p>
        </w:tc>
        <w:tc>
          <w:tcPr>
            <w:tcW w:w="0" w:type="dxa"/>
            <w:vAlign w:val="bottom"/>
          </w:tcPr>
          <w:p>
            <w:pPr>
              <w:spacing w:after="0"/>
              <w:rPr>
                <w:sz w:val="1"/>
                <w:szCs w:val="1"/>
                <w:color w:val="auto"/>
              </w:rPr>
            </w:pPr>
          </w:p>
        </w:tc>
      </w:tr>
      <w:tr>
        <w:trPr>
          <w:trHeight w:val="230"/>
        </w:trPr>
        <w:tc>
          <w:tcPr>
            <w:tcW w:w="512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Sales, general and administrative</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113,500</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76,603</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378,331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287,068</w:t>
            </w:r>
          </w:p>
        </w:tc>
        <w:tc>
          <w:tcPr>
            <w:tcW w:w="0" w:type="dxa"/>
            <w:vAlign w:val="bottom"/>
          </w:tcPr>
          <w:p>
            <w:pPr>
              <w:spacing w:after="0"/>
              <w:rPr>
                <w:sz w:val="1"/>
                <w:szCs w:val="1"/>
                <w:color w:val="auto"/>
              </w:rPr>
            </w:pPr>
          </w:p>
        </w:tc>
      </w:tr>
      <w:tr>
        <w:trPr>
          <w:trHeight w:val="223"/>
        </w:trPr>
        <w:tc>
          <w:tcPr>
            <w:tcW w:w="51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operating expenses</w:t>
            </w:r>
          </w:p>
        </w:tc>
        <w:tc>
          <w:tcPr>
            <w:tcW w:w="26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165,504</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96,058</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482,883</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377,117</w:t>
            </w:r>
          </w:p>
        </w:tc>
        <w:tc>
          <w:tcPr>
            <w:tcW w:w="0" w:type="dxa"/>
            <w:vAlign w:val="bottom"/>
          </w:tcPr>
          <w:p>
            <w:pPr>
              <w:spacing w:after="0"/>
              <w:rPr>
                <w:sz w:val="1"/>
                <w:szCs w:val="1"/>
                <w:color w:val="auto"/>
              </w:rPr>
            </w:pPr>
          </w:p>
        </w:tc>
      </w:tr>
      <w:tr>
        <w:trPr>
          <w:trHeight w:val="223"/>
        </w:trPr>
        <w:tc>
          <w:tcPr>
            <w:tcW w:w="5120" w:type="dxa"/>
            <w:vAlign w:val="bottom"/>
          </w:tcPr>
          <w:p>
            <w:pPr>
              <w:ind w:left="20"/>
              <w:spacing w:after="0"/>
              <w:rPr>
                <w:sz w:val="20"/>
                <w:szCs w:val="20"/>
                <w:color w:val="auto"/>
              </w:rPr>
            </w:pPr>
            <w:r>
              <w:rPr>
                <w:rFonts w:ascii="Arial" w:cs="Arial" w:eastAsia="Arial" w:hAnsi="Arial"/>
                <w:sz w:val="18"/>
                <w:szCs w:val="18"/>
                <w:color w:val="auto"/>
              </w:rPr>
              <w:t>(Loss) from operations</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(40,057)</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(1,745)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(7,501)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(38,942)</w:t>
            </w:r>
          </w:p>
        </w:tc>
        <w:tc>
          <w:tcPr>
            <w:tcW w:w="0" w:type="dxa"/>
            <w:vAlign w:val="bottom"/>
          </w:tcPr>
          <w:p>
            <w:pPr>
              <w:spacing w:after="0"/>
              <w:rPr>
                <w:sz w:val="1"/>
                <w:szCs w:val="1"/>
                <w:color w:val="auto"/>
              </w:rPr>
            </w:pPr>
          </w:p>
        </w:tc>
      </w:tr>
      <w:tr>
        <w:trPr>
          <w:trHeight w:val="229"/>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income, net</w:t>
            </w: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1,267</w:t>
            </w:r>
          </w:p>
        </w:tc>
        <w:tc>
          <w:tcPr>
            <w:tcW w:w="0" w:type="dxa"/>
            <w:vAlign w:val="bottom"/>
          </w:tcPr>
          <w:p>
            <w:pPr>
              <w:spacing w:after="0"/>
              <w:rPr>
                <w:sz w:val="1"/>
                <w:szCs w:val="1"/>
                <w:color w:val="auto"/>
              </w:rPr>
            </w:pPr>
          </w:p>
        </w:tc>
      </w:tr>
      <w:tr>
        <w:trPr>
          <w:trHeight w:val="230"/>
        </w:trPr>
        <w:tc>
          <w:tcPr>
            <w:tcW w:w="51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 (expense) income, net</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(918)</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787</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(3,939)</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(343)</w:t>
            </w:r>
          </w:p>
        </w:tc>
        <w:tc>
          <w:tcPr>
            <w:tcW w:w="0" w:type="dxa"/>
            <w:vAlign w:val="bottom"/>
          </w:tcPr>
          <w:p>
            <w:pPr>
              <w:spacing w:after="0"/>
              <w:rPr>
                <w:sz w:val="1"/>
                <w:szCs w:val="1"/>
                <w:color w:val="auto"/>
              </w:rPr>
            </w:pPr>
          </w:p>
        </w:tc>
      </w:tr>
      <w:tr>
        <w:trPr>
          <w:trHeight w:val="223"/>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 before income taxes</w:t>
            </w: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(40,954)</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(511)</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(10,502)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(38,018)</w:t>
            </w:r>
          </w:p>
        </w:tc>
        <w:tc>
          <w:tcPr>
            <w:tcW w:w="0" w:type="dxa"/>
            <w:vAlign w:val="bottom"/>
          </w:tcPr>
          <w:p>
            <w:pPr>
              <w:spacing w:after="0"/>
              <w:rPr>
                <w:sz w:val="1"/>
                <w:szCs w:val="1"/>
                <w:color w:val="auto"/>
              </w:rPr>
            </w:pPr>
          </w:p>
        </w:tc>
      </w:tr>
      <w:tr>
        <w:trPr>
          <w:trHeight w:val="229"/>
        </w:trPr>
        <w:tc>
          <w:tcPr>
            <w:tcW w:w="51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(Benefit from) income taxes</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(16,321)</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(3,143)</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(13,125)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(18,761)</w:t>
            </w:r>
          </w:p>
        </w:tc>
        <w:tc>
          <w:tcPr>
            <w:tcW w:w="0" w:type="dxa"/>
            <w:vAlign w:val="bottom"/>
          </w:tcPr>
          <w:p>
            <w:pPr>
              <w:spacing w:after="0"/>
              <w:rPr>
                <w:sz w:val="1"/>
                <w:szCs w:val="1"/>
                <w:color w:val="auto"/>
              </w:rPr>
            </w:pPr>
          </w:p>
        </w:tc>
      </w:tr>
      <w:tr>
        <w:trPr>
          <w:trHeight w:val="223"/>
        </w:trPr>
        <w:tc>
          <w:tcPr>
            <w:tcW w:w="5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Consolidated net (loss) income</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(24,633)</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2,632</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2,623</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(19,257)</w:t>
            </w:r>
          </w:p>
        </w:tc>
        <w:tc>
          <w:tcPr>
            <w:tcW w:w="0" w:type="dxa"/>
            <w:vAlign w:val="bottom"/>
          </w:tcPr>
          <w:p>
            <w:pPr>
              <w:spacing w:after="0"/>
              <w:rPr>
                <w:sz w:val="1"/>
                <w:szCs w:val="1"/>
                <w:color w:val="auto"/>
              </w:rPr>
            </w:pPr>
          </w:p>
        </w:tc>
      </w:tr>
      <w:tr>
        <w:trPr>
          <w:trHeight w:val="223"/>
        </w:trPr>
        <w:tc>
          <w:tcPr>
            <w:tcW w:w="51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Net loss attributable to non-controlling interest</w:t>
            </w: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(1,016)</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(2,661)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(3,555)</w:t>
            </w:r>
          </w:p>
        </w:tc>
        <w:tc>
          <w:tcPr>
            <w:tcW w:w="0" w:type="dxa"/>
            <w:vAlign w:val="bottom"/>
          </w:tcPr>
          <w:p>
            <w:pPr>
              <w:spacing w:after="0"/>
              <w:rPr>
                <w:sz w:val="1"/>
                <w:szCs w:val="1"/>
                <w:color w:val="auto"/>
              </w:rPr>
            </w:pPr>
          </w:p>
        </w:tc>
      </w:tr>
      <w:tr>
        <w:trPr>
          <w:trHeight w:val="248"/>
        </w:trPr>
        <w:tc>
          <w:tcPr>
            <w:tcW w:w="5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income attributable to Penumbra, Inc.</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(24,633)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3,648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5,284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(15,702)</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(loss) income attributable to Penumbra, Inc. per share:</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12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4"/>
        </w:trPr>
        <w:tc>
          <w:tcPr>
            <w:tcW w:w="51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Basic</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(0.44)</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8"/>
                <w:szCs w:val="18"/>
                <w:color w:val="auto"/>
              </w:rPr>
              <w:t>Diluted</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5120" w:type="dxa"/>
            <w:vAlign w:val="bottom"/>
            <w:vMerge w:val="continue"/>
          </w:tcPr>
          <w:p>
            <w:pPr>
              <w:spacing w:after="0"/>
              <w:rPr>
                <w:sz w:val="17"/>
                <w:szCs w:val="17"/>
                <w:color w:val="auto"/>
              </w:rPr>
            </w:pPr>
          </w:p>
        </w:tc>
        <w:tc>
          <w:tcPr>
            <w:tcW w:w="260" w:type="dxa"/>
            <w:vAlign w:val="bottom"/>
            <w:tcBorders>
              <w:bottom w:val="single" w:sz="8" w:color="auto"/>
            </w:tcBorders>
          </w:tcPr>
          <w:p>
            <w:pPr>
              <w:jc w:val="right"/>
              <w:ind w:right="50"/>
              <w:spacing w:after="0" w:line="203" w:lineRule="exact"/>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(0.66)</w:t>
            </w:r>
          </w:p>
        </w:tc>
        <w:tc>
          <w:tcPr>
            <w:tcW w:w="120" w:type="dxa"/>
            <w:vAlign w:val="bottom"/>
          </w:tcPr>
          <w:p>
            <w:pPr>
              <w:spacing w:after="0"/>
              <w:rPr>
                <w:sz w:val="17"/>
                <w:szCs w:val="17"/>
                <w:color w:val="auto"/>
              </w:rPr>
            </w:pPr>
          </w:p>
        </w:tc>
        <w:tc>
          <w:tcPr>
            <w:tcW w:w="340" w:type="dxa"/>
            <w:vAlign w:val="bottom"/>
            <w:tcBorders>
              <w:bottom w:val="single" w:sz="8" w:color="auto"/>
            </w:tcBorders>
          </w:tcPr>
          <w:p>
            <w:pPr>
              <w:jc w:val="right"/>
              <w:ind w:right="150"/>
              <w:spacing w:after="0" w:line="203" w:lineRule="exact"/>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0.10</w:t>
            </w:r>
          </w:p>
        </w:tc>
        <w:tc>
          <w:tcPr>
            <w:tcW w:w="100" w:type="dxa"/>
            <w:vAlign w:val="bottom"/>
          </w:tcPr>
          <w:p>
            <w:pPr>
              <w:spacing w:after="0"/>
              <w:rPr>
                <w:sz w:val="17"/>
                <w:szCs w:val="17"/>
                <w:color w:val="auto"/>
              </w:rPr>
            </w:pPr>
          </w:p>
        </w:tc>
        <w:tc>
          <w:tcPr>
            <w:tcW w:w="340" w:type="dxa"/>
            <w:vAlign w:val="bottom"/>
            <w:tcBorders>
              <w:bottom w:val="single" w:sz="8" w:color="auto"/>
            </w:tcBorders>
          </w:tcPr>
          <w:p>
            <w:pPr>
              <w:jc w:val="right"/>
              <w:ind w:right="130"/>
              <w:spacing w:after="0" w:line="203" w:lineRule="exact"/>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0.14</w:t>
            </w:r>
          </w:p>
        </w:tc>
        <w:tc>
          <w:tcPr>
            <w:tcW w:w="100" w:type="dxa"/>
            <w:vAlign w:val="bottom"/>
          </w:tcPr>
          <w:p>
            <w:pPr>
              <w:spacing w:after="0"/>
              <w:rPr>
                <w:sz w:val="17"/>
                <w:szCs w:val="17"/>
                <w:color w:val="auto"/>
              </w:rPr>
            </w:pPr>
          </w:p>
        </w:tc>
        <w:tc>
          <w:tcPr>
            <w:tcW w:w="340" w:type="dxa"/>
            <w:vAlign w:val="bottom"/>
            <w:tcBorders>
              <w:bottom w:val="single" w:sz="8" w:color="auto"/>
            </w:tcBorders>
          </w:tcPr>
          <w:p>
            <w:pPr>
              <w:jc w:val="right"/>
              <w:ind w:right="130"/>
              <w:spacing w:after="0" w:line="203" w:lineRule="exact"/>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(0.44)</w:t>
            </w:r>
          </w:p>
        </w:tc>
        <w:tc>
          <w:tcPr>
            <w:tcW w:w="0" w:type="dxa"/>
            <w:vAlign w:val="bottom"/>
          </w:tcPr>
          <w:p>
            <w:pPr>
              <w:spacing w:after="0"/>
              <w:rPr>
                <w:sz w:val="1"/>
                <w:szCs w:val="1"/>
                <w:color w:val="auto"/>
              </w:rPr>
            </w:pP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12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color w:val="auto"/>
              </w:rPr>
              <w:t>Weighted average shares outstanding:</w:t>
            </w:r>
          </w:p>
        </w:tc>
        <w:tc>
          <w:tcPr>
            <w:tcW w:w="2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5120" w:type="dxa"/>
            <w:vAlign w:val="bottom"/>
          </w:tcPr>
          <w:p>
            <w:pPr>
              <w:ind w:left="140"/>
              <w:spacing w:after="0"/>
              <w:rPr>
                <w:sz w:val="20"/>
                <w:szCs w:val="20"/>
                <w:color w:val="auto"/>
              </w:rPr>
            </w:pPr>
            <w:r>
              <w:rPr>
                <w:rFonts w:ascii="Arial" w:cs="Arial" w:eastAsia="Arial" w:hAnsi="Arial"/>
                <w:sz w:val="18"/>
                <w:szCs w:val="18"/>
                <w:color w:val="auto"/>
              </w:rPr>
              <w:t>Basic</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37,451,145</w:t>
            </w:r>
          </w:p>
        </w:tc>
        <w:tc>
          <w:tcPr>
            <w:tcW w:w="1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36,357,495</w:t>
            </w:r>
          </w:p>
        </w:tc>
        <w:tc>
          <w:tcPr>
            <w:tcW w:w="10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36,764,290</w:t>
            </w:r>
          </w:p>
        </w:tc>
        <w:tc>
          <w:tcPr>
            <w:tcW w:w="10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35,766,892</w:t>
            </w:r>
          </w:p>
        </w:tc>
        <w:tc>
          <w:tcPr>
            <w:tcW w:w="0" w:type="dxa"/>
            <w:vAlign w:val="bottom"/>
          </w:tcPr>
          <w:p>
            <w:pPr>
              <w:spacing w:after="0"/>
              <w:rPr>
                <w:sz w:val="1"/>
                <w:szCs w:val="1"/>
                <w:color w:val="auto"/>
              </w:rPr>
            </w:pP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51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Diluted</w:t>
            </w:r>
          </w:p>
        </w:tc>
        <w:tc>
          <w:tcPr>
            <w:tcW w:w="260" w:type="dxa"/>
            <w:vAlign w:val="bottom"/>
            <w:tcBorders>
              <w:bottom w:val="single" w:sz="8" w:color="auto"/>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37,451,145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37,453,842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37,881,180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35,766,892</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769"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6"/>
          <w:szCs w:val="16"/>
          <w:b w:val="1"/>
          <w:bCs w:val="1"/>
          <w:color w:val="auto"/>
        </w:rPr>
        <w:t>Penumbra, Inc.</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Reconciliation of GAAP Operating Expenses and GAAP (Loss) Income From Operations to</w:t>
      </w:r>
    </w:p>
    <w:p>
      <w:pPr>
        <w:jc w:val="center"/>
        <w:spacing w:after="0" w:line="204" w:lineRule="auto"/>
        <w:rPr>
          <w:sz w:val="20"/>
          <w:szCs w:val="20"/>
          <w:color w:val="auto"/>
        </w:rPr>
      </w:pPr>
      <w:r>
        <w:rPr>
          <w:rFonts w:ascii="Arial" w:cs="Arial" w:eastAsia="Arial" w:hAnsi="Arial"/>
          <w:sz w:val="16"/>
          <w:szCs w:val="16"/>
          <w:b w:val="1"/>
          <w:bCs w:val="1"/>
          <w:color w:val="auto"/>
        </w:rPr>
        <w:t>Non-GAAP Operating Expenses and Non-GAAP Operating Income (Loss)</w:t>
      </w:r>
      <w:r>
        <w:rPr>
          <w:rFonts w:ascii="Arial" w:cs="Arial" w:eastAsia="Arial" w:hAnsi="Arial"/>
          <w:sz w:val="21"/>
          <w:szCs w:val="21"/>
          <w:b w:val="1"/>
          <w:bCs w:val="1"/>
          <w:color w:val="auto"/>
          <w:vertAlign w:val="superscript"/>
        </w:rPr>
        <w:t>1</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40" w:type="dxa"/>
            <w:vAlign w:val="bottom"/>
            <w:gridSpan w:val="5"/>
          </w:tcPr>
          <w:p>
            <w:pPr>
              <w:ind w:left="140"/>
              <w:spacing w:after="0"/>
              <w:rPr>
                <w:sz w:val="20"/>
                <w:szCs w:val="20"/>
                <w:color w:val="auto"/>
              </w:rPr>
            </w:pPr>
            <w:r>
              <w:rPr>
                <w:rFonts w:ascii="Arial" w:cs="Arial" w:eastAsia="Arial" w:hAnsi="Arial"/>
                <w:sz w:val="14"/>
                <w:szCs w:val="14"/>
                <w:b w:val="1"/>
                <w:bCs w:val="1"/>
                <w:color w:val="auto"/>
              </w:rPr>
              <w:t>Three Months Ended December 31,</w:t>
            </w:r>
          </w:p>
        </w:tc>
        <w:tc>
          <w:tcPr>
            <w:tcW w:w="340" w:type="dxa"/>
            <w:vAlign w:val="bottom"/>
          </w:tcPr>
          <w:p>
            <w:pPr>
              <w:spacing w:after="0"/>
              <w:rPr>
                <w:sz w:val="16"/>
                <w:szCs w:val="16"/>
                <w:color w:val="auto"/>
              </w:rPr>
            </w:pPr>
          </w:p>
        </w:tc>
        <w:tc>
          <w:tcPr>
            <w:tcW w:w="2660" w:type="dxa"/>
            <w:vAlign w:val="bottom"/>
            <w:gridSpan w:val="4"/>
          </w:tcPr>
          <w:p>
            <w:pPr>
              <w:jc w:val="right"/>
              <w:ind w:right="62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87"/>
        </w:trPr>
        <w:tc>
          <w:tcPr>
            <w:tcW w:w="5140" w:type="dxa"/>
            <w:vAlign w:val="bottom"/>
            <w:tcBorders>
              <w:bottom w:val="single" w:sz="8" w:color="CCEEFF"/>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1180" w:type="dxa"/>
            <w:vAlign w:val="bottom"/>
            <w:tcBorders>
              <w:top w:val="single" w:sz="8" w:color="auto"/>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CEEFF"/>
            </w:tcBorders>
          </w:tcPr>
          <w:p>
            <w:pPr>
              <w:spacing w:after="0"/>
              <w:rPr>
                <w:sz w:val="16"/>
                <w:szCs w:val="16"/>
                <w:color w:val="auto"/>
              </w:rPr>
            </w:pPr>
          </w:p>
        </w:tc>
        <w:tc>
          <w:tcPr>
            <w:tcW w:w="320" w:type="dxa"/>
            <w:vAlign w:val="bottom"/>
            <w:tcBorders>
              <w:top w:val="single" w:sz="8" w:color="auto"/>
              <w:bottom w:val="single" w:sz="8" w:color="auto"/>
            </w:tcBorders>
          </w:tcPr>
          <w:p>
            <w:pPr>
              <w:spacing w:after="0"/>
              <w:rPr>
                <w:sz w:val="16"/>
                <w:szCs w:val="16"/>
                <w:color w:val="auto"/>
              </w:rPr>
            </w:pPr>
          </w:p>
        </w:tc>
        <w:tc>
          <w:tcPr>
            <w:tcW w:w="1120" w:type="dxa"/>
            <w:vAlign w:val="bottom"/>
            <w:tcBorders>
              <w:top w:val="single" w:sz="8" w:color="auto"/>
              <w:bottom w:val="single" w:sz="8" w:color="auto"/>
            </w:tcBorders>
          </w:tcPr>
          <w:p>
            <w:pPr>
              <w:jc w:val="right"/>
              <w:ind w:right="49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00" w:type="dxa"/>
            <w:vAlign w:val="bottom"/>
            <w:tcBorders>
              <w:top w:val="single" w:sz="8" w:color="auto"/>
              <w:bottom w:val="single" w:sz="8" w:color="auto"/>
            </w:tcBorders>
          </w:tcPr>
          <w:p>
            <w:pPr>
              <w:jc w:val="right"/>
              <w:ind w:right="501"/>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CEEFF"/>
            </w:tcBorders>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1100" w:type="dxa"/>
            <w:vAlign w:val="bottom"/>
            <w:tcBorders>
              <w:top w:val="single" w:sz="8" w:color="auto"/>
              <w:bottom w:val="single" w:sz="8" w:color="auto"/>
            </w:tcBorders>
          </w:tcPr>
          <w:p>
            <w:pPr>
              <w:jc w:val="right"/>
              <w:ind w:right="50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38"/>
        </w:trPr>
        <w:tc>
          <w:tcPr>
            <w:tcW w:w="51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5140" w:type="dxa"/>
            <w:vAlign w:val="bottom"/>
          </w:tcPr>
          <w:p>
            <w:pPr>
              <w:ind w:left="20"/>
              <w:spacing w:after="0"/>
              <w:rPr>
                <w:sz w:val="20"/>
                <w:szCs w:val="20"/>
                <w:color w:val="auto"/>
              </w:rPr>
            </w:pPr>
            <w:r>
              <w:rPr>
                <w:rFonts w:ascii="Arial" w:cs="Arial" w:eastAsia="Arial" w:hAnsi="Arial"/>
                <w:sz w:val="18"/>
                <w:szCs w:val="18"/>
                <w:color w:val="auto"/>
              </w:rPr>
              <w:t>GAAP operating expenses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165,504</w:t>
            </w:r>
          </w:p>
        </w:tc>
        <w:tc>
          <w:tcPr>
            <w:tcW w:w="120" w:type="dxa"/>
            <w:vAlign w:val="bottom"/>
          </w:tcPr>
          <w:p>
            <w:pPr>
              <w:spacing w:after="0"/>
              <w:rPr>
                <w:sz w:val="19"/>
                <w:szCs w:val="19"/>
                <w:color w:val="auto"/>
              </w:rPr>
            </w:pPr>
          </w:p>
        </w:tc>
        <w:tc>
          <w:tcPr>
            <w:tcW w:w="320" w:type="dxa"/>
            <w:vAlign w:val="bottom"/>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96,058</w:t>
            </w:r>
          </w:p>
        </w:tc>
        <w:tc>
          <w:tcPr>
            <w:tcW w:w="100" w:type="dxa"/>
            <w:vAlign w:val="bottom"/>
          </w:tcPr>
          <w:p>
            <w:pPr>
              <w:spacing w:after="0"/>
              <w:rPr>
                <w:sz w:val="19"/>
                <w:szCs w:val="19"/>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482,883</w:t>
            </w:r>
          </w:p>
        </w:tc>
        <w:tc>
          <w:tcPr>
            <w:tcW w:w="120" w:type="dxa"/>
            <w:vAlign w:val="bottom"/>
          </w:tcPr>
          <w:p>
            <w:pPr>
              <w:spacing w:after="0"/>
              <w:rPr>
                <w:sz w:val="19"/>
                <w:szCs w:val="19"/>
                <w:color w:val="auto"/>
              </w:rPr>
            </w:pPr>
          </w:p>
        </w:tc>
        <w:tc>
          <w:tcPr>
            <w:tcW w:w="340" w:type="dxa"/>
            <w:vAlign w:val="bottom"/>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377,117</w:t>
            </w:r>
          </w:p>
        </w:tc>
        <w:tc>
          <w:tcPr>
            <w:tcW w:w="0" w:type="dxa"/>
            <w:vAlign w:val="bottom"/>
          </w:tcPr>
          <w:p>
            <w:pPr>
              <w:spacing w:after="0"/>
              <w:rPr>
                <w:sz w:val="1"/>
                <w:szCs w:val="1"/>
                <w:color w:val="auto"/>
              </w:rPr>
            </w:pPr>
          </w:p>
        </w:tc>
      </w:tr>
      <w:tr>
        <w:trPr>
          <w:trHeight w:val="175"/>
        </w:trPr>
        <w:tc>
          <w:tcPr>
            <w:tcW w:w="5140" w:type="dxa"/>
            <w:vAlign w:val="bottom"/>
            <w:shd w:val="clear" w:color="auto" w:fill="CCEEFF"/>
          </w:tcPr>
          <w:p>
            <w:pPr>
              <w:ind w:left="140"/>
              <w:spacing w:after="0" w:line="176" w:lineRule="exact"/>
              <w:rPr>
                <w:sz w:val="20"/>
                <w:szCs w:val="20"/>
                <w:color w:val="auto"/>
              </w:rPr>
            </w:pPr>
            <w:r>
              <w:rPr>
                <w:rFonts w:ascii="Arial" w:cs="Arial" w:eastAsia="Arial" w:hAnsi="Arial"/>
                <w:sz w:val="18"/>
                <w:szCs w:val="18"/>
                <w:color w:val="auto"/>
                <w:w w:val="94"/>
              </w:rPr>
              <w:t>GAAP total operating expenses includes the effect of the following</w:t>
            </w:r>
          </w:p>
        </w:tc>
        <w:tc>
          <w:tcPr>
            <w:tcW w:w="2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1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items:</w:t>
            </w: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5140" w:type="dxa"/>
            <w:vAlign w:val="bottom"/>
          </w:tcPr>
          <w:p>
            <w:pPr>
              <w:ind w:left="360"/>
              <w:spacing w:after="0" w:line="176" w:lineRule="exact"/>
              <w:rPr>
                <w:sz w:val="20"/>
                <w:szCs w:val="20"/>
                <w:color w:val="auto"/>
              </w:rPr>
            </w:pPr>
            <w:r>
              <w:rPr>
                <w:rFonts w:ascii="Arial" w:cs="Arial" w:eastAsia="Arial" w:hAnsi="Arial"/>
                <w:sz w:val="18"/>
                <w:szCs w:val="18"/>
                <w:color w:val="auto"/>
                <w:w w:val="93"/>
              </w:rPr>
              <w:t>Expenses associated with the achievement of Thunderbolt R&amp;D</w:t>
            </w:r>
          </w:p>
        </w:tc>
        <w:tc>
          <w:tcPr>
            <w:tcW w:w="260" w:type="dxa"/>
            <w:vAlign w:val="bottom"/>
          </w:tcPr>
          <w:p>
            <w:pPr>
              <w:spacing w:after="0"/>
              <w:rPr>
                <w:sz w:val="15"/>
                <w:szCs w:val="15"/>
                <w:color w:val="auto"/>
              </w:rPr>
            </w:pPr>
          </w:p>
        </w:tc>
        <w:tc>
          <w:tcPr>
            <w:tcW w:w="1180" w:type="dxa"/>
            <w:vAlign w:val="bottom"/>
            <w:vMerge w:val="restart"/>
          </w:tcPr>
          <w:p>
            <w:pPr>
              <w:jc w:val="right"/>
              <w:spacing w:after="0"/>
              <w:rPr>
                <w:sz w:val="20"/>
                <w:szCs w:val="20"/>
                <w:color w:val="auto"/>
              </w:rPr>
            </w:pPr>
            <w:r>
              <w:rPr>
                <w:rFonts w:ascii="Arial" w:cs="Arial" w:eastAsia="Arial" w:hAnsi="Arial"/>
                <w:sz w:val="18"/>
                <w:szCs w:val="18"/>
                <w:color w:val="auto"/>
              </w:rPr>
              <w:t>15,000</w:t>
            </w: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140" w:type="dxa"/>
            <w:vAlign w:val="bottom"/>
          </w:tcPr>
          <w:p>
            <w:pPr>
              <w:ind w:left="360"/>
              <w:spacing w:after="0"/>
              <w:rPr>
                <w:sz w:val="20"/>
                <w:szCs w:val="20"/>
                <w:color w:val="auto"/>
              </w:rPr>
            </w:pPr>
            <w:r>
              <w:rPr>
                <w:rFonts w:ascii="Arial" w:cs="Arial" w:eastAsia="Arial" w:hAnsi="Arial"/>
                <w:sz w:val="18"/>
                <w:szCs w:val="18"/>
                <w:color w:val="auto"/>
              </w:rPr>
              <w:t>milestones and Lightning launch, respectively</w:t>
            </w:r>
          </w:p>
        </w:tc>
        <w:tc>
          <w:tcPr>
            <w:tcW w:w="260" w:type="dxa"/>
            <w:vAlign w:val="bottom"/>
          </w:tcPr>
          <w:p>
            <w:pPr>
              <w:spacing w:after="0"/>
              <w:rPr>
                <w:sz w:val="19"/>
                <w:szCs w:val="19"/>
                <w:color w:val="auto"/>
              </w:rPr>
            </w:pPr>
          </w:p>
        </w:tc>
        <w:tc>
          <w:tcPr>
            <w:tcW w:w="11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15,000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20,652</w:t>
            </w:r>
          </w:p>
        </w:tc>
        <w:tc>
          <w:tcPr>
            <w:tcW w:w="0" w:type="dxa"/>
            <w:vAlign w:val="bottom"/>
          </w:tcPr>
          <w:p>
            <w:pPr>
              <w:spacing w:after="0"/>
              <w:rPr>
                <w:sz w:val="1"/>
                <w:szCs w:val="1"/>
                <w:color w:val="auto"/>
              </w:rPr>
            </w:pPr>
          </w:p>
        </w:tc>
      </w:tr>
      <w:tr>
        <w:trPr>
          <w:trHeight w:val="175"/>
        </w:trPr>
        <w:tc>
          <w:tcPr>
            <w:tcW w:w="5140" w:type="dxa"/>
            <w:vAlign w:val="bottom"/>
            <w:shd w:val="clear" w:color="auto" w:fill="CCEEFF"/>
          </w:tcPr>
          <w:p>
            <w:pPr>
              <w:ind w:left="360"/>
              <w:spacing w:after="0" w:line="176" w:lineRule="exact"/>
              <w:rPr>
                <w:sz w:val="20"/>
                <w:szCs w:val="20"/>
                <w:color w:val="auto"/>
              </w:rPr>
            </w:pPr>
            <w:r>
              <w:rPr>
                <w:rFonts w:ascii="Arial" w:cs="Arial" w:eastAsia="Arial" w:hAnsi="Arial"/>
                <w:sz w:val="18"/>
                <w:szCs w:val="18"/>
                <w:color w:val="auto"/>
              </w:rPr>
              <w:t>Accelerated vesting of options related to the acquisition of</w:t>
            </w:r>
          </w:p>
        </w:tc>
        <w:tc>
          <w:tcPr>
            <w:tcW w:w="2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1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Sixense</w:t>
            </w: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25,760</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25,760</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9"/>
        </w:trPr>
        <w:tc>
          <w:tcPr>
            <w:tcW w:w="5140" w:type="dxa"/>
            <w:vAlign w:val="bottom"/>
          </w:tcPr>
          <w:p>
            <w:pPr>
              <w:ind w:left="360"/>
              <w:spacing w:after="0"/>
              <w:rPr>
                <w:sz w:val="20"/>
                <w:szCs w:val="20"/>
                <w:color w:val="auto"/>
              </w:rPr>
            </w:pPr>
            <w:r>
              <w:rPr>
                <w:rFonts w:ascii="Arial" w:cs="Arial" w:eastAsia="Arial" w:hAnsi="Arial"/>
                <w:sz w:val="18"/>
                <w:szCs w:val="18"/>
                <w:color w:val="auto"/>
              </w:rPr>
              <w:t>Amortization of finite lived intangible assets acquired</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1,785</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1,785</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4"/>
        </w:trPr>
        <w:tc>
          <w:tcPr>
            <w:tcW w:w="51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Non-GAAP operating expenses</w:t>
            </w:r>
          </w:p>
        </w:tc>
        <w:tc>
          <w:tcPr>
            <w:tcW w:w="260" w:type="dxa"/>
            <w:vAlign w:val="bottom"/>
            <w:tcBorders>
              <w:top w:val="single" w:sz="8" w:color="auto"/>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122,959</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96,058</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340" w:type="dxa"/>
            <w:vAlign w:val="bottom"/>
            <w:tcBorders>
              <w:top w:val="single" w:sz="8" w:color="auto"/>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440,338</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340" w:type="dxa"/>
            <w:vAlign w:val="bottom"/>
            <w:tcBorders>
              <w:top w:val="single" w:sz="8" w:color="auto"/>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356,465</w:t>
            </w:r>
          </w:p>
        </w:tc>
        <w:tc>
          <w:tcPr>
            <w:tcW w:w="0" w:type="dxa"/>
            <w:vAlign w:val="bottom"/>
          </w:tcPr>
          <w:p>
            <w:pPr>
              <w:spacing w:after="0"/>
              <w:rPr>
                <w:sz w:val="1"/>
                <w:szCs w:val="1"/>
                <w:color w:val="auto"/>
              </w:rPr>
            </w:pP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5140" w:type="dxa"/>
            <w:vAlign w:val="bottom"/>
            <w:shd w:val="clear" w:color="auto" w:fill="CCEEFF"/>
          </w:tcPr>
          <w:p>
            <w:pPr>
              <w:ind w:left="20"/>
              <w:spacing w:after="0" w:line="230" w:lineRule="exact"/>
              <w:rPr>
                <w:sz w:val="20"/>
                <w:szCs w:val="20"/>
                <w:color w:val="auto"/>
              </w:rPr>
            </w:pPr>
            <w:r>
              <w:rPr>
                <w:rFonts w:ascii="Arial" w:cs="Arial" w:eastAsia="Arial" w:hAnsi="Arial"/>
                <w:sz w:val="18"/>
                <w:szCs w:val="18"/>
                <w:color w:val="auto"/>
              </w:rPr>
              <w:t>GAAP (loss) income from operations</w:t>
            </w:r>
            <w:r>
              <w:rPr>
                <w:rFonts w:ascii="Arial" w:cs="Arial" w:eastAsia="Arial" w:hAnsi="Arial"/>
                <w:sz w:val="23"/>
                <w:szCs w:val="23"/>
                <w:color w:val="auto"/>
                <w:vertAlign w:val="superscript"/>
              </w:rPr>
              <w:t>2</w:t>
            </w: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(40,057)</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(1,745)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(7,501)</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(38,942)</w:t>
            </w:r>
          </w:p>
        </w:tc>
        <w:tc>
          <w:tcPr>
            <w:tcW w:w="0" w:type="dxa"/>
            <w:vAlign w:val="bottom"/>
          </w:tcPr>
          <w:p>
            <w:pPr>
              <w:spacing w:after="0"/>
              <w:rPr>
                <w:sz w:val="1"/>
                <w:szCs w:val="1"/>
                <w:color w:val="auto"/>
              </w:rPr>
            </w:pPr>
          </w:p>
        </w:tc>
      </w:tr>
      <w:tr>
        <w:trPr>
          <w:trHeight w:val="176"/>
        </w:trPr>
        <w:tc>
          <w:tcPr>
            <w:tcW w:w="5140" w:type="dxa"/>
            <w:vAlign w:val="bottom"/>
          </w:tcPr>
          <w:p>
            <w:pPr>
              <w:ind w:left="140"/>
              <w:spacing w:after="0" w:line="176" w:lineRule="exact"/>
              <w:rPr>
                <w:sz w:val="20"/>
                <w:szCs w:val="20"/>
                <w:color w:val="auto"/>
              </w:rPr>
            </w:pPr>
            <w:r>
              <w:rPr>
                <w:rFonts w:ascii="Arial" w:cs="Arial" w:eastAsia="Arial" w:hAnsi="Arial"/>
                <w:sz w:val="18"/>
                <w:szCs w:val="18"/>
                <w:color w:val="auto"/>
              </w:rPr>
              <w:t>GAAP (loss) income from operations includes the effect of the</w:t>
            </w:r>
          </w:p>
        </w:tc>
        <w:tc>
          <w:tcPr>
            <w:tcW w:w="2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5140" w:type="dxa"/>
            <w:vAlign w:val="bottom"/>
          </w:tcPr>
          <w:p>
            <w:pPr>
              <w:ind w:left="140"/>
              <w:spacing w:after="0"/>
              <w:rPr>
                <w:sz w:val="20"/>
                <w:szCs w:val="20"/>
                <w:color w:val="auto"/>
              </w:rPr>
            </w:pPr>
            <w:r>
              <w:rPr>
                <w:rFonts w:ascii="Arial" w:cs="Arial" w:eastAsia="Arial" w:hAnsi="Arial"/>
                <w:sz w:val="18"/>
                <w:szCs w:val="18"/>
                <w:color w:val="auto"/>
              </w:rPr>
              <w:t>following items:</w:t>
            </w:r>
          </w:p>
        </w:tc>
        <w:tc>
          <w:tcPr>
            <w:tcW w:w="2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5140" w:type="dxa"/>
            <w:vAlign w:val="bottom"/>
            <w:shd w:val="clear" w:color="auto" w:fill="CCEEFF"/>
          </w:tcPr>
          <w:p>
            <w:pPr>
              <w:ind w:left="360"/>
              <w:spacing w:after="0" w:line="176" w:lineRule="exact"/>
              <w:rPr>
                <w:sz w:val="20"/>
                <w:szCs w:val="20"/>
                <w:color w:val="auto"/>
              </w:rPr>
            </w:pPr>
            <w:r>
              <w:rPr>
                <w:rFonts w:ascii="Arial" w:cs="Arial" w:eastAsia="Arial" w:hAnsi="Arial"/>
                <w:sz w:val="18"/>
                <w:szCs w:val="18"/>
                <w:color w:val="auto"/>
                <w:w w:val="93"/>
              </w:rPr>
              <w:t>Expenses associated with the achievement of Thunderbolt R&amp;D</w:t>
            </w:r>
          </w:p>
        </w:tc>
        <w:tc>
          <w:tcPr>
            <w:tcW w:w="2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51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milestones and Lightning launch, respectively</w:t>
            </w: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15,000</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15,000</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20,652</w:t>
            </w:r>
          </w:p>
        </w:tc>
        <w:tc>
          <w:tcPr>
            <w:tcW w:w="0" w:type="dxa"/>
            <w:vAlign w:val="bottom"/>
          </w:tcPr>
          <w:p>
            <w:pPr>
              <w:spacing w:after="0"/>
              <w:rPr>
                <w:sz w:val="1"/>
                <w:szCs w:val="1"/>
                <w:color w:val="auto"/>
              </w:rPr>
            </w:pPr>
          </w:p>
        </w:tc>
      </w:tr>
      <w:tr>
        <w:trPr>
          <w:trHeight w:val="176"/>
        </w:trPr>
        <w:tc>
          <w:tcPr>
            <w:tcW w:w="5140" w:type="dxa"/>
            <w:vAlign w:val="bottom"/>
          </w:tcPr>
          <w:p>
            <w:pPr>
              <w:ind w:left="360"/>
              <w:spacing w:after="0" w:line="176" w:lineRule="exact"/>
              <w:rPr>
                <w:sz w:val="20"/>
                <w:szCs w:val="20"/>
                <w:color w:val="auto"/>
              </w:rPr>
            </w:pPr>
            <w:r>
              <w:rPr>
                <w:rFonts w:ascii="Arial" w:cs="Arial" w:eastAsia="Arial" w:hAnsi="Arial"/>
                <w:sz w:val="18"/>
                <w:szCs w:val="18"/>
                <w:color w:val="auto"/>
              </w:rPr>
              <w:t>Accelerated vesting of options related to the acquisition of</w:t>
            </w:r>
          </w:p>
        </w:tc>
        <w:tc>
          <w:tcPr>
            <w:tcW w:w="2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vMerge w:val="restart"/>
          </w:tcPr>
          <w:p>
            <w:pPr>
              <w:jc w:val="right"/>
              <w:ind w:right="180"/>
              <w:spacing w:after="0"/>
              <w:rPr>
                <w:sz w:val="20"/>
                <w:szCs w:val="20"/>
                <w:color w:val="auto"/>
              </w:rPr>
            </w:pPr>
            <w:r>
              <w:rPr>
                <w:rFonts w:ascii="Arial" w:cs="Arial" w:eastAsia="Arial" w:hAnsi="Arial"/>
                <w:sz w:val="18"/>
                <w:szCs w:val="18"/>
                <w:b w:val="1"/>
                <w:bCs w:val="1"/>
                <w:color w:val="auto"/>
              </w:rPr>
              <w:t>—</w:t>
            </w: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5140" w:type="dxa"/>
            <w:vAlign w:val="bottom"/>
          </w:tcPr>
          <w:p>
            <w:pPr>
              <w:ind w:left="360"/>
              <w:spacing w:after="0"/>
              <w:rPr>
                <w:sz w:val="20"/>
                <w:szCs w:val="20"/>
                <w:color w:val="auto"/>
              </w:rPr>
            </w:pPr>
            <w:r>
              <w:rPr>
                <w:rFonts w:ascii="Arial" w:cs="Arial" w:eastAsia="Arial" w:hAnsi="Arial"/>
                <w:sz w:val="18"/>
                <w:szCs w:val="18"/>
                <w:color w:val="auto"/>
              </w:rPr>
              <w:t>Sixense</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25,760</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20" w:type="dxa"/>
            <w:vAlign w:val="bottom"/>
            <w:gridSpan w:val="2"/>
            <w:vMerge w:val="continue"/>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25,760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9"/>
        </w:trPr>
        <w:tc>
          <w:tcPr>
            <w:tcW w:w="51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Amortization of finite lived intangible assets acquired</w:t>
            </w: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1,785</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1,785</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5140" w:type="dxa"/>
            <w:vAlign w:val="bottom"/>
          </w:tcPr>
          <w:p>
            <w:pPr>
              <w:ind w:left="20"/>
              <w:spacing w:after="0" w:line="210" w:lineRule="exact"/>
              <w:rPr>
                <w:sz w:val="20"/>
                <w:szCs w:val="20"/>
                <w:color w:val="auto"/>
              </w:rPr>
            </w:pPr>
            <w:r>
              <w:rPr>
                <w:rFonts w:ascii="Arial" w:cs="Arial" w:eastAsia="Arial" w:hAnsi="Arial"/>
                <w:sz w:val="18"/>
                <w:szCs w:val="18"/>
                <w:color w:val="auto"/>
              </w:rPr>
              <w:t>Non-GAAP operating income (loss)</w:t>
            </w:r>
            <w:r>
              <w:rPr>
                <w:rFonts w:ascii="Arial" w:cs="Arial" w:eastAsia="Arial" w:hAnsi="Arial"/>
                <w:sz w:val="23"/>
                <w:szCs w:val="23"/>
                <w:color w:val="auto"/>
                <w:vertAlign w:val="superscript"/>
              </w:rPr>
              <w:t>2</w:t>
            </w: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2,488</w:t>
            </w:r>
          </w:p>
        </w:tc>
        <w:tc>
          <w:tcPr>
            <w:tcW w:w="12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(1,745)</w:t>
            </w:r>
          </w:p>
        </w:tc>
        <w:tc>
          <w:tcPr>
            <w:tcW w:w="10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35,044</w:t>
            </w:r>
          </w:p>
        </w:tc>
        <w:tc>
          <w:tcPr>
            <w:tcW w:w="12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(18,290)</w:t>
            </w:r>
          </w:p>
        </w:tc>
        <w:tc>
          <w:tcPr>
            <w:tcW w:w="0" w:type="dxa"/>
            <w:vAlign w:val="bottom"/>
          </w:tcPr>
          <w:p>
            <w:pPr>
              <w:spacing w:after="0"/>
              <w:rPr>
                <w:sz w:val="1"/>
                <w:szCs w:val="1"/>
                <w:color w:val="auto"/>
              </w:rPr>
            </w:pPr>
          </w:p>
        </w:tc>
      </w:tr>
      <w:tr>
        <w:trPr>
          <w:trHeight w:val="20"/>
        </w:trPr>
        <w:tc>
          <w:tcPr>
            <w:tcW w:w="5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146050</wp:posOffset>
            </wp:positionV>
            <wp:extent cx="14484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8435" cy="8255"/>
                    </a:xfrm>
                    <a:prstGeom prst="rect">
                      <a:avLst/>
                    </a:prstGeom>
                    <a:noFill/>
                  </pic:spPr>
                </pic:pic>
              </a:graphicData>
            </a:graphic>
          </wp:anchor>
        </w:drawing>
      </w:r>
    </w:p>
    <w:p>
      <w:pPr>
        <w:spacing w:after="0" w:line="308" w:lineRule="exact"/>
        <w:rPr>
          <w:sz w:val="20"/>
          <w:szCs w:val="20"/>
          <w:color w:val="auto"/>
        </w:rPr>
      </w:pPr>
    </w:p>
    <w:p>
      <w:pPr>
        <w:spacing w:after="0"/>
        <w:rPr>
          <w:sz w:val="20"/>
          <w:szCs w:val="20"/>
          <w:color w:val="auto"/>
        </w:rPr>
      </w:pPr>
      <w:r>
        <w:rPr>
          <w:rFonts w:ascii="Arial" w:cs="Arial" w:eastAsia="Arial" w:hAnsi="Arial"/>
          <w:sz w:val="21"/>
          <w:szCs w:val="21"/>
          <w:color w:val="auto"/>
          <w:vertAlign w:val="superscript"/>
        </w:rPr>
        <w:t>1</w:t>
      </w:r>
      <w:r>
        <w:rPr>
          <w:rFonts w:ascii="Arial" w:cs="Arial" w:eastAsia="Arial" w:hAnsi="Arial"/>
          <w:sz w:val="16"/>
          <w:szCs w:val="16"/>
          <w:color w:val="auto"/>
        </w:rPr>
        <w:t>See “Non-GAAP Financial Measures” for important information about our use of non-GAAP measures.</w:t>
      </w:r>
    </w:p>
    <w:p>
      <w:pPr>
        <w:spacing w:after="0" w:line="42" w:lineRule="exact"/>
        <w:rPr>
          <w:sz w:val="20"/>
          <w:szCs w:val="20"/>
          <w:color w:val="auto"/>
        </w:rPr>
      </w:pPr>
    </w:p>
    <w:p>
      <w:pPr>
        <w:ind w:right="220" w:firstLine="8"/>
        <w:spacing w:after="0" w:line="234" w:lineRule="auto"/>
        <w:tabs>
          <w:tab w:leader="none" w:pos="79" w:val="left"/>
        </w:tabs>
        <w:numPr>
          <w:ilvl w:val="0"/>
          <w:numId w:val="4"/>
        </w:numPr>
        <w:rPr>
          <w:rFonts w:ascii="Arial" w:cs="Arial" w:eastAsia="Arial" w:hAnsi="Arial"/>
          <w:sz w:val="19"/>
          <w:szCs w:val="19"/>
          <w:color w:val="auto"/>
          <w:vertAlign w:val="superscript"/>
        </w:rPr>
      </w:pPr>
      <w:r>
        <w:rPr>
          <w:rFonts w:ascii="Arial" w:cs="Arial" w:eastAsia="Arial" w:hAnsi="Arial"/>
          <w:sz w:val="15"/>
          <w:szCs w:val="15"/>
          <w:color w:val="auto"/>
        </w:rPr>
        <w:t>GAAP loss from operations and Non-GAAP operating loss for the three and twelve months ended December 31, 2020 include the one-time unfavorable impact of $18.4 million from the December 2020 voluntary recall.</w:t>
      </w: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868"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7"/>
          <w:szCs w:val="17"/>
          <w:b w:val="1"/>
          <w:bCs w:val="1"/>
          <w:color w:val="auto"/>
        </w:rPr>
        <w:t>Penumbra, Inc.</w:t>
      </w:r>
    </w:p>
    <w:p>
      <w:pPr>
        <w:jc w:val="center"/>
        <w:spacing w:after="0" w:line="215" w:lineRule="auto"/>
        <w:rPr>
          <w:sz w:val="20"/>
          <w:szCs w:val="20"/>
          <w:color w:val="auto"/>
        </w:rPr>
      </w:pPr>
      <w:r>
        <w:rPr>
          <w:rFonts w:ascii="Arial" w:cs="Arial" w:eastAsia="Arial" w:hAnsi="Arial"/>
          <w:sz w:val="17"/>
          <w:szCs w:val="17"/>
          <w:b w:val="1"/>
          <w:bCs w:val="1"/>
          <w:color w:val="auto"/>
        </w:rPr>
        <w:t>Reconciliation of GAAP Net (Loss) Income and GAAP Diluted EPS to Non-GAAP Net Income (Loss) and Non-GAAP Diluted EPS</w:t>
      </w:r>
      <w:r>
        <w:rPr>
          <w:rFonts w:ascii="Arial" w:cs="Arial" w:eastAsia="Arial" w:hAnsi="Arial"/>
          <w:sz w:val="22"/>
          <w:szCs w:val="22"/>
          <w:b w:val="1"/>
          <w:bCs w:val="1"/>
          <w:color w:val="auto"/>
          <w:vertAlign w:val="superscript"/>
        </w:rPr>
        <w:t>1</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amounts)</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gridSpan w:val="4"/>
          </w:tcPr>
          <w:p>
            <w:pPr>
              <w:jc w:val="right"/>
              <w:ind w:right="188"/>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20" w:type="dxa"/>
            <w:vAlign w:val="bottom"/>
            <w:gridSpan w:val="4"/>
          </w:tcPr>
          <w:p>
            <w:pPr>
              <w:jc w:val="right"/>
              <w:ind w:right="188"/>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Year Ended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0" w:type="dxa"/>
            <w:vAlign w:val="bottom"/>
            <w:gridSpan w:val="4"/>
          </w:tcPr>
          <w:p>
            <w:pPr>
              <w:jc w:val="right"/>
              <w:ind w:right="468"/>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88"/>
        </w:trPr>
        <w:tc>
          <w:tcPr>
            <w:tcW w:w="37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4"/>
          </w:tcPr>
          <w:p>
            <w:pPr>
              <w:jc w:val="right"/>
              <w:ind w:right="248"/>
              <w:spacing w:after="0"/>
              <w:rPr>
                <w:sz w:val="20"/>
                <w:szCs w:val="20"/>
                <w:color w:val="auto"/>
              </w:rPr>
            </w:pPr>
            <w:r>
              <w:rPr>
                <w:rFonts w:ascii="Arial" w:cs="Arial" w:eastAsia="Arial" w:hAnsi="Arial"/>
                <w:sz w:val="14"/>
                <w:szCs w:val="14"/>
                <w:b w:val="1"/>
                <w:bCs w:val="1"/>
                <w:color w:val="auto"/>
              </w:rPr>
              <w:t>December 31, 2021</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4"/>
          </w:tcPr>
          <w:p>
            <w:pPr>
              <w:jc w:val="right"/>
              <w:ind w:right="248"/>
              <w:spacing w:after="0"/>
              <w:rPr>
                <w:sz w:val="20"/>
                <w:szCs w:val="20"/>
                <w:color w:val="auto"/>
              </w:rPr>
            </w:pPr>
            <w:r>
              <w:rPr>
                <w:rFonts w:ascii="Arial" w:cs="Arial" w:eastAsia="Arial" w:hAnsi="Arial"/>
                <w:sz w:val="14"/>
                <w:szCs w:val="14"/>
                <w:b w:val="1"/>
                <w:bCs w:val="1"/>
                <w:color w:val="auto"/>
              </w:rPr>
              <w:t>December 31, 2020</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jc w:val="right"/>
              <w:ind w:right="228"/>
              <w:spacing w:after="0"/>
              <w:rPr>
                <w:sz w:val="20"/>
                <w:szCs w:val="20"/>
                <w:color w:val="auto"/>
              </w:rPr>
            </w:pPr>
            <w:r>
              <w:rPr>
                <w:rFonts w:ascii="Arial" w:cs="Arial" w:eastAsia="Arial" w:hAnsi="Arial"/>
                <w:sz w:val="14"/>
                <w:szCs w:val="14"/>
                <w:b w:val="1"/>
                <w:bCs w:val="1"/>
                <w:color w:val="auto"/>
              </w:rPr>
              <w:t>December 31, 2021</w:t>
            </w:r>
          </w:p>
        </w:tc>
        <w:tc>
          <w:tcPr>
            <w:tcW w:w="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4"/>
          </w:tcPr>
          <w:p>
            <w:pPr>
              <w:ind w:left="120"/>
              <w:spacing w:after="0"/>
              <w:rPr>
                <w:sz w:val="20"/>
                <w:szCs w:val="20"/>
                <w:color w:val="auto"/>
              </w:rPr>
            </w:pPr>
            <w:r>
              <w:rPr>
                <w:rFonts w:ascii="Arial" w:cs="Arial" w:eastAsia="Arial" w:hAnsi="Arial"/>
                <w:sz w:val="14"/>
                <w:szCs w:val="14"/>
                <w:b w:val="1"/>
                <w:bCs w:val="1"/>
                <w:color w:val="auto"/>
              </w:rPr>
              <w:t>December 31, 2020</w:t>
            </w:r>
          </w:p>
        </w:tc>
        <w:tc>
          <w:tcPr>
            <w:tcW w:w="0" w:type="dxa"/>
            <w:vAlign w:val="bottom"/>
          </w:tcPr>
          <w:p>
            <w:pPr>
              <w:spacing w:after="0"/>
              <w:rPr>
                <w:sz w:val="1"/>
                <w:szCs w:val="1"/>
                <w:color w:val="auto"/>
              </w:rPr>
            </w:pPr>
          </w:p>
        </w:tc>
      </w:tr>
      <w:tr>
        <w:trPr>
          <w:trHeight w:val="130"/>
        </w:trPr>
        <w:tc>
          <w:tcPr>
            <w:tcW w:w="3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jc w:val="center"/>
              <w:ind w:right="200"/>
              <w:spacing w:after="0" w:line="130" w:lineRule="exact"/>
              <w:rPr>
                <w:sz w:val="20"/>
                <w:szCs w:val="20"/>
                <w:color w:val="auto"/>
              </w:rPr>
            </w:pPr>
            <w:r>
              <w:rPr>
                <w:rFonts w:ascii="Arial" w:cs="Arial" w:eastAsia="Arial" w:hAnsi="Arial"/>
                <w:sz w:val="14"/>
                <w:szCs w:val="14"/>
                <w:color w:val="auto"/>
                <w:w w:val="93"/>
              </w:rPr>
              <w:t>Net (loss)</w:t>
            </w:r>
          </w:p>
        </w:tc>
        <w:tc>
          <w:tcPr>
            <w:tcW w:w="860" w:type="dxa"/>
            <w:vAlign w:val="bottom"/>
            <w:gridSpan w:val="2"/>
            <w:vMerge w:val="restart"/>
          </w:tcPr>
          <w:p>
            <w:pPr>
              <w:jc w:val="right"/>
              <w:ind w:right="8"/>
              <w:spacing w:after="0"/>
              <w:rPr>
                <w:sz w:val="20"/>
                <w:szCs w:val="20"/>
                <w:color w:val="auto"/>
              </w:rPr>
            </w:pPr>
            <w:r>
              <w:rPr>
                <w:rFonts w:ascii="Arial" w:cs="Arial" w:eastAsia="Arial" w:hAnsi="Arial"/>
                <w:sz w:val="14"/>
                <w:szCs w:val="14"/>
                <w:color w:val="auto"/>
              </w:rPr>
              <w:t>Diluted EPS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860" w:type="dxa"/>
            <w:vAlign w:val="bottom"/>
            <w:gridSpan w:val="2"/>
            <w:vMerge w:val="restart"/>
          </w:tcPr>
          <w:p>
            <w:pPr>
              <w:jc w:val="right"/>
              <w:spacing w:after="0"/>
              <w:rPr>
                <w:sz w:val="20"/>
                <w:szCs w:val="20"/>
                <w:color w:val="auto"/>
              </w:rPr>
            </w:pPr>
            <w:r>
              <w:rPr>
                <w:rFonts w:ascii="Arial" w:cs="Arial" w:eastAsia="Arial" w:hAnsi="Arial"/>
                <w:sz w:val="14"/>
                <w:szCs w:val="14"/>
                <w:color w:val="auto"/>
                <w:w w:val="94"/>
              </w:rPr>
              <w:t>Diluted EPS</w:t>
            </w:r>
            <w:r>
              <w:rPr>
                <w:rFonts w:ascii="Arial" w:cs="Arial" w:eastAsia="Arial" w:hAnsi="Arial"/>
                <w:sz w:val="18"/>
                <w:szCs w:val="18"/>
                <w:color w:val="auto"/>
                <w:w w:val="94"/>
                <w:vertAlign w:val="superscript"/>
              </w:rPr>
              <w:t>4</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gridSpan w:val="2"/>
            <w:vMerge w:val="restart"/>
          </w:tcPr>
          <w:p>
            <w:pPr>
              <w:spacing w:after="0"/>
              <w:rPr>
                <w:sz w:val="20"/>
                <w:szCs w:val="20"/>
                <w:color w:val="auto"/>
              </w:rPr>
            </w:pPr>
            <w:r>
              <w:rPr>
                <w:rFonts w:ascii="Arial" w:cs="Arial" w:eastAsia="Arial" w:hAnsi="Arial"/>
                <w:sz w:val="14"/>
                <w:szCs w:val="14"/>
                <w:color w:val="auto"/>
              </w:rPr>
              <w:t>Net income</w:t>
            </w:r>
          </w:p>
        </w:tc>
        <w:tc>
          <w:tcPr>
            <w:tcW w:w="840" w:type="dxa"/>
            <w:vAlign w:val="bottom"/>
            <w:gridSpan w:val="2"/>
            <w:vMerge w:val="restart"/>
          </w:tcPr>
          <w:p>
            <w:pPr>
              <w:jc w:val="right"/>
              <w:spacing w:after="0"/>
              <w:rPr>
                <w:sz w:val="20"/>
                <w:szCs w:val="20"/>
                <w:color w:val="auto"/>
              </w:rPr>
            </w:pPr>
            <w:r>
              <w:rPr>
                <w:rFonts w:ascii="Arial" w:cs="Arial" w:eastAsia="Arial" w:hAnsi="Arial"/>
                <w:sz w:val="14"/>
                <w:szCs w:val="14"/>
                <w:color w:val="auto"/>
              </w:rPr>
              <w:t>Diluted EPS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gridSpan w:val="2"/>
          </w:tcPr>
          <w:p>
            <w:pPr>
              <w:ind w:left="140"/>
              <w:spacing w:after="0" w:line="130" w:lineRule="exact"/>
              <w:rPr>
                <w:sz w:val="20"/>
                <w:szCs w:val="20"/>
                <w:color w:val="auto"/>
              </w:rPr>
            </w:pPr>
            <w:r>
              <w:rPr>
                <w:rFonts w:ascii="Arial" w:cs="Arial" w:eastAsia="Arial" w:hAnsi="Arial"/>
                <w:sz w:val="14"/>
                <w:szCs w:val="14"/>
                <w:color w:val="auto"/>
              </w:rPr>
              <w:t>Net</w:t>
            </w:r>
          </w:p>
        </w:tc>
        <w:tc>
          <w:tcPr>
            <w:tcW w:w="860" w:type="dxa"/>
            <w:vAlign w:val="bottom"/>
            <w:gridSpan w:val="2"/>
            <w:vMerge w:val="restart"/>
          </w:tcPr>
          <w:p>
            <w:pPr>
              <w:jc w:val="right"/>
              <w:spacing w:after="0"/>
              <w:rPr>
                <w:sz w:val="20"/>
                <w:szCs w:val="20"/>
                <w:color w:val="auto"/>
              </w:rPr>
            </w:pPr>
            <w:r>
              <w:rPr>
                <w:rFonts w:ascii="Arial" w:cs="Arial" w:eastAsia="Arial" w:hAnsi="Arial"/>
                <w:sz w:val="14"/>
                <w:szCs w:val="14"/>
                <w:color w:val="auto"/>
                <w:w w:val="97"/>
              </w:rPr>
              <w:t>Diluted EPS</w:t>
            </w:r>
            <w:r>
              <w:rPr>
                <w:rFonts w:ascii="Arial" w:cs="Arial" w:eastAsia="Arial" w:hAnsi="Arial"/>
                <w:sz w:val="18"/>
                <w:szCs w:val="18"/>
                <w:color w:val="auto"/>
                <w:w w:val="97"/>
                <w:vertAlign w:val="superscript"/>
              </w:rPr>
              <w:t>4</w:t>
            </w:r>
          </w:p>
        </w:tc>
        <w:tc>
          <w:tcPr>
            <w:tcW w:w="0" w:type="dxa"/>
            <w:vAlign w:val="bottom"/>
          </w:tcPr>
          <w:p>
            <w:pPr>
              <w:spacing w:after="0"/>
              <w:rPr>
                <w:sz w:val="1"/>
                <w:szCs w:val="1"/>
                <w:color w:val="auto"/>
              </w:rPr>
            </w:pPr>
          </w:p>
        </w:tc>
      </w:tr>
      <w:tr>
        <w:trPr>
          <w:trHeight w:val="189"/>
        </w:trPr>
        <w:tc>
          <w:tcPr>
            <w:tcW w:w="3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gridSpan w:val="2"/>
          </w:tcPr>
          <w:p>
            <w:pPr>
              <w:jc w:val="center"/>
              <w:ind w:right="220"/>
              <w:spacing w:after="0"/>
              <w:rPr>
                <w:sz w:val="20"/>
                <w:szCs w:val="20"/>
                <w:color w:val="auto"/>
              </w:rPr>
            </w:pPr>
            <w:r>
              <w:rPr>
                <w:rFonts w:ascii="Arial" w:cs="Arial" w:eastAsia="Arial" w:hAnsi="Arial"/>
                <w:sz w:val="14"/>
                <w:szCs w:val="14"/>
                <w:color w:val="auto"/>
                <w:w w:val="92"/>
              </w:rPr>
              <w:t>income</w:t>
            </w:r>
          </w:p>
        </w:tc>
        <w:tc>
          <w:tcPr>
            <w:tcW w:w="8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gridSpan w:val="2"/>
          </w:tcPr>
          <w:p>
            <w:pPr>
              <w:ind w:left="100"/>
              <w:spacing w:after="0" w:line="189" w:lineRule="exact"/>
              <w:rPr>
                <w:sz w:val="20"/>
                <w:szCs w:val="20"/>
                <w:color w:val="auto"/>
              </w:rPr>
            </w:pPr>
            <w:r>
              <w:rPr>
                <w:rFonts w:ascii="Arial" w:cs="Arial" w:eastAsia="Arial" w:hAnsi="Arial"/>
                <w:sz w:val="14"/>
                <w:szCs w:val="14"/>
                <w:color w:val="auto"/>
              </w:rPr>
              <w:t>loss</w:t>
            </w:r>
            <w:r>
              <w:rPr>
                <w:rFonts w:ascii="Arial" w:cs="Arial" w:eastAsia="Arial" w:hAnsi="Arial"/>
                <w:sz w:val="18"/>
                <w:szCs w:val="18"/>
                <w:color w:val="auto"/>
                <w:vertAlign w:val="superscript"/>
              </w:rPr>
              <w:t>4</w:t>
            </w:r>
          </w:p>
        </w:tc>
        <w:tc>
          <w:tcPr>
            <w:tcW w:w="86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3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GAAP net (loss) income</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(24,633)</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(0.66)</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3,648</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0.10</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5,284</w:t>
            </w:r>
          </w:p>
        </w:tc>
        <w:tc>
          <w:tcPr>
            <w:tcW w:w="8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EEFF"/>
          </w:tcPr>
          <w:p>
            <w:pPr>
              <w:jc w:val="center"/>
              <w:ind w:left="248"/>
              <w:spacing w:after="0"/>
              <w:rPr>
                <w:sz w:val="20"/>
                <w:szCs w:val="20"/>
                <w:color w:val="auto"/>
              </w:rPr>
            </w:pPr>
            <w:r>
              <w:rPr>
                <w:rFonts w:ascii="Arial" w:cs="Arial" w:eastAsia="Arial" w:hAnsi="Arial"/>
                <w:sz w:val="14"/>
                <w:szCs w:val="14"/>
                <w:color w:val="auto"/>
                <w:w w:val="95"/>
              </w:rPr>
              <w:t>0.14</w:t>
            </w:r>
          </w:p>
        </w:tc>
        <w:tc>
          <w:tcPr>
            <w:tcW w:w="8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(15,702)</w:t>
            </w:r>
          </w:p>
        </w:tc>
        <w:tc>
          <w:tcPr>
            <w:tcW w:w="8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(0.44)</w:t>
            </w:r>
          </w:p>
        </w:tc>
        <w:tc>
          <w:tcPr>
            <w:tcW w:w="0" w:type="dxa"/>
            <w:vAlign w:val="bottom"/>
          </w:tcPr>
          <w:p>
            <w:pPr>
              <w:spacing w:after="0"/>
              <w:rPr>
                <w:sz w:val="1"/>
                <w:szCs w:val="1"/>
                <w:color w:val="auto"/>
              </w:rPr>
            </w:pPr>
          </w:p>
        </w:tc>
      </w:tr>
      <w:tr>
        <w:trPr>
          <w:trHeight w:val="135"/>
        </w:trPr>
        <w:tc>
          <w:tcPr>
            <w:tcW w:w="3740" w:type="dxa"/>
            <w:vAlign w:val="bottom"/>
          </w:tcPr>
          <w:p>
            <w:pPr>
              <w:ind w:left="140"/>
              <w:spacing w:after="0" w:line="135" w:lineRule="exact"/>
              <w:rPr>
                <w:sz w:val="20"/>
                <w:szCs w:val="20"/>
                <w:color w:val="auto"/>
              </w:rPr>
            </w:pPr>
            <w:r>
              <w:rPr>
                <w:rFonts w:ascii="Arial" w:cs="Arial" w:eastAsia="Arial" w:hAnsi="Arial"/>
                <w:sz w:val="14"/>
                <w:szCs w:val="14"/>
                <w:color w:val="auto"/>
                <w:w w:val="98"/>
              </w:rPr>
              <w:t>GAAP net (loss) income includes the effect of the following</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3740" w:type="dxa"/>
            <w:vAlign w:val="bottom"/>
          </w:tcPr>
          <w:p>
            <w:pPr>
              <w:ind w:left="140"/>
              <w:spacing w:after="0"/>
              <w:rPr>
                <w:sz w:val="20"/>
                <w:szCs w:val="20"/>
                <w:color w:val="auto"/>
              </w:rPr>
            </w:pPr>
            <w:r>
              <w:rPr>
                <w:rFonts w:ascii="Arial" w:cs="Arial" w:eastAsia="Arial" w:hAnsi="Arial"/>
                <w:sz w:val="14"/>
                <w:szCs w:val="14"/>
                <w:color w:val="auto"/>
              </w:rPr>
              <w:t>items:</w:t>
            </w: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3740" w:type="dxa"/>
            <w:vAlign w:val="bottom"/>
            <w:shd w:val="clear" w:color="auto" w:fill="CCEEFF"/>
          </w:tcPr>
          <w:p>
            <w:pPr>
              <w:ind w:left="360"/>
              <w:spacing w:after="0" w:line="139" w:lineRule="exact"/>
              <w:rPr>
                <w:sz w:val="20"/>
                <w:szCs w:val="20"/>
                <w:color w:val="auto"/>
              </w:rPr>
            </w:pPr>
            <w:r>
              <w:rPr>
                <w:rFonts w:ascii="Arial" w:cs="Arial" w:eastAsia="Arial" w:hAnsi="Arial"/>
                <w:sz w:val="14"/>
                <w:szCs w:val="14"/>
                <w:color w:val="auto"/>
              </w:rPr>
              <w:t>Expenses associated with the achievement of</w:t>
            </w:r>
          </w:p>
        </w:tc>
        <w:tc>
          <w:tcPr>
            <w:tcW w:w="1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740" w:type="dxa"/>
            <w:vAlign w:val="bottom"/>
            <w:shd w:val="clear" w:color="auto" w:fill="CCEEFF"/>
          </w:tcPr>
          <w:p>
            <w:pPr>
              <w:ind w:left="360"/>
              <w:spacing w:after="0" w:line="135" w:lineRule="exact"/>
              <w:rPr>
                <w:sz w:val="20"/>
                <w:szCs w:val="20"/>
                <w:color w:val="auto"/>
              </w:rPr>
            </w:pPr>
            <w:r>
              <w:rPr>
                <w:rFonts w:ascii="Arial" w:cs="Arial" w:eastAsia="Arial" w:hAnsi="Arial"/>
                <w:sz w:val="14"/>
                <w:szCs w:val="14"/>
                <w:color w:val="auto"/>
              </w:rPr>
              <w:t>Thunderbolt R&amp;D milestones and Lightning launch,</w:t>
            </w:r>
          </w:p>
        </w:tc>
        <w:tc>
          <w:tcPr>
            <w:tcW w:w="12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15,000</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center"/>
              <w:ind w:left="268"/>
              <w:spacing w:after="0"/>
              <w:rPr>
                <w:sz w:val="20"/>
                <w:szCs w:val="20"/>
                <w:color w:val="auto"/>
              </w:rPr>
            </w:pPr>
            <w:r>
              <w:rPr>
                <w:rFonts w:ascii="Arial" w:cs="Arial" w:eastAsia="Arial" w:hAnsi="Arial"/>
                <w:sz w:val="14"/>
                <w:szCs w:val="14"/>
                <w:color w:val="auto"/>
                <w:w w:val="95"/>
              </w:rPr>
              <w:t>0.39</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15,000</w:t>
            </w: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center"/>
              <w:ind w:left="248"/>
              <w:spacing w:after="0"/>
              <w:rPr>
                <w:sz w:val="20"/>
                <w:szCs w:val="20"/>
                <w:color w:val="auto"/>
              </w:rPr>
            </w:pPr>
            <w:r>
              <w:rPr>
                <w:rFonts w:ascii="Arial" w:cs="Arial" w:eastAsia="Arial" w:hAnsi="Arial"/>
                <w:sz w:val="14"/>
                <w:szCs w:val="14"/>
                <w:color w:val="auto"/>
                <w:w w:val="95"/>
              </w:rPr>
              <w:t>0.40</w:t>
            </w:r>
          </w:p>
        </w:tc>
        <w:tc>
          <w:tcPr>
            <w:tcW w:w="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20,652</w:t>
            </w: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0.57</w:t>
            </w:r>
          </w:p>
        </w:tc>
        <w:tc>
          <w:tcPr>
            <w:tcW w:w="0" w:type="dxa"/>
            <w:vAlign w:val="bottom"/>
          </w:tcPr>
          <w:p>
            <w:pPr>
              <w:spacing w:after="0"/>
              <w:rPr>
                <w:sz w:val="1"/>
                <w:szCs w:val="1"/>
                <w:color w:val="auto"/>
              </w:rPr>
            </w:pPr>
          </w:p>
        </w:tc>
      </w:tr>
      <w:tr>
        <w:trPr>
          <w:trHeight w:val="189"/>
        </w:trPr>
        <w:tc>
          <w:tcPr>
            <w:tcW w:w="3740" w:type="dxa"/>
            <w:vAlign w:val="bottom"/>
            <w:shd w:val="clear" w:color="auto" w:fill="CCEEFF"/>
          </w:tcPr>
          <w:p>
            <w:pPr>
              <w:ind w:left="360"/>
              <w:spacing w:after="0"/>
              <w:rPr>
                <w:sz w:val="20"/>
                <w:szCs w:val="20"/>
                <w:color w:val="auto"/>
              </w:rPr>
            </w:pPr>
            <w:r>
              <w:rPr>
                <w:rFonts w:ascii="Arial" w:cs="Arial" w:eastAsia="Arial" w:hAnsi="Arial"/>
                <w:sz w:val="14"/>
                <w:szCs w:val="14"/>
                <w:color w:val="auto"/>
              </w:rPr>
              <w:t>respectively</w:t>
            </w:r>
          </w:p>
        </w:tc>
        <w:tc>
          <w:tcPr>
            <w:tcW w:w="120" w:type="dxa"/>
            <w:vAlign w:val="bottom"/>
            <w:shd w:val="clear" w:color="auto" w:fill="CCEEFF"/>
          </w:tcPr>
          <w:p>
            <w:pPr>
              <w:spacing w:after="0"/>
              <w:rPr>
                <w:sz w:val="16"/>
                <w:szCs w:val="16"/>
                <w:color w:val="auto"/>
              </w:rPr>
            </w:pPr>
          </w:p>
        </w:tc>
        <w:tc>
          <w:tcPr>
            <w:tcW w:w="7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740" w:type="dxa"/>
            <w:vAlign w:val="bottom"/>
          </w:tcPr>
          <w:p>
            <w:pPr>
              <w:ind w:left="360"/>
              <w:spacing w:after="0" w:line="135" w:lineRule="exact"/>
              <w:rPr>
                <w:sz w:val="20"/>
                <w:szCs w:val="20"/>
                <w:color w:val="auto"/>
              </w:rPr>
            </w:pPr>
            <w:r>
              <w:rPr>
                <w:rFonts w:ascii="Arial" w:cs="Arial" w:eastAsia="Arial" w:hAnsi="Arial"/>
                <w:sz w:val="14"/>
                <w:szCs w:val="14"/>
                <w:color w:val="auto"/>
                <w:w w:val="98"/>
              </w:rPr>
              <w:t>Accelerated vesting of options related to the acquisition</w:t>
            </w:r>
          </w:p>
        </w:tc>
        <w:tc>
          <w:tcPr>
            <w:tcW w:w="120" w:type="dxa"/>
            <w:vAlign w:val="bottom"/>
          </w:tcPr>
          <w:p>
            <w:pPr>
              <w:spacing w:after="0"/>
              <w:rPr>
                <w:sz w:val="11"/>
                <w:szCs w:val="11"/>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color w:val="auto"/>
              </w:rPr>
              <w:t>25,760</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vMerge w:val="restart"/>
          </w:tcPr>
          <w:p>
            <w:pPr>
              <w:jc w:val="center"/>
              <w:ind w:left="268"/>
              <w:spacing w:after="0"/>
              <w:rPr>
                <w:sz w:val="20"/>
                <w:szCs w:val="20"/>
                <w:color w:val="auto"/>
              </w:rPr>
            </w:pPr>
            <w:r>
              <w:rPr>
                <w:rFonts w:ascii="Arial" w:cs="Arial" w:eastAsia="Arial" w:hAnsi="Arial"/>
                <w:sz w:val="14"/>
                <w:szCs w:val="14"/>
                <w:color w:val="auto"/>
                <w:w w:val="95"/>
              </w:rPr>
              <w:t>0.68</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vMerge w:val="restart"/>
          </w:tcPr>
          <w:p>
            <w:pPr>
              <w:jc w:val="right"/>
              <w:ind w:right="8"/>
              <w:spacing w:after="0"/>
              <w:rPr>
                <w:sz w:val="20"/>
                <w:szCs w:val="20"/>
                <w:color w:val="auto"/>
              </w:rPr>
            </w:pPr>
            <w:r>
              <w:rPr>
                <w:rFonts w:ascii="Arial" w:cs="Arial" w:eastAsia="Arial" w:hAnsi="Arial"/>
                <w:sz w:val="14"/>
                <w:szCs w:val="14"/>
                <w:color w:val="auto"/>
              </w:rPr>
              <w:t>25,760</w:t>
            </w: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vMerge w:val="restart"/>
          </w:tcPr>
          <w:p>
            <w:pPr>
              <w:jc w:val="center"/>
              <w:ind w:left="248"/>
              <w:spacing w:after="0"/>
              <w:rPr>
                <w:sz w:val="20"/>
                <w:szCs w:val="20"/>
                <w:color w:val="auto"/>
              </w:rPr>
            </w:pPr>
            <w:r>
              <w:rPr>
                <w:rFonts w:ascii="Arial" w:cs="Arial" w:eastAsia="Arial" w:hAnsi="Arial"/>
                <w:sz w:val="14"/>
                <w:szCs w:val="14"/>
                <w:color w:val="auto"/>
                <w:w w:val="95"/>
              </w:rPr>
              <w:t>0.67</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gridSpan w:val="2"/>
            <w:vMerge w:val="restart"/>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3740" w:type="dxa"/>
            <w:vAlign w:val="bottom"/>
          </w:tcPr>
          <w:p>
            <w:pPr>
              <w:ind w:left="360"/>
              <w:spacing w:after="0" w:line="189" w:lineRule="exact"/>
              <w:rPr>
                <w:sz w:val="20"/>
                <w:szCs w:val="20"/>
                <w:color w:val="auto"/>
              </w:rPr>
            </w:pPr>
            <w:r>
              <w:rPr>
                <w:rFonts w:ascii="Arial" w:cs="Arial" w:eastAsia="Arial" w:hAnsi="Arial"/>
                <w:sz w:val="14"/>
                <w:szCs w:val="14"/>
                <w:color w:val="auto"/>
              </w:rPr>
              <w:t>of Sixense</w:t>
            </w:r>
            <w:r>
              <w:rPr>
                <w:rFonts w:ascii="Arial" w:cs="Arial" w:eastAsia="Arial" w:hAnsi="Arial"/>
                <w:sz w:val="18"/>
                <w:szCs w:val="18"/>
                <w:color w:val="auto"/>
                <w:vertAlign w:val="superscript"/>
              </w:rPr>
              <w:t>2</w:t>
            </w:r>
          </w:p>
        </w:tc>
        <w:tc>
          <w:tcPr>
            <w:tcW w:w="12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374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Amortization of finite lived intangible assets acquired</w:t>
            </w:r>
          </w:p>
        </w:tc>
        <w:tc>
          <w:tcPr>
            <w:tcW w:w="1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jc w:val="center"/>
              <w:ind w:left="268"/>
              <w:spacing w:after="0"/>
              <w:rPr>
                <w:sz w:val="20"/>
                <w:szCs w:val="20"/>
                <w:color w:val="auto"/>
              </w:rPr>
            </w:pPr>
            <w:r>
              <w:rPr>
                <w:rFonts w:ascii="Arial" w:cs="Arial" w:eastAsia="Arial" w:hAnsi="Arial"/>
                <w:sz w:val="14"/>
                <w:szCs w:val="14"/>
                <w:color w:val="auto"/>
                <w:w w:val="95"/>
              </w:rPr>
              <w:t>0.05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1,785</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center"/>
              <w:ind w:left="248"/>
              <w:spacing w:after="0"/>
              <w:rPr>
                <w:sz w:val="20"/>
                <w:szCs w:val="20"/>
                <w:color w:val="auto"/>
              </w:rPr>
            </w:pPr>
            <w:r>
              <w:rPr>
                <w:rFonts w:ascii="Arial" w:cs="Arial" w:eastAsia="Arial" w:hAnsi="Arial"/>
                <w:sz w:val="14"/>
                <w:szCs w:val="14"/>
                <w:color w:val="auto"/>
                <w:w w:val="95"/>
              </w:rPr>
              <w:t>0.05</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3740" w:type="dxa"/>
            <w:vAlign w:val="bottom"/>
          </w:tcPr>
          <w:p>
            <w:pPr>
              <w:ind w:left="360"/>
              <w:spacing w:after="0" w:line="189" w:lineRule="exact"/>
              <w:rPr>
                <w:sz w:val="20"/>
                <w:szCs w:val="20"/>
                <w:color w:val="auto"/>
              </w:rPr>
            </w:pPr>
            <w:r>
              <w:rPr>
                <w:rFonts w:ascii="Arial" w:cs="Arial" w:eastAsia="Arial" w:hAnsi="Arial"/>
                <w:sz w:val="14"/>
                <w:szCs w:val="14"/>
                <w:color w:val="auto"/>
              </w:rPr>
              <w:t>Tax effect on the non-GAAP adjustments above</w:t>
            </w:r>
            <w:r>
              <w:rPr>
                <w:rFonts w:ascii="Arial" w:cs="Arial" w:eastAsia="Arial" w:hAnsi="Arial"/>
                <w:sz w:val="18"/>
                <w:szCs w:val="18"/>
                <w:color w:val="auto"/>
                <w:vertAlign w:val="superscript"/>
              </w:rPr>
              <w:t>2</w:t>
            </w:r>
          </w:p>
        </w:tc>
        <w:tc>
          <w:tcPr>
            <w:tcW w:w="1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(9,045)</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jc w:val="center"/>
              <w:ind w:left="228"/>
              <w:spacing w:after="0"/>
              <w:rPr>
                <w:sz w:val="20"/>
                <w:szCs w:val="20"/>
                <w:color w:val="auto"/>
              </w:rPr>
            </w:pPr>
            <w:r>
              <w:rPr>
                <w:rFonts w:ascii="Arial" w:cs="Arial" w:eastAsia="Arial" w:hAnsi="Arial"/>
                <w:sz w:val="14"/>
                <w:szCs w:val="14"/>
                <w:color w:val="auto"/>
                <w:w w:val="92"/>
              </w:rPr>
              <w:t>(0.23)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(9,045)</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center"/>
              <w:ind w:left="228"/>
              <w:spacing w:after="0"/>
              <w:rPr>
                <w:sz w:val="20"/>
                <w:szCs w:val="20"/>
                <w:color w:val="auto"/>
              </w:rPr>
            </w:pPr>
            <w:r>
              <w:rPr>
                <w:rFonts w:ascii="Arial" w:cs="Arial" w:eastAsia="Arial" w:hAnsi="Arial"/>
                <w:sz w:val="14"/>
                <w:szCs w:val="14"/>
                <w:color w:val="auto"/>
                <w:w w:val="98"/>
              </w:rPr>
              <w:t>(0.24)</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(4,783)</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(0.13)</w:t>
            </w:r>
          </w:p>
        </w:tc>
        <w:tc>
          <w:tcPr>
            <w:tcW w:w="0" w:type="dxa"/>
            <w:vAlign w:val="bottom"/>
          </w:tcPr>
          <w:p>
            <w:pPr>
              <w:spacing w:after="0"/>
              <w:rPr>
                <w:sz w:val="1"/>
                <w:szCs w:val="1"/>
                <w:color w:val="auto"/>
              </w:rPr>
            </w:pPr>
          </w:p>
        </w:tc>
      </w:tr>
      <w:tr>
        <w:trPr>
          <w:trHeight w:val="135"/>
        </w:trPr>
        <w:tc>
          <w:tcPr>
            <w:tcW w:w="3740" w:type="dxa"/>
            <w:vAlign w:val="bottom"/>
            <w:shd w:val="clear" w:color="auto" w:fill="CCEEFF"/>
          </w:tcPr>
          <w:p>
            <w:pPr>
              <w:ind w:left="360"/>
              <w:spacing w:after="0" w:line="135" w:lineRule="exact"/>
              <w:rPr>
                <w:sz w:val="20"/>
                <w:szCs w:val="20"/>
                <w:color w:val="auto"/>
              </w:rPr>
            </w:pPr>
            <w:r>
              <w:rPr>
                <w:rFonts w:ascii="Arial" w:cs="Arial" w:eastAsia="Arial" w:hAnsi="Arial"/>
                <w:sz w:val="14"/>
                <w:szCs w:val="14"/>
                <w:color w:val="auto"/>
              </w:rPr>
              <w:t>Excess tax benefits related to stock compensation</w:t>
            </w:r>
          </w:p>
        </w:tc>
        <w:tc>
          <w:tcPr>
            <w:tcW w:w="120" w:type="dxa"/>
            <w:vAlign w:val="bottom"/>
            <w:shd w:val="clear" w:color="auto" w:fill="CCEEFF"/>
          </w:tcPr>
          <w:p>
            <w:pPr>
              <w:spacing w:after="0"/>
              <w:rPr>
                <w:sz w:val="11"/>
                <w:szCs w:val="11"/>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(4,895)</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center"/>
              <w:ind w:left="228"/>
              <w:spacing w:after="0"/>
              <w:rPr>
                <w:sz w:val="20"/>
                <w:szCs w:val="20"/>
                <w:color w:val="auto"/>
              </w:rPr>
            </w:pPr>
            <w:r>
              <w:rPr>
                <w:rFonts w:ascii="Arial" w:cs="Arial" w:eastAsia="Arial" w:hAnsi="Arial"/>
                <w:sz w:val="14"/>
                <w:szCs w:val="14"/>
                <w:color w:val="auto"/>
                <w:w w:val="92"/>
              </w:rPr>
              <w:t>(0.13)</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(2,112)</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(0.06)</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(12,465)</w:t>
            </w: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center"/>
              <w:ind w:left="228"/>
              <w:spacing w:after="0"/>
              <w:rPr>
                <w:sz w:val="20"/>
                <w:szCs w:val="20"/>
                <w:color w:val="auto"/>
              </w:rPr>
            </w:pPr>
            <w:r>
              <w:rPr>
                <w:rFonts w:ascii="Arial" w:cs="Arial" w:eastAsia="Arial" w:hAnsi="Arial"/>
                <w:sz w:val="14"/>
                <w:szCs w:val="14"/>
                <w:color w:val="auto"/>
                <w:w w:val="98"/>
              </w:rPr>
              <w:t>(0.33)</w:t>
            </w:r>
          </w:p>
        </w:tc>
        <w:tc>
          <w:tcPr>
            <w:tcW w:w="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(12,226)</w:t>
            </w: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(0.34)</w:t>
            </w:r>
          </w:p>
        </w:tc>
        <w:tc>
          <w:tcPr>
            <w:tcW w:w="0" w:type="dxa"/>
            <w:vAlign w:val="bottom"/>
          </w:tcPr>
          <w:p>
            <w:pPr>
              <w:spacing w:after="0"/>
              <w:rPr>
                <w:sz w:val="1"/>
                <w:szCs w:val="1"/>
                <w:color w:val="auto"/>
              </w:rPr>
            </w:pPr>
          </w:p>
        </w:tc>
      </w:tr>
      <w:tr>
        <w:trPr>
          <w:trHeight w:val="189"/>
        </w:trPr>
        <w:tc>
          <w:tcPr>
            <w:tcW w:w="374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awards</w:t>
            </w:r>
          </w:p>
        </w:tc>
        <w:tc>
          <w:tcPr>
            <w:tcW w:w="12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3740" w:type="dxa"/>
            <w:vAlign w:val="bottom"/>
          </w:tcPr>
          <w:p>
            <w:pPr>
              <w:ind w:left="20"/>
              <w:spacing w:after="0"/>
              <w:rPr>
                <w:sz w:val="20"/>
                <w:szCs w:val="20"/>
                <w:color w:val="auto"/>
              </w:rPr>
            </w:pPr>
            <w:r>
              <w:rPr>
                <w:rFonts w:ascii="Arial" w:cs="Arial" w:eastAsia="Arial" w:hAnsi="Arial"/>
                <w:sz w:val="14"/>
                <w:szCs w:val="14"/>
                <w:color w:val="auto"/>
              </w:rPr>
              <w:t>Non-GAAP net income (loss)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3,972</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color w:val="auto"/>
                <w:w w:val="95"/>
              </w:rPr>
              <w:t>0.10</w:t>
            </w:r>
          </w:p>
        </w:tc>
        <w:tc>
          <w:tcPr>
            <w:tcW w:w="100" w:type="dxa"/>
            <w:vAlign w:val="bottom"/>
          </w:tcPr>
          <w:p>
            <w:pPr>
              <w:spacing w:after="0"/>
              <w:rPr>
                <w:sz w:val="15"/>
                <w:szCs w:val="15"/>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1,536</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Pr>
          <w:p>
            <w:pPr>
              <w:spacing w:after="0"/>
              <w:rPr>
                <w:sz w:val="15"/>
                <w:szCs w:val="15"/>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26,319</w:t>
            </w:r>
          </w:p>
        </w:tc>
        <w:tc>
          <w:tcPr>
            <w:tcW w:w="8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center"/>
              <w:ind w:left="248"/>
              <w:spacing w:after="0"/>
              <w:rPr>
                <w:sz w:val="20"/>
                <w:szCs w:val="20"/>
                <w:color w:val="auto"/>
              </w:rPr>
            </w:pPr>
            <w:r>
              <w:rPr>
                <w:rFonts w:ascii="Arial" w:cs="Arial" w:eastAsia="Arial" w:hAnsi="Arial"/>
                <w:sz w:val="14"/>
                <w:szCs w:val="14"/>
                <w:color w:val="auto"/>
                <w:w w:val="95"/>
              </w:rPr>
              <w:t>0.69</w:t>
            </w:r>
          </w:p>
        </w:tc>
        <w:tc>
          <w:tcPr>
            <w:tcW w:w="80" w:type="dxa"/>
            <w:vAlign w:val="bottom"/>
          </w:tcPr>
          <w:p>
            <w:pPr>
              <w:spacing w:after="0"/>
              <w:rPr>
                <w:sz w:val="15"/>
                <w:szCs w:val="15"/>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(12,059)</w:t>
            </w:r>
          </w:p>
        </w:tc>
        <w:tc>
          <w:tcPr>
            <w:tcW w:w="8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(0.34)</w:t>
            </w:r>
          </w:p>
        </w:tc>
        <w:tc>
          <w:tcPr>
            <w:tcW w:w="0" w:type="dxa"/>
            <w:vAlign w:val="bottom"/>
          </w:tcPr>
          <w:p>
            <w:pPr>
              <w:spacing w:after="0"/>
              <w:rPr>
                <w:sz w:val="1"/>
                <w:szCs w:val="1"/>
                <w:color w:val="auto"/>
              </w:rPr>
            </w:pPr>
          </w:p>
        </w:tc>
      </w:tr>
      <w:tr>
        <w:trPr>
          <w:trHeight w:val="20"/>
        </w:trPr>
        <w:tc>
          <w:tcPr>
            <w:tcW w:w="37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37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3740" w:type="dxa"/>
            <w:vAlign w:val="bottom"/>
          </w:tcPr>
          <w:p>
            <w:pPr>
              <w:ind w:left="20"/>
              <w:spacing w:after="0"/>
              <w:rPr>
                <w:sz w:val="20"/>
                <w:szCs w:val="20"/>
                <w:color w:val="auto"/>
              </w:rPr>
            </w:pPr>
            <w:r>
              <w:rPr>
                <w:rFonts w:ascii="Arial" w:cs="Arial" w:eastAsia="Arial" w:hAnsi="Arial"/>
                <w:sz w:val="14"/>
                <w:szCs w:val="14"/>
                <w:color w:val="auto"/>
              </w:rPr>
              <w:t>GAAP diluted EPS</w:t>
            </w: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center"/>
              <w:ind w:left="228"/>
              <w:spacing w:after="0"/>
              <w:rPr>
                <w:sz w:val="20"/>
                <w:szCs w:val="20"/>
                <w:color w:val="auto"/>
              </w:rPr>
            </w:pPr>
            <w:r>
              <w:rPr>
                <w:rFonts w:ascii="Arial" w:cs="Arial" w:eastAsia="Arial" w:hAnsi="Arial"/>
                <w:sz w:val="14"/>
                <w:szCs w:val="14"/>
                <w:color w:val="auto"/>
                <w:w w:val="92"/>
              </w:rPr>
              <w:t>(0.66)</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0.10</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center"/>
              <w:ind w:left="248"/>
              <w:spacing w:after="0"/>
              <w:rPr>
                <w:sz w:val="20"/>
                <w:szCs w:val="20"/>
                <w:color w:val="auto"/>
              </w:rPr>
            </w:pPr>
            <w:r>
              <w:rPr>
                <w:rFonts w:ascii="Arial" w:cs="Arial" w:eastAsia="Arial" w:hAnsi="Arial"/>
                <w:sz w:val="14"/>
                <w:szCs w:val="14"/>
                <w:color w:val="auto"/>
                <w:w w:val="95"/>
              </w:rPr>
              <w:t>0.14</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(0.44)</w:t>
            </w:r>
          </w:p>
        </w:tc>
        <w:tc>
          <w:tcPr>
            <w:tcW w:w="0" w:type="dxa"/>
            <w:vAlign w:val="bottom"/>
          </w:tcPr>
          <w:p>
            <w:pPr>
              <w:spacing w:after="0"/>
              <w:rPr>
                <w:sz w:val="1"/>
                <w:szCs w:val="1"/>
                <w:color w:val="auto"/>
              </w:rPr>
            </w:pPr>
          </w:p>
        </w:tc>
      </w:tr>
      <w:tr>
        <w:trPr>
          <w:trHeight w:val="20"/>
        </w:trPr>
        <w:tc>
          <w:tcPr>
            <w:tcW w:w="37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7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6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3740" w:type="dxa"/>
            <w:vAlign w:val="bottom"/>
            <w:tcBorders>
              <w:bottom w:val="single" w:sz="8" w:color="CCEEFF"/>
            </w:tcBorders>
            <w:shd w:val="clear" w:color="auto" w:fill="CCEEFF"/>
          </w:tcPr>
          <w:p>
            <w:pPr>
              <w:ind w:left="20"/>
              <w:spacing w:after="0" w:line="183" w:lineRule="exact"/>
              <w:rPr>
                <w:sz w:val="20"/>
                <w:szCs w:val="20"/>
                <w:color w:val="auto"/>
              </w:rPr>
            </w:pPr>
            <w:r>
              <w:rPr>
                <w:rFonts w:ascii="Arial" w:cs="Arial" w:eastAsia="Arial" w:hAnsi="Arial"/>
                <w:sz w:val="14"/>
                <w:szCs w:val="14"/>
                <w:color w:val="auto"/>
              </w:rPr>
              <w:t>Non-GAAP diluted EPS</w:t>
            </w:r>
            <w:r>
              <w:rPr>
                <w:rFonts w:ascii="Arial" w:cs="Arial" w:eastAsia="Arial" w:hAnsi="Arial"/>
                <w:sz w:val="18"/>
                <w:szCs w:val="18"/>
                <w:color w:val="auto"/>
                <w:vertAlign w:val="superscript"/>
              </w:rPr>
              <w:t>3</w:t>
            </w:r>
          </w:p>
        </w:tc>
        <w:tc>
          <w:tcPr>
            <w:tcW w:w="120" w:type="dxa"/>
            <w:vAlign w:val="bottom"/>
            <w:tcBorders>
              <w:bottom w:val="single" w:sz="8" w:color="CCEEFF"/>
            </w:tcBorders>
            <w:shd w:val="clear" w:color="auto" w:fill="CCEEFF"/>
          </w:tcPr>
          <w:p>
            <w:pPr>
              <w:spacing w:after="0"/>
              <w:rPr>
                <w:sz w:val="17"/>
                <w:szCs w:val="17"/>
                <w:color w:val="auto"/>
              </w:rPr>
            </w:pPr>
          </w:p>
        </w:tc>
        <w:tc>
          <w:tcPr>
            <w:tcW w:w="7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center"/>
              <w:ind w:left="268"/>
              <w:spacing w:after="0"/>
              <w:rPr>
                <w:sz w:val="20"/>
                <w:szCs w:val="20"/>
                <w:color w:val="auto"/>
              </w:rPr>
            </w:pPr>
            <w:r>
              <w:rPr>
                <w:rFonts w:ascii="Arial" w:cs="Arial" w:eastAsia="Arial" w:hAnsi="Arial"/>
                <w:sz w:val="14"/>
                <w:szCs w:val="14"/>
                <w:color w:val="auto"/>
                <w:w w:val="95"/>
              </w:rPr>
              <w:t>0.10</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center"/>
              <w:ind w:left="248"/>
              <w:spacing w:after="0"/>
              <w:rPr>
                <w:sz w:val="20"/>
                <w:szCs w:val="20"/>
                <w:color w:val="auto"/>
              </w:rPr>
            </w:pPr>
            <w:r>
              <w:rPr>
                <w:rFonts w:ascii="Arial" w:cs="Arial" w:eastAsia="Arial" w:hAnsi="Arial"/>
                <w:sz w:val="14"/>
                <w:szCs w:val="14"/>
                <w:color w:val="auto"/>
                <w:w w:val="95"/>
              </w:rPr>
              <w:t>0.69</w:t>
            </w: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6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(0.34)</w:t>
            </w: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3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3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shares outstanding used to compute:</w:t>
            </w:r>
          </w:p>
        </w:tc>
        <w:tc>
          <w:tcPr>
            <w:tcW w:w="12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740" w:type="dxa"/>
            <w:vAlign w:val="bottom"/>
          </w:tcPr>
          <w:p>
            <w:pPr>
              <w:ind w:left="140"/>
              <w:spacing w:after="0"/>
              <w:rPr>
                <w:sz w:val="20"/>
                <w:szCs w:val="20"/>
                <w:color w:val="auto"/>
              </w:rPr>
            </w:pPr>
            <w:r>
              <w:rPr>
                <w:rFonts w:ascii="Arial" w:cs="Arial" w:eastAsia="Arial" w:hAnsi="Arial"/>
                <w:sz w:val="14"/>
                <w:szCs w:val="14"/>
                <w:color w:val="auto"/>
              </w:rPr>
              <w:t>GAAP diluted EPS</w:t>
            </w: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w w:val="96"/>
              </w:rPr>
              <w:t>37,451,145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w w:val="96"/>
              </w:rPr>
              <w:t>37,453,842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w w:val="94"/>
              </w:rPr>
              <w:t>37,881,180</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w w:val="96"/>
              </w:rPr>
              <w:t>35,766,892</w:t>
            </w:r>
          </w:p>
        </w:tc>
        <w:tc>
          <w:tcPr>
            <w:tcW w:w="0" w:type="dxa"/>
            <w:vAlign w:val="bottom"/>
          </w:tcPr>
          <w:p>
            <w:pPr>
              <w:spacing w:after="0"/>
              <w:rPr>
                <w:sz w:val="1"/>
                <w:szCs w:val="1"/>
                <w:color w:val="auto"/>
              </w:rPr>
            </w:pPr>
          </w:p>
        </w:tc>
      </w:tr>
      <w:tr>
        <w:trPr>
          <w:trHeight w:val="192"/>
        </w:trPr>
        <w:tc>
          <w:tcPr>
            <w:tcW w:w="3740" w:type="dxa"/>
            <w:vAlign w:val="bottom"/>
            <w:shd w:val="clear" w:color="auto" w:fill="CCEEFF"/>
          </w:tcPr>
          <w:p>
            <w:pPr>
              <w:ind w:left="140"/>
              <w:spacing w:after="0" w:line="193" w:lineRule="exact"/>
              <w:rPr>
                <w:sz w:val="20"/>
                <w:szCs w:val="20"/>
                <w:color w:val="auto"/>
              </w:rPr>
            </w:pPr>
            <w:r>
              <w:rPr>
                <w:rFonts w:ascii="Arial" w:cs="Arial" w:eastAsia="Arial" w:hAnsi="Arial"/>
                <w:sz w:val="14"/>
                <w:szCs w:val="14"/>
                <w:color w:val="auto"/>
              </w:rPr>
              <w:t>Non-GAAP diluted EPS</w:t>
            </w:r>
            <w:r>
              <w:rPr>
                <w:rFonts w:ascii="Arial" w:cs="Arial" w:eastAsia="Arial" w:hAnsi="Arial"/>
                <w:sz w:val="18"/>
                <w:szCs w:val="18"/>
                <w:color w:val="auto"/>
                <w:vertAlign w:val="superscript"/>
              </w:rPr>
              <w:t>3</w:t>
            </w:r>
          </w:p>
        </w:tc>
        <w:tc>
          <w:tcPr>
            <w:tcW w:w="12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38,706,721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37,453,842</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4"/>
              </w:rPr>
              <w:t>37,881,180</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35,766,892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128905</wp:posOffset>
            </wp:positionV>
            <wp:extent cx="14484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8435" cy="8255"/>
                    </a:xfrm>
                    <a:prstGeom prst="rect">
                      <a:avLst/>
                    </a:prstGeom>
                    <a:noFill/>
                  </pic:spPr>
                </pic:pic>
              </a:graphicData>
            </a:graphic>
          </wp:anchor>
        </w:drawing>
      </w:r>
    </w:p>
    <w:p>
      <w:pPr>
        <w:spacing w:after="0" w:line="281" w:lineRule="exact"/>
        <w:rPr>
          <w:sz w:val="20"/>
          <w:szCs w:val="20"/>
          <w:color w:val="auto"/>
        </w:rPr>
      </w:pPr>
    </w:p>
    <w:p>
      <w:pPr>
        <w:spacing w:after="0"/>
        <w:rPr>
          <w:sz w:val="20"/>
          <w:szCs w:val="20"/>
          <w:color w:val="auto"/>
        </w:rPr>
      </w:pPr>
      <w:r>
        <w:rPr>
          <w:rFonts w:ascii="Arial" w:cs="Arial" w:eastAsia="Arial" w:hAnsi="Arial"/>
          <w:sz w:val="21"/>
          <w:szCs w:val="21"/>
          <w:color w:val="auto"/>
          <w:vertAlign w:val="superscript"/>
        </w:rPr>
        <w:t>1</w:t>
      </w:r>
      <w:r>
        <w:rPr>
          <w:rFonts w:ascii="Arial" w:cs="Arial" w:eastAsia="Arial" w:hAnsi="Arial"/>
          <w:sz w:val="16"/>
          <w:szCs w:val="16"/>
          <w:color w:val="auto"/>
        </w:rPr>
        <w:t>See “Non-GAAP Financial Measures” for important information about our use of non-GAAP measures.</w:t>
      </w:r>
    </w:p>
    <w:p>
      <w:pPr>
        <w:spacing w:after="0" w:line="42" w:lineRule="exact"/>
        <w:rPr>
          <w:sz w:val="20"/>
          <w:szCs w:val="20"/>
          <w:color w:val="auto"/>
        </w:rPr>
      </w:pPr>
    </w:p>
    <w:p>
      <w:pPr>
        <w:ind w:right="20"/>
        <w:spacing w:after="0" w:line="221" w:lineRule="auto"/>
        <w:rPr>
          <w:sz w:val="20"/>
          <w:szCs w:val="20"/>
          <w:color w:val="auto"/>
        </w:rPr>
      </w:pPr>
      <w:r>
        <w:rPr>
          <w:rFonts w:ascii="Arial" w:cs="Arial" w:eastAsia="Arial" w:hAnsi="Arial"/>
          <w:sz w:val="21"/>
          <w:szCs w:val="21"/>
          <w:color w:val="auto"/>
          <w:vertAlign w:val="superscript"/>
        </w:rPr>
        <w:t>2</w:t>
      </w:r>
      <w:r>
        <w:rPr>
          <w:rFonts w:ascii="Arial" w:cs="Arial" w:eastAsia="Arial" w:hAnsi="Arial"/>
          <w:sz w:val="16"/>
          <w:szCs w:val="16"/>
          <w:color w:val="auto"/>
        </w:rPr>
        <w:t>For the three and twelve months ended December 31, 2021, management used a combined federal and state tax rate of 23.29% to compute the tax effect of non-GAAP measures. The $9.0 million tax effect above excludes stock-based compensation related to any early exercises and replacement options exercised by foreign employees in connection with the acquisition of Sixense. For the three and twelve months ended December 31, 2020, management used a combined federal and state tax rate of 23.16% to compute the tax effect of non-GAAP measures.</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vertAlign w:val="superscript"/>
        </w:rPr>
        <w:t>3</w:t>
      </w:r>
      <w:r>
        <w:rPr>
          <w:rFonts w:ascii="Arial" w:cs="Arial" w:eastAsia="Arial" w:hAnsi="Arial"/>
          <w:sz w:val="15"/>
          <w:szCs w:val="15"/>
          <w:color w:val="auto"/>
        </w:rPr>
        <w:t>For the purposes of calculating Non-GAAP diluted EPS for the three months ended December 31, 2021, non-GAAP diluted weighted average shares outstanding of</w:t>
      </w:r>
    </w:p>
    <w:p>
      <w:pPr>
        <w:spacing w:after="0"/>
        <w:rPr>
          <w:sz w:val="20"/>
          <w:szCs w:val="20"/>
          <w:color w:val="auto"/>
        </w:rPr>
      </w:pPr>
      <w:r>
        <w:rPr>
          <w:rFonts w:ascii="Arial" w:cs="Arial" w:eastAsia="Arial" w:hAnsi="Arial"/>
          <w:sz w:val="16"/>
          <w:szCs w:val="16"/>
          <w:color w:val="auto"/>
        </w:rPr>
        <w:t>38,706,721 was used, as the Company had non-GAAP net income in the period.</w:t>
      </w:r>
    </w:p>
    <w:p>
      <w:pPr>
        <w:spacing w:after="0" w:line="86" w:lineRule="exact"/>
        <w:rPr>
          <w:sz w:val="20"/>
          <w:szCs w:val="20"/>
          <w:color w:val="auto"/>
        </w:rPr>
      </w:pPr>
    </w:p>
    <w:p>
      <w:pPr>
        <w:ind w:right="40"/>
        <w:spacing w:after="0" w:line="215" w:lineRule="auto"/>
        <w:rPr>
          <w:sz w:val="20"/>
          <w:szCs w:val="20"/>
          <w:color w:val="auto"/>
        </w:rPr>
      </w:pPr>
      <w:r>
        <w:rPr>
          <w:rFonts w:ascii="Arial" w:cs="Arial" w:eastAsia="Arial" w:hAnsi="Arial"/>
          <w:sz w:val="21"/>
          <w:szCs w:val="21"/>
          <w:color w:val="auto"/>
          <w:vertAlign w:val="superscript"/>
        </w:rPr>
        <w:t>4</w:t>
      </w:r>
      <w:r>
        <w:rPr>
          <w:rFonts w:ascii="Arial" w:cs="Arial" w:eastAsia="Arial" w:hAnsi="Arial"/>
          <w:sz w:val="16"/>
          <w:szCs w:val="16"/>
          <w:color w:val="auto"/>
        </w:rPr>
        <w:t>GAAP and Non-GAAP net loss and diluted EPS for the three and twelve months ended December 31, 2020, include the one-time unfavorable impact of $18.4 million from the December 2020 voluntary recall.</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860" w:right="33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17"/>
          <w:szCs w:val="17"/>
          <w:b w:val="1"/>
          <w:bCs w:val="1"/>
          <w:color w:val="auto"/>
        </w:rPr>
        <w:t>Penumbra, Inc.</w:t>
      </w:r>
    </w:p>
    <w:p>
      <w:pPr>
        <w:jc w:val="center"/>
        <w:ind w:right="-19"/>
        <w:spacing w:after="0" w:line="215" w:lineRule="auto"/>
        <w:rPr>
          <w:sz w:val="20"/>
          <w:szCs w:val="20"/>
          <w:color w:val="auto"/>
        </w:rPr>
      </w:pPr>
      <w:r>
        <w:rPr>
          <w:rFonts w:ascii="Arial" w:cs="Arial" w:eastAsia="Arial" w:hAnsi="Arial"/>
          <w:sz w:val="17"/>
          <w:szCs w:val="17"/>
          <w:b w:val="1"/>
          <w:bCs w:val="1"/>
          <w:color w:val="auto"/>
        </w:rPr>
        <w:t>Reconciliation of Revenue Change by Geographic Regions to Constant Currency Revenue Growth</w:t>
      </w:r>
      <w:r>
        <w:rPr>
          <w:rFonts w:ascii="Arial" w:cs="Arial" w:eastAsia="Arial" w:hAnsi="Arial"/>
          <w:sz w:val="22"/>
          <w:szCs w:val="22"/>
          <w:b w:val="1"/>
          <w:bCs w:val="1"/>
          <w:color w:val="auto"/>
          <w:vertAlign w:val="superscript"/>
        </w:rPr>
        <w:t>1</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(unaudited)</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 thousands)</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180" w:type="dxa"/>
            <w:vAlign w:val="bottom"/>
            <w:gridSpan w:val="9"/>
          </w:tcPr>
          <w:p>
            <w:pPr>
              <w:jc w:val="center"/>
              <w:spacing w:after="0"/>
              <w:rPr>
                <w:sz w:val="20"/>
                <w:szCs w:val="20"/>
                <w:color w:val="auto"/>
              </w:rPr>
            </w:pPr>
            <w:r>
              <w:rPr>
                <w:rFonts w:ascii="Arial" w:cs="Arial" w:eastAsia="Arial" w:hAnsi="Arial"/>
                <w:sz w:val="14"/>
                <w:szCs w:val="14"/>
                <w:b w:val="1"/>
                <w:bCs w:val="1"/>
                <w:color w:val="auto"/>
                <w:w w:val="93"/>
              </w:rPr>
              <w:t>Three Months Ended December 31,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80" w:type="dxa"/>
            <w:vAlign w:val="bottom"/>
            <w:gridSpan w:val="3"/>
          </w:tcPr>
          <w:p>
            <w:pPr>
              <w:jc w:val="right"/>
              <w:ind w:right="88"/>
              <w:spacing w:after="0"/>
              <w:rPr>
                <w:sz w:val="20"/>
                <w:szCs w:val="20"/>
                <w:color w:val="auto"/>
              </w:rPr>
            </w:pPr>
            <w:r>
              <w:rPr>
                <w:rFonts w:ascii="Arial" w:cs="Arial" w:eastAsia="Arial" w:hAnsi="Arial"/>
                <w:sz w:val="14"/>
                <w:szCs w:val="14"/>
                <w:b w:val="1"/>
                <w:bCs w:val="1"/>
                <w:color w:val="auto"/>
              </w:rPr>
              <w:t>Reported Change</w:t>
            </w:r>
          </w:p>
        </w:tc>
        <w:tc>
          <w:tcPr>
            <w:tcW w:w="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8"/>
              </w:rPr>
              <w:t>FX Impact</w:t>
            </w:r>
          </w:p>
        </w:tc>
        <w:tc>
          <w:tcPr>
            <w:tcW w:w="240" w:type="dxa"/>
            <w:vAlign w:val="bottom"/>
          </w:tcPr>
          <w:p>
            <w:pPr>
              <w:spacing w:after="0"/>
              <w:rPr>
                <w:sz w:val="16"/>
                <w:szCs w:val="16"/>
                <w:color w:val="auto"/>
              </w:rPr>
            </w:pPr>
          </w:p>
        </w:tc>
        <w:tc>
          <w:tcPr>
            <w:tcW w:w="2220" w:type="dxa"/>
            <w:vAlign w:val="bottom"/>
            <w:gridSpan w:val="5"/>
          </w:tcPr>
          <w:p>
            <w:pPr>
              <w:jc w:val="right"/>
              <w:ind w:right="328"/>
              <w:spacing w:after="0"/>
              <w:rPr>
                <w:sz w:val="20"/>
                <w:szCs w:val="20"/>
                <w:color w:val="auto"/>
              </w:rPr>
            </w:pPr>
            <w:r>
              <w:rPr>
                <w:rFonts w:ascii="Arial" w:cs="Arial" w:eastAsia="Arial" w:hAnsi="Arial"/>
                <w:sz w:val="14"/>
                <w:szCs w:val="14"/>
                <w:b w:val="1"/>
                <w:bCs w:val="1"/>
                <w:color w:val="auto"/>
                <w:w w:val="99"/>
              </w:rPr>
              <w:t>Constant Currency Change</w:t>
            </w:r>
          </w:p>
        </w:tc>
      </w:tr>
      <w:tr>
        <w:trPr>
          <w:trHeight w:val="187"/>
        </w:trPr>
        <w:tc>
          <w:tcPr>
            <w:tcW w:w="40" w:type="dxa"/>
            <w:vAlign w:val="bottom"/>
          </w:tcPr>
          <w:p>
            <w:pPr>
              <w:spacing w:after="0"/>
              <w:rPr>
                <w:sz w:val="16"/>
                <w:szCs w:val="16"/>
                <w:color w:val="auto"/>
              </w:rPr>
            </w:pPr>
          </w:p>
        </w:tc>
        <w:tc>
          <w:tcPr>
            <w:tcW w:w="16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9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CCEEFF"/>
            </w:tcBorders>
            <w:gridSpan w:val="2"/>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w:t>
            </w:r>
          </w:p>
        </w:tc>
        <w:tc>
          <w:tcPr>
            <w:tcW w:w="120" w:type="dxa"/>
            <w:vAlign w:val="bottom"/>
            <w:tcBorders>
              <w:top w:val="single" w:sz="8" w:color="auto"/>
              <w:bottom w:val="single" w:sz="8" w:color="CCEEFF"/>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500" w:type="dxa"/>
            <w:vAlign w:val="bottom"/>
            <w:tcBorders>
              <w:top w:val="single" w:sz="8" w:color="auto"/>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center"/>
              <w:ind w:right="83"/>
              <w:spacing w:after="0"/>
              <w:rPr>
                <w:sz w:val="20"/>
                <w:szCs w:val="20"/>
                <w:color w:val="auto"/>
              </w:rPr>
            </w:pPr>
            <w:r>
              <w:rPr>
                <w:rFonts w:ascii="Arial" w:cs="Arial" w:eastAsia="Arial" w:hAnsi="Arial"/>
                <w:sz w:val="14"/>
                <w:szCs w:val="14"/>
                <w:b w:val="1"/>
                <w:bCs w:val="1"/>
                <w:color w:val="auto"/>
              </w:rPr>
              <w:t>$</w:t>
            </w: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860" w:type="dxa"/>
            <w:vAlign w:val="bottom"/>
            <w:tcBorders>
              <w:top w:val="single" w:sz="8" w:color="auto"/>
              <w:bottom w:val="single" w:sz="8" w:color="auto"/>
            </w:tcBorders>
          </w:tcPr>
          <w:p>
            <w:pPr>
              <w:jc w:val="right"/>
              <w:ind w:right="443"/>
              <w:spacing w:after="0"/>
              <w:rPr>
                <w:sz w:val="20"/>
                <w:szCs w:val="20"/>
                <w:color w:val="auto"/>
              </w:rPr>
            </w:pPr>
            <w:r>
              <w:rPr>
                <w:rFonts w:ascii="Arial" w:cs="Arial" w:eastAsia="Arial" w:hAnsi="Arial"/>
                <w:sz w:val="14"/>
                <w:szCs w:val="14"/>
                <w:b w:val="1"/>
                <w:bCs w:val="1"/>
                <w:color w:val="auto"/>
              </w:rPr>
              <w:t>$</w:t>
            </w:r>
          </w:p>
        </w:tc>
        <w:tc>
          <w:tcPr>
            <w:tcW w:w="120" w:type="dxa"/>
            <w:vAlign w:val="bottom"/>
            <w:tcBorders>
              <w:top w:val="single" w:sz="8" w:color="auto"/>
              <w:bottom w:val="single" w:sz="8" w:color="CCEEFF"/>
            </w:tcBorders>
            <w:gridSpan w:val="2"/>
          </w:tcPr>
          <w:p>
            <w:pPr>
              <w:spacing w:after="0"/>
              <w:rPr>
                <w:sz w:val="16"/>
                <w:szCs w:val="16"/>
                <w:color w:val="auto"/>
              </w:rPr>
            </w:pPr>
          </w:p>
        </w:tc>
        <w:tc>
          <w:tcPr>
            <w:tcW w:w="1240" w:type="dxa"/>
            <w:vAlign w:val="bottom"/>
            <w:tcBorders>
              <w:top w:val="single" w:sz="8" w:color="auto"/>
              <w:bottom w:val="single" w:sz="8" w:color="auto"/>
            </w:tcBorders>
            <w:gridSpan w:val="2"/>
          </w:tcPr>
          <w:p>
            <w:pPr>
              <w:jc w:val="right"/>
              <w:ind w:right="488"/>
              <w:spacing w:after="0"/>
              <w:rPr>
                <w:sz w:val="20"/>
                <w:szCs w:val="20"/>
                <w:color w:val="auto"/>
              </w:rPr>
            </w:pPr>
            <w:r>
              <w:rPr>
                <w:rFonts w:ascii="Arial" w:cs="Arial" w:eastAsia="Arial" w:hAnsi="Arial"/>
                <w:sz w:val="14"/>
                <w:szCs w:val="14"/>
                <w:b w:val="1"/>
                <w:bCs w:val="1"/>
                <w:color w:val="auto"/>
              </w:rPr>
              <w:t>%</w:t>
            </w:r>
          </w:p>
        </w:tc>
      </w:tr>
      <w:tr>
        <w:trPr>
          <w:trHeight w:val="224"/>
        </w:trPr>
        <w:tc>
          <w:tcPr>
            <w:tcW w:w="40" w:type="dxa"/>
            <w:vAlign w:val="bottom"/>
          </w:tcPr>
          <w:p>
            <w:pPr>
              <w:spacing w:after="0"/>
              <w:rPr>
                <w:sz w:val="19"/>
                <w:szCs w:val="19"/>
                <w:color w:val="auto"/>
              </w:rPr>
            </w:pPr>
          </w:p>
        </w:tc>
        <w:tc>
          <w:tcPr>
            <w:tcW w:w="16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United States</w:t>
            </w:r>
          </w:p>
        </w:tc>
        <w:tc>
          <w:tcPr>
            <w:tcW w:w="520" w:type="dxa"/>
            <w:vAlign w:val="bottom"/>
            <w:gridSpan w:val="2"/>
            <w:shd w:val="clear" w:color="auto" w:fill="CCEEFF"/>
          </w:tcPr>
          <w:p>
            <w:pPr>
              <w:jc w:val="right"/>
              <w:ind w:right="345"/>
              <w:spacing w:after="0"/>
              <w:rPr>
                <w:sz w:val="20"/>
                <w:szCs w:val="20"/>
                <w:color w:val="auto"/>
              </w:rPr>
            </w:pPr>
            <w:r>
              <w:rPr>
                <w:rFonts w:ascii="Arial" w:cs="Arial" w:eastAsia="Arial" w:hAnsi="Arial"/>
                <w:sz w:val="16"/>
                <w:szCs w:val="16"/>
                <w:color w:val="auto"/>
                <w:w w:val="89"/>
              </w:rPr>
              <w:t>$</w:t>
            </w:r>
          </w:p>
        </w:tc>
        <w:tc>
          <w:tcPr>
            <w:tcW w:w="4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144,483</w:t>
            </w:r>
          </w:p>
        </w:tc>
        <w:tc>
          <w:tcPr>
            <w:tcW w:w="20" w:type="dxa"/>
            <w:vAlign w:val="bottom"/>
            <w:shd w:val="clear" w:color="auto" w:fill="CCEEFF"/>
          </w:tcPr>
          <w:p>
            <w:pPr>
              <w:spacing w:after="0"/>
              <w:rPr>
                <w:sz w:val="19"/>
                <w:szCs w:val="19"/>
                <w:color w:val="auto"/>
              </w:rPr>
            </w:pPr>
          </w:p>
        </w:tc>
        <w:tc>
          <w:tcPr>
            <w:tcW w:w="1020" w:type="dxa"/>
            <w:vAlign w:val="bottom"/>
            <w:gridSpan w:val="3"/>
            <w:shd w:val="clear" w:color="auto" w:fill="CCEEFF"/>
          </w:tcPr>
          <w:p>
            <w:pPr>
              <w:jc w:val="right"/>
              <w:ind w:right="744"/>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116,797</w:t>
            </w:r>
          </w:p>
        </w:tc>
        <w:tc>
          <w:tcPr>
            <w:tcW w:w="20" w:type="dxa"/>
            <w:vAlign w:val="bottom"/>
            <w:shd w:val="clear" w:color="auto" w:fill="CCEEFF"/>
          </w:tcPr>
          <w:p>
            <w:pPr>
              <w:spacing w:after="0"/>
              <w:rPr>
                <w:sz w:val="19"/>
                <w:szCs w:val="19"/>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27,686</w:t>
            </w: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23.7 %</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jc w:val="right"/>
              <w:ind w:right="82"/>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27,686</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23.7 %</w:t>
            </w:r>
          </w:p>
        </w:tc>
      </w:tr>
      <w:tr>
        <w:trPr>
          <w:trHeight w:val="229"/>
        </w:trPr>
        <w:tc>
          <w:tcPr>
            <w:tcW w:w="40" w:type="dxa"/>
            <w:vAlign w:val="bottom"/>
          </w:tcPr>
          <w:p>
            <w:pPr>
              <w:spacing w:after="0"/>
              <w:rPr>
                <w:sz w:val="19"/>
                <w:szCs w:val="19"/>
                <w:color w:val="auto"/>
              </w:rPr>
            </w:pPr>
          </w:p>
        </w:tc>
        <w:tc>
          <w:tcPr>
            <w:tcW w:w="16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International</w:t>
            </w:r>
          </w:p>
        </w:tc>
        <w:tc>
          <w:tcPr>
            <w:tcW w:w="2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59,528</w:t>
            </w: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50,101</w:t>
            </w: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9,427</w:t>
            </w:r>
          </w:p>
        </w:tc>
        <w:tc>
          <w:tcPr>
            <w:tcW w:w="120" w:type="dxa"/>
            <w:vAlign w:val="bottom"/>
            <w:tcBorders>
              <w:bottom w:val="single" w:sz="8" w:color="CCEEFF"/>
            </w:tcBorders>
          </w:tcPr>
          <w:p>
            <w:pPr>
              <w:spacing w:after="0"/>
              <w:rPr>
                <w:sz w:val="19"/>
                <w:szCs w:val="19"/>
                <w:color w:val="auto"/>
              </w:rPr>
            </w:pPr>
          </w:p>
        </w:tc>
        <w:tc>
          <w:tcPr>
            <w:tcW w:w="700" w:type="dxa"/>
            <w:vAlign w:val="bottom"/>
            <w:tcBorders>
              <w:bottom w:val="single" w:sz="8" w:color="CCEEFF"/>
            </w:tcBorders>
          </w:tcPr>
          <w:p>
            <w:pPr>
              <w:spacing w:after="0"/>
              <w:rPr>
                <w:sz w:val="19"/>
                <w:szCs w:val="19"/>
                <w:color w:val="auto"/>
              </w:rPr>
            </w:pPr>
          </w:p>
        </w:tc>
        <w:tc>
          <w:tcPr>
            <w:tcW w:w="5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92"/>
              </w:rPr>
              <w:t>18.8 %</w:t>
            </w: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1,262</w:t>
            </w: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10,689</w:t>
            </w:r>
          </w:p>
        </w:tc>
        <w:tc>
          <w:tcPr>
            <w:tcW w:w="1360" w:type="dxa"/>
            <w:vAlign w:val="bottom"/>
            <w:tcBorders>
              <w:bottom w:val="single" w:sz="8" w:color="CCEEFF"/>
            </w:tcBorders>
            <w:gridSpan w:val="4"/>
          </w:tcPr>
          <w:p>
            <w:pPr>
              <w:jc w:val="right"/>
              <w:spacing w:after="0"/>
              <w:rPr>
                <w:sz w:val="20"/>
                <w:szCs w:val="20"/>
                <w:color w:val="auto"/>
              </w:rPr>
            </w:pPr>
            <w:r>
              <w:rPr>
                <w:rFonts w:ascii="Arial" w:cs="Arial" w:eastAsia="Arial" w:hAnsi="Arial"/>
                <w:sz w:val="18"/>
                <w:szCs w:val="18"/>
                <w:color w:val="auto"/>
              </w:rPr>
              <w:t>21.3 %</w:t>
            </w:r>
          </w:p>
        </w:tc>
      </w:tr>
      <w:tr>
        <w:trPr>
          <w:trHeight w:val="230"/>
        </w:trPr>
        <w:tc>
          <w:tcPr>
            <w:tcW w:w="40" w:type="dxa"/>
            <w:vAlign w:val="bottom"/>
          </w:tcPr>
          <w:p>
            <w:pPr>
              <w:spacing w:after="0"/>
              <w:rPr>
                <w:sz w:val="19"/>
                <w:szCs w:val="19"/>
                <w:color w:val="auto"/>
              </w:rPr>
            </w:pPr>
          </w:p>
        </w:tc>
        <w:tc>
          <w:tcPr>
            <w:tcW w:w="1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2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420" w:type="dxa"/>
            <w:vAlign w:val="bottom"/>
            <w:tcBorders>
              <w:bottom w:val="single" w:sz="8" w:color="auto"/>
            </w:tcBorders>
            <w:shd w:val="clear" w:color="auto" w:fill="CCEEFF"/>
          </w:tcPr>
          <w:p>
            <w:pPr>
              <w:spacing w:after="0"/>
              <w:rPr>
                <w:sz w:val="19"/>
                <w:szCs w:val="19"/>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204,011</w:t>
            </w:r>
          </w:p>
        </w:tc>
        <w:tc>
          <w:tcPr>
            <w:tcW w:w="2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gridSpan w:val="2"/>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744"/>
              <w:spacing w:after="0"/>
              <w:rPr>
                <w:sz w:val="20"/>
                <w:szCs w:val="20"/>
                <w:color w:val="auto"/>
              </w:rPr>
            </w:pPr>
            <w:r>
              <w:rPr>
                <w:rFonts w:ascii="Arial" w:cs="Arial" w:eastAsia="Arial" w:hAnsi="Arial"/>
                <w:sz w:val="16"/>
                <w:szCs w:val="16"/>
                <w:color w:val="auto"/>
                <w:w w:val="8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166,898</w:t>
            </w:r>
          </w:p>
        </w:tc>
        <w:tc>
          <w:tcPr>
            <w:tcW w:w="2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37,113</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2"/>
              </w:rPr>
              <w:t>22.2 %</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1,262</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82"/>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38,375</w:t>
            </w:r>
          </w:p>
        </w:tc>
        <w:tc>
          <w:tcPr>
            <w:tcW w:w="136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6"/>
                <w:szCs w:val="16"/>
                <w:color w:val="auto"/>
              </w:rPr>
              <w:t>23.0 %</w:t>
            </w:r>
          </w:p>
        </w:tc>
      </w:tr>
      <w:tr>
        <w:trPr>
          <w:trHeight w:val="20"/>
        </w:trPr>
        <w:tc>
          <w:tcPr>
            <w:tcW w:w="4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764"/>
        </w:trPr>
        <w:tc>
          <w:tcPr>
            <w:tcW w:w="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60" w:type="dxa"/>
            <w:vAlign w:val="bottom"/>
            <w:gridSpan w:val="6"/>
          </w:tcPr>
          <w:p>
            <w:pPr>
              <w:jc w:val="center"/>
              <w:ind w:left="28"/>
              <w:spacing w:after="0"/>
              <w:rPr>
                <w:sz w:val="20"/>
                <w:szCs w:val="20"/>
                <w:color w:val="auto"/>
              </w:rPr>
            </w:pPr>
            <w:r>
              <w:rPr>
                <w:rFonts w:ascii="Arial" w:cs="Arial" w:eastAsia="Arial" w:hAnsi="Arial"/>
                <w:sz w:val="14"/>
                <w:szCs w:val="14"/>
                <w:b w:val="1"/>
                <w:bCs w:val="1"/>
                <w:color w:val="auto"/>
                <w:w w:val="93"/>
              </w:rPr>
              <w:t>Year Ended December 31,</w:t>
            </w: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gridSpan w:val="3"/>
          </w:tcPr>
          <w:p>
            <w:pPr>
              <w:jc w:val="right"/>
              <w:ind w:right="108"/>
              <w:spacing w:after="0"/>
              <w:rPr>
                <w:sz w:val="20"/>
                <w:szCs w:val="20"/>
                <w:color w:val="auto"/>
              </w:rPr>
            </w:pPr>
            <w:r>
              <w:rPr>
                <w:rFonts w:ascii="Arial" w:cs="Arial" w:eastAsia="Arial" w:hAnsi="Arial"/>
                <w:sz w:val="14"/>
                <w:szCs w:val="14"/>
                <w:b w:val="1"/>
                <w:bCs w:val="1"/>
                <w:color w:val="auto"/>
              </w:rPr>
              <w:t>Reported Change</w:t>
            </w: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8"/>
              </w:rPr>
              <w:t>FX Impact</w:t>
            </w:r>
          </w:p>
        </w:tc>
        <w:tc>
          <w:tcPr>
            <w:tcW w:w="240" w:type="dxa"/>
            <w:vAlign w:val="bottom"/>
          </w:tcPr>
          <w:p>
            <w:pPr>
              <w:spacing w:after="0"/>
              <w:rPr>
                <w:sz w:val="24"/>
                <w:szCs w:val="24"/>
                <w:color w:val="auto"/>
              </w:rPr>
            </w:pPr>
          </w:p>
        </w:tc>
        <w:tc>
          <w:tcPr>
            <w:tcW w:w="2220" w:type="dxa"/>
            <w:vAlign w:val="bottom"/>
            <w:gridSpan w:val="5"/>
          </w:tcPr>
          <w:p>
            <w:pPr>
              <w:jc w:val="right"/>
              <w:ind w:right="328"/>
              <w:spacing w:after="0"/>
              <w:rPr>
                <w:sz w:val="20"/>
                <w:szCs w:val="20"/>
                <w:color w:val="auto"/>
              </w:rPr>
            </w:pPr>
            <w:r>
              <w:rPr>
                <w:rFonts w:ascii="Arial" w:cs="Arial" w:eastAsia="Arial" w:hAnsi="Arial"/>
                <w:sz w:val="14"/>
                <w:szCs w:val="14"/>
                <w:b w:val="1"/>
                <w:bCs w:val="1"/>
                <w:color w:val="auto"/>
                <w:w w:val="99"/>
              </w:rPr>
              <w:t>Constant Currency Change</w:t>
            </w:r>
          </w:p>
        </w:tc>
      </w:tr>
      <w:tr>
        <w:trPr>
          <w:trHeight w:val="187"/>
        </w:trPr>
        <w:tc>
          <w:tcPr>
            <w:tcW w:w="40" w:type="dxa"/>
            <w:vAlign w:val="bottom"/>
          </w:tcPr>
          <w:p>
            <w:pPr>
              <w:spacing w:after="0"/>
              <w:rPr>
                <w:sz w:val="16"/>
                <w:szCs w:val="16"/>
                <w:color w:val="auto"/>
              </w:rPr>
            </w:pPr>
          </w:p>
        </w:tc>
        <w:tc>
          <w:tcPr>
            <w:tcW w:w="16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9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80" w:type="dxa"/>
            <w:vAlign w:val="bottom"/>
            <w:tcBorders>
              <w:top w:val="single" w:sz="8" w:color="auto"/>
              <w:bottom w:val="single" w:sz="8" w:color="CCEEFF"/>
            </w:tcBorders>
          </w:tcPr>
          <w:p>
            <w:pPr>
              <w:spacing w:after="0"/>
              <w:rPr>
                <w:sz w:val="16"/>
                <w:szCs w:val="16"/>
                <w:color w:val="auto"/>
              </w:rPr>
            </w:pPr>
          </w:p>
        </w:tc>
        <w:tc>
          <w:tcPr>
            <w:tcW w:w="9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w:t>
            </w:r>
          </w:p>
        </w:tc>
        <w:tc>
          <w:tcPr>
            <w:tcW w:w="120" w:type="dxa"/>
            <w:vAlign w:val="bottom"/>
            <w:tcBorders>
              <w:top w:val="single" w:sz="8" w:color="auto"/>
              <w:bottom w:val="single" w:sz="8" w:color="CCEEFF"/>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500" w:type="dxa"/>
            <w:vAlign w:val="bottom"/>
            <w:tcBorders>
              <w:top w:val="single" w:sz="8" w:color="auto"/>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center"/>
              <w:ind w:right="83"/>
              <w:spacing w:after="0"/>
              <w:rPr>
                <w:sz w:val="20"/>
                <w:szCs w:val="20"/>
                <w:color w:val="auto"/>
              </w:rPr>
            </w:pPr>
            <w:r>
              <w:rPr>
                <w:rFonts w:ascii="Arial" w:cs="Arial" w:eastAsia="Arial" w:hAnsi="Arial"/>
                <w:sz w:val="14"/>
                <w:szCs w:val="14"/>
                <w:b w:val="1"/>
                <w:bCs w:val="1"/>
                <w:color w:val="auto"/>
              </w:rPr>
              <w:t>$</w:t>
            </w: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860" w:type="dxa"/>
            <w:vAlign w:val="bottom"/>
            <w:tcBorders>
              <w:top w:val="single" w:sz="8" w:color="auto"/>
              <w:bottom w:val="single" w:sz="8" w:color="auto"/>
            </w:tcBorders>
          </w:tcPr>
          <w:p>
            <w:pPr>
              <w:jc w:val="right"/>
              <w:ind w:right="443"/>
              <w:spacing w:after="0"/>
              <w:rPr>
                <w:sz w:val="20"/>
                <w:szCs w:val="20"/>
                <w:color w:val="auto"/>
              </w:rPr>
            </w:pPr>
            <w:r>
              <w:rPr>
                <w:rFonts w:ascii="Arial" w:cs="Arial" w:eastAsia="Arial" w:hAnsi="Arial"/>
                <w:sz w:val="14"/>
                <w:szCs w:val="14"/>
                <w:b w:val="1"/>
                <w:bCs w:val="1"/>
                <w:color w:val="auto"/>
              </w:rPr>
              <w:t>$</w:t>
            </w:r>
          </w:p>
        </w:tc>
        <w:tc>
          <w:tcPr>
            <w:tcW w:w="120" w:type="dxa"/>
            <w:vAlign w:val="bottom"/>
            <w:tcBorders>
              <w:top w:val="single" w:sz="8" w:color="auto"/>
              <w:bottom w:val="single" w:sz="8" w:color="CCEEFF"/>
            </w:tcBorders>
            <w:gridSpan w:val="2"/>
          </w:tcPr>
          <w:p>
            <w:pPr>
              <w:spacing w:after="0"/>
              <w:rPr>
                <w:sz w:val="16"/>
                <w:szCs w:val="16"/>
                <w:color w:val="auto"/>
              </w:rPr>
            </w:pPr>
          </w:p>
        </w:tc>
        <w:tc>
          <w:tcPr>
            <w:tcW w:w="1240" w:type="dxa"/>
            <w:vAlign w:val="bottom"/>
            <w:tcBorders>
              <w:top w:val="single" w:sz="8" w:color="auto"/>
              <w:bottom w:val="single" w:sz="8" w:color="auto"/>
            </w:tcBorders>
            <w:gridSpan w:val="2"/>
          </w:tcPr>
          <w:p>
            <w:pPr>
              <w:jc w:val="right"/>
              <w:ind w:right="488"/>
              <w:spacing w:after="0"/>
              <w:rPr>
                <w:sz w:val="20"/>
                <w:szCs w:val="20"/>
                <w:color w:val="auto"/>
              </w:rPr>
            </w:pPr>
            <w:r>
              <w:rPr>
                <w:rFonts w:ascii="Arial" w:cs="Arial" w:eastAsia="Arial" w:hAnsi="Arial"/>
                <w:sz w:val="14"/>
                <w:szCs w:val="14"/>
                <w:b w:val="1"/>
                <w:bCs w:val="1"/>
                <w:color w:val="auto"/>
              </w:rPr>
              <w:t>%</w:t>
            </w:r>
          </w:p>
        </w:tc>
      </w:tr>
      <w:tr>
        <w:trPr>
          <w:trHeight w:val="224"/>
        </w:trPr>
        <w:tc>
          <w:tcPr>
            <w:tcW w:w="40" w:type="dxa"/>
            <w:vAlign w:val="bottom"/>
          </w:tcPr>
          <w:p>
            <w:pPr>
              <w:spacing w:after="0"/>
              <w:rPr>
                <w:sz w:val="19"/>
                <w:szCs w:val="19"/>
                <w:color w:val="auto"/>
              </w:rPr>
            </w:pPr>
          </w:p>
        </w:tc>
        <w:tc>
          <w:tcPr>
            <w:tcW w:w="16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United States</w:t>
            </w:r>
          </w:p>
        </w:tc>
        <w:tc>
          <w:tcPr>
            <w:tcW w:w="520" w:type="dxa"/>
            <w:vAlign w:val="bottom"/>
            <w:gridSpan w:val="2"/>
            <w:shd w:val="clear" w:color="auto" w:fill="CCEEFF"/>
          </w:tcPr>
          <w:p>
            <w:pPr>
              <w:jc w:val="right"/>
              <w:ind w:right="345"/>
              <w:spacing w:after="0"/>
              <w:rPr>
                <w:sz w:val="20"/>
                <w:szCs w:val="20"/>
                <w:color w:val="auto"/>
              </w:rPr>
            </w:pPr>
            <w:r>
              <w:rPr>
                <w:rFonts w:ascii="Arial" w:cs="Arial" w:eastAsia="Arial" w:hAnsi="Arial"/>
                <w:sz w:val="16"/>
                <w:szCs w:val="16"/>
                <w:color w:val="auto"/>
                <w:w w:val="89"/>
              </w:rPr>
              <w:t>$</w:t>
            </w:r>
          </w:p>
        </w:tc>
        <w:tc>
          <w:tcPr>
            <w:tcW w:w="42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527,789</w:t>
            </w:r>
          </w:p>
        </w:tc>
        <w:tc>
          <w:tcPr>
            <w:tcW w:w="20" w:type="dxa"/>
            <w:vAlign w:val="bottom"/>
            <w:shd w:val="clear" w:color="auto" w:fill="CCEEFF"/>
          </w:tcPr>
          <w:p>
            <w:pPr>
              <w:spacing w:after="0"/>
              <w:rPr>
                <w:sz w:val="19"/>
                <w:szCs w:val="19"/>
                <w:color w:val="auto"/>
              </w:rPr>
            </w:pPr>
          </w:p>
        </w:tc>
        <w:tc>
          <w:tcPr>
            <w:tcW w:w="1020" w:type="dxa"/>
            <w:vAlign w:val="bottom"/>
            <w:gridSpan w:val="3"/>
            <w:shd w:val="clear" w:color="auto" w:fill="CCEEFF"/>
          </w:tcPr>
          <w:p>
            <w:pPr>
              <w:jc w:val="right"/>
              <w:ind w:right="764"/>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400,270</w:t>
            </w:r>
          </w:p>
        </w:tc>
        <w:tc>
          <w:tcPr>
            <w:tcW w:w="20" w:type="dxa"/>
            <w:vAlign w:val="bottom"/>
            <w:shd w:val="clear" w:color="auto" w:fill="CCEEFF"/>
          </w:tcPr>
          <w:p>
            <w:pPr>
              <w:spacing w:after="0"/>
              <w:rPr>
                <w:sz w:val="19"/>
                <w:szCs w:val="19"/>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127,519</w:t>
            </w: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31.9 %</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jc w:val="right"/>
              <w:ind w:right="82"/>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127,519</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31.9 %</w:t>
            </w:r>
          </w:p>
        </w:tc>
      </w:tr>
      <w:tr>
        <w:trPr>
          <w:trHeight w:val="229"/>
        </w:trPr>
        <w:tc>
          <w:tcPr>
            <w:tcW w:w="40" w:type="dxa"/>
            <w:vAlign w:val="bottom"/>
          </w:tcPr>
          <w:p>
            <w:pPr>
              <w:spacing w:after="0"/>
              <w:rPr>
                <w:sz w:val="19"/>
                <w:szCs w:val="19"/>
                <w:color w:val="auto"/>
              </w:rPr>
            </w:pPr>
          </w:p>
        </w:tc>
        <w:tc>
          <w:tcPr>
            <w:tcW w:w="16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International</w:t>
            </w:r>
          </w:p>
        </w:tc>
        <w:tc>
          <w:tcPr>
            <w:tcW w:w="2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6"/>
              </w:rPr>
              <w:t>219,801</w:t>
            </w:r>
          </w:p>
        </w:tc>
        <w:tc>
          <w:tcPr>
            <w:tcW w:w="2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160,142</w:t>
            </w: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59,659</w:t>
            </w:r>
          </w:p>
        </w:tc>
        <w:tc>
          <w:tcPr>
            <w:tcW w:w="120" w:type="dxa"/>
            <w:vAlign w:val="bottom"/>
            <w:tcBorders>
              <w:bottom w:val="single" w:sz="8" w:color="CCEEFF"/>
            </w:tcBorders>
          </w:tcPr>
          <w:p>
            <w:pPr>
              <w:spacing w:after="0"/>
              <w:rPr>
                <w:sz w:val="19"/>
                <w:szCs w:val="19"/>
                <w:color w:val="auto"/>
              </w:rPr>
            </w:pPr>
          </w:p>
        </w:tc>
        <w:tc>
          <w:tcPr>
            <w:tcW w:w="700" w:type="dxa"/>
            <w:vAlign w:val="bottom"/>
            <w:tcBorders>
              <w:bottom w:val="single" w:sz="8" w:color="CCEEFF"/>
            </w:tcBorders>
          </w:tcPr>
          <w:p>
            <w:pPr>
              <w:spacing w:after="0"/>
              <w:rPr>
                <w:sz w:val="19"/>
                <w:szCs w:val="19"/>
                <w:color w:val="auto"/>
              </w:rPr>
            </w:pPr>
          </w:p>
        </w:tc>
        <w:tc>
          <w:tcPr>
            <w:tcW w:w="5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92"/>
              </w:rPr>
              <w:t>37.3 %</w:t>
            </w: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(4,395)</w:t>
            </w: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55,264</w:t>
            </w:r>
          </w:p>
        </w:tc>
        <w:tc>
          <w:tcPr>
            <w:tcW w:w="1360" w:type="dxa"/>
            <w:vAlign w:val="bottom"/>
            <w:tcBorders>
              <w:bottom w:val="single" w:sz="8" w:color="CCEEFF"/>
            </w:tcBorders>
            <w:gridSpan w:val="4"/>
          </w:tcPr>
          <w:p>
            <w:pPr>
              <w:jc w:val="right"/>
              <w:spacing w:after="0"/>
              <w:rPr>
                <w:sz w:val="20"/>
                <w:szCs w:val="20"/>
                <w:color w:val="auto"/>
              </w:rPr>
            </w:pPr>
            <w:r>
              <w:rPr>
                <w:rFonts w:ascii="Arial" w:cs="Arial" w:eastAsia="Arial" w:hAnsi="Arial"/>
                <w:sz w:val="18"/>
                <w:szCs w:val="18"/>
                <w:color w:val="auto"/>
              </w:rPr>
              <w:t>34.5 %</w:t>
            </w:r>
          </w:p>
        </w:tc>
      </w:tr>
      <w:tr>
        <w:trPr>
          <w:trHeight w:val="230"/>
        </w:trPr>
        <w:tc>
          <w:tcPr>
            <w:tcW w:w="40" w:type="dxa"/>
            <w:vAlign w:val="bottom"/>
          </w:tcPr>
          <w:p>
            <w:pPr>
              <w:spacing w:after="0"/>
              <w:rPr>
                <w:sz w:val="19"/>
                <w:szCs w:val="19"/>
                <w:color w:val="auto"/>
              </w:rPr>
            </w:pPr>
          </w:p>
        </w:tc>
        <w:tc>
          <w:tcPr>
            <w:tcW w:w="1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2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ind w:right="345"/>
              <w:spacing w:after="0"/>
              <w:rPr>
                <w:sz w:val="20"/>
                <w:szCs w:val="20"/>
                <w:color w:val="auto"/>
              </w:rPr>
            </w:pPr>
            <w:r>
              <w:rPr>
                <w:rFonts w:ascii="Arial" w:cs="Arial" w:eastAsia="Arial" w:hAnsi="Arial"/>
                <w:sz w:val="15"/>
                <w:szCs w:val="15"/>
                <w:color w:val="auto"/>
                <w:w w:val="71"/>
              </w:rPr>
              <w:t>$</w:t>
            </w:r>
          </w:p>
        </w:tc>
        <w:tc>
          <w:tcPr>
            <w:tcW w:w="420" w:type="dxa"/>
            <w:vAlign w:val="bottom"/>
            <w:tcBorders>
              <w:bottom w:val="single" w:sz="8" w:color="auto"/>
            </w:tcBorders>
            <w:shd w:val="clear" w:color="auto" w:fill="CCEEFF"/>
          </w:tcPr>
          <w:p>
            <w:pPr>
              <w:spacing w:after="0"/>
              <w:rPr>
                <w:sz w:val="19"/>
                <w:szCs w:val="19"/>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6"/>
              </w:rPr>
              <w:t>747,590</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auto"/>
            </w:tcBorders>
            <w:gridSpan w:val="2"/>
            <w:shd w:val="clear" w:color="auto" w:fill="CCEEFF"/>
          </w:tcPr>
          <w:p>
            <w:pPr>
              <w:jc w:val="right"/>
              <w:ind w:right="764"/>
              <w:spacing w:after="0"/>
              <w:rPr>
                <w:sz w:val="20"/>
                <w:szCs w:val="20"/>
                <w:color w:val="auto"/>
              </w:rPr>
            </w:pPr>
            <w:r>
              <w:rPr>
                <w:rFonts w:ascii="Arial" w:cs="Arial" w:eastAsia="Arial" w:hAnsi="Arial"/>
                <w:sz w:val="16"/>
                <w:szCs w:val="16"/>
                <w:color w:val="auto"/>
                <w:w w:val="8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560,412</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187,178</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2"/>
              </w:rPr>
              <w:t>33.4 %</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(4,395)</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82"/>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182,783</w:t>
            </w:r>
          </w:p>
        </w:tc>
        <w:tc>
          <w:tcPr>
            <w:tcW w:w="136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6"/>
                <w:szCs w:val="16"/>
                <w:color w:val="auto"/>
              </w:rPr>
              <w:t>32.6 %</w:t>
            </w:r>
          </w:p>
        </w:tc>
      </w:tr>
      <w:tr>
        <w:trPr>
          <w:trHeight w:val="20"/>
        </w:trPr>
        <w:tc>
          <w:tcPr>
            <w:tcW w:w="4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722"/>
        </w:trPr>
        <w:tc>
          <w:tcPr>
            <w:tcW w:w="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Penumbra, Inc.</w:t>
            </w: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03"/>
        </w:trPr>
        <w:tc>
          <w:tcPr>
            <w:tcW w:w="4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120" w:type="dxa"/>
            <w:vAlign w:val="bottom"/>
            <w:gridSpan w:val="23"/>
          </w:tcPr>
          <w:p>
            <w:pPr>
              <w:jc w:val="center"/>
              <w:ind w:right="263"/>
              <w:spacing w:after="0" w:line="203" w:lineRule="exact"/>
              <w:rPr>
                <w:sz w:val="20"/>
                <w:szCs w:val="20"/>
                <w:color w:val="auto"/>
              </w:rPr>
            </w:pPr>
            <w:r>
              <w:rPr>
                <w:rFonts w:ascii="Arial" w:cs="Arial" w:eastAsia="Arial" w:hAnsi="Arial"/>
                <w:sz w:val="17"/>
                <w:szCs w:val="17"/>
                <w:b w:val="1"/>
                <w:bCs w:val="1"/>
                <w:color w:val="auto"/>
                <w:w w:val="90"/>
              </w:rPr>
              <w:t>Reconciliation of Revenue Change by Product Categories to Constant Currency Revenue Growth</w:t>
            </w:r>
            <w:r>
              <w:rPr>
                <w:rFonts w:ascii="Arial" w:cs="Arial" w:eastAsia="Arial" w:hAnsi="Arial"/>
                <w:sz w:val="22"/>
                <w:szCs w:val="22"/>
                <w:b w:val="1"/>
                <w:bCs w:val="1"/>
                <w:color w:val="auto"/>
                <w:w w:val="90"/>
                <w:vertAlign w:val="superscript"/>
              </w:rPr>
              <w:t>1</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20" w:type="dxa"/>
            <w:vAlign w:val="bottom"/>
          </w:tcPr>
          <w:p>
            <w:pPr>
              <w:spacing w:after="0"/>
              <w:rPr>
                <w:sz w:val="17"/>
                <w:szCs w:val="17"/>
                <w:color w:val="auto"/>
              </w:rPr>
            </w:pPr>
          </w:p>
        </w:tc>
      </w:tr>
      <w:tr>
        <w:trPr>
          <w:trHeight w:val="203"/>
        </w:trPr>
        <w:tc>
          <w:tcPr>
            <w:tcW w:w="4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gridSpan w:val="2"/>
          </w:tcPr>
          <w:p>
            <w:pPr>
              <w:jc w:val="center"/>
              <w:ind w:right="140"/>
              <w:spacing w:after="0"/>
              <w:rPr>
                <w:sz w:val="20"/>
                <w:szCs w:val="20"/>
                <w:color w:val="auto"/>
              </w:rPr>
            </w:pPr>
            <w:r>
              <w:rPr>
                <w:rFonts w:ascii="Arial" w:cs="Arial" w:eastAsia="Arial" w:hAnsi="Arial"/>
                <w:sz w:val="17"/>
                <w:szCs w:val="17"/>
                <w:b w:val="1"/>
                <w:bCs w:val="1"/>
                <w:color w:val="auto"/>
                <w:w w:val="92"/>
              </w:rPr>
              <w:t>(unaudited)</w:t>
            </w:r>
          </w:p>
        </w:tc>
        <w:tc>
          <w:tcPr>
            <w:tcW w:w="7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20" w:type="dxa"/>
            <w:vAlign w:val="bottom"/>
          </w:tcPr>
          <w:p>
            <w:pPr>
              <w:spacing w:after="0"/>
              <w:rPr>
                <w:sz w:val="17"/>
                <w:szCs w:val="17"/>
                <w:color w:val="auto"/>
              </w:rPr>
            </w:pPr>
          </w:p>
        </w:tc>
      </w:tr>
      <w:tr>
        <w:trPr>
          <w:trHeight w:val="220"/>
        </w:trPr>
        <w:tc>
          <w:tcPr>
            <w:tcW w:w="4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gridSpan w:val="3"/>
          </w:tcPr>
          <w:p>
            <w:pPr>
              <w:jc w:val="center"/>
              <w:ind w:right="20"/>
              <w:spacing w:after="0"/>
              <w:rPr>
                <w:sz w:val="20"/>
                <w:szCs w:val="20"/>
                <w:color w:val="auto"/>
              </w:rPr>
            </w:pPr>
            <w:r>
              <w:rPr>
                <w:rFonts w:ascii="Arial" w:cs="Arial" w:eastAsia="Arial" w:hAnsi="Arial"/>
                <w:sz w:val="17"/>
                <w:szCs w:val="17"/>
                <w:b w:val="1"/>
                <w:bCs w:val="1"/>
                <w:color w:val="auto"/>
                <w:w w:val="88"/>
              </w:rPr>
              <w:t>(in thousands)</w:t>
            </w:r>
          </w:p>
        </w:tc>
        <w:tc>
          <w:tcPr>
            <w:tcW w:w="7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14"/>
        </w:trPr>
        <w:tc>
          <w:tcPr>
            <w:tcW w:w="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180" w:type="dxa"/>
            <w:vAlign w:val="bottom"/>
            <w:gridSpan w:val="9"/>
          </w:tcPr>
          <w:p>
            <w:pPr>
              <w:jc w:val="center"/>
              <w:ind w:right="40"/>
              <w:spacing w:after="0"/>
              <w:rPr>
                <w:sz w:val="20"/>
                <w:szCs w:val="20"/>
                <w:color w:val="auto"/>
              </w:rPr>
            </w:pPr>
            <w:r>
              <w:rPr>
                <w:rFonts w:ascii="Arial" w:cs="Arial" w:eastAsia="Arial" w:hAnsi="Arial"/>
                <w:sz w:val="14"/>
                <w:szCs w:val="14"/>
                <w:b w:val="1"/>
                <w:bCs w:val="1"/>
                <w:color w:val="auto"/>
                <w:w w:val="93"/>
              </w:rPr>
              <w:t>Three Months Ended December 31,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3"/>
          </w:tcPr>
          <w:p>
            <w:pPr>
              <w:jc w:val="right"/>
              <w:ind w:right="88"/>
              <w:spacing w:after="0"/>
              <w:rPr>
                <w:sz w:val="20"/>
                <w:szCs w:val="20"/>
                <w:color w:val="auto"/>
              </w:rPr>
            </w:pPr>
            <w:r>
              <w:rPr>
                <w:rFonts w:ascii="Arial" w:cs="Arial" w:eastAsia="Arial" w:hAnsi="Arial"/>
                <w:sz w:val="14"/>
                <w:szCs w:val="14"/>
                <w:b w:val="1"/>
                <w:bCs w:val="1"/>
                <w:color w:val="auto"/>
              </w:rPr>
              <w:t>Reported Change</w:t>
            </w: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98"/>
              </w:rPr>
              <w:t>FX Impact</w:t>
            </w:r>
          </w:p>
        </w:tc>
        <w:tc>
          <w:tcPr>
            <w:tcW w:w="240" w:type="dxa"/>
            <w:vAlign w:val="bottom"/>
          </w:tcPr>
          <w:p>
            <w:pPr>
              <w:spacing w:after="0"/>
              <w:rPr>
                <w:sz w:val="18"/>
                <w:szCs w:val="18"/>
                <w:color w:val="auto"/>
              </w:rPr>
            </w:pPr>
          </w:p>
        </w:tc>
        <w:tc>
          <w:tcPr>
            <w:tcW w:w="2220" w:type="dxa"/>
            <w:vAlign w:val="bottom"/>
            <w:gridSpan w:val="5"/>
          </w:tcPr>
          <w:p>
            <w:pPr>
              <w:jc w:val="right"/>
              <w:ind w:right="308"/>
              <w:spacing w:after="0"/>
              <w:rPr>
                <w:sz w:val="20"/>
                <w:szCs w:val="20"/>
                <w:color w:val="auto"/>
              </w:rPr>
            </w:pPr>
            <w:r>
              <w:rPr>
                <w:rFonts w:ascii="Arial" w:cs="Arial" w:eastAsia="Arial" w:hAnsi="Arial"/>
                <w:sz w:val="14"/>
                <w:szCs w:val="14"/>
                <w:b w:val="1"/>
                <w:bCs w:val="1"/>
                <w:color w:val="auto"/>
              </w:rPr>
              <w:t>Constant Currency Change</w:t>
            </w:r>
          </w:p>
        </w:tc>
      </w:tr>
      <w:tr>
        <w:trPr>
          <w:trHeight w:val="187"/>
        </w:trPr>
        <w:tc>
          <w:tcPr>
            <w:tcW w:w="40" w:type="dxa"/>
            <w:vAlign w:val="bottom"/>
          </w:tcPr>
          <w:p>
            <w:pPr>
              <w:spacing w:after="0"/>
              <w:rPr>
                <w:sz w:val="16"/>
                <w:szCs w:val="16"/>
                <w:color w:val="auto"/>
              </w:rPr>
            </w:pPr>
          </w:p>
        </w:tc>
        <w:tc>
          <w:tcPr>
            <w:tcW w:w="1680" w:type="dxa"/>
            <w:vAlign w:val="bottom"/>
            <w:tcBorders>
              <w:bottom w:val="single" w:sz="8" w:color="CCEEFF"/>
            </w:tcBorders>
          </w:tcPr>
          <w:p>
            <w:pPr>
              <w:spacing w:after="0"/>
              <w:rPr>
                <w:sz w:val="16"/>
                <w:szCs w:val="16"/>
                <w:color w:val="auto"/>
              </w:rPr>
            </w:pPr>
          </w:p>
        </w:tc>
        <w:tc>
          <w:tcPr>
            <w:tcW w:w="9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2021</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80" w:type="dxa"/>
            <w:vAlign w:val="bottom"/>
            <w:tcBorders>
              <w:top w:val="single" w:sz="8" w:color="auto"/>
              <w:bottom w:val="single" w:sz="8" w:color="CCEEFF"/>
            </w:tcBorders>
          </w:tcPr>
          <w:p>
            <w:pPr>
              <w:spacing w:after="0"/>
              <w:rPr>
                <w:sz w:val="16"/>
                <w:szCs w:val="16"/>
                <w:color w:val="auto"/>
              </w:rPr>
            </w:pPr>
          </w:p>
        </w:tc>
        <w:tc>
          <w:tcPr>
            <w:tcW w:w="9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w:t>
            </w:r>
          </w:p>
        </w:tc>
        <w:tc>
          <w:tcPr>
            <w:tcW w:w="120" w:type="dxa"/>
            <w:vAlign w:val="bottom"/>
            <w:tcBorders>
              <w:top w:val="single" w:sz="8" w:color="auto"/>
              <w:bottom w:val="single" w:sz="8" w:color="CCEEFF"/>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50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center"/>
              <w:ind w:right="63"/>
              <w:spacing w:after="0"/>
              <w:rPr>
                <w:sz w:val="20"/>
                <w:szCs w:val="20"/>
                <w:color w:val="auto"/>
              </w:rPr>
            </w:pPr>
            <w:r>
              <w:rPr>
                <w:rFonts w:ascii="Arial" w:cs="Arial" w:eastAsia="Arial" w:hAnsi="Arial"/>
                <w:sz w:val="14"/>
                <w:szCs w:val="14"/>
                <w:b w:val="1"/>
                <w:bCs w:val="1"/>
                <w:color w:val="auto"/>
                <w:w w:val="76"/>
              </w:rPr>
              <w:t>$</w:t>
            </w: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860" w:type="dxa"/>
            <w:vAlign w:val="bottom"/>
            <w:tcBorders>
              <w:top w:val="single" w:sz="8" w:color="auto"/>
              <w:bottom w:val="single" w:sz="8" w:color="auto"/>
            </w:tcBorders>
          </w:tcPr>
          <w:p>
            <w:pPr>
              <w:jc w:val="right"/>
              <w:ind w:right="423"/>
              <w:spacing w:after="0"/>
              <w:rPr>
                <w:sz w:val="20"/>
                <w:szCs w:val="20"/>
                <w:color w:val="auto"/>
              </w:rPr>
            </w:pPr>
            <w:r>
              <w:rPr>
                <w:rFonts w:ascii="Arial" w:cs="Arial" w:eastAsia="Arial" w:hAnsi="Arial"/>
                <w:sz w:val="14"/>
                <w:szCs w:val="14"/>
                <w:b w:val="1"/>
                <w:bCs w:val="1"/>
                <w:color w:val="auto"/>
              </w:rPr>
              <w:t>$</w:t>
            </w: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gridSpan w:val="2"/>
          </w:tcPr>
          <w:p>
            <w:pPr>
              <w:spacing w:after="0"/>
              <w:rPr>
                <w:sz w:val="16"/>
                <w:szCs w:val="16"/>
                <w:color w:val="auto"/>
              </w:rPr>
            </w:pPr>
          </w:p>
        </w:tc>
        <w:tc>
          <w:tcPr>
            <w:tcW w:w="1220" w:type="dxa"/>
            <w:vAlign w:val="bottom"/>
            <w:tcBorders>
              <w:top w:val="single" w:sz="8" w:color="auto"/>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w:t>
            </w:r>
          </w:p>
        </w:tc>
      </w:tr>
      <w:tr>
        <w:trPr>
          <w:trHeight w:val="211"/>
        </w:trPr>
        <w:tc>
          <w:tcPr>
            <w:tcW w:w="40" w:type="dxa"/>
            <w:vAlign w:val="bottom"/>
          </w:tcPr>
          <w:p>
            <w:pPr>
              <w:spacing w:after="0"/>
              <w:rPr>
                <w:sz w:val="18"/>
                <w:szCs w:val="18"/>
                <w:color w:val="auto"/>
              </w:rPr>
            </w:pPr>
          </w:p>
        </w:tc>
        <w:tc>
          <w:tcPr>
            <w:tcW w:w="1680" w:type="dxa"/>
            <w:vAlign w:val="bottom"/>
            <w:shd w:val="clear" w:color="auto" w:fill="CCEEFF"/>
          </w:tcPr>
          <w:p>
            <w:pPr>
              <w:ind w:left="20"/>
              <w:spacing w:after="0"/>
              <w:rPr>
                <w:sz w:val="20"/>
                <w:szCs w:val="20"/>
                <w:color w:val="auto"/>
              </w:rPr>
            </w:pPr>
            <w:r>
              <w:rPr>
                <w:rFonts w:ascii="Arial" w:cs="Arial" w:eastAsia="Arial" w:hAnsi="Arial"/>
                <w:sz w:val="16"/>
                <w:szCs w:val="16"/>
                <w:color w:val="auto"/>
              </w:rPr>
              <w:t>Vascular</w:t>
            </w:r>
          </w:p>
        </w:tc>
        <w:tc>
          <w:tcPr>
            <w:tcW w:w="520" w:type="dxa"/>
            <w:vAlign w:val="bottom"/>
            <w:gridSpan w:val="2"/>
            <w:shd w:val="clear" w:color="auto" w:fill="CCEEFF"/>
          </w:tcPr>
          <w:p>
            <w:pPr>
              <w:jc w:val="right"/>
              <w:ind w:right="345"/>
              <w:spacing w:after="0"/>
              <w:rPr>
                <w:sz w:val="20"/>
                <w:szCs w:val="20"/>
                <w:color w:val="auto"/>
              </w:rPr>
            </w:pPr>
            <w:r>
              <w:rPr>
                <w:rFonts w:ascii="Arial" w:cs="Arial" w:eastAsia="Arial" w:hAnsi="Arial"/>
                <w:sz w:val="16"/>
                <w:szCs w:val="16"/>
                <w:color w:val="auto"/>
                <w:w w:val="89"/>
              </w:rPr>
              <w:t>$</w:t>
            </w:r>
          </w:p>
        </w:tc>
        <w:tc>
          <w:tcPr>
            <w:tcW w:w="4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113,565</w:t>
            </w:r>
          </w:p>
        </w:tc>
        <w:tc>
          <w:tcPr>
            <w:tcW w:w="2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764"/>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87,098</w:t>
            </w:r>
          </w:p>
        </w:tc>
        <w:tc>
          <w:tcPr>
            <w:tcW w:w="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26,467</w:t>
            </w: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6"/>
              </w:rPr>
              <w:t>30.4 %</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621</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27,088</w:t>
            </w:r>
          </w:p>
        </w:tc>
        <w:tc>
          <w:tcPr>
            <w:tcW w:w="1360" w:type="dxa"/>
            <w:vAlign w:val="bottom"/>
            <w:gridSpan w:val="4"/>
            <w:shd w:val="clear" w:color="auto" w:fill="CCEEFF"/>
          </w:tcPr>
          <w:p>
            <w:pPr>
              <w:jc w:val="right"/>
              <w:spacing w:after="0"/>
              <w:rPr>
                <w:sz w:val="20"/>
                <w:szCs w:val="20"/>
                <w:color w:val="auto"/>
              </w:rPr>
            </w:pPr>
            <w:r>
              <w:rPr>
                <w:rFonts w:ascii="Arial" w:cs="Arial" w:eastAsia="Arial" w:hAnsi="Arial"/>
                <w:sz w:val="16"/>
                <w:szCs w:val="16"/>
                <w:color w:val="auto"/>
              </w:rPr>
              <w:t>31.1 %</w:t>
            </w:r>
          </w:p>
        </w:tc>
      </w:tr>
      <w:tr>
        <w:trPr>
          <w:trHeight w:val="213"/>
        </w:trPr>
        <w:tc>
          <w:tcPr>
            <w:tcW w:w="40" w:type="dxa"/>
            <w:vAlign w:val="bottom"/>
          </w:tcPr>
          <w:p>
            <w:pPr>
              <w:spacing w:after="0"/>
              <w:rPr>
                <w:sz w:val="18"/>
                <w:szCs w:val="18"/>
                <w:color w:val="auto"/>
              </w:rPr>
            </w:pPr>
          </w:p>
        </w:tc>
        <w:tc>
          <w:tcPr>
            <w:tcW w:w="16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Neuro</w:t>
            </w:r>
          </w:p>
        </w:tc>
        <w:tc>
          <w:tcPr>
            <w:tcW w:w="2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90,446</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79,800</w:t>
            </w: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10,646</w:t>
            </w:r>
          </w:p>
        </w:tc>
        <w:tc>
          <w:tcPr>
            <w:tcW w:w="120" w:type="dxa"/>
            <w:vAlign w:val="bottom"/>
            <w:tcBorders>
              <w:bottom w:val="single" w:sz="8" w:color="CCEEFF"/>
            </w:tcBorders>
          </w:tcPr>
          <w:p>
            <w:pPr>
              <w:spacing w:after="0"/>
              <w:rPr>
                <w:sz w:val="18"/>
                <w:szCs w:val="18"/>
                <w:color w:val="auto"/>
              </w:rPr>
            </w:pPr>
          </w:p>
        </w:tc>
        <w:tc>
          <w:tcPr>
            <w:tcW w:w="700" w:type="dxa"/>
            <w:vAlign w:val="bottom"/>
            <w:tcBorders>
              <w:bottom w:val="single" w:sz="8" w:color="CCEEFF"/>
            </w:tcBorders>
          </w:tcPr>
          <w:p>
            <w:pPr>
              <w:spacing w:after="0"/>
              <w:rPr>
                <w:sz w:val="18"/>
                <w:szCs w:val="18"/>
                <w:color w:val="auto"/>
              </w:rPr>
            </w:pPr>
          </w:p>
        </w:tc>
        <w:tc>
          <w:tcPr>
            <w:tcW w:w="5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96"/>
              </w:rPr>
              <w:t>13.3 %</w:t>
            </w: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641</w:t>
            </w: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11,287</w:t>
            </w:r>
          </w:p>
        </w:tc>
        <w:tc>
          <w:tcPr>
            <w:tcW w:w="20" w:type="dxa"/>
            <w:vAlign w:val="bottom"/>
            <w:tcBorders>
              <w:bottom w:val="single" w:sz="8" w:color="auto"/>
            </w:tcBorders>
          </w:tcPr>
          <w:p>
            <w:pPr>
              <w:spacing w:after="0"/>
              <w:rPr>
                <w:sz w:val="18"/>
                <w:szCs w:val="18"/>
                <w:color w:val="auto"/>
              </w:rPr>
            </w:pPr>
          </w:p>
        </w:tc>
        <w:tc>
          <w:tcPr>
            <w:tcW w:w="1340" w:type="dxa"/>
            <w:vAlign w:val="bottom"/>
            <w:tcBorders>
              <w:bottom w:val="single" w:sz="8" w:color="CCEEFF"/>
            </w:tcBorders>
            <w:gridSpan w:val="3"/>
          </w:tcPr>
          <w:p>
            <w:pPr>
              <w:jc w:val="right"/>
              <w:spacing w:after="0"/>
              <w:rPr>
                <w:sz w:val="20"/>
                <w:szCs w:val="20"/>
                <w:color w:val="auto"/>
              </w:rPr>
            </w:pPr>
            <w:r>
              <w:rPr>
                <w:rFonts w:ascii="Arial" w:cs="Arial" w:eastAsia="Arial" w:hAnsi="Arial"/>
                <w:sz w:val="16"/>
                <w:szCs w:val="16"/>
                <w:color w:val="auto"/>
              </w:rPr>
              <w:t>14.1 %</w:t>
            </w:r>
          </w:p>
        </w:tc>
      </w:tr>
      <w:tr>
        <w:trPr>
          <w:trHeight w:val="232"/>
        </w:trPr>
        <w:tc>
          <w:tcPr>
            <w:tcW w:w="40" w:type="dxa"/>
            <w:vAlign w:val="bottom"/>
          </w:tcPr>
          <w:p>
            <w:pPr>
              <w:spacing w:after="0"/>
              <w:rPr>
                <w:sz w:val="20"/>
                <w:szCs w:val="20"/>
                <w:color w:val="auto"/>
              </w:rPr>
            </w:pPr>
          </w:p>
        </w:tc>
        <w:tc>
          <w:tcPr>
            <w:tcW w:w="1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520" w:type="dxa"/>
            <w:vAlign w:val="bottom"/>
            <w:tcBorders>
              <w:bottom w:val="single" w:sz="8" w:color="auto"/>
            </w:tcBorders>
            <w:gridSpan w:val="2"/>
            <w:shd w:val="clear" w:color="auto" w:fill="CCEEFF"/>
          </w:tcPr>
          <w:p>
            <w:pPr>
              <w:jc w:val="right"/>
              <w:ind w:right="345"/>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shd w:val="clear" w:color="auto" w:fill="CCEEFF"/>
          </w:tcPr>
          <w:p>
            <w:pPr>
              <w:spacing w:after="0"/>
              <w:rPr>
                <w:sz w:val="20"/>
                <w:szCs w:val="20"/>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6"/>
              </w:rPr>
              <w:t>204,011</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auto"/>
            </w:tcBorders>
            <w:gridSpan w:val="2"/>
            <w:shd w:val="clear" w:color="auto" w:fill="CCEEFF"/>
          </w:tcPr>
          <w:p>
            <w:pPr>
              <w:jc w:val="right"/>
              <w:ind w:right="764"/>
              <w:spacing w:after="0"/>
              <w:rPr>
                <w:sz w:val="20"/>
                <w:szCs w:val="20"/>
                <w:color w:val="auto"/>
              </w:rPr>
            </w:pPr>
            <w:r>
              <w:rPr>
                <w:rFonts w:ascii="Arial" w:cs="Arial" w:eastAsia="Arial" w:hAnsi="Arial"/>
                <w:sz w:val="16"/>
                <w:szCs w:val="16"/>
                <w:color w:val="auto"/>
                <w:w w:val="8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166,898</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37,113</w:t>
            </w:r>
          </w:p>
        </w:tc>
        <w:tc>
          <w:tcPr>
            <w:tcW w:w="12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6"/>
              </w:rPr>
              <w:t>22.2 %</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1,262</w:t>
            </w:r>
          </w:p>
        </w:tc>
        <w:tc>
          <w:tcPr>
            <w:tcW w:w="2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38,375</w:t>
            </w:r>
          </w:p>
        </w:tc>
        <w:tc>
          <w:tcPr>
            <w:tcW w:w="20" w:type="dxa"/>
            <w:vAlign w:val="bottom"/>
            <w:tcBorders>
              <w:bottom w:val="single" w:sz="8" w:color="auto"/>
            </w:tcBorders>
            <w:shd w:val="clear" w:color="auto" w:fill="CCEEFF"/>
          </w:tcPr>
          <w:p>
            <w:pPr>
              <w:spacing w:after="0"/>
              <w:rPr>
                <w:sz w:val="20"/>
                <w:szCs w:val="20"/>
                <w:color w:val="auto"/>
              </w:rPr>
            </w:pPr>
          </w:p>
        </w:tc>
        <w:tc>
          <w:tcPr>
            <w:tcW w:w="13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23.0 %</w:t>
            </w:r>
          </w:p>
        </w:tc>
      </w:tr>
      <w:tr>
        <w:trPr>
          <w:trHeight w:val="20"/>
        </w:trPr>
        <w:tc>
          <w:tcPr>
            <w:tcW w:w="4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940" w:type="dxa"/>
            <w:vAlign w:val="bottom"/>
            <w:tcBorders>
              <w:bottom w:val="single" w:sz="8" w:color="auto"/>
            </w:tcBorders>
            <w:gridSpan w:val="2"/>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765"/>
        </w:trPr>
        <w:tc>
          <w:tcPr>
            <w:tcW w:w="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60" w:type="dxa"/>
            <w:vAlign w:val="bottom"/>
            <w:gridSpan w:val="6"/>
          </w:tcPr>
          <w:p>
            <w:pPr>
              <w:jc w:val="center"/>
              <w:spacing w:after="0"/>
              <w:rPr>
                <w:sz w:val="20"/>
                <w:szCs w:val="20"/>
                <w:color w:val="auto"/>
              </w:rPr>
            </w:pPr>
            <w:r>
              <w:rPr>
                <w:rFonts w:ascii="Arial" w:cs="Arial" w:eastAsia="Arial" w:hAnsi="Arial"/>
                <w:sz w:val="14"/>
                <w:szCs w:val="14"/>
                <w:b w:val="1"/>
                <w:bCs w:val="1"/>
                <w:color w:val="auto"/>
                <w:w w:val="93"/>
              </w:rPr>
              <w:t>Year Ended December 31,</w:t>
            </w: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gridSpan w:val="3"/>
          </w:tcPr>
          <w:p>
            <w:pPr>
              <w:jc w:val="right"/>
              <w:ind w:right="108"/>
              <w:spacing w:after="0"/>
              <w:rPr>
                <w:sz w:val="20"/>
                <w:szCs w:val="20"/>
                <w:color w:val="auto"/>
              </w:rPr>
            </w:pPr>
            <w:r>
              <w:rPr>
                <w:rFonts w:ascii="Arial" w:cs="Arial" w:eastAsia="Arial" w:hAnsi="Arial"/>
                <w:sz w:val="14"/>
                <w:szCs w:val="14"/>
                <w:b w:val="1"/>
                <w:bCs w:val="1"/>
                <w:color w:val="auto"/>
              </w:rPr>
              <w:t>Reported Change</w:t>
            </w: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rPr>
              <w:t>FX Impact</w:t>
            </w:r>
          </w:p>
        </w:tc>
        <w:tc>
          <w:tcPr>
            <w:tcW w:w="240" w:type="dxa"/>
            <w:vAlign w:val="bottom"/>
          </w:tcPr>
          <w:p>
            <w:pPr>
              <w:spacing w:after="0"/>
              <w:rPr>
                <w:sz w:val="24"/>
                <w:szCs w:val="24"/>
                <w:color w:val="auto"/>
              </w:rPr>
            </w:pPr>
          </w:p>
        </w:tc>
        <w:tc>
          <w:tcPr>
            <w:tcW w:w="2220" w:type="dxa"/>
            <w:vAlign w:val="bottom"/>
            <w:gridSpan w:val="5"/>
          </w:tcPr>
          <w:p>
            <w:pPr>
              <w:jc w:val="right"/>
              <w:ind w:right="308"/>
              <w:spacing w:after="0"/>
              <w:rPr>
                <w:sz w:val="20"/>
                <w:szCs w:val="20"/>
                <w:color w:val="auto"/>
              </w:rPr>
            </w:pPr>
            <w:r>
              <w:rPr>
                <w:rFonts w:ascii="Arial" w:cs="Arial" w:eastAsia="Arial" w:hAnsi="Arial"/>
                <w:sz w:val="14"/>
                <w:szCs w:val="14"/>
                <w:b w:val="1"/>
                <w:bCs w:val="1"/>
                <w:color w:val="auto"/>
              </w:rPr>
              <w:t>Constant Currency Change</w:t>
            </w:r>
          </w:p>
        </w:tc>
      </w:tr>
      <w:tr>
        <w:trPr>
          <w:trHeight w:val="187"/>
        </w:trPr>
        <w:tc>
          <w:tcPr>
            <w:tcW w:w="40" w:type="dxa"/>
            <w:vAlign w:val="bottom"/>
          </w:tcPr>
          <w:p>
            <w:pPr>
              <w:spacing w:after="0"/>
              <w:rPr>
                <w:sz w:val="16"/>
                <w:szCs w:val="16"/>
                <w:color w:val="auto"/>
              </w:rPr>
            </w:pPr>
          </w:p>
        </w:tc>
        <w:tc>
          <w:tcPr>
            <w:tcW w:w="1680" w:type="dxa"/>
            <w:vAlign w:val="bottom"/>
            <w:tcBorders>
              <w:bottom w:val="single" w:sz="8" w:color="CCEEFF"/>
            </w:tcBorders>
          </w:tcPr>
          <w:p>
            <w:pPr>
              <w:spacing w:after="0"/>
              <w:rPr>
                <w:sz w:val="16"/>
                <w:szCs w:val="16"/>
                <w:color w:val="auto"/>
              </w:rPr>
            </w:pPr>
          </w:p>
        </w:tc>
        <w:tc>
          <w:tcPr>
            <w:tcW w:w="9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2021</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80" w:type="dxa"/>
            <w:vAlign w:val="bottom"/>
            <w:tcBorders>
              <w:top w:val="single" w:sz="8" w:color="auto"/>
              <w:bottom w:val="single" w:sz="8" w:color="CCEEFF"/>
            </w:tcBorders>
          </w:tcPr>
          <w:p>
            <w:pPr>
              <w:spacing w:after="0"/>
              <w:rPr>
                <w:sz w:val="16"/>
                <w:szCs w:val="16"/>
                <w:color w:val="auto"/>
              </w:rPr>
            </w:pPr>
          </w:p>
        </w:tc>
        <w:tc>
          <w:tcPr>
            <w:tcW w:w="9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600" w:type="dxa"/>
            <w:vAlign w:val="bottom"/>
            <w:tcBorders>
              <w:top w:val="single" w:sz="8" w:color="auto"/>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w:t>
            </w:r>
          </w:p>
        </w:tc>
        <w:tc>
          <w:tcPr>
            <w:tcW w:w="120" w:type="dxa"/>
            <w:vAlign w:val="bottom"/>
            <w:tcBorders>
              <w:top w:val="single" w:sz="8" w:color="auto"/>
              <w:bottom w:val="single" w:sz="8" w:color="CCEEFF"/>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500" w:type="dxa"/>
            <w:vAlign w:val="bottom"/>
            <w:tcBorders>
              <w:top w:val="single" w:sz="8" w:color="auto"/>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center"/>
              <w:ind w:right="83"/>
              <w:spacing w:after="0"/>
              <w:rPr>
                <w:sz w:val="20"/>
                <w:szCs w:val="20"/>
                <w:color w:val="auto"/>
              </w:rPr>
            </w:pPr>
            <w:r>
              <w:rPr>
                <w:rFonts w:ascii="Arial" w:cs="Arial" w:eastAsia="Arial" w:hAnsi="Arial"/>
                <w:sz w:val="14"/>
                <w:szCs w:val="14"/>
                <w:b w:val="1"/>
                <w:bCs w:val="1"/>
                <w:color w:val="auto"/>
              </w:rPr>
              <w:t>$</w:t>
            </w: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860" w:type="dxa"/>
            <w:vAlign w:val="bottom"/>
            <w:tcBorders>
              <w:top w:val="single" w:sz="8" w:color="auto"/>
              <w:bottom w:val="single" w:sz="8" w:color="auto"/>
            </w:tcBorders>
          </w:tcPr>
          <w:p>
            <w:pPr>
              <w:jc w:val="right"/>
              <w:ind w:right="423"/>
              <w:spacing w:after="0"/>
              <w:rPr>
                <w:sz w:val="20"/>
                <w:szCs w:val="20"/>
                <w:color w:val="auto"/>
              </w:rPr>
            </w:pPr>
            <w:r>
              <w:rPr>
                <w:rFonts w:ascii="Arial" w:cs="Arial" w:eastAsia="Arial" w:hAnsi="Arial"/>
                <w:sz w:val="14"/>
                <w:szCs w:val="14"/>
                <w:b w:val="1"/>
                <w:bCs w:val="1"/>
                <w:color w:val="auto"/>
              </w:rPr>
              <w:t>$</w:t>
            </w: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gridSpan w:val="2"/>
          </w:tcPr>
          <w:p>
            <w:pPr>
              <w:spacing w:after="0"/>
              <w:rPr>
                <w:sz w:val="16"/>
                <w:szCs w:val="16"/>
                <w:color w:val="auto"/>
              </w:rPr>
            </w:pPr>
          </w:p>
        </w:tc>
        <w:tc>
          <w:tcPr>
            <w:tcW w:w="1220" w:type="dxa"/>
            <w:vAlign w:val="bottom"/>
            <w:tcBorders>
              <w:top w:val="single" w:sz="8" w:color="auto"/>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w:t>
            </w:r>
          </w:p>
        </w:tc>
      </w:tr>
      <w:tr>
        <w:trPr>
          <w:trHeight w:val="211"/>
        </w:trPr>
        <w:tc>
          <w:tcPr>
            <w:tcW w:w="40" w:type="dxa"/>
            <w:vAlign w:val="bottom"/>
          </w:tcPr>
          <w:p>
            <w:pPr>
              <w:spacing w:after="0"/>
              <w:rPr>
                <w:sz w:val="18"/>
                <w:szCs w:val="18"/>
                <w:color w:val="auto"/>
              </w:rPr>
            </w:pPr>
          </w:p>
        </w:tc>
        <w:tc>
          <w:tcPr>
            <w:tcW w:w="1680" w:type="dxa"/>
            <w:vAlign w:val="bottom"/>
            <w:shd w:val="clear" w:color="auto" w:fill="CCEEFF"/>
          </w:tcPr>
          <w:p>
            <w:pPr>
              <w:ind w:left="20"/>
              <w:spacing w:after="0"/>
              <w:rPr>
                <w:sz w:val="20"/>
                <w:szCs w:val="20"/>
                <w:color w:val="auto"/>
              </w:rPr>
            </w:pPr>
            <w:r>
              <w:rPr>
                <w:rFonts w:ascii="Arial" w:cs="Arial" w:eastAsia="Arial" w:hAnsi="Arial"/>
                <w:sz w:val="16"/>
                <w:szCs w:val="16"/>
                <w:color w:val="auto"/>
              </w:rPr>
              <w:t>Vascular</w:t>
            </w:r>
          </w:p>
        </w:tc>
        <w:tc>
          <w:tcPr>
            <w:tcW w:w="520" w:type="dxa"/>
            <w:vAlign w:val="bottom"/>
            <w:gridSpan w:val="2"/>
            <w:shd w:val="clear" w:color="auto" w:fill="CCEEFF"/>
          </w:tcPr>
          <w:p>
            <w:pPr>
              <w:jc w:val="right"/>
              <w:ind w:right="345"/>
              <w:spacing w:after="0"/>
              <w:rPr>
                <w:sz w:val="20"/>
                <w:szCs w:val="20"/>
                <w:color w:val="auto"/>
              </w:rPr>
            </w:pPr>
            <w:r>
              <w:rPr>
                <w:rFonts w:ascii="Arial" w:cs="Arial" w:eastAsia="Arial" w:hAnsi="Arial"/>
                <w:sz w:val="16"/>
                <w:szCs w:val="16"/>
                <w:color w:val="auto"/>
                <w:w w:val="89"/>
              </w:rPr>
              <w:t>$</w:t>
            </w:r>
          </w:p>
        </w:tc>
        <w:tc>
          <w:tcPr>
            <w:tcW w:w="4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408,878</w:t>
            </w:r>
          </w:p>
        </w:tc>
        <w:tc>
          <w:tcPr>
            <w:tcW w:w="2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764"/>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267,783</w:t>
            </w:r>
          </w:p>
        </w:tc>
        <w:tc>
          <w:tcPr>
            <w:tcW w:w="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141,095</w:t>
            </w: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52.7 %</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(1,162)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139,933</w:t>
            </w:r>
          </w:p>
        </w:tc>
        <w:tc>
          <w:tcPr>
            <w:tcW w:w="1360" w:type="dxa"/>
            <w:vAlign w:val="bottom"/>
            <w:gridSpan w:val="4"/>
            <w:shd w:val="clear" w:color="auto" w:fill="CCEEFF"/>
          </w:tcPr>
          <w:p>
            <w:pPr>
              <w:jc w:val="right"/>
              <w:spacing w:after="0"/>
              <w:rPr>
                <w:sz w:val="20"/>
                <w:szCs w:val="20"/>
                <w:color w:val="auto"/>
              </w:rPr>
            </w:pPr>
            <w:r>
              <w:rPr>
                <w:rFonts w:ascii="Arial" w:cs="Arial" w:eastAsia="Arial" w:hAnsi="Arial"/>
                <w:sz w:val="16"/>
                <w:szCs w:val="16"/>
                <w:color w:val="auto"/>
              </w:rPr>
              <w:t>52.3 %</w:t>
            </w:r>
          </w:p>
        </w:tc>
      </w:tr>
      <w:tr>
        <w:trPr>
          <w:trHeight w:val="213"/>
        </w:trPr>
        <w:tc>
          <w:tcPr>
            <w:tcW w:w="40" w:type="dxa"/>
            <w:vAlign w:val="bottom"/>
          </w:tcPr>
          <w:p>
            <w:pPr>
              <w:spacing w:after="0"/>
              <w:rPr>
                <w:sz w:val="18"/>
                <w:szCs w:val="18"/>
                <w:color w:val="auto"/>
              </w:rPr>
            </w:pPr>
          </w:p>
        </w:tc>
        <w:tc>
          <w:tcPr>
            <w:tcW w:w="16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Neuro</w:t>
            </w:r>
          </w:p>
        </w:tc>
        <w:tc>
          <w:tcPr>
            <w:tcW w:w="2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6"/>
              </w:rPr>
              <w:t>338,712</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292,629</w:t>
            </w: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46,083</w:t>
            </w:r>
          </w:p>
        </w:tc>
        <w:tc>
          <w:tcPr>
            <w:tcW w:w="120" w:type="dxa"/>
            <w:vAlign w:val="bottom"/>
            <w:tcBorders>
              <w:bottom w:val="single" w:sz="8" w:color="CCEEFF"/>
            </w:tcBorders>
          </w:tcPr>
          <w:p>
            <w:pPr>
              <w:spacing w:after="0"/>
              <w:rPr>
                <w:sz w:val="18"/>
                <w:szCs w:val="18"/>
                <w:color w:val="auto"/>
              </w:rPr>
            </w:pPr>
          </w:p>
        </w:tc>
        <w:tc>
          <w:tcPr>
            <w:tcW w:w="700" w:type="dxa"/>
            <w:vAlign w:val="bottom"/>
            <w:tcBorders>
              <w:bottom w:val="single" w:sz="8" w:color="CCEEFF"/>
            </w:tcBorders>
          </w:tcPr>
          <w:p>
            <w:pPr>
              <w:spacing w:after="0"/>
              <w:rPr>
                <w:sz w:val="18"/>
                <w:szCs w:val="18"/>
                <w:color w:val="auto"/>
              </w:rPr>
            </w:pPr>
          </w:p>
        </w:tc>
        <w:tc>
          <w:tcPr>
            <w:tcW w:w="5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92"/>
              </w:rPr>
              <w:t>15.7 %</w:t>
            </w: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(3,233)</w:t>
            </w: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42,850</w:t>
            </w:r>
          </w:p>
        </w:tc>
        <w:tc>
          <w:tcPr>
            <w:tcW w:w="20" w:type="dxa"/>
            <w:vAlign w:val="bottom"/>
            <w:tcBorders>
              <w:bottom w:val="single" w:sz="8" w:color="auto"/>
            </w:tcBorders>
          </w:tcPr>
          <w:p>
            <w:pPr>
              <w:spacing w:after="0"/>
              <w:rPr>
                <w:sz w:val="18"/>
                <w:szCs w:val="18"/>
                <w:color w:val="auto"/>
              </w:rPr>
            </w:pPr>
          </w:p>
        </w:tc>
        <w:tc>
          <w:tcPr>
            <w:tcW w:w="1340" w:type="dxa"/>
            <w:vAlign w:val="bottom"/>
            <w:tcBorders>
              <w:bottom w:val="single" w:sz="8" w:color="CCEEFF"/>
            </w:tcBorders>
            <w:gridSpan w:val="3"/>
          </w:tcPr>
          <w:p>
            <w:pPr>
              <w:jc w:val="right"/>
              <w:spacing w:after="0"/>
              <w:rPr>
                <w:sz w:val="20"/>
                <w:szCs w:val="20"/>
                <w:color w:val="auto"/>
              </w:rPr>
            </w:pPr>
            <w:r>
              <w:rPr>
                <w:rFonts w:ascii="Arial" w:cs="Arial" w:eastAsia="Arial" w:hAnsi="Arial"/>
                <w:sz w:val="16"/>
                <w:szCs w:val="16"/>
                <w:color w:val="auto"/>
              </w:rPr>
              <w:t>14.6 %</w:t>
            </w:r>
          </w:p>
        </w:tc>
      </w:tr>
      <w:tr>
        <w:trPr>
          <w:trHeight w:val="233"/>
        </w:trPr>
        <w:tc>
          <w:tcPr>
            <w:tcW w:w="40" w:type="dxa"/>
            <w:vAlign w:val="bottom"/>
          </w:tcPr>
          <w:p>
            <w:pPr>
              <w:spacing w:after="0"/>
              <w:rPr>
                <w:sz w:val="20"/>
                <w:szCs w:val="20"/>
                <w:color w:val="auto"/>
              </w:rPr>
            </w:pPr>
          </w:p>
        </w:tc>
        <w:tc>
          <w:tcPr>
            <w:tcW w:w="168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520" w:type="dxa"/>
            <w:vAlign w:val="bottom"/>
            <w:gridSpan w:val="2"/>
            <w:shd w:val="clear" w:color="auto" w:fill="CCEEFF"/>
          </w:tcPr>
          <w:p>
            <w:pPr>
              <w:jc w:val="right"/>
              <w:ind w:right="345"/>
              <w:spacing w:after="0"/>
              <w:rPr>
                <w:sz w:val="20"/>
                <w:szCs w:val="20"/>
                <w:color w:val="auto"/>
              </w:rPr>
            </w:pPr>
            <w:r>
              <w:rPr>
                <w:rFonts w:ascii="Arial" w:cs="Arial" w:eastAsia="Arial" w:hAnsi="Arial"/>
                <w:sz w:val="16"/>
                <w:szCs w:val="16"/>
                <w:color w:val="auto"/>
                <w:w w:val="89"/>
              </w:rPr>
              <w:t>$</w:t>
            </w:r>
          </w:p>
        </w:tc>
        <w:tc>
          <w:tcPr>
            <w:tcW w:w="42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6"/>
              </w:rPr>
              <w:t>747,590</w:t>
            </w:r>
          </w:p>
        </w:tc>
        <w:tc>
          <w:tcPr>
            <w:tcW w:w="20" w:type="dxa"/>
            <w:vAlign w:val="bottom"/>
            <w:shd w:val="clear" w:color="auto" w:fill="CCEEFF"/>
          </w:tcPr>
          <w:p>
            <w:pPr>
              <w:spacing w:after="0"/>
              <w:rPr>
                <w:sz w:val="20"/>
                <w:szCs w:val="20"/>
                <w:color w:val="auto"/>
              </w:rPr>
            </w:pPr>
          </w:p>
        </w:tc>
        <w:tc>
          <w:tcPr>
            <w:tcW w:w="1020" w:type="dxa"/>
            <w:vAlign w:val="bottom"/>
            <w:gridSpan w:val="3"/>
            <w:shd w:val="clear" w:color="auto" w:fill="CCEEFF"/>
          </w:tcPr>
          <w:p>
            <w:pPr>
              <w:jc w:val="right"/>
              <w:ind w:right="764"/>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560,412</w:t>
            </w:r>
          </w:p>
        </w:tc>
        <w:tc>
          <w:tcPr>
            <w:tcW w:w="20" w:type="dxa"/>
            <w:vAlign w:val="bottom"/>
            <w:shd w:val="clear" w:color="auto" w:fill="CCEEFF"/>
          </w:tcPr>
          <w:p>
            <w:pPr>
              <w:spacing w:after="0"/>
              <w:rPr>
                <w:sz w:val="20"/>
                <w:szCs w:val="20"/>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187,178</w:t>
            </w:r>
          </w:p>
        </w:tc>
        <w:tc>
          <w:tcPr>
            <w:tcW w:w="12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33.4 %</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(4,395)</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182,783</w:t>
            </w:r>
          </w:p>
        </w:tc>
        <w:tc>
          <w:tcPr>
            <w:tcW w:w="1360" w:type="dxa"/>
            <w:vAlign w:val="bottom"/>
            <w:gridSpan w:val="4"/>
            <w:shd w:val="clear" w:color="auto" w:fill="CCEEFF"/>
          </w:tcPr>
          <w:p>
            <w:pPr>
              <w:jc w:val="right"/>
              <w:spacing w:after="0"/>
              <w:rPr>
                <w:sz w:val="20"/>
                <w:szCs w:val="20"/>
                <w:color w:val="auto"/>
              </w:rPr>
            </w:pPr>
            <w:r>
              <w:rPr>
                <w:rFonts w:ascii="Arial" w:cs="Arial" w:eastAsia="Arial" w:hAnsi="Arial"/>
                <w:sz w:val="16"/>
                <w:szCs w:val="16"/>
                <w:color w:val="auto"/>
              </w:rPr>
              <w:t>32.6 %</w:t>
            </w:r>
          </w:p>
        </w:tc>
      </w:tr>
      <w:tr>
        <w:trPr>
          <w:trHeight w:val="20"/>
        </w:trPr>
        <w:tc>
          <w:tcPr>
            <w:tcW w:w="40" w:type="dxa"/>
            <w:vAlign w:val="bottom"/>
          </w:tcPr>
          <w:p>
            <w:pPr>
              <w:spacing w:after="0" w:line="20" w:lineRule="exact"/>
              <w:rPr>
                <w:sz w:val="1"/>
                <w:szCs w:val="1"/>
                <w:color w:val="auto"/>
              </w:rPr>
            </w:pPr>
          </w:p>
        </w:tc>
        <w:tc>
          <w:tcPr>
            <w:tcW w:w="16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r>
      <w:tr>
        <w:trPr>
          <w:trHeight w:val="150"/>
        </w:trPr>
        <w:tc>
          <w:tcPr>
            <w:tcW w:w="40" w:type="dxa"/>
            <w:vAlign w:val="bottom"/>
            <w:tcBorders>
              <w:bottom w:val="single" w:sz="8" w:color="auto"/>
            </w:tcBorders>
          </w:tcPr>
          <w:p>
            <w:pPr>
              <w:spacing w:after="0"/>
              <w:rPr>
                <w:sz w:val="13"/>
                <w:szCs w:val="13"/>
                <w:color w:val="auto"/>
              </w:rPr>
            </w:pPr>
          </w:p>
        </w:tc>
        <w:tc>
          <w:tcPr>
            <w:tcW w:w="168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20" w:type="dxa"/>
            <w:vAlign w:val="bottom"/>
          </w:tcPr>
          <w:p>
            <w:pPr>
              <w:spacing w:after="0"/>
              <w:rPr>
                <w:sz w:val="13"/>
                <w:szCs w:val="13"/>
                <w:color w:val="auto"/>
              </w:rPr>
            </w:pPr>
          </w:p>
        </w:tc>
      </w:tr>
    </w:tbl>
    <w:p>
      <w:pPr>
        <w:spacing w:after="0" w:line="71" w:lineRule="exact"/>
        <w:rPr>
          <w:sz w:val="20"/>
          <w:szCs w:val="20"/>
          <w:color w:val="auto"/>
        </w:rPr>
      </w:pPr>
    </w:p>
    <w:p>
      <w:pPr>
        <w:spacing w:after="0"/>
        <w:rPr>
          <w:sz w:val="20"/>
          <w:szCs w:val="20"/>
          <w:color w:val="auto"/>
        </w:rPr>
      </w:pPr>
      <w:r>
        <w:rPr>
          <w:rFonts w:ascii="Arial" w:cs="Arial" w:eastAsia="Arial" w:hAnsi="Arial"/>
          <w:sz w:val="21"/>
          <w:szCs w:val="21"/>
          <w:color w:val="auto"/>
          <w:vertAlign w:val="superscript"/>
        </w:rPr>
        <w:t>1</w:t>
      </w:r>
      <w:r>
        <w:rPr>
          <w:rFonts w:ascii="Arial" w:cs="Arial" w:eastAsia="Arial" w:hAnsi="Arial"/>
          <w:sz w:val="16"/>
          <w:szCs w:val="16"/>
          <w:color w:val="auto"/>
        </w:rPr>
        <w:t>See “Non-GAAP Financial Measures” for important information about our use of non-GAAP measures.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Penumbra,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510-995-2461</w:t>
      </w:r>
    </w:p>
    <w:p>
      <w:pPr>
        <w:spacing w:after="0" w:line="34" w:lineRule="exact"/>
        <w:rPr>
          <w:sz w:val="20"/>
          <w:szCs w:val="20"/>
          <w:color w:val="auto"/>
        </w:rPr>
      </w:pPr>
    </w:p>
    <w:p>
      <w:pPr>
        <w:spacing w:after="0"/>
        <w:rPr>
          <w:sz w:val="20"/>
          <w:szCs w:val="20"/>
          <w:color w:val="auto"/>
        </w:rPr>
      </w:pPr>
      <w:r>
        <w:rPr>
          <w:rFonts w:ascii="Arial" w:cs="Arial" w:eastAsia="Arial" w:hAnsi="Arial"/>
          <w:sz w:val="14"/>
          <w:szCs w:val="14"/>
          <w:u w:val="single" w:color="auto"/>
          <w:color w:val="0000FF"/>
        </w:rPr>
        <w:t>investors@penumbrainc.com</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Source: Penumbra, Inc.</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sectPr>
      <w:pgSz w:w="11900" w:h="16838" w:orient="portrait"/>
      <w:cols w:equalWidth="0" w:num="1">
        <w:col w:w="11220"/>
      </w:cols>
      <w:pgMar w:left="320" w:top="928"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2"/>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2022-02-22T15:21:44Z</dcterms:created>
  <dcterms:modified xsi:type="dcterms:W3CDTF">2022-02-22T15:21:44Z</dcterms:modified>
</cp:coreProperties>
</file>