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5"/>
        </w:trPr>
        <w:tc>
          <w:tcPr>
            <w:tcW w:w="6320" w:type="dxa"/>
            <w:vAlign w:val="bottom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5290820</wp:posOffset>
            </wp:positionH>
            <wp:positionV relativeFrom="paragraph">
              <wp:posOffset>-630555</wp:posOffset>
            </wp:positionV>
            <wp:extent cx="58420" cy="643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4004945</wp:posOffset>
            </wp:positionH>
            <wp:positionV relativeFrom="paragraph">
              <wp:posOffset>-630555</wp:posOffset>
            </wp:positionV>
            <wp:extent cx="58420" cy="643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-1609725</wp:posOffset>
            </wp:positionH>
            <wp:positionV relativeFrom="paragraph">
              <wp:posOffset>16510</wp:posOffset>
            </wp:positionV>
            <wp:extent cx="7045960" cy="49396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493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40"/>
            <w:col w:w="8560"/>
          </w:cols>
          <w:pgMar w:left="460" w:top="222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Roberts Johanna</w:t>
        </w:r>
      </w:hyperlink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ONE PENUMBRA PLACE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Penumbra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PEN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12/28/2021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-3" w:right="600" w:firstLine="3"/>
        <w:spacing w:after="0" w:line="239" w:lineRule="auto"/>
        <w:tabs>
          <w:tab w:leader="none" w:pos="14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7" w:lineRule="exact"/>
        <w:rPr>
          <w:sz w:val="24"/>
          <w:szCs w:val="24"/>
          <w:color w:val="auto"/>
        </w:rPr>
      </w:pPr>
    </w:p>
    <w:tbl>
      <w:tblPr>
        <w:tblLayout w:type="fixed"/>
        <w:tblInd w:w="19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49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EVP, Gen. Counsel &amp; Secretary</w:t>
      </w: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3" w:space="720"/>
            <w:col w:w="3337"/>
          </w:cols>
          <w:pgMar w:left="460" w:top="222" w:right="35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1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ALAMEDA</w:t>
            </w:r>
          </w:p>
        </w:tc>
        <w:tc>
          <w:tcPr>
            <w:tcW w:w="9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6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94502</w:t>
            </w:r>
          </w:p>
        </w:tc>
      </w:tr>
      <w:tr>
        <w:trPr>
          <w:trHeight w:val="1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20" w:lineRule="auto"/>
        <w:tabs>
          <w:tab w:leader="none" w:pos="43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06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2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70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40" w:type="dxa"/>
            <w:vAlign w:val="bottom"/>
            <w:gridSpan w:val="4"/>
          </w:tcPr>
          <w:p>
            <w:pPr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Disposed Of (D) (Instr. 3, 4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70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</w:tcPr>
          <w:p>
            <w:pPr>
              <w:ind w:left="2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12/28/2021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4,800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22.04</w:t>
            </w: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57,624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vertAlign w:val="superscript"/>
              </w:rPr>
              <w:t>(1)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0" w:type="dxa"/>
            <w:vAlign w:val="bottom"/>
            <w:gridSpan w:val="11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22.04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12/28/2021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4,800</w:t>
            </w: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08/11/2025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4,800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33,450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A portion of these shares is subject to vesting.</w:t>
      </w:r>
    </w:p>
    <w:p>
      <w:pPr>
        <w:spacing w:after="0" w:line="4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All shares are vested and exercisable.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Johanna Roberts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12/30/2021</w:t>
            </w:r>
          </w:p>
        </w:tc>
      </w:tr>
      <w:tr>
        <w:trPr>
          <w:trHeight w:val="20"/>
        </w:trPr>
        <w:tc>
          <w:tcPr>
            <w:tcW w:w="13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jc w:val="both"/>
        <w:ind w:left="40" w:right="3540" w:firstLine="3"/>
        <w:spacing w:after="0" w:line="337" w:lineRule="auto"/>
        <w:tabs>
          <w:tab w:leader="none" w:pos="177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2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751980" TargetMode="External"/><Relationship Id="rId13" Type="http://schemas.openxmlformats.org/officeDocument/2006/relationships/hyperlink" Target="http://www.sec.gov/cgi-bin/browse-edgar?action=getcompany&amp;CIK=000132173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2021-12-30T18:53:15Z</dcterms:created>
  <dcterms:modified xsi:type="dcterms:W3CDTF">2021-12-30T18:53:15Z</dcterms:modified>
</cp:coreProperties>
</file>