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360"/>
        <w:spacing w:after="0"/>
        <w:rPr>
          <w:sz w:val="20"/>
          <w:szCs w:val="20"/>
          <w:color w:val="auto"/>
        </w:rPr>
      </w:pPr>
      <w:r>
        <w:rPr>
          <w:rFonts w:ascii="Arial" w:cs="Arial" w:eastAsia="Arial" w:hAnsi="Arial"/>
          <w:sz w:val="12"/>
          <w:szCs w:val="12"/>
          <w:b w:val="1"/>
          <w:bCs w:val="1"/>
          <w:color w:val="auto"/>
        </w:rPr>
        <w:t>__________________________________________________________________________________________________________________________</w:t>
      </w:r>
    </w:p>
    <w:p>
      <w:pPr>
        <w:spacing w:after="0" w:line="250" w:lineRule="exact"/>
        <w:rPr>
          <w:sz w:val="24"/>
          <w:szCs w:val="24"/>
          <w:color w:val="auto"/>
        </w:rPr>
      </w:pPr>
    </w:p>
    <w:p>
      <w:pPr>
        <w:jc w:val="center"/>
        <w:ind w:right="-199"/>
        <w:spacing w:after="0"/>
        <w:rPr>
          <w:sz w:val="20"/>
          <w:szCs w:val="20"/>
          <w:color w:val="auto"/>
        </w:rPr>
      </w:pPr>
      <w:r>
        <w:rPr>
          <w:rFonts w:ascii="Arial" w:cs="Arial" w:eastAsia="Arial" w:hAnsi="Arial"/>
          <w:sz w:val="31"/>
          <w:szCs w:val="31"/>
          <w:b w:val="1"/>
          <w:bCs w:val="1"/>
          <w:color w:val="auto"/>
        </w:rPr>
        <w:t>UNITED STATES</w:t>
      </w:r>
    </w:p>
    <w:p>
      <w:pPr>
        <w:spacing w:after="0" w:line="46" w:lineRule="exact"/>
        <w:rPr>
          <w:sz w:val="24"/>
          <w:szCs w:val="24"/>
          <w:color w:val="auto"/>
        </w:rPr>
      </w:pPr>
    </w:p>
    <w:p>
      <w:pPr>
        <w:jc w:val="center"/>
        <w:ind w:right="-199"/>
        <w:spacing w:after="0"/>
        <w:rPr>
          <w:sz w:val="20"/>
          <w:szCs w:val="20"/>
          <w:color w:val="auto"/>
        </w:rPr>
      </w:pPr>
      <w:r>
        <w:rPr>
          <w:rFonts w:ascii="Arial" w:cs="Arial" w:eastAsia="Arial" w:hAnsi="Arial"/>
          <w:sz w:val="31"/>
          <w:szCs w:val="31"/>
          <w:b w:val="1"/>
          <w:bCs w:val="1"/>
          <w:color w:val="auto"/>
        </w:rPr>
        <w:t>SECURITIES AND EXCHANGE COMMISSION</w:t>
      </w:r>
    </w:p>
    <w:p>
      <w:pPr>
        <w:spacing w:after="0" w:line="4" w:lineRule="exact"/>
        <w:rPr>
          <w:sz w:val="24"/>
          <w:szCs w:val="24"/>
          <w:color w:val="auto"/>
        </w:rPr>
      </w:pPr>
    </w:p>
    <w:p>
      <w:pPr>
        <w:jc w:val="center"/>
        <w:ind w:right="-199"/>
        <w:spacing w:after="0"/>
        <w:rPr>
          <w:sz w:val="20"/>
          <w:szCs w:val="20"/>
          <w:color w:val="auto"/>
        </w:rPr>
      </w:pPr>
      <w:r>
        <w:rPr>
          <w:rFonts w:ascii="Arial" w:cs="Arial" w:eastAsia="Arial" w:hAnsi="Arial"/>
          <w:sz w:val="17"/>
          <w:szCs w:val="17"/>
          <w:b w:val="1"/>
          <w:bCs w:val="1"/>
          <w:color w:val="auto"/>
        </w:rPr>
        <w:t>Washington, D.C. 20549</w:t>
      </w:r>
    </w:p>
    <w:p>
      <w:pPr>
        <w:spacing w:after="0" w:line="6" w:lineRule="exact"/>
        <w:rPr>
          <w:sz w:val="24"/>
          <w:szCs w:val="24"/>
          <w:color w:val="auto"/>
        </w:rPr>
      </w:pPr>
    </w:p>
    <w:p>
      <w:pPr>
        <w:ind w:left="1200"/>
        <w:spacing w:after="0"/>
        <w:rPr>
          <w:sz w:val="20"/>
          <w:szCs w:val="20"/>
          <w:color w:val="auto"/>
        </w:rPr>
      </w:pPr>
      <w:r>
        <w:rPr>
          <w:rFonts w:ascii="Arial" w:cs="Arial" w:eastAsia="Arial" w:hAnsi="Arial"/>
          <w:sz w:val="12"/>
          <w:szCs w:val="12"/>
          <w:b w:val="1"/>
          <w:bCs w:val="1"/>
          <w:color w:val="auto"/>
        </w:rPr>
        <w:t>_______________________________________________________________________________________________________________________________</w:t>
      </w:r>
    </w:p>
    <w:p>
      <w:pPr>
        <w:spacing w:after="0" w:line="234" w:lineRule="exact"/>
        <w:rPr>
          <w:sz w:val="24"/>
          <w:szCs w:val="24"/>
          <w:color w:val="auto"/>
        </w:rPr>
      </w:pPr>
    </w:p>
    <w:p>
      <w:pPr>
        <w:jc w:val="center"/>
        <w:ind w:right="-159"/>
        <w:spacing w:after="0"/>
        <w:rPr>
          <w:sz w:val="20"/>
          <w:szCs w:val="20"/>
          <w:color w:val="auto"/>
        </w:rPr>
      </w:pPr>
      <w:r>
        <w:rPr>
          <w:rFonts w:ascii="Arial" w:cs="Arial" w:eastAsia="Arial" w:hAnsi="Arial"/>
          <w:sz w:val="31"/>
          <w:szCs w:val="31"/>
          <w:b w:val="1"/>
          <w:bCs w:val="1"/>
          <w:color w:val="auto"/>
        </w:rPr>
        <w:t>FORM 8-K</w:t>
      </w:r>
    </w:p>
    <w:p>
      <w:pPr>
        <w:spacing w:after="0" w:line="32" w:lineRule="exact"/>
        <w:rPr>
          <w:sz w:val="24"/>
          <w:szCs w:val="24"/>
          <w:color w:val="auto"/>
        </w:rPr>
      </w:pPr>
    </w:p>
    <w:p>
      <w:pPr>
        <w:ind w:left="1200"/>
        <w:spacing w:after="0"/>
        <w:rPr>
          <w:sz w:val="20"/>
          <w:szCs w:val="20"/>
          <w:color w:val="auto"/>
        </w:rPr>
      </w:pPr>
      <w:r>
        <w:rPr>
          <w:rFonts w:ascii="Arial" w:cs="Arial" w:eastAsia="Arial" w:hAnsi="Arial"/>
          <w:sz w:val="12"/>
          <w:szCs w:val="12"/>
          <w:b w:val="1"/>
          <w:bCs w:val="1"/>
          <w:color w:val="auto"/>
        </w:rPr>
        <w:t>_______________________________________________________________________________________________________________________________</w:t>
      </w:r>
    </w:p>
    <w:p>
      <w:pPr>
        <w:spacing w:after="0" w:line="247" w:lineRule="exact"/>
        <w:rPr>
          <w:sz w:val="24"/>
          <w:szCs w:val="24"/>
          <w:color w:val="auto"/>
        </w:rPr>
      </w:pPr>
    </w:p>
    <w:p>
      <w:pPr>
        <w:jc w:val="center"/>
        <w:ind w:right="-199"/>
        <w:spacing w:after="0"/>
        <w:rPr>
          <w:sz w:val="20"/>
          <w:szCs w:val="20"/>
          <w:color w:val="auto"/>
        </w:rPr>
      </w:pPr>
      <w:r>
        <w:rPr>
          <w:rFonts w:ascii="Arial" w:cs="Arial" w:eastAsia="Arial" w:hAnsi="Arial"/>
          <w:sz w:val="21"/>
          <w:szCs w:val="21"/>
          <w:b w:val="1"/>
          <w:bCs w:val="1"/>
          <w:color w:val="auto"/>
        </w:rPr>
        <w:t>CURRENT REPORT</w:t>
      </w:r>
    </w:p>
    <w:p>
      <w:pPr>
        <w:spacing w:after="0" w:line="213" w:lineRule="exact"/>
        <w:rPr>
          <w:sz w:val="24"/>
          <w:szCs w:val="24"/>
          <w:color w:val="auto"/>
        </w:rPr>
      </w:pPr>
    </w:p>
    <w:p>
      <w:pPr>
        <w:jc w:val="center"/>
        <w:ind w:right="-199"/>
        <w:spacing w:after="0"/>
        <w:rPr>
          <w:sz w:val="20"/>
          <w:szCs w:val="20"/>
          <w:color w:val="auto"/>
        </w:rPr>
      </w:pPr>
      <w:r>
        <w:rPr>
          <w:rFonts w:ascii="Arial" w:cs="Arial" w:eastAsia="Arial" w:hAnsi="Arial"/>
          <w:sz w:val="17"/>
          <w:szCs w:val="17"/>
          <w:b w:val="1"/>
          <w:bCs w:val="1"/>
          <w:color w:val="auto"/>
        </w:rPr>
        <w:t>Pursuant to Section 13 or 15(d) of the</w:t>
      </w:r>
    </w:p>
    <w:p>
      <w:pPr>
        <w:spacing w:after="0" w:line="32" w:lineRule="exact"/>
        <w:rPr>
          <w:sz w:val="24"/>
          <w:szCs w:val="24"/>
          <w:color w:val="auto"/>
        </w:rPr>
      </w:pPr>
    </w:p>
    <w:p>
      <w:pPr>
        <w:jc w:val="center"/>
        <w:ind w:right="-199"/>
        <w:spacing w:after="0"/>
        <w:rPr>
          <w:sz w:val="20"/>
          <w:szCs w:val="20"/>
          <w:color w:val="auto"/>
        </w:rPr>
      </w:pPr>
      <w:r>
        <w:rPr>
          <w:rFonts w:ascii="Arial" w:cs="Arial" w:eastAsia="Arial" w:hAnsi="Arial"/>
          <w:sz w:val="17"/>
          <w:szCs w:val="17"/>
          <w:b w:val="1"/>
          <w:bCs w:val="1"/>
          <w:color w:val="auto"/>
        </w:rPr>
        <w:t>Securities Exchange Act of 1934</w:t>
      </w:r>
    </w:p>
    <w:p>
      <w:pPr>
        <w:spacing w:after="0" w:line="232" w:lineRule="exact"/>
        <w:rPr>
          <w:sz w:val="24"/>
          <w:szCs w:val="24"/>
          <w:color w:val="auto"/>
        </w:rPr>
      </w:pPr>
    </w:p>
    <w:p>
      <w:pPr>
        <w:jc w:val="center"/>
        <w:ind w:right="-199"/>
        <w:spacing w:after="0"/>
        <w:rPr>
          <w:sz w:val="20"/>
          <w:szCs w:val="20"/>
          <w:color w:val="auto"/>
        </w:rPr>
      </w:pPr>
      <w:r>
        <w:rPr>
          <w:rFonts w:ascii="Arial" w:cs="Arial" w:eastAsia="Arial" w:hAnsi="Arial"/>
          <w:sz w:val="17"/>
          <w:szCs w:val="17"/>
          <w:b w:val="1"/>
          <w:bCs w:val="1"/>
          <w:color w:val="auto"/>
        </w:rPr>
        <w:t>September 17, 2021</w:t>
      </w:r>
    </w:p>
    <w:p>
      <w:pPr>
        <w:spacing w:after="0" w:line="32" w:lineRule="exact"/>
        <w:rPr>
          <w:sz w:val="24"/>
          <w:szCs w:val="24"/>
          <w:color w:val="auto"/>
        </w:rPr>
      </w:pPr>
    </w:p>
    <w:p>
      <w:pPr>
        <w:jc w:val="center"/>
        <w:ind w:right="-159"/>
        <w:spacing w:after="0"/>
        <w:rPr>
          <w:sz w:val="20"/>
          <w:szCs w:val="20"/>
          <w:color w:val="auto"/>
        </w:rPr>
      </w:pPr>
      <w:r>
        <w:rPr>
          <w:rFonts w:ascii="Arial" w:cs="Arial" w:eastAsia="Arial" w:hAnsi="Arial"/>
          <w:sz w:val="17"/>
          <w:szCs w:val="17"/>
          <w:b w:val="1"/>
          <w:bCs w:val="1"/>
          <w:color w:val="auto"/>
        </w:rPr>
        <w:t>Date of Report (Date of earliest event reported)</w:t>
      </w:r>
    </w:p>
    <w:p>
      <w:pPr>
        <w:spacing w:after="0" w:line="97" w:lineRule="exact"/>
        <w:rPr>
          <w:sz w:val="24"/>
          <w:szCs w:val="24"/>
          <w:color w:val="auto"/>
        </w:rPr>
      </w:pPr>
    </w:p>
    <w:p>
      <w:pPr>
        <w:ind w:left="1200"/>
        <w:spacing w:after="0"/>
        <w:rPr>
          <w:sz w:val="20"/>
          <w:szCs w:val="20"/>
          <w:color w:val="auto"/>
        </w:rPr>
      </w:pPr>
      <w:r>
        <w:rPr>
          <w:rFonts w:ascii="Arial" w:cs="Arial" w:eastAsia="Arial" w:hAnsi="Arial"/>
          <w:sz w:val="12"/>
          <w:szCs w:val="12"/>
          <w:b w:val="1"/>
          <w:bCs w:val="1"/>
          <w:color w:val="auto"/>
        </w:rPr>
        <w:t>_______________________________________________________________________________________________________________________________</w:t>
      </w:r>
    </w:p>
    <w:p>
      <w:pPr>
        <w:spacing w:after="0" w:line="249" w:lineRule="exact"/>
        <w:rPr>
          <w:sz w:val="24"/>
          <w:szCs w:val="24"/>
          <w:color w:val="auto"/>
        </w:rPr>
      </w:pPr>
    </w:p>
    <w:p>
      <w:pPr>
        <w:jc w:val="center"/>
        <w:ind w:right="-199"/>
        <w:spacing w:after="0"/>
        <w:rPr>
          <w:sz w:val="20"/>
          <w:szCs w:val="20"/>
          <w:color w:val="auto"/>
        </w:rPr>
      </w:pPr>
      <w:r>
        <w:rPr>
          <w:rFonts w:ascii="Arial" w:cs="Arial" w:eastAsia="Arial" w:hAnsi="Arial"/>
          <w:sz w:val="42"/>
          <w:szCs w:val="42"/>
          <w:b w:val="1"/>
          <w:bCs w:val="1"/>
          <w:color w:val="auto"/>
        </w:rPr>
        <w:t>Penumbra, Inc.</w:t>
      </w:r>
    </w:p>
    <w:p>
      <w:pPr>
        <w:spacing w:after="0" w:line="45" w:lineRule="exact"/>
        <w:rPr>
          <w:sz w:val="24"/>
          <w:szCs w:val="24"/>
          <w:color w:val="auto"/>
        </w:rPr>
      </w:pPr>
    </w:p>
    <w:p>
      <w:pPr>
        <w:jc w:val="center"/>
        <w:ind w:right="-199"/>
        <w:spacing w:after="0"/>
        <w:rPr>
          <w:sz w:val="20"/>
          <w:szCs w:val="20"/>
          <w:color w:val="auto"/>
        </w:rPr>
      </w:pPr>
      <w:r>
        <w:rPr>
          <w:rFonts w:ascii="Arial" w:cs="Arial" w:eastAsia="Arial" w:hAnsi="Arial"/>
          <w:sz w:val="17"/>
          <w:szCs w:val="17"/>
          <w:b w:val="1"/>
          <w:bCs w:val="1"/>
          <w:color w:val="auto"/>
        </w:rPr>
        <w:t>(Exact name of registrant as specified in its charter)</w:t>
      </w:r>
    </w:p>
    <w:p>
      <w:pPr>
        <w:spacing w:after="0" w:line="6" w:lineRule="exact"/>
        <w:rPr>
          <w:sz w:val="24"/>
          <w:szCs w:val="24"/>
          <w:color w:val="auto"/>
        </w:rPr>
      </w:pPr>
    </w:p>
    <w:p>
      <w:pPr>
        <w:ind w:left="1200"/>
        <w:spacing w:after="0"/>
        <w:rPr>
          <w:sz w:val="20"/>
          <w:szCs w:val="20"/>
          <w:color w:val="auto"/>
        </w:rPr>
      </w:pPr>
      <w:r>
        <w:rPr>
          <w:rFonts w:ascii="Arial" w:cs="Arial" w:eastAsia="Arial" w:hAnsi="Arial"/>
          <w:sz w:val="12"/>
          <w:szCs w:val="12"/>
          <w:color w:val="auto"/>
        </w:rPr>
        <w:t>_______________________________________________________________________________________________________________________________</w:t>
      </w:r>
    </w:p>
    <w:p>
      <w:pPr>
        <w:sectPr>
          <w:pgSz w:w="11900" w:h="16838" w:orient="portrait"/>
          <w:cols w:equalWidth="0" w:num="1">
            <w:col w:w="11060"/>
          </w:cols>
          <w:pgMar w:left="320" w:top="1008" w:right="519" w:bottom="1440" w:gutter="0" w:footer="0" w:header="0"/>
        </w:sectPr>
      </w:pPr>
    </w:p>
    <w:p>
      <w:pPr>
        <w:spacing w:after="0" w:line="47" w:lineRule="exact"/>
        <w:rPr>
          <w:sz w:val="24"/>
          <w:szCs w:val="24"/>
          <w:color w:val="auto"/>
        </w:rPr>
      </w:pPr>
    </w:p>
    <w:p>
      <w:pPr>
        <w:jc w:val="center"/>
        <w:ind w:left="120"/>
        <w:spacing w:after="0"/>
        <w:rPr>
          <w:sz w:val="20"/>
          <w:szCs w:val="20"/>
          <w:color w:val="auto"/>
        </w:rPr>
      </w:pPr>
      <w:r>
        <w:rPr>
          <w:rFonts w:ascii="Arial" w:cs="Arial" w:eastAsia="Arial" w:hAnsi="Arial"/>
          <w:sz w:val="17"/>
          <w:szCs w:val="17"/>
          <w:b w:val="1"/>
          <w:bCs w:val="1"/>
          <w:color w:val="auto"/>
        </w:rPr>
        <w:t>Delaware</w:t>
      </w:r>
    </w:p>
    <w:p>
      <w:pPr>
        <w:spacing w:after="0" w:line="32" w:lineRule="exact"/>
        <w:rPr>
          <w:sz w:val="24"/>
          <w:szCs w:val="24"/>
          <w:color w:val="auto"/>
        </w:rPr>
      </w:pPr>
    </w:p>
    <w:p>
      <w:pPr>
        <w:jc w:val="center"/>
        <w:ind w:left="100"/>
        <w:spacing w:after="0"/>
        <w:rPr>
          <w:sz w:val="20"/>
          <w:szCs w:val="20"/>
          <w:color w:val="auto"/>
        </w:rPr>
      </w:pPr>
      <w:r>
        <w:rPr>
          <w:rFonts w:ascii="Arial" w:cs="Arial" w:eastAsia="Arial" w:hAnsi="Arial"/>
          <w:sz w:val="16"/>
          <w:szCs w:val="16"/>
          <w:b w:val="1"/>
          <w:bCs w:val="1"/>
          <w:color w:val="auto"/>
        </w:rPr>
        <w:t>(State or other jurisdiction of incorporation or</w:t>
      </w:r>
    </w:p>
    <w:p>
      <w:pPr>
        <w:spacing w:after="0" w:line="20" w:lineRule="exact"/>
        <w:rPr>
          <w:sz w:val="24"/>
          <w:szCs w:val="24"/>
          <w:color w:val="auto"/>
        </w:rPr>
      </w:pPr>
      <w:r>
        <w:rPr>
          <w:sz w:val="24"/>
          <w:szCs w:val="24"/>
          <w:color w:val="auto"/>
        </w:rPr>
        <w:br w:type="column"/>
      </w:r>
    </w:p>
    <w:p>
      <w:pPr>
        <w:spacing w:after="0" w:line="27" w:lineRule="exact"/>
        <w:rPr>
          <w:sz w:val="24"/>
          <w:szCs w:val="24"/>
          <w:color w:val="auto"/>
        </w:rPr>
      </w:pPr>
    </w:p>
    <w:p>
      <w:pPr>
        <w:jc w:val="center"/>
        <w:ind w:right="500"/>
        <w:spacing w:after="0"/>
        <w:rPr>
          <w:sz w:val="20"/>
          <w:szCs w:val="20"/>
          <w:color w:val="auto"/>
        </w:rPr>
      </w:pPr>
      <w:r>
        <w:rPr>
          <w:rFonts w:ascii="Arial" w:cs="Arial" w:eastAsia="Arial" w:hAnsi="Arial"/>
          <w:sz w:val="17"/>
          <w:szCs w:val="17"/>
          <w:b w:val="1"/>
          <w:bCs w:val="1"/>
          <w:color w:val="auto"/>
        </w:rPr>
        <w:t>001-37557</w:t>
      </w:r>
    </w:p>
    <w:p>
      <w:pPr>
        <w:spacing w:after="0" w:line="32" w:lineRule="exact"/>
        <w:rPr>
          <w:sz w:val="24"/>
          <w:szCs w:val="24"/>
          <w:color w:val="auto"/>
        </w:rPr>
      </w:pPr>
    </w:p>
    <w:p>
      <w:pPr>
        <w:jc w:val="center"/>
        <w:ind w:right="500"/>
        <w:spacing w:after="0"/>
        <w:rPr>
          <w:sz w:val="20"/>
          <w:szCs w:val="20"/>
          <w:color w:val="auto"/>
        </w:rPr>
      </w:pPr>
      <w:r>
        <w:rPr>
          <w:rFonts w:ascii="Arial" w:cs="Arial" w:eastAsia="Arial" w:hAnsi="Arial"/>
          <w:sz w:val="15"/>
          <w:szCs w:val="15"/>
          <w:b w:val="1"/>
          <w:bCs w:val="1"/>
          <w:color w:val="auto"/>
        </w:rPr>
        <w:t>(Commission File No.)</w:t>
      </w:r>
    </w:p>
    <w:p>
      <w:pPr>
        <w:spacing w:after="0" w:line="20" w:lineRule="exact"/>
        <w:rPr>
          <w:sz w:val="24"/>
          <w:szCs w:val="24"/>
          <w:color w:val="auto"/>
        </w:rPr>
      </w:pPr>
      <w:r>
        <w:rPr>
          <w:sz w:val="24"/>
          <w:szCs w:val="24"/>
          <w:color w:val="auto"/>
        </w:rPr>
        <w:br w:type="column"/>
      </w:r>
    </w:p>
    <w:p>
      <w:pPr>
        <w:spacing w:after="0" w:line="27" w:lineRule="exact"/>
        <w:rPr>
          <w:sz w:val="24"/>
          <w:szCs w:val="24"/>
          <w:color w:val="auto"/>
        </w:rPr>
      </w:pPr>
    </w:p>
    <w:p>
      <w:pPr>
        <w:jc w:val="center"/>
        <w:ind w:right="460"/>
        <w:spacing w:after="0"/>
        <w:rPr>
          <w:sz w:val="20"/>
          <w:szCs w:val="20"/>
          <w:color w:val="auto"/>
        </w:rPr>
      </w:pPr>
      <w:r>
        <w:rPr>
          <w:rFonts w:ascii="Arial" w:cs="Arial" w:eastAsia="Arial" w:hAnsi="Arial"/>
          <w:sz w:val="17"/>
          <w:szCs w:val="17"/>
          <w:b w:val="1"/>
          <w:bCs w:val="1"/>
          <w:color w:val="auto"/>
        </w:rPr>
        <w:t>05-0605598</w:t>
      </w:r>
    </w:p>
    <w:p>
      <w:pPr>
        <w:spacing w:after="0" w:line="32" w:lineRule="exact"/>
        <w:rPr>
          <w:sz w:val="24"/>
          <w:szCs w:val="24"/>
          <w:color w:val="auto"/>
        </w:rPr>
      </w:pPr>
    </w:p>
    <w:p>
      <w:pPr>
        <w:jc w:val="center"/>
        <w:ind w:right="460"/>
        <w:spacing w:after="0"/>
        <w:rPr>
          <w:sz w:val="20"/>
          <w:szCs w:val="20"/>
          <w:color w:val="auto"/>
        </w:rPr>
      </w:pPr>
      <w:r>
        <w:rPr>
          <w:rFonts w:ascii="Arial" w:cs="Arial" w:eastAsia="Arial" w:hAnsi="Arial"/>
          <w:sz w:val="16"/>
          <w:szCs w:val="16"/>
          <w:b w:val="1"/>
          <w:bCs w:val="1"/>
          <w:color w:val="auto"/>
        </w:rPr>
        <w:t>(I.R.S. employer identification number)</w:t>
      </w:r>
    </w:p>
    <w:p>
      <w:pPr>
        <w:spacing w:after="0" w:line="36" w:lineRule="exact"/>
        <w:rPr>
          <w:sz w:val="24"/>
          <w:szCs w:val="24"/>
          <w:color w:val="auto"/>
        </w:rPr>
      </w:pPr>
    </w:p>
    <w:p>
      <w:pPr>
        <w:sectPr>
          <w:pgSz w:w="11900" w:h="16838" w:orient="portrait"/>
          <w:cols w:equalWidth="0" w:num="3">
            <w:col w:w="4060" w:space="720"/>
            <w:col w:w="2160" w:space="720"/>
            <w:col w:w="3400"/>
          </w:cols>
          <w:pgMar w:left="320" w:top="1008" w:right="519" w:bottom="1440" w:gutter="0" w:footer="0" w:header="0"/>
          <w:type w:val="continuous"/>
        </w:sectPr>
      </w:pPr>
    </w:p>
    <w:p>
      <w:pPr>
        <w:ind w:left="1580"/>
        <w:spacing w:after="0"/>
        <w:rPr>
          <w:sz w:val="20"/>
          <w:szCs w:val="20"/>
          <w:color w:val="auto"/>
        </w:rPr>
      </w:pPr>
      <w:r>
        <w:rPr>
          <w:rFonts w:ascii="Arial" w:cs="Arial" w:eastAsia="Arial" w:hAnsi="Arial"/>
          <w:sz w:val="15"/>
          <w:szCs w:val="15"/>
          <w:b w:val="1"/>
          <w:bCs w:val="1"/>
          <w:color w:val="auto"/>
        </w:rPr>
        <w:t>organization)</w:t>
      </w:r>
    </w:p>
    <w:p>
      <w:pPr>
        <w:sectPr>
          <w:pgSz w:w="11900" w:h="16838" w:orient="portrait"/>
          <w:cols w:equalWidth="0" w:num="1">
            <w:col w:w="11060"/>
          </w:cols>
          <w:pgMar w:left="320" w:top="1008" w:right="519" w:bottom="1440" w:gutter="0" w:footer="0" w:header="0"/>
          <w:type w:val="continuous"/>
        </w:sectPr>
      </w:pPr>
    </w:p>
    <w:p>
      <w:pPr>
        <w:spacing w:after="0" w:line="231"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One Penumbra Place</w:t>
      </w:r>
    </w:p>
    <w:p>
      <w:pPr>
        <w:spacing w:after="0" w:line="32"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Alameda, CA 94502</w:t>
      </w:r>
    </w:p>
    <w:p>
      <w:pPr>
        <w:spacing w:after="0" w:line="14"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(Address of principal executive offices, including zip code)</w:t>
      </w:r>
    </w:p>
    <w:p>
      <w:pPr>
        <w:spacing w:after="0" w:line="206"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(510) 748-3200</w:t>
      </w:r>
    </w:p>
    <w:p>
      <w:pPr>
        <w:spacing w:after="0" w:line="32" w:lineRule="exact"/>
        <w:rPr>
          <w:sz w:val="24"/>
          <w:szCs w:val="24"/>
          <w:color w:val="auto"/>
        </w:rPr>
      </w:pPr>
    </w:p>
    <w:p>
      <w:pPr>
        <w:jc w:val="center"/>
        <w:ind w:right="-139"/>
        <w:spacing w:after="0"/>
        <w:rPr>
          <w:sz w:val="20"/>
          <w:szCs w:val="20"/>
          <w:color w:val="auto"/>
        </w:rPr>
      </w:pPr>
      <w:r>
        <w:rPr>
          <w:rFonts w:ascii="Arial" w:cs="Arial" w:eastAsia="Arial" w:hAnsi="Arial"/>
          <w:sz w:val="17"/>
          <w:szCs w:val="17"/>
          <w:b w:val="1"/>
          <w:bCs w:val="1"/>
          <w:color w:val="auto"/>
        </w:rPr>
        <w:t>(Registrant’s telephone number, including area code)</w:t>
      </w:r>
    </w:p>
    <w:p>
      <w:pPr>
        <w:spacing w:after="0" w:line="212" w:lineRule="exact"/>
        <w:rPr>
          <w:sz w:val="24"/>
          <w:szCs w:val="24"/>
          <w:color w:val="auto"/>
        </w:rPr>
      </w:pPr>
    </w:p>
    <w:p>
      <w:pPr>
        <w:ind w:right="40"/>
        <w:spacing w:after="0" w:line="264" w:lineRule="auto"/>
        <w:rPr>
          <w:sz w:val="20"/>
          <w:szCs w:val="20"/>
          <w:color w:val="auto"/>
        </w:rPr>
      </w:pPr>
      <w:r>
        <w:rPr>
          <w:rFonts w:ascii="Arial" w:cs="Arial" w:eastAsia="Arial" w:hAnsi="Arial"/>
          <w:sz w:val="17"/>
          <w:szCs w:val="17"/>
          <w:color w:val="auto"/>
        </w:rPr>
        <w:t>Check the appropriate box below if the Form 8-K filing is intended to simultaneously satisfy the filing obligations of the registrant under any of the following provisions:</w:t>
      </w:r>
    </w:p>
    <w:p>
      <w:pPr>
        <w:spacing w:after="0" w:line="28" w:lineRule="exact"/>
        <w:rPr>
          <w:sz w:val="24"/>
          <w:szCs w:val="24"/>
          <w:color w:val="auto"/>
        </w:rPr>
      </w:pPr>
    </w:p>
    <w:p>
      <w:pPr>
        <w:ind w:left="660" w:hanging="638"/>
        <w:spacing w:after="0"/>
        <w:tabs>
          <w:tab w:leader="none" w:pos="6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Written communications pursuant to Rule 425 under the Securities Act (17 CFR 230.425)</w:t>
      </w:r>
    </w:p>
    <w:p>
      <w:pPr>
        <w:spacing w:after="0" w:line="41" w:lineRule="exact"/>
        <w:rPr>
          <w:rFonts w:ascii="MS PGothic" w:cs="MS PGothic" w:eastAsia="MS PGothic" w:hAnsi="MS PGothic"/>
          <w:sz w:val="17"/>
          <w:szCs w:val="17"/>
          <w:color w:val="auto"/>
        </w:rPr>
      </w:pPr>
    </w:p>
    <w:p>
      <w:pPr>
        <w:ind w:left="660" w:hanging="638"/>
        <w:spacing w:after="0"/>
        <w:tabs>
          <w:tab w:leader="none" w:pos="6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Soliciting material pursuant to Rule 14a-12 under the Exchange Act (17 CFR 240.14a-12)</w:t>
      </w:r>
    </w:p>
    <w:p>
      <w:pPr>
        <w:spacing w:after="0" w:line="27" w:lineRule="exact"/>
        <w:rPr>
          <w:rFonts w:ascii="MS PGothic" w:cs="MS PGothic" w:eastAsia="MS PGothic" w:hAnsi="MS PGothic"/>
          <w:sz w:val="17"/>
          <w:szCs w:val="17"/>
          <w:color w:val="auto"/>
        </w:rPr>
      </w:pPr>
    </w:p>
    <w:p>
      <w:pPr>
        <w:ind w:left="660" w:hanging="638"/>
        <w:spacing w:after="0"/>
        <w:tabs>
          <w:tab w:leader="none" w:pos="6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Pre-commencement communications pursuant to Rule 14d-2(b) under the Exchange Act (17 CFR 240.14d-2(b))</w:t>
      </w:r>
    </w:p>
    <w:p>
      <w:pPr>
        <w:spacing w:after="0" w:line="27" w:lineRule="exact"/>
        <w:rPr>
          <w:rFonts w:ascii="MS PGothic" w:cs="MS PGothic" w:eastAsia="MS PGothic" w:hAnsi="MS PGothic"/>
          <w:sz w:val="17"/>
          <w:szCs w:val="17"/>
          <w:color w:val="auto"/>
        </w:rPr>
      </w:pPr>
    </w:p>
    <w:p>
      <w:pPr>
        <w:ind w:left="660" w:hanging="638"/>
        <w:spacing w:after="0"/>
        <w:tabs>
          <w:tab w:leader="none" w:pos="6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Pre-commencement communications pursuant to Rule 13e-4(c) under the Exchange Act (17 CFR 240.13e-4(c))</w:t>
      </w:r>
    </w:p>
    <w:p>
      <w:pPr>
        <w:spacing w:after="0" w:line="120" w:lineRule="exact"/>
        <w:rPr>
          <w:sz w:val="24"/>
          <w:szCs w:val="24"/>
          <w:color w:val="auto"/>
        </w:rPr>
      </w:pPr>
    </w:p>
    <w:tbl>
      <w:tblPr>
        <w:tblLayout w:type="fixed"/>
        <w:tblInd w:w="1060" w:type="dxa"/>
        <w:tblCellMar>
          <w:top w:w="0" w:type="dxa"/>
          <w:left w:w="0" w:type="dxa"/>
          <w:bottom w:w="0" w:type="dxa"/>
          <w:right w:w="0" w:type="dxa"/>
        </w:tblCellMar>
      </w:tblPr>
      <w:tr>
        <w:trPr>
          <w:trHeight w:val="200"/>
        </w:trPr>
        <w:tc>
          <w:tcPr>
            <w:tcW w:w="7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6380" w:type="dxa"/>
            <w:vAlign w:val="bottom"/>
            <w:gridSpan w:val="4"/>
          </w:tcPr>
          <w:p>
            <w:pPr>
              <w:ind w:left="120"/>
              <w:spacing w:after="0"/>
              <w:rPr>
                <w:sz w:val="20"/>
                <w:szCs w:val="20"/>
                <w:color w:val="auto"/>
              </w:rPr>
            </w:pPr>
            <w:r>
              <w:rPr>
                <w:rFonts w:ascii="Arial" w:cs="Arial" w:eastAsia="Arial" w:hAnsi="Arial"/>
                <w:sz w:val="16"/>
                <w:szCs w:val="16"/>
                <w:color w:val="auto"/>
              </w:rPr>
              <w:t>Securities registered pursuant to Section 12(b) of the Act:</w:t>
            </w:r>
          </w:p>
        </w:tc>
      </w:tr>
      <w:tr>
        <w:trPr>
          <w:trHeight w:val="190"/>
        </w:trPr>
        <w:tc>
          <w:tcPr>
            <w:tcW w:w="780" w:type="dxa"/>
            <w:vAlign w:val="bottom"/>
          </w:tcPr>
          <w:p>
            <w:pPr>
              <w:spacing w:after="0"/>
              <w:rPr>
                <w:sz w:val="16"/>
                <w:szCs w:val="16"/>
                <w:color w:val="auto"/>
              </w:rPr>
            </w:pPr>
          </w:p>
        </w:tc>
        <w:tc>
          <w:tcPr>
            <w:tcW w:w="1180" w:type="dxa"/>
            <w:vAlign w:val="bottom"/>
          </w:tcPr>
          <w:p>
            <w:pPr>
              <w:jc w:val="center"/>
              <w:spacing w:after="0"/>
              <w:rPr>
                <w:sz w:val="20"/>
                <w:szCs w:val="20"/>
                <w:color w:val="auto"/>
              </w:rPr>
            </w:pPr>
            <w:r>
              <w:rPr>
                <w:rFonts w:ascii="Arial" w:cs="Arial" w:eastAsia="Arial" w:hAnsi="Arial"/>
                <w:sz w:val="16"/>
                <w:szCs w:val="16"/>
                <w:b w:val="1"/>
                <w:bCs w:val="1"/>
                <w:color w:val="auto"/>
                <w:w w:val="85"/>
              </w:rPr>
              <w:t>Title of each class</w:t>
            </w:r>
          </w:p>
        </w:tc>
        <w:tc>
          <w:tcPr>
            <w:tcW w:w="880" w:type="dxa"/>
            <w:vAlign w:val="bottom"/>
          </w:tcPr>
          <w:p>
            <w:pPr>
              <w:spacing w:after="0"/>
              <w:rPr>
                <w:sz w:val="16"/>
                <w:szCs w:val="16"/>
                <w:color w:val="auto"/>
              </w:rPr>
            </w:pPr>
          </w:p>
        </w:tc>
        <w:tc>
          <w:tcPr>
            <w:tcW w:w="2260" w:type="dxa"/>
            <w:vAlign w:val="bottom"/>
            <w:gridSpan w:val="2"/>
          </w:tcPr>
          <w:p>
            <w:pPr>
              <w:jc w:val="center"/>
              <w:ind w:left="1101"/>
              <w:spacing w:after="0"/>
              <w:rPr>
                <w:sz w:val="20"/>
                <w:szCs w:val="20"/>
                <w:color w:val="auto"/>
              </w:rPr>
            </w:pPr>
            <w:r>
              <w:rPr>
                <w:rFonts w:ascii="Arial" w:cs="Arial" w:eastAsia="Arial" w:hAnsi="Arial"/>
                <w:sz w:val="16"/>
                <w:szCs w:val="16"/>
                <w:b w:val="1"/>
                <w:bCs w:val="1"/>
                <w:color w:val="auto"/>
                <w:w w:val="89"/>
              </w:rPr>
              <w:t>Trading Symbol</w:t>
            </w:r>
          </w:p>
        </w:tc>
        <w:tc>
          <w:tcPr>
            <w:tcW w:w="1200" w:type="dxa"/>
            <w:vAlign w:val="bottom"/>
          </w:tcPr>
          <w:p>
            <w:pPr>
              <w:spacing w:after="0"/>
              <w:rPr>
                <w:sz w:val="16"/>
                <w:szCs w:val="16"/>
                <w:color w:val="auto"/>
              </w:rPr>
            </w:pPr>
          </w:p>
        </w:tc>
        <w:tc>
          <w:tcPr>
            <w:tcW w:w="2920" w:type="dxa"/>
            <w:vAlign w:val="bottom"/>
          </w:tcPr>
          <w:p>
            <w:pPr>
              <w:jc w:val="center"/>
              <w:spacing w:after="0"/>
              <w:rPr>
                <w:sz w:val="20"/>
                <w:szCs w:val="20"/>
                <w:color w:val="auto"/>
              </w:rPr>
            </w:pPr>
            <w:r>
              <w:rPr>
                <w:rFonts w:ascii="Arial" w:cs="Arial" w:eastAsia="Arial" w:hAnsi="Arial"/>
                <w:sz w:val="16"/>
                <w:szCs w:val="16"/>
                <w:b w:val="1"/>
                <w:bCs w:val="1"/>
                <w:color w:val="auto"/>
                <w:w w:val="86"/>
              </w:rPr>
              <w:t>Name of each exchange on which registered</w:t>
            </w:r>
          </w:p>
        </w:tc>
      </w:tr>
      <w:tr>
        <w:trPr>
          <w:trHeight w:val="20"/>
        </w:trPr>
        <w:tc>
          <w:tcPr>
            <w:tcW w:w="780" w:type="dxa"/>
            <w:vAlign w:val="bottom"/>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920" w:type="dxa"/>
            <w:vAlign w:val="bottom"/>
            <w:shd w:val="clear" w:color="auto" w:fill="000000"/>
          </w:tcPr>
          <w:p>
            <w:pPr>
              <w:spacing w:after="0" w:line="20" w:lineRule="exact"/>
              <w:rPr>
                <w:sz w:val="1"/>
                <w:szCs w:val="1"/>
                <w:color w:val="auto"/>
              </w:rPr>
            </w:pPr>
          </w:p>
        </w:tc>
      </w:tr>
      <w:tr>
        <w:trPr>
          <w:trHeight w:val="222"/>
        </w:trPr>
        <w:tc>
          <w:tcPr>
            <w:tcW w:w="2840" w:type="dxa"/>
            <w:vAlign w:val="bottom"/>
            <w:gridSpan w:val="3"/>
          </w:tcPr>
          <w:p>
            <w:pPr>
              <w:jc w:val="center"/>
              <w:ind w:right="120"/>
              <w:spacing w:after="0"/>
              <w:rPr>
                <w:sz w:val="20"/>
                <w:szCs w:val="20"/>
                <w:color w:val="auto"/>
              </w:rPr>
            </w:pPr>
            <w:r>
              <w:rPr>
                <w:rFonts w:ascii="Arial" w:cs="Arial" w:eastAsia="Arial" w:hAnsi="Arial"/>
                <w:sz w:val="16"/>
                <w:szCs w:val="16"/>
                <w:color w:val="auto"/>
                <w:w w:val="87"/>
              </w:rPr>
              <w:t>Common Stock, Par value $0.001 per share</w:t>
            </w:r>
          </w:p>
        </w:tc>
        <w:tc>
          <w:tcPr>
            <w:tcW w:w="1180" w:type="dxa"/>
            <w:vAlign w:val="bottom"/>
          </w:tcPr>
          <w:p>
            <w:pPr>
              <w:spacing w:after="0"/>
              <w:rPr>
                <w:sz w:val="19"/>
                <w:szCs w:val="19"/>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91"/>
              </w:rPr>
              <w:t>PEN</w:t>
            </w:r>
          </w:p>
        </w:tc>
        <w:tc>
          <w:tcPr>
            <w:tcW w:w="1200" w:type="dxa"/>
            <w:vAlign w:val="bottom"/>
          </w:tcPr>
          <w:p>
            <w:pPr>
              <w:spacing w:after="0"/>
              <w:rPr>
                <w:sz w:val="19"/>
                <w:szCs w:val="19"/>
                <w:color w:val="auto"/>
              </w:rPr>
            </w:pPr>
          </w:p>
        </w:tc>
        <w:tc>
          <w:tcPr>
            <w:tcW w:w="2920" w:type="dxa"/>
            <w:vAlign w:val="bottom"/>
          </w:tcPr>
          <w:p>
            <w:pPr>
              <w:jc w:val="center"/>
              <w:spacing w:after="0"/>
              <w:rPr>
                <w:sz w:val="20"/>
                <w:szCs w:val="20"/>
                <w:color w:val="auto"/>
              </w:rPr>
            </w:pPr>
            <w:r>
              <w:rPr>
                <w:rFonts w:ascii="Arial" w:cs="Arial" w:eastAsia="Arial" w:hAnsi="Arial"/>
                <w:sz w:val="16"/>
                <w:szCs w:val="16"/>
                <w:color w:val="auto"/>
                <w:w w:val="90"/>
              </w:rPr>
              <w:t>The New York Stock Exchange</w:t>
            </w:r>
          </w:p>
        </w:tc>
      </w:tr>
    </w:tbl>
    <w:p>
      <w:pPr>
        <w:spacing w:after="0" w:line="324" w:lineRule="exact"/>
        <w:rPr>
          <w:sz w:val="24"/>
          <w:szCs w:val="24"/>
          <w:color w:val="auto"/>
        </w:rPr>
      </w:pPr>
    </w:p>
    <w:p>
      <w:pPr>
        <w:ind w:firstLine="629"/>
        <w:spacing w:after="0" w:line="250" w:lineRule="auto"/>
        <w:rPr>
          <w:sz w:val="20"/>
          <w:szCs w:val="20"/>
          <w:color w:val="auto"/>
        </w:rPr>
      </w:pPr>
      <w:r>
        <w:rPr>
          <w:rFonts w:ascii="Arial" w:cs="Arial" w:eastAsia="Arial" w:hAnsi="Arial"/>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ind w:left="42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61" w:lineRule="exact"/>
        <w:rPr>
          <w:sz w:val="24"/>
          <w:szCs w:val="24"/>
          <w:color w:val="auto"/>
        </w:rPr>
      </w:pPr>
    </w:p>
    <w:p>
      <w:pPr>
        <w:ind w:right="300" w:firstLine="419"/>
        <w:spacing w:after="0" w:line="260" w:lineRule="auto"/>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44" w:lineRule="exact"/>
        <w:rPr>
          <w:sz w:val="24"/>
          <w:szCs w:val="24"/>
          <w:color w:val="auto"/>
        </w:rPr>
      </w:pPr>
    </w:p>
    <w:p>
      <w:pPr>
        <w:ind w:left="1200"/>
        <w:spacing w:after="0"/>
        <w:rPr>
          <w:sz w:val="20"/>
          <w:szCs w:val="20"/>
          <w:color w:val="auto"/>
        </w:rPr>
      </w:pPr>
      <w:r>
        <w:rPr>
          <w:rFonts w:ascii="Arial" w:cs="Arial" w:eastAsia="Arial" w:hAnsi="Arial"/>
          <w:sz w:val="13"/>
          <w:szCs w:val="13"/>
          <w:b w:val="1"/>
          <w:bCs w:val="1"/>
          <w:color w:val="auto"/>
        </w:rPr>
        <w:t>_______________________________________________________________________________________________________________________________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721995</wp:posOffset>
            </wp:positionV>
            <wp:extent cx="7161530" cy="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060"/>
          </w:cols>
          <w:pgMar w:left="320" w:top="1008" w:right="519" w:bottom="1440" w:gutter="0" w:footer="0" w:header="0"/>
          <w:type w:val="continuous"/>
        </w:sectPr>
      </w:pPr>
    </w:p>
    <w:bookmarkStart w:id="1" w:name="page2"/>
    <w:bookmarkEnd w:id="1"/>
    <w:p>
      <w:pPr>
        <w:ind w:left="960"/>
        <w:spacing w:after="0"/>
        <w:tabs>
          <w:tab w:leader="none" w:pos="2320" w:val="left"/>
        </w:tabs>
        <w:rPr>
          <w:sz w:val="20"/>
          <w:szCs w:val="20"/>
          <w:color w:val="auto"/>
        </w:rPr>
      </w:pPr>
      <w:r>
        <w:rPr>
          <w:rFonts w:ascii="Arial" w:cs="Arial" w:eastAsia="Arial" w:hAnsi="Arial"/>
          <w:sz w:val="17"/>
          <w:szCs w:val="17"/>
          <w:b w:val="1"/>
          <w:bCs w:val="1"/>
          <w:color w:val="auto"/>
        </w:rPr>
        <w:t>Item 3.02.</w:t>
      </w:r>
      <w:r>
        <w:rPr>
          <w:sz w:val="20"/>
          <w:szCs w:val="20"/>
          <w:color w:val="auto"/>
        </w:rPr>
        <w:tab/>
      </w:r>
      <w:r>
        <w:rPr>
          <w:rFonts w:ascii="Arial" w:cs="Arial" w:eastAsia="Arial" w:hAnsi="Arial"/>
          <w:sz w:val="15"/>
          <w:szCs w:val="15"/>
          <w:b w:val="1"/>
          <w:bCs w:val="1"/>
          <w:color w:val="auto"/>
        </w:rPr>
        <w:t>Unregistered Sales of Equity Securities.</w:t>
      </w:r>
    </w:p>
    <w:p>
      <w:pPr>
        <w:spacing w:after="0" w:line="361" w:lineRule="exact"/>
        <w:rPr>
          <w:sz w:val="20"/>
          <w:szCs w:val="20"/>
          <w:color w:val="auto"/>
        </w:rPr>
      </w:pPr>
    </w:p>
    <w:p>
      <w:pPr>
        <w:ind w:right="20" w:firstLine="472"/>
        <w:spacing w:after="0" w:line="241" w:lineRule="auto"/>
        <w:rPr>
          <w:sz w:val="20"/>
          <w:szCs w:val="20"/>
          <w:color w:val="auto"/>
        </w:rPr>
      </w:pPr>
      <w:r>
        <w:rPr>
          <w:rFonts w:ascii="Arial" w:cs="Arial" w:eastAsia="Arial" w:hAnsi="Arial"/>
          <w:sz w:val="17"/>
          <w:szCs w:val="17"/>
          <w:color w:val="auto"/>
        </w:rPr>
        <w:t>On September 17, 2021, Penumbra, Inc. (“</w:t>
      </w:r>
      <w:r>
        <w:rPr>
          <w:rFonts w:ascii="Arial" w:cs="Arial" w:eastAsia="Arial" w:hAnsi="Arial"/>
          <w:sz w:val="17"/>
          <w:szCs w:val="17"/>
          <w:b w:val="1"/>
          <w:bCs w:val="1"/>
          <w:i w:val="1"/>
          <w:iCs w:val="1"/>
          <w:color w:val="auto"/>
        </w:rPr>
        <w:t>Parent</w:t>
      </w:r>
      <w:r>
        <w:rPr>
          <w:rFonts w:ascii="Arial" w:cs="Arial" w:eastAsia="Arial" w:hAnsi="Arial"/>
          <w:sz w:val="17"/>
          <w:szCs w:val="17"/>
          <w:color w:val="auto"/>
        </w:rPr>
        <w:t>”) entered into an Agreement and Plan of Merger (the “</w:t>
      </w:r>
      <w:r>
        <w:rPr>
          <w:rFonts w:ascii="Arial" w:cs="Arial" w:eastAsia="Arial" w:hAnsi="Arial"/>
          <w:sz w:val="17"/>
          <w:szCs w:val="17"/>
          <w:b w:val="1"/>
          <w:bCs w:val="1"/>
          <w:i w:val="1"/>
          <w:iCs w:val="1"/>
          <w:color w:val="auto"/>
        </w:rPr>
        <w:t>Merger Agreement</w:t>
      </w:r>
      <w:r>
        <w:rPr>
          <w:rFonts w:ascii="Arial" w:cs="Arial" w:eastAsia="Arial" w:hAnsi="Arial"/>
          <w:sz w:val="17"/>
          <w:szCs w:val="17"/>
          <w:color w:val="auto"/>
        </w:rPr>
        <w:t>”) with Seychelles Merger Corporation, a Delaware corporation and wholly owned subsidiary of Parent (“</w:t>
      </w:r>
      <w:r>
        <w:rPr>
          <w:rFonts w:ascii="Arial" w:cs="Arial" w:eastAsia="Arial" w:hAnsi="Arial"/>
          <w:sz w:val="17"/>
          <w:szCs w:val="17"/>
          <w:b w:val="1"/>
          <w:bCs w:val="1"/>
          <w:i w:val="1"/>
          <w:iCs w:val="1"/>
          <w:color w:val="auto"/>
        </w:rPr>
        <w:t>Merger Sub</w:t>
      </w:r>
      <w:r>
        <w:rPr>
          <w:rFonts w:ascii="Arial" w:cs="Arial" w:eastAsia="Arial" w:hAnsi="Arial"/>
          <w:sz w:val="17"/>
          <w:szCs w:val="17"/>
          <w:color w:val="auto"/>
        </w:rPr>
        <w:t>”), Sixense Enterprises Inc., a Delaware corporation (“</w:t>
      </w:r>
      <w:r>
        <w:rPr>
          <w:rFonts w:ascii="Arial" w:cs="Arial" w:eastAsia="Arial" w:hAnsi="Arial"/>
          <w:sz w:val="17"/>
          <w:szCs w:val="17"/>
          <w:b w:val="1"/>
          <w:bCs w:val="1"/>
          <w:i w:val="1"/>
          <w:iCs w:val="1"/>
          <w:color w:val="auto"/>
        </w:rPr>
        <w:t>Sixense</w:t>
      </w:r>
      <w:r>
        <w:rPr>
          <w:rFonts w:ascii="Arial" w:cs="Arial" w:eastAsia="Arial" w:hAnsi="Arial"/>
          <w:sz w:val="17"/>
          <w:szCs w:val="17"/>
          <w:color w:val="auto"/>
        </w:rPr>
        <w:t>”), and a stockholders’ agent.</w:t>
      </w:r>
    </w:p>
    <w:p>
      <w:pPr>
        <w:spacing w:after="0" w:line="197" w:lineRule="exact"/>
        <w:rPr>
          <w:sz w:val="20"/>
          <w:szCs w:val="20"/>
          <w:color w:val="auto"/>
        </w:rPr>
      </w:pPr>
    </w:p>
    <w:p>
      <w:pPr>
        <w:ind w:firstLine="472"/>
        <w:spacing w:after="0" w:line="245" w:lineRule="auto"/>
        <w:rPr>
          <w:sz w:val="20"/>
          <w:szCs w:val="20"/>
          <w:color w:val="auto"/>
        </w:rPr>
      </w:pPr>
      <w:r>
        <w:rPr>
          <w:rFonts w:ascii="Arial" w:cs="Arial" w:eastAsia="Arial" w:hAnsi="Arial"/>
          <w:sz w:val="16"/>
          <w:szCs w:val="16"/>
          <w:color w:val="auto"/>
        </w:rPr>
        <w:t>Upon consummation (the “</w:t>
      </w:r>
      <w:r>
        <w:rPr>
          <w:rFonts w:ascii="Arial" w:cs="Arial" w:eastAsia="Arial" w:hAnsi="Arial"/>
          <w:sz w:val="16"/>
          <w:szCs w:val="16"/>
          <w:b w:val="1"/>
          <w:bCs w:val="1"/>
          <w:i w:val="1"/>
          <w:iCs w:val="1"/>
          <w:color w:val="auto"/>
        </w:rPr>
        <w:t>Closing</w:t>
      </w:r>
      <w:r>
        <w:rPr>
          <w:rFonts w:ascii="Arial" w:cs="Arial" w:eastAsia="Arial" w:hAnsi="Arial"/>
          <w:sz w:val="16"/>
          <w:szCs w:val="16"/>
          <w:color w:val="auto"/>
        </w:rPr>
        <w:t>”) of the transactions contemplated by the Merger Agreement (the “</w:t>
      </w:r>
      <w:r>
        <w:rPr>
          <w:rFonts w:ascii="Arial" w:cs="Arial" w:eastAsia="Arial" w:hAnsi="Arial"/>
          <w:sz w:val="16"/>
          <w:szCs w:val="16"/>
          <w:b w:val="1"/>
          <w:bCs w:val="1"/>
          <w:i w:val="1"/>
          <w:iCs w:val="1"/>
          <w:color w:val="auto"/>
        </w:rPr>
        <w:t>Merger</w:t>
      </w:r>
      <w:r>
        <w:rPr>
          <w:rFonts w:ascii="Arial" w:cs="Arial" w:eastAsia="Arial" w:hAnsi="Arial"/>
          <w:sz w:val="16"/>
          <w:szCs w:val="16"/>
          <w:color w:val="auto"/>
        </w:rPr>
        <w:t>”), all outstanding shares of Sixense capital stock will be cancelled in exchange for an expected aggregate amount of approximately 600,000 shares of Parent’s common stock, par value $0.001 per share (“</w:t>
      </w:r>
      <w:r>
        <w:rPr>
          <w:rFonts w:ascii="Arial" w:cs="Arial" w:eastAsia="Arial" w:hAnsi="Arial"/>
          <w:sz w:val="16"/>
          <w:szCs w:val="16"/>
          <w:b w:val="1"/>
          <w:bCs w:val="1"/>
          <w:i w:val="1"/>
          <w:iCs w:val="1"/>
          <w:color w:val="auto"/>
        </w:rPr>
        <w:t>Parent Common Stock</w:t>
      </w:r>
      <w:r>
        <w:rPr>
          <w:rFonts w:ascii="Arial" w:cs="Arial" w:eastAsia="Arial" w:hAnsi="Arial"/>
          <w:sz w:val="16"/>
          <w:szCs w:val="16"/>
          <w:color w:val="auto"/>
        </w:rPr>
        <w:t>”) (valued at approximately $170 million in the aggregate based on the volume-weighted average price of a share of Parent Common Stock on the New York Stock Exchange for the five consecutive trading day period ending on September 15, 2021 of $280.88 per share (the “</w:t>
      </w:r>
      <w:r>
        <w:rPr>
          <w:rFonts w:ascii="Arial" w:cs="Arial" w:eastAsia="Arial" w:hAnsi="Arial"/>
          <w:sz w:val="16"/>
          <w:szCs w:val="16"/>
          <w:b w:val="1"/>
          <w:bCs w:val="1"/>
          <w:i w:val="1"/>
          <w:iCs w:val="1"/>
          <w:color w:val="auto"/>
        </w:rPr>
        <w:t>Specified Price</w:t>
      </w:r>
      <w:r>
        <w:rPr>
          <w:rFonts w:ascii="Arial" w:cs="Arial" w:eastAsia="Arial" w:hAnsi="Arial"/>
          <w:sz w:val="16"/>
          <w:szCs w:val="16"/>
          <w:color w:val="auto"/>
        </w:rPr>
        <w:t>”)), and cash in lieu of fractional shares, and Merger Sub will merge with and into Sixense, which will continue to exist as a wholly owned subsidiary of Parent. In addition, upon the Closing, all options to purchase Sixense capital stock will be cancelled, with options held by continuing service providers being exchanged for fully vested options to purchase an expected aggregate amount of approximately 520,000 shares of Parent Common Stock (valued at approximately $130 million in the aggregate based on the difference between the Specified Price and the exercise prices for such options). The options to purchase shares of Parent Common Stock will be registered on Parent's registration statement on Form S-8 (Registration No. 333-224000).</w:t>
      </w:r>
    </w:p>
    <w:p>
      <w:pPr>
        <w:spacing w:after="0" w:line="196" w:lineRule="exact"/>
        <w:rPr>
          <w:sz w:val="20"/>
          <w:szCs w:val="20"/>
          <w:color w:val="auto"/>
        </w:rPr>
      </w:pPr>
    </w:p>
    <w:p>
      <w:pPr>
        <w:ind w:right="20" w:firstLine="472"/>
        <w:spacing w:after="0" w:line="231" w:lineRule="auto"/>
        <w:rPr>
          <w:sz w:val="20"/>
          <w:szCs w:val="20"/>
          <w:color w:val="auto"/>
        </w:rPr>
      </w:pPr>
      <w:r>
        <w:rPr>
          <w:rFonts w:ascii="Arial" w:cs="Arial" w:eastAsia="Arial" w:hAnsi="Arial"/>
          <w:sz w:val="17"/>
          <w:szCs w:val="17"/>
          <w:color w:val="auto"/>
        </w:rPr>
        <w:t>All of the shares of Parent Common Stock that will be issued pursuant to the terms of the Merger Agreement will be issued by Parent in reliance upon the exemption from registration available under Section 4(a)(2) of the Securities Act of 1933 (as amended, the "</w:t>
      </w:r>
      <w:r>
        <w:rPr>
          <w:rFonts w:ascii="Arial" w:cs="Arial" w:eastAsia="Arial" w:hAnsi="Arial"/>
          <w:sz w:val="17"/>
          <w:szCs w:val="17"/>
          <w:b w:val="1"/>
          <w:bCs w:val="1"/>
          <w:i w:val="1"/>
          <w:iCs w:val="1"/>
          <w:color w:val="auto"/>
        </w:rPr>
        <w:t>Securities Act</w:t>
      </w:r>
      <w:r>
        <w:rPr>
          <w:rFonts w:ascii="Arial" w:cs="Arial" w:eastAsia="Arial" w:hAnsi="Arial"/>
          <w:sz w:val="17"/>
          <w:szCs w:val="17"/>
          <w:color w:val="auto"/>
        </w:rPr>
        <w:t>"), including Regulation D promulgated thereunder. Parent did not engage in any form of general solicitation or general advertising in connection with the transaction. Each stockholder of Sixense receiving shares of Parent Common Stock will represent that it is an "accredited investor" as defined in the Securities Act and that it will be acquiring such securities for its own account and not for distribution. All certificates representing the shares of Parent Common Stock issued will have a legend imprinted on them stating that the shares have not been registered under the Securities Act and cannot be transferred until properly registered under the Securities Act or an exemption applies.</w:t>
      </w:r>
    </w:p>
    <w:p>
      <w:pPr>
        <w:spacing w:after="0" w:line="202" w:lineRule="exact"/>
        <w:rPr>
          <w:sz w:val="20"/>
          <w:szCs w:val="20"/>
          <w:color w:val="auto"/>
        </w:rPr>
      </w:pPr>
    </w:p>
    <w:p>
      <w:pPr>
        <w:ind w:right="360" w:firstLine="472"/>
        <w:spacing w:after="0" w:line="257" w:lineRule="auto"/>
        <w:rPr>
          <w:sz w:val="20"/>
          <w:szCs w:val="20"/>
          <w:color w:val="auto"/>
        </w:rPr>
      </w:pPr>
      <w:r>
        <w:rPr>
          <w:rFonts w:ascii="Arial" w:cs="Arial" w:eastAsia="Arial" w:hAnsi="Arial"/>
          <w:sz w:val="17"/>
          <w:szCs w:val="17"/>
          <w:color w:val="auto"/>
        </w:rPr>
        <w:t>The Merger Agreement contains customary representations, warranties and covenants by Parent and Sixense. The Closing of the Merger is subject to customary closing conditions and is expected to occur on or about October 1, 2021.</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Forward-Looking Statements</w:t>
      </w:r>
    </w:p>
    <w:p>
      <w:pPr>
        <w:spacing w:after="0" w:line="243" w:lineRule="exact"/>
        <w:rPr>
          <w:sz w:val="20"/>
          <w:szCs w:val="20"/>
          <w:color w:val="auto"/>
        </w:rPr>
      </w:pPr>
    </w:p>
    <w:p>
      <w:pPr>
        <w:ind w:firstLine="472"/>
        <w:spacing w:after="0" w:line="243" w:lineRule="auto"/>
        <w:rPr>
          <w:rFonts w:ascii="Arial" w:cs="Arial" w:eastAsia="Arial" w:hAnsi="Arial"/>
          <w:sz w:val="16"/>
          <w:szCs w:val="16"/>
          <w:color w:val="auto"/>
        </w:rPr>
      </w:pPr>
      <w:r>
        <w:rPr>
          <w:rFonts w:ascii="Arial" w:cs="Arial" w:eastAsia="Arial" w:hAnsi="Arial"/>
          <w:sz w:val="16"/>
          <w:szCs w:val="16"/>
          <w:color w:val="auto"/>
        </w:rPr>
        <w:t>Except for historical information, certain statements in this Current Report on Form 8-K are forward-looking in nature, including statements regarding the expected completion of the transactions contemplated by the Merger Agreement and the timing thereof, and the number of shares of Parent Common Stock and options to purchase Parent Common Stock to be issued in connection with the Merger, and are subject to risks, uncertainties and assumptions that could cause actual results to differ materially from those projected by any forward-looking statements. Risks that could cause actual results to differ from those projected include, but are not limited to, the failure of conditions to the Closing to be satisfied, the occurrence of any other event or circumstance that could give rise to the termination of the Merger Agreement, the exercise of options to purchase Sixense capital stock and the related issuance of Sixense capital stock, which could impact the number of shares of Parent Common Stock and options to purchase Parent Common Stock to be issued in connection with the Merger, and the potential impact of the announcement of the Merger on the business of Sixense. Other risks and uncertainties regarding Parent’s business are discussed in greater detail in Parent’s filings with the Securities and Exchange Commission (the “</w:t>
      </w:r>
      <w:r>
        <w:rPr>
          <w:rFonts w:ascii="Arial" w:cs="Arial" w:eastAsia="Arial" w:hAnsi="Arial"/>
          <w:sz w:val="16"/>
          <w:szCs w:val="16"/>
          <w:b w:val="1"/>
          <w:bCs w:val="1"/>
          <w:i w:val="1"/>
          <w:iCs w:val="1"/>
          <w:color w:val="auto"/>
        </w:rPr>
        <w:t>SEC</w:t>
      </w:r>
      <w:r>
        <w:rPr>
          <w:rFonts w:ascii="Arial" w:cs="Arial" w:eastAsia="Arial" w:hAnsi="Arial"/>
          <w:sz w:val="16"/>
          <w:szCs w:val="16"/>
          <w:color w:val="auto"/>
        </w:rPr>
        <w:t xml:space="preserve">”), including Parent’s </w:t>
      </w:r>
      <w:hyperlink r:id="rId9">
        <w:r>
          <w:rPr>
            <w:rFonts w:ascii="Arial" w:cs="Arial" w:eastAsia="Arial" w:hAnsi="Arial"/>
            <w:sz w:val="16"/>
            <w:szCs w:val="16"/>
            <w:u w:val="single" w:color="auto"/>
            <w:color w:val="0000FF"/>
          </w:rPr>
          <w:t>Annual Report on Form 10-K</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for the year ended December 31, 2020 filed with the SEC on February 23, 2021. There may be additional risks of which Parent is not presently aware or that it currently believes are immaterial which could have an adverse impact on Parent’s business. Any forward-looking statements are based on current expectations, estimates and assumptions regarding future events and are applicable only as of the dates of such statements. Parent makes no commitment to revise or update any forward-looking statements in order to reflect events or circumstances that may 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994410</wp:posOffset>
            </wp:positionV>
            <wp:extent cx="7161530" cy="419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103"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7"/>
          <w:szCs w:val="17"/>
          <w:b w:val="1"/>
          <w:bCs w:val="1"/>
          <w:color w:val="auto"/>
        </w:rPr>
        <w:t>SIGNATURES</w:t>
      </w:r>
    </w:p>
    <w:p>
      <w:pPr>
        <w:spacing w:after="0" w:line="177" w:lineRule="exact"/>
        <w:rPr>
          <w:sz w:val="20"/>
          <w:szCs w:val="20"/>
          <w:color w:val="auto"/>
        </w:rPr>
      </w:pPr>
    </w:p>
    <w:p>
      <w:pPr>
        <w:ind w:right="780" w:firstLine="472"/>
        <w:spacing w:after="0" w:line="289"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hereunto duly authorized.</w:t>
      </w:r>
    </w:p>
    <w:p>
      <w:pPr>
        <w:spacing w:after="0" w:line="191" w:lineRule="exact"/>
        <w:rPr>
          <w:sz w:val="20"/>
          <w:szCs w:val="20"/>
          <w:color w:val="auto"/>
        </w:rPr>
      </w:pPr>
    </w:p>
    <w:tbl>
      <w:tblPr>
        <w:tblLayout w:type="fixed"/>
        <w:tblInd w:w="20" w:type="dxa"/>
        <w:tblCellMar>
          <w:top w:w="0" w:type="dxa"/>
          <w:left w:w="0" w:type="dxa"/>
          <w:bottom w:w="0" w:type="dxa"/>
          <w:right w:w="0" w:type="dxa"/>
        </w:tblCellMar>
      </w:tblPr>
      <w:tr>
        <w:trPr>
          <w:trHeight w:val="228"/>
        </w:trPr>
        <w:tc>
          <w:tcPr>
            <w:tcW w:w="3240" w:type="dxa"/>
            <w:vAlign w:val="bottom"/>
          </w:tcPr>
          <w:p>
            <w:pPr>
              <w:spacing w:after="0"/>
              <w:rPr>
                <w:sz w:val="19"/>
                <w:szCs w:val="19"/>
                <w:color w:val="auto"/>
              </w:rPr>
            </w:pPr>
          </w:p>
        </w:tc>
        <w:tc>
          <w:tcPr>
            <w:tcW w:w="7960" w:type="dxa"/>
            <w:vAlign w:val="bottom"/>
            <w:gridSpan w:val="2"/>
          </w:tcPr>
          <w:p>
            <w:pPr>
              <w:ind w:left="1420"/>
              <w:spacing w:after="0"/>
              <w:rPr>
                <w:sz w:val="20"/>
                <w:szCs w:val="20"/>
                <w:color w:val="auto"/>
              </w:rPr>
            </w:pPr>
            <w:r>
              <w:rPr>
                <w:rFonts w:ascii="Arial" w:cs="Arial" w:eastAsia="Arial" w:hAnsi="Arial"/>
                <w:sz w:val="17"/>
                <w:szCs w:val="17"/>
                <w:b w:val="1"/>
                <w:bCs w:val="1"/>
                <w:color w:val="auto"/>
              </w:rPr>
              <w:t>Penumbra, Inc.</w:t>
            </w:r>
          </w:p>
        </w:tc>
      </w:tr>
      <w:tr>
        <w:trPr>
          <w:trHeight w:val="446"/>
        </w:trPr>
        <w:tc>
          <w:tcPr>
            <w:tcW w:w="3240" w:type="dxa"/>
            <w:vAlign w:val="bottom"/>
          </w:tcPr>
          <w:p>
            <w:pPr>
              <w:spacing w:after="0"/>
              <w:rPr>
                <w:sz w:val="20"/>
                <w:szCs w:val="20"/>
                <w:color w:val="auto"/>
              </w:rPr>
            </w:pPr>
            <w:r>
              <w:rPr>
                <w:rFonts w:ascii="Arial" w:cs="Arial" w:eastAsia="Arial" w:hAnsi="Arial"/>
                <w:sz w:val="17"/>
                <w:szCs w:val="17"/>
                <w:color w:val="auto"/>
              </w:rPr>
              <w:t>Date: September 22, 2021</w:t>
            </w:r>
          </w:p>
        </w:tc>
        <w:tc>
          <w:tcPr>
            <w:tcW w:w="2120" w:type="dxa"/>
            <w:vAlign w:val="bottom"/>
          </w:tcPr>
          <w:p>
            <w:pPr>
              <w:ind w:left="1420"/>
              <w:spacing w:after="0"/>
              <w:rPr>
                <w:sz w:val="20"/>
                <w:szCs w:val="20"/>
                <w:color w:val="auto"/>
              </w:rPr>
            </w:pPr>
            <w:r>
              <w:rPr>
                <w:rFonts w:ascii="Arial" w:cs="Arial" w:eastAsia="Arial" w:hAnsi="Arial"/>
                <w:sz w:val="17"/>
                <w:szCs w:val="17"/>
                <w:color w:val="auto"/>
              </w:rPr>
              <w:t>By:</w:t>
            </w:r>
          </w:p>
        </w:tc>
        <w:tc>
          <w:tcPr>
            <w:tcW w:w="584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Adam Elsesser</w:t>
            </w:r>
          </w:p>
        </w:tc>
      </w:tr>
      <w:tr>
        <w:trPr>
          <w:trHeight w:val="216"/>
        </w:trPr>
        <w:tc>
          <w:tcPr>
            <w:tcW w:w="324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5840" w:type="dxa"/>
            <w:vAlign w:val="bottom"/>
          </w:tcPr>
          <w:p>
            <w:pPr>
              <w:ind w:left="20"/>
              <w:spacing w:after="0"/>
              <w:rPr>
                <w:sz w:val="20"/>
                <w:szCs w:val="20"/>
                <w:color w:val="auto"/>
              </w:rPr>
            </w:pPr>
            <w:r>
              <w:rPr>
                <w:rFonts w:ascii="Arial" w:cs="Arial" w:eastAsia="Arial" w:hAnsi="Arial"/>
                <w:sz w:val="17"/>
                <w:szCs w:val="17"/>
                <w:color w:val="auto"/>
              </w:rPr>
              <w:t>Adam Elsesser</w:t>
            </w:r>
          </w:p>
        </w:tc>
      </w:tr>
      <w:tr>
        <w:trPr>
          <w:trHeight w:val="223"/>
        </w:trPr>
        <w:tc>
          <w:tcPr>
            <w:tcW w:w="3240" w:type="dxa"/>
            <w:vAlign w:val="bottom"/>
          </w:tcPr>
          <w:p>
            <w:pPr>
              <w:spacing w:after="0"/>
              <w:rPr>
                <w:sz w:val="19"/>
                <w:szCs w:val="19"/>
                <w:color w:val="auto"/>
              </w:rPr>
            </w:pPr>
          </w:p>
        </w:tc>
        <w:tc>
          <w:tcPr>
            <w:tcW w:w="2120" w:type="dxa"/>
            <w:vAlign w:val="bottom"/>
          </w:tcPr>
          <w:p>
            <w:pPr>
              <w:spacing w:after="0"/>
              <w:rPr>
                <w:sz w:val="19"/>
                <w:szCs w:val="19"/>
                <w:color w:val="auto"/>
              </w:rPr>
            </w:pPr>
          </w:p>
        </w:tc>
        <w:tc>
          <w:tcPr>
            <w:tcW w:w="5840" w:type="dxa"/>
            <w:vAlign w:val="bottom"/>
          </w:tcPr>
          <w:p>
            <w:pPr>
              <w:ind w:left="20"/>
              <w:spacing w:after="0"/>
              <w:rPr>
                <w:sz w:val="20"/>
                <w:szCs w:val="20"/>
                <w:color w:val="auto"/>
              </w:rPr>
            </w:pPr>
            <w:r>
              <w:rPr>
                <w:rFonts w:ascii="Arial" w:cs="Arial" w:eastAsia="Arial" w:hAnsi="Arial"/>
                <w:sz w:val="17"/>
                <w:szCs w:val="17"/>
                <w:color w:val="auto"/>
              </w:rPr>
              <w:t>Chief Executive Officer and President</w:t>
            </w:r>
          </w:p>
        </w:tc>
      </w:tr>
    </w:tbl>
    <w:p>
      <w:pPr>
        <w:spacing w:after="0" w:line="1" w:lineRule="exact"/>
        <w:rPr>
          <w:sz w:val="20"/>
          <w:szCs w:val="20"/>
          <w:color w:val="auto"/>
        </w:rPr>
      </w:pPr>
    </w:p>
    <w:sectPr>
      <w:pgSz w:w="11900" w:h="16838" w:orient="portrait"/>
      <w:cols w:equalWidth="0" w:num="1">
        <w:col w:w="11220"/>
      </w:cols>
      <w:pgMar w:left="320" w:top="1300"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hyperlink" Target="https://www.sec.gov/ix?doc=/Archives/edgar/data/1321732/000162828021002867/pen-2020123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2021-09-22T16:10:49Z</dcterms:created>
  <dcterms:modified xsi:type="dcterms:W3CDTF">2021-09-22T16:10:49Z</dcterms:modified>
</cp:coreProperties>
</file>