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240"/>
        <w:spacing w:after="0"/>
        <w:rPr>
          <w:sz w:val="20"/>
          <w:szCs w:val="20"/>
          <w:color w:val="auto"/>
        </w:rPr>
      </w:pPr>
      <w:r>
        <w:rPr>
          <w:rFonts w:ascii="Arial" w:cs="Arial" w:eastAsia="Arial" w:hAnsi="Arial"/>
          <w:sz w:val="13"/>
          <w:szCs w:val="13"/>
          <w:b w:val="1"/>
          <w:bCs w:val="1"/>
          <w:color w:val="auto"/>
        </w:rPr>
        <w:t>__________________________________________________________________________________________________________________________</w:t>
      </w:r>
    </w:p>
    <w:p>
      <w:pPr>
        <w:spacing w:after="0" w:line="251"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17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Washington, D.C. 20549</w:t>
      </w:r>
    </w:p>
    <w:p>
      <w:pPr>
        <w:spacing w:after="0" w:line="1" w:lineRule="exact"/>
        <w:rPr>
          <w:sz w:val="24"/>
          <w:szCs w:val="24"/>
          <w:color w:val="auto"/>
        </w:rPr>
      </w:pPr>
    </w:p>
    <w:p>
      <w:pPr>
        <w:ind w:left="10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46"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31" w:lineRule="exact"/>
        <w:rPr>
          <w:sz w:val="24"/>
          <w:szCs w:val="24"/>
          <w:color w:val="auto"/>
        </w:rPr>
      </w:pPr>
    </w:p>
    <w:p>
      <w:pPr>
        <w:ind w:left="10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6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CURRENT REPORT</w:t>
      </w:r>
    </w:p>
    <w:p>
      <w:pPr>
        <w:spacing w:after="0" w:line="215"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Securities Exchange Act of 1934</w:t>
      </w:r>
    </w:p>
    <w:p>
      <w:pPr>
        <w:spacing w:after="0" w:line="234"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May 4, 2021</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94" w:lineRule="exact"/>
        <w:rPr>
          <w:sz w:val="24"/>
          <w:szCs w:val="24"/>
          <w:color w:val="auto"/>
        </w:rPr>
      </w:pPr>
    </w:p>
    <w:p>
      <w:pPr>
        <w:ind w:left="1060"/>
        <w:spacing w:after="0"/>
        <w:rPr>
          <w:sz w:val="20"/>
          <w:szCs w:val="20"/>
          <w:color w:val="auto"/>
        </w:rPr>
      </w:pPr>
      <w:r>
        <w:rPr>
          <w:rFonts w:ascii="Arial" w:cs="Arial" w:eastAsia="Arial" w:hAnsi="Arial"/>
          <w:sz w:val="12"/>
          <w:szCs w:val="12"/>
          <w:b w:val="1"/>
          <w:bCs w:val="1"/>
          <w:color w:val="auto"/>
        </w:rPr>
        <w:t>_______________________________________________________________________________________________________________________________</w:t>
      </w:r>
    </w:p>
    <w:p>
      <w:pPr>
        <w:spacing w:after="0" w:line="260" w:lineRule="exact"/>
        <w:rPr>
          <w:sz w:val="24"/>
          <w:szCs w:val="24"/>
          <w:color w:val="auto"/>
        </w:rPr>
      </w:pPr>
    </w:p>
    <w:p>
      <w:pPr>
        <w:jc w:val="center"/>
        <w:ind w:right="-179"/>
        <w:spacing w:after="0"/>
        <w:rPr>
          <w:sz w:val="20"/>
          <w:szCs w:val="20"/>
          <w:color w:val="auto"/>
        </w:rPr>
      </w:pPr>
      <w:r>
        <w:rPr>
          <w:rFonts w:ascii="Arial" w:cs="Arial" w:eastAsia="Arial" w:hAnsi="Arial"/>
          <w:sz w:val="43"/>
          <w:szCs w:val="43"/>
          <w:b w:val="1"/>
          <w:bCs w:val="1"/>
          <w:color w:val="auto"/>
        </w:rPr>
        <w:t>Penumbra, Inc.</w:t>
      </w:r>
    </w:p>
    <w:p>
      <w:pPr>
        <w:spacing w:after="0" w:line="50"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 w:lineRule="exact"/>
        <w:rPr>
          <w:sz w:val="24"/>
          <w:szCs w:val="24"/>
          <w:color w:val="auto"/>
        </w:rPr>
      </w:pPr>
    </w:p>
    <w:p>
      <w:pPr>
        <w:ind w:left="1060"/>
        <w:spacing w:after="0"/>
        <w:rPr>
          <w:sz w:val="20"/>
          <w:szCs w:val="20"/>
          <w:color w:val="auto"/>
        </w:rPr>
      </w:pPr>
      <w:r>
        <w:rPr>
          <w:rFonts w:ascii="Arial" w:cs="Arial" w:eastAsia="Arial" w:hAnsi="Arial"/>
          <w:sz w:val="12"/>
          <w:szCs w:val="12"/>
          <w:color w:val="auto"/>
        </w:rPr>
        <w:t>_______________________________________________________________________________________________________________________________</w:t>
      </w:r>
    </w:p>
    <w:p>
      <w:pPr>
        <w:sectPr>
          <w:pgSz w:w="11900" w:h="16838" w:orient="portrait"/>
          <w:cols w:equalWidth="0" w:num="1">
            <w:col w:w="11080"/>
          </w:cols>
          <w:pgMar w:left="320" w:top="1035" w:right="499" w:bottom="1440" w:gutter="0" w:footer="0" w:header="0"/>
        </w:sectPr>
      </w:pPr>
    </w:p>
    <w:p>
      <w:pPr>
        <w:spacing w:after="0" w:line="296" w:lineRule="exact"/>
        <w:rPr>
          <w:sz w:val="24"/>
          <w:szCs w:val="24"/>
          <w:color w:val="auto"/>
        </w:rPr>
      </w:pPr>
    </w:p>
    <w:p>
      <w:pPr>
        <w:jc w:val="center"/>
        <w:ind w:left="14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left="140"/>
        <w:spacing w:after="0"/>
        <w:rPr>
          <w:sz w:val="20"/>
          <w:szCs w:val="20"/>
          <w:color w:val="auto"/>
        </w:rPr>
      </w:pPr>
      <w:r>
        <w:rPr>
          <w:rFonts w:ascii="Arial" w:cs="Arial" w:eastAsia="Arial" w:hAnsi="Arial"/>
          <w:sz w:val="16"/>
          <w:szCs w:val="16"/>
          <w:b w:val="1"/>
          <w:bCs w:val="1"/>
          <w:color w:val="auto"/>
        </w:rPr>
        <w:t>(State or other jurisdiction of incorporation or</w:t>
      </w:r>
    </w:p>
    <w:p>
      <w:pPr>
        <w:spacing w:after="0" w:line="20" w:lineRule="exact"/>
        <w:rPr>
          <w:sz w:val="24"/>
          <w:szCs w:val="24"/>
          <w:color w:val="auto"/>
        </w:rPr>
      </w:pPr>
      <w:r>
        <w:rPr>
          <w:sz w:val="24"/>
          <w:szCs w:val="24"/>
          <w:color w:val="auto"/>
        </w:rPr>
        <w:br w:type="column"/>
      </w:r>
    </w:p>
    <w:p>
      <w:pPr>
        <w:spacing w:after="0" w:line="276" w:lineRule="exact"/>
        <w:rPr>
          <w:sz w:val="24"/>
          <w:szCs w:val="24"/>
          <w:color w:val="auto"/>
        </w:rPr>
      </w:pPr>
    </w:p>
    <w:p>
      <w:pPr>
        <w:jc w:val="center"/>
        <w:ind w:right="420"/>
        <w:spacing w:after="0"/>
        <w:rPr>
          <w:sz w:val="20"/>
          <w:szCs w:val="20"/>
          <w:color w:val="auto"/>
        </w:rPr>
      </w:pPr>
      <w:r>
        <w:rPr>
          <w:rFonts w:ascii="Arial" w:cs="Arial" w:eastAsia="Arial" w:hAnsi="Arial"/>
          <w:sz w:val="18"/>
          <w:szCs w:val="18"/>
          <w:b w:val="1"/>
          <w:bCs w:val="1"/>
          <w:color w:val="auto"/>
        </w:rPr>
        <w:t>001-37557</w:t>
      </w:r>
    </w:p>
    <w:p>
      <w:pPr>
        <w:spacing w:after="0" w:line="27" w:lineRule="exact"/>
        <w:rPr>
          <w:sz w:val="24"/>
          <w:szCs w:val="24"/>
          <w:color w:val="auto"/>
        </w:rPr>
      </w:pPr>
    </w:p>
    <w:p>
      <w:pPr>
        <w:jc w:val="center"/>
        <w:ind w:right="42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76" w:lineRule="exact"/>
        <w:rPr>
          <w:sz w:val="24"/>
          <w:szCs w:val="24"/>
          <w:color w:val="auto"/>
        </w:rPr>
      </w:pPr>
    </w:p>
    <w:p>
      <w:pPr>
        <w:jc w:val="center"/>
        <w:ind w:right="440"/>
        <w:spacing w:after="0"/>
        <w:rPr>
          <w:sz w:val="20"/>
          <w:szCs w:val="20"/>
          <w:color w:val="auto"/>
        </w:rPr>
      </w:pPr>
      <w:r>
        <w:rPr>
          <w:rFonts w:ascii="Arial" w:cs="Arial" w:eastAsia="Arial" w:hAnsi="Arial"/>
          <w:sz w:val="18"/>
          <w:szCs w:val="18"/>
          <w:b w:val="1"/>
          <w:bCs w:val="1"/>
          <w:color w:val="auto"/>
        </w:rPr>
        <w:t>05-0605598</w:t>
      </w:r>
    </w:p>
    <w:p>
      <w:pPr>
        <w:spacing w:after="0" w:line="27" w:lineRule="exact"/>
        <w:rPr>
          <w:sz w:val="24"/>
          <w:szCs w:val="24"/>
          <w:color w:val="auto"/>
        </w:rPr>
      </w:pPr>
    </w:p>
    <w:p>
      <w:pPr>
        <w:jc w:val="center"/>
        <w:ind w:right="440"/>
        <w:spacing w:after="0"/>
        <w:rPr>
          <w:sz w:val="20"/>
          <w:szCs w:val="20"/>
          <w:color w:val="auto"/>
        </w:rPr>
      </w:pPr>
      <w:r>
        <w:rPr>
          <w:rFonts w:ascii="Arial" w:cs="Arial" w:eastAsia="Arial" w:hAnsi="Arial"/>
          <w:sz w:val="16"/>
          <w:szCs w:val="16"/>
          <w:b w:val="1"/>
          <w:bCs w:val="1"/>
          <w:color w:val="auto"/>
        </w:rPr>
        <w:t>(I.R.S. employer identification number)</w:t>
      </w:r>
    </w:p>
    <w:p>
      <w:pPr>
        <w:spacing w:after="0" w:line="37" w:lineRule="exact"/>
        <w:rPr>
          <w:sz w:val="24"/>
          <w:szCs w:val="24"/>
          <w:color w:val="auto"/>
        </w:rPr>
      </w:pPr>
    </w:p>
    <w:p>
      <w:pPr>
        <w:sectPr>
          <w:pgSz w:w="11900" w:h="16838" w:orient="portrait"/>
          <w:cols w:equalWidth="0" w:num="3">
            <w:col w:w="4020" w:space="720"/>
            <w:col w:w="2140" w:space="720"/>
            <w:col w:w="3480"/>
          </w:cols>
          <w:pgMar w:left="320" w:top="1035" w:right="499" w:bottom="1440" w:gutter="0" w:footer="0" w:header="0"/>
          <w:type w:val="continuous"/>
        </w:sectPr>
      </w:pPr>
    </w:p>
    <w:p>
      <w:pPr>
        <w:ind w:left="1560"/>
        <w:spacing w:after="0"/>
        <w:rPr>
          <w:sz w:val="20"/>
          <w:szCs w:val="20"/>
          <w:color w:val="auto"/>
        </w:rPr>
      </w:pPr>
      <w:r>
        <w:rPr>
          <w:rFonts w:ascii="Arial" w:cs="Arial" w:eastAsia="Arial" w:hAnsi="Arial"/>
          <w:sz w:val="16"/>
          <w:szCs w:val="16"/>
          <w:b w:val="1"/>
          <w:bCs w:val="1"/>
          <w:color w:val="auto"/>
        </w:rPr>
        <w:t>organization)</w:t>
      </w:r>
    </w:p>
    <w:p>
      <w:pPr>
        <w:sectPr>
          <w:pgSz w:w="11900" w:h="16838" w:orient="portrait"/>
          <w:cols w:equalWidth="0" w:num="1">
            <w:col w:w="11080"/>
          </w:cols>
          <w:pgMar w:left="320" w:top="1035" w:right="499" w:bottom="1440" w:gutter="0" w:footer="0" w:header="0"/>
          <w:type w:val="continuous"/>
        </w:sectPr>
      </w:pPr>
    </w:p>
    <w:p>
      <w:pPr>
        <w:spacing w:after="0" w:line="144"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One Penumbra Place</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Alameda, CA 94502</w:t>
      </w:r>
    </w:p>
    <w:p>
      <w:pPr>
        <w:spacing w:after="0" w:line="9"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(Address of principal executive offices, including zip code)</w:t>
      </w:r>
    </w:p>
    <w:p>
      <w:pPr>
        <w:spacing w:after="0" w:line="20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(510) 748-3200</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211" w:lineRule="exact"/>
        <w:rPr>
          <w:sz w:val="24"/>
          <w:szCs w:val="24"/>
          <w:color w:val="auto"/>
        </w:rPr>
      </w:pPr>
    </w:p>
    <w:p>
      <w:pPr>
        <w:ind w:right="460"/>
        <w:spacing w:after="0" w:line="25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obligations of the registrant under any of the following provisions:</w:t>
      </w:r>
    </w:p>
    <w:p>
      <w:pPr>
        <w:spacing w:after="0" w:line="27" w:lineRule="exact"/>
        <w:rPr>
          <w:sz w:val="24"/>
          <w:szCs w:val="24"/>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38" w:lineRule="exact"/>
        <w:rPr>
          <w:rFonts w:ascii="MS PGothic" w:cs="MS PGothic" w:eastAsia="MS PGothic" w:hAnsi="MS PGothic"/>
          <w:sz w:val="18"/>
          <w:szCs w:val="18"/>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 w:lineRule="exact"/>
        <w:rPr>
          <w:rFonts w:ascii="MS PGothic" w:cs="MS PGothic" w:eastAsia="MS PGothic" w:hAnsi="MS PGothic"/>
          <w:sz w:val="18"/>
          <w:szCs w:val="18"/>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left="660" w:hanging="634"/>
        <w:spacing w:after="0"/>
        <w:tabs>
          <w:tab w:leader="none" w:pos="6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92" w:lineRule="exact"/>
        <w:rPr>
          <w:sz w:val="24"/>
          <w:szCs w:val="24"/>
          <w:color w:val="auto"/>
        </w:rPr>
      </w:pPr>
    </w:p>
    <w:tbl>
      <w:tblPr>
        <w:tblLayout w:type="fixed"/>
        <w:tblInd w:w="1000" w:type="dxa"/>
        <w:tblCellMar>
          <w:top w:w="0" w:type="dxa"/>
          <w:left w:w="0" w:type="dxa"/>
          <w:bottom w:w="0" w:type="dxa"/>
          <w:right w:w="0" w:type="dxa"/>
        </w:tblCellMar>
      </w:tblPr>
      <w:tr>
        <w:trPr>
          <w:trHeight w:val="206"/>
        </w:trPr>
        <w:tc>
          <w:tcPr>
            <w:tcW w:w="8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420" w:type="dxa"/>
            <w:vAlign w:val="bottom"/>
            <w:gridSpan w:val="4"/>
          </w:tcPr>
          <w:p>
            <w:pPr>
              <w:ind w:left="80"/>
              <w:spacing w:after="0"/>
              <w:rPr>
                <w:sz w:val="20"/>
                <w:szCs w:val="20"/>
                <w:color w:val="auto"/>
              </w:rPr>
            </w:pPr>
            <w:r>
              <w:rPr>
                <w:rFonts w:ascii="Arial" w:cs="Arial" w:eastAsia="Arial" w:hAnsi="Arial"/>
                <w:sz w:val="16"/>
                <w:szCs w:val="16"/>
                <w:color w:val="auto"/>
              </w:rPr>
              <w:t>Securities registered pursuant to Section 12(b) of the Act:</w:t>
            </w:r>
          </w:p>
        </w:tc>
      </w:tr>
      <w:tr>
        <w:trPr>
          <w:trHeight w:val="438"/>
        </w:trPr>
        <w:tc>
          <w:tcPr>
            <w:tcW w:w="800" w:type="dxa"/>
            <w:vAlign w:val="bottom"/>
          </w:tcPr>
          <w:p>
            <w:pPr>
              <w:spacing w:after="0"/>
              <w:rPr>
                <w:sz w:val="24"/>
                <w:szCs w:val="24"/>
                <w:color w:val="auto"/>
              </w:rPr>
            </w:pPr>
          </w:p>
        </w:tc>
        <w:tc>
          <w:tcPr>
            <w:tcW w:w="2100" w:type="dxa"/>
            <w:vAlign w:val="bottom"/>
            <w:gridSpan w:val="2"/>
          </w:tcPr>
          <w:p>
            <w:pPr>
              <w:jc w:val="center"/>
              <w:ind w:right="880"/>
              <w:spacing w:after="0"/>
              <w:rPr>
                <w:sz w:val="20"/>
                <w:szCs w:val="20"/>
                <w:color w:val="auto"/>
              </w:rPr>
            </w:pPr>
            <w:r>
              <w:rPr>
                <w:rFonts w:ascii="Arial" w:cs="Arial" w:eastAsia="Arial" w:hAnsi="Arial"/>
                <w:sz w:val="16"/>
                <w:szCs w:val="16"/>
                <w:b w:val="1"/>
                <w:bCs w:val="1"/>
                <w:color w:val="auto"/>
                <w:w w:val="88"/>
              </w:rPr>
              <w:t>Title of each class</w:t>
            </w:r>
          </w:p>
        </w:tc>
        <w:tc>
          <w:tcPr>
            <w:tcW w:w="1160" w:type="dxa"/>
            <w:vAlign w:val="bottom"/>
          </w:tcPr>
          <w:p>
            <w:pPr>
              <w:spacing w:after="0"/>
              <w:rPr>
                <w:sz w:val="24"/>
                <w:szCs w:val="24"/>
                <w:color w:val="auto"/>
              </w:rPr>
            </w:pPr>
          </w:p>
        </w:tc>
        <w:tc>
          <w:tcPr>
            <w:tcW w:w="1100" w:type="dxa"/>
            <w:vAlign w:val="bottom"/>
          </w:tcPr>
          <w:p>
            <w:pPr>
              <w:jc w:val="center"/>
              <w:spacing w:after="0"/>
              <w:rPr>
                <w:sz w:val="20"/>
                <w:szCs w:val="20"/>
                <w:color w:val="auto"/>
              </w:rPr>
            </w:pPr>
            <w:r>
              <w:rPr>
                <w:rFonts w:ascii="Arial" w:cs="Arial" w:eastAsia="Arial" w:hAnsi="Arial"/>
                <w:sz w:val="16"/>
                <w:szCs w:val="16"/>
                <w:b w:val="1"/>
                <w:bCs w:val="1"/>
                <w:color w:val="auto"/>
                <w:w w:val="90"/>
              </w:rPr>
              <w:t>Trading Symbol</w:t>
            </w:r>
          </w:p>
        </w:tc>
        <w:tc>
          <w:tcPr>
            <w:tcW w:w="1160" w:type="dxa"/>
            <w:vAlign w:val="bottom"/>
          </w:tcPr>
          <w:p>
            <w:pPr>
              <w:spacing w:after="0"/>
              <w:rPr>
                <w:sz w:val="24"/>
                <w:szCs w:val="24"/>
                <w:color w:val="auto"/>
              </w:rPr>
            </w:pPr>
          </w:p>
        </w:tc>
        <w:tc>
          <w:tcPr>
            <w:tcW w:w="3000" w:type="dxa"/>
            <w:vAlign w:val="bottom"/>
          </w:tcPr>
          <w:p>
            <w:pPr>
              <w:jc w:val="center"/>
              <w:spacing w:after="0"/>
              <w:rPr>
                <w:sz w:val="20"/>
                <w:szCs w:val="20"/>
                <w:color w:val="auto"/>
              </w:rPr>
            </w:pPr>
            <w:r>
              <w:rPr>
                <w:rFonts w:ascii="Arial" w:cs="Arial" w:eastAsia="Arial" w:hAnsi="Arial"/>
                <w:sz w:val="16"/>
                <w:szCs w:val="16"/>
                <w:b w:val="1"/>
                <w:bCs w:val="1"/>
                <w:color w:val="auto"/>
                <w:w w:val="88"/>
              </w:rPr>
              <w:t>Name of each exchange on which registered</w:t>
            </w:r>
          </w:p>
        </w:tc>
      </w:tr>
      <w:tr>
        <w:trPr>
          <w:trHeight w:val="20"/>
        </w:trPr>
        <w:tc>
          <w:tcPr>
            <w:tcW w:w="80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000" w:type="dxa"/>
            <w:vAlign w:val="bottom"/>
            <w:shd w:val="clear" w:color="auto" w:fill="000000"/>
          </w:tcPr>
          <w:p>
            <w:pPr>
              <w:spacing w:after="0" w:line="20" w:lineRule="exact"/>
              <w:rPr>
                <w:sz w:val="1"/>
                <w:szCs w:val="1"/>
                <w:color w:val="auto"/>
              </w:rPr>
            </w:pPr>
          </w:p>
        </w:tc>
      </w:tr>
      <w:tr>
        <w:trPr>
          <w:trHeight w:val="230"/>
        </w:trPr>
        <w:tc>
          <w:tcPr>
            <w:tcW w:w="2900" w:type="dxa"/>
            <w:vAlign w:val="bottom"/>
            <w:gridSpan w:val="3"/>
          </w:tcPr>
          <w:p>
            <w:pPr>
              <w:jc w:val="center"/>
              <w:ind w:right="80"/>
              <w:spacing w:after="0"/>
              <w:rPr>
                <w:sz w:val="20"/>
                <w:szCs w:val="20"/>
                <w:color w:val="auto"/>
              </w:rPr>
            </w:pPr>
            <w:r>
              <w:rPr>
                <w:rFonts w:ascii="Arial" w:cs="Arial" w:eastAsia="Arial" w:hAnsi="Arial"/>
                <w:sz w:val="16"/>
                <w:szCs w:val="16"/>
                <w:color w:val="auto"/>
                <w:w w:val="90"/>
              </w:rPr>
              <w:t>Common Stock, Par value $0.001 per share</w:t>
            </w:r>
          </w:p>
        </w:tc>
        <w:tc>
          <w:tcPr>
            <w:tcW w:w="1160" w:type="dxa"/>
            <w:vAlign w:val="bottom"/>
          </w:tcPr>
          <w:p>
            <w:pPr>
              <w:spacing w:after="0"/>
              <w:rPr>
                <w:sz w:val="20"/>
                <w:szCs w:val="20"/>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91"/>
              </w:rPr>
              <w:t>PEN</w:t>
            </w:r>
          </w:p>
        </w:tc>
        <w:tc>
          <w:tcPr>
            <w:tcW w:w="1160" w:type="dxa"/>
            <w:vAlign w:val="bottom"/>
          </w:tcPr>
          <w:p>
            <w:pPr>
              <w:spacing w:after="0"/>
              <w:rPr>
                <w:sz w:val="20"/>
                <w:szCs w:val="20"/>
                <w:color w:val="auto"/>
              </w:rPr>
            </w:pPr>
          </w:p>
        </w:tc>
        <w:tc>
          <w:tcPr>
            <w:tcW w:w="3000" w:type="dxa"/>
            <w:vAlign w:val="bottom"/>
          </w:tcPr>
          <w:p>
            <w:pPr>
              <w:jc w:val="center"/>
              <w:spacing w:after="0"/>
              <w:rPr>
                <w:sz w:val="20"/>
                <w:szCs w:val="20"/>
                <w:color w:val="auto"/>
              </w:rPr>
            </w:pPr>
            <w:r>
              <w:rPr>
                <w:rFonts w:ascii="Arial" w:cs="Arial" w:eastAsia="Arial" w:hAnsi="Arial"/>
                <w:sz w:val="16"/>
                <w:szCs w:val="16"/>
                <w:color w:val="auto"/>
                <w:w w:val="92"/>
              </w:rPr>
              <w:t>The New York Stock Exchange</w:t>
            </w:r>
          </w:p>
        </w:tc>
      </w:tr>
    </w:tbl>
    <w:p>
      <w:pPr>
        <w:spacing w:after="0" w:line="347" w:lineRule="exact"/>
        <w:rPr>
          <w:sz w:val="24"/>
          <w:szCs w:val="24"/>
          <w:color w:val="auto"/>
        </w:rPr>
      </w:pPr>
    </w:p>
    <w:p>
      <w:pPr>
        <w:ind w:right="20" w:firstLine="648"/>
        <w:spacing w:after="0" w:line="257"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44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69" w:lineRule="exact"/>
        <w:rPr>
          <w:sz w:val="24"/>
          <w:szCs w:val="24"/>
          <w:color w:val="auto"/>
        </w:rPr>
      </w:pPr>
    </w:p>
    <w:p>
      <w:pPr>
        <w:ind w:firstLine="432"/>
        <w:spacing w:after="0" w:line="275"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40" w:lineRule="exact"/>
        <w:rPr>
          <w:sz w:val="24"/>
          <w:szCs w:val="24"/>
          <w:color w:val="auto"/>
        </w:rPr>
      </w:pPr>
    </w:p>
    <w:p>
      <w:pPr>
        <w:ind w:left="1060"/>
        <w:spacing w:after="0"/>
        <w:rPr>
          <w:sz w:val="20"/>
          <w:szCs w:val="20"/>
          <w:color w:val="auto"/>
        </w:rPr>
      </w:pPr>
      <w:r>
        <w:rPr>
          <w:rFonts w:ascii="Arial" w:cs="Arial" w:eastAsia="Arial" w:hAnsi="Arial"/>
          <w:sz w:val="14"/>
          <w:szCs w:val="14"/>
          <w:b w:val="1"/>
          <w:bCs w:val="1"/>
          <w:color w:val="auto"/>
        </w:rPr>
        <w:t>_______________________________________________________________________________________________________________________________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739775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80"/>
          </w:cols>
          <w:pgMar w:left="320" w:top="1035" w:right="499" w:bottom="1440" w:gutter="0" w:footer="0" w:header="0"/>
          <w:type w:val="continuous"/>
        </w:sectPr>
      </w:pPr>
    </w:p>
    <w:bookmarkStart w:id="1" w:name="page2"/>
    <w:bookmarkEnd w:id="1"/>
    <w:p>
      <w:pPr>
        <w:ind w:left="1060"/>
        <w:spacing w:after="0"/>
        <w:rPr>
          <w:sz w:val="20"/>
          <w:szCs w:val="20"/>
          <w:color w:val="auto"/>
        </w:rPr>
      </w:pPr>
      <w:r>
        <w:rPr>
          <w:rFonts w:ascii="Arial" w:cs="Arial" w:eastAsia="Arial" w:hAnsi="Arial"/>
          <w:sz w:val="14"/>
          <w:szCs w:val="14"/>
          <w:b w:val="1"/>
          <w:bCs w:val="1"/>
          <w:color w:val="auto"/>
        </w:rPr>
        <w:t>_______________________________________________________________________________________________________________________________</w:t>
      </w:r>
    </w:p>
    <w:p>
      <w:pPr>
        <w:spacing w:after="0" w:line="200" w:lineRule="exact"/>
        <w:rPr>
          <w:sz w:val="20"/>
          <w:szCs w:val="20"/>
          <w:color w:val="auto"/>
        </w:rPr>
      </w:pPr>
    </w:p>
    <w:p>
      <w:pPr>
        <w:spacing w:after="0" w:line="332" w:lineRule="exact"/>
        <w:rPr>
          <w:sz w:val="20"/>
          <w:szCs w:val="20"/>
          <w:color w:val="auto"/>
        </w:rPr>
      </w:pPr>
    </w:p>
    <w:p>
      <w:pPr>
        <w:ind w:left="20"/>
        <w:spacing w:after="0"/>
        <w:tabs>
          <w:tab w:leader="none" w:pos="13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337" w:lineRule="exact"/>
        <w:rPr>
          <w:sz w:val="20"/>
          <w:szCs w:val="20"/>
          <w:color w:val="auto"/>
        </w:rPr>
      </w:pPr>
    </w:p>
    <w:p>
      <w:pPr>
        <w:ind w:right="140" w:firstLine="486"/>
        <w:spacing w:after="0" w:line="277" w:lineRule="auto"/>
        <w:rPr>
          <w:sz w:val="20"/>
          <w:szCs w:val="20"/>
          <w:color w:val="auto"/>
        </w:rPr>
      </w:pPr>
      <w:r>
        <w:rPr>
          <w:rFonts w:ascii="Arial" w:cs="Arial" w:eastAsia="Arial" w:hAnsi="Arial"/>
          <w:sz w:val="18"/>
          <w:szCs w:val="18"/>
          <w:color w:val="auto"/>
        </w:rPr>
        <w:t>On May 4, 2021, Penumbra, Inc. issued a press release announcing financial results for the first fiscal quarter ended March 31, 2021. A copy of the press release is furnished as Exhibit 99.1 to this Current Report on Form 8-K and is incorporated herein by reference.</w:t>
      </w:r>
    </w:p>
    <w:p>
      <w:pPr>
        <w:spacing w:after="0" w:line="197" w:lineRule="exact"/>
        <w:rPr>
          <w:sz w:val="20"/>
          <w:szCs w:val="20"/>
          <w:color w:val="auto"/>
        </w:rPr>
      </w:pPr>
    </w:p>
    <w:p>
      <w:pPr>
        <w:jc w:val="both"/>
        <w:ind w:right="120" w:firstLine="486"/>
        <w:spacing w:after="0" w:line="262" w:lineRule="auto"/>
        <w:rPr>
          <w:sz w:val="20"/>
          <w:szCs w:val="20"/>
          <w:color w:val="auto"/>
        </w:rPr>
      </w:pPr>
      <w:r>
        <w:rPr>
          <w:rFonts w:ascii="Arial" w:cs="Arial" w:eastAsia="Arial" w:hAnsi="Arial"/>
          <w:sz w:val="17"/>
          <w:szCs w:val="17"/>
          <w:color w:val="auto"/>
        </w:rPr>
        <w:t>The information furnished on this Current Report on Form 8-K, including the attached exhibit, shall not be deemed “filed” for purposes of Section 18 of the Securities Exchange Act of 1934, as amended (the “Exchange Act”), or otherwise subject to the liabilities of that section, nor shall it be deemed incorporated by reference into any other filing under the Securities Act of 1933, as amended, or the Exchange Act, regardless of any general incorporation language in such a filing, except as expressly set forth by specific reference in such a filing.</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340" w:type="dxa"/>
            <w:vAlign w:val="bottom"/>
            <w:gridSpan w:val="3"/>
          </w:tcPr>
          <w:p>
            <w:pPr>
              <w:spacing w:after="0"/>
              <w:rPr>
                <w:sz w:val="20"/>
                <w:szCs w:val="20"/>
                <w:color w:val="auto"/>
              </w:rPr>
            </w:pPr>
            <w:r>
              <w:rPr>
                <w:rFonts w:ascii="Arial" w:cs="Arial" w:eastAsia="Arial" w:hAnsi="Arial"/>
                <w:sz w:val="18"/>
                <w:szCs w:val="18"/>
                <w:b w:val="1"/>
                <w:bCs w:val="1"/>
                <w:color w:val="auto"/>
              </w:rPr>
              <w:t>Item 9.01.</w:t>
            </w:r>
          </w:p>
        </w:tc>
        <w:tc>
          <w:tcPr>
            <w:tcW w:w="9880" w:type="dxa"/>
            <w:vAlign w:val="bottom"/>
            <w:gridSpan w:val="3"/>
          </w:tcPr>
          <w:p>
            <w:pPr>
              <w:ind w:left="160"/>
              <w:spacing w:after="0"/>
              <w:rPr>
                <w:sz w:val="20"/>
                <w:szCs w:val="20"/>
                <w:color w:val="auto"/>
              </w:rPr>
            </w:pPr>
            <w:r>
              <w:rPr>
                <w:rFonts w:ascii="Arial" w:cs="Arial" w:eastAsia="Arial" w:hAnsi="Arial"/>
                <w:sz w:val="18"/>
                <w:szCs w:val="18"/>
                <w:b w:val="1"/>
                <w:bCs w:val="1"/>
                <w:color w:val="auto"/>
              </w:rPr>
              <w:t>Financial Statements and Exhibits.</w:t>
            </w:r>
          </w:p>
        </w:tc>
      </w:tr>
      <w:tr>
        <w:trPr>
          <w:trHeight w:val="567"/>
        </w:trPr>
        <w:tc>
          <w:tcPr>
            <w:tcW w:w="1360" w:type="dxa"/>
            <w:vAlign w:val="bottom"/>
            <w:gridSpan w:val="4"/>
          </w:tcPr>
          <w:p>
            <w:pPr>
              <w:spacing w:after="0"/>
              <w:rPr>
                <w:sz w:val="20"/>
                <w:szCs w:val="20"/>
                <w:color w:val="auto"/>
              </w:rPr>
            </w:pPr>
            <w:r>
              <w:rPr>
                <w:rFonts w:ascii="Arial" w:cs="Arial" w:eastAsia="Arial" w:hAnsi="Arial"/>
                <w:sz w:val="18"/>
                <w:szCs w:val="18"/>
                <w:color w:val="auto"/>
              </w:rPr>
              <w:t>(d) Exhibits.</w:t>
            </w:r>
          </w:p>
        </w:tc>
        <w:tc>
          <w:tcPr>
            <w:tcW w:w="6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8380" w:type="dxa"/>
            <w:vAlign w:val="bottom"/>
          </w:tcPr>
          <w:p>
            <w:pPr>
              <w:spacing w:after="0"/>
              <w:rPr>
                <w:sz w:val="24"/>
                <w:szCs w:val="24"/>
                <w:color w:val="auto"/>
              </w:rPr>
            </w:pPr>
          </w:p>
        </w:tc>
      </w:tr>
      <w:tr>
        <w:trPr>
          <w:trHeight w:val="446"/>
        </w:trPr>
        <w:tc>
          <w:tcPr>
            <w:tcW w:w="20" w:type="dxa"/>
            <w:vAlign w:val="bottom"/>
          </w:tcPr>
          <w:p>
            <w:pPr>
              <w:spacing w:after="0"/>
              <w:rPr>
                <w:sz w:val="24"/>
                <w:szCs w:val="24"/>
                <w:color w:val="auto"/>
              </w:rPr>
            </w:pPr>
          </w:p>
        </w:tc>
        <w:tc>
          <w:tcPr>
            <w:tcW w:w="1180" w:type="dxa"/>
            <w:vAlign w:val="bottom"/>
            <w:gridSpan w:val="2"/>
          </w:tcPr>
          <w:p>
            <w:pPr>
              <w:spacing w:after="0"/>
              <w:rPr>
                <w:sz w:val="20"/>
                <w:szCs w:val="20"/>
                <w:color w:val="auto"/>
              </w:rPr>
            </w:pPr>
            <w:r>
              <w:rPr>
                <w:rFonts w:ascii="Arial" w:cs="Arial" w:eastAsia="Arial" w:hAnsi="Arial"/>
                <w:sz w:val="18"/>
                <w:szCs w:val="18"/>
                <w:color w:val="auto"/>
                <w:w w:val="94"/>
              </w:rPr>
              <w:t>Exhibit Number</w:t>
            </w: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22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8380" w:type="dxa"/>
            <w:vAlign w:val="bottom"/>
          </w:tcPr>
          <w:p>
            <w:pPr>
              <w:spacing w:after="0" w:line="20" w:lineRule="exact"/>
              <w:rPr>
                <w:sz w:val="1"/>
                <w:szCs w:val="1"/>
                <w:color w:val="auto"/>
              </w:rPr>
            </w:pPr>
          </w:p>
        </w:tc>
      </w:tr>
      <w:tr>
        <w:trPr>
          <w:trHeight w:val="209"/>
        </w:trPr>
        <w:tc>
          <w:tcPr>
            <w:tcW w:w="20" w:type="dxa"/>
            <w:vAlign w:val="bottom"/>
          </w:tcPr>
          <w:p>
            <w:pPr>
              <w:spacing w:after="0"/>
              <w:rPr>
                <w:sz w:val="18"/>
                <w:szCs w:val="18"/>
                <w:color w:val="auto"/>
              </w:rPr>
            </w:pPr>
          </w:p>
        </w:tc>
        <w:tc>
          <w:tcPr>
            <w:tcW w:w="1180" w:type="dxa"/>
            <w:vAlign w:val="bottom"/>
            <w:gridSpan w:val="2"/>
          </w:tcPr>
          <w:p>
            <w:pPr>
              <w:spacing w:after="0"/>
              <w:rPr>
                <w:rFonts w:ascii="Arial" w:cs="Arial" w:eastAsia="Arial" w:hAnsi="Arial"/>
                <w:sz w:val="18"/>
                <w:szCs w:val="18"/>
                <w:color w:val="0000FF"/>
              </w:rPr>
            </w:pPr>
            <w:hyperlink w:anchor="page4">
              <w:r>
                <w:rPr>
                  <w:rFonts w:ascii="Arial" w:cs="Arial" w:eastAsia="Arial" w:hAnsi="Arial"/>
                  <w:sz w:val="18"/>
                  <w:szCs w:val="18"/>
                  <w:color w:val="0000FF"/>
                </w:rPr>
                <w:t>99.</w:t>
              </w:r>
              <w:r>
                <w:rPr>
                  <w:rFonts w:ascii="Arial" w:cs="Arial" w:eastAsia="Arial" w:hAnsi="Arial"/>
                  <w:sz w:val="18"/>
                  <w:szCs w:val="18"/>
                  <w:u w:val="single" w:color="auto"/>
                  <w:color w:val="0000FF"/>
                </w:rPr>
                <w:t>1</w:t>
              </w:r>
            </w:hyperlink>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9220" w:type="dxa"/>
            <w:vAlign w:val="bottom"/>
            <w:gridSpan w:val="2"/>
          </w:tcPr>
          <w:p>
            <w:pPr>
              <w:spacing w:after="0"/>
              <w:rPr>
                <w:sz w:val="20"/>
                <w:szCs w:val="20"/>
                <w:color w:val="auto"/>
              </w:rPr>
            </w:pPr>
            <w:r>
              <w:rPr>
                <w:rFonts w:ascii="Arial" w:cs="Arial" w:eastAsia="Arial" w:hAnsi="Arial"/>
                <w:sz w:val="18"/>
                <w:szCs w:val="18"/>
                <w:color w:val="auto"/>
              </w:rPr>
              <w:t>Press release of Penumbra, Inc. dated May 4, 2021.</w:t>
            </w:r>
          </w:p>
        </w:tc>
      </w:tr>
      <w:tr>
        <w:trPr>
          <w:trHeight w:val="277"/>
        </w:trPr>
        <w:tc>
          <w:tcPr>
            <w:tcW w:w="20" w:type="dxa"/>
            <w:vAlign w:val="bottom"/>
          </w:tcPr>
          <w:p>
            <w:pPr>
              <w:spacing w:after="0"/>
              <w:rPr>
                <w:sz w:val="24"/>
                <w:szCs w:val="24"/>
                <w:color w:val="auto"/>
              </w:rPr>
            </w:pPr>
          </w:p>
        </w:tc>
        <w:tc>
          <w:tcPr>
            <w:tcW w:w="320" w:type="dxa"/>
            <w:vAlign w:val="bottom"/>
            <w:tcBorders>
              <w:top w:val="single" w:sz="8" w:color="0000FF"/>
            </w:tcBorders>
          </w:tcPr>
          <w:p>
            <w:pPr>
              <w:spacing w:after="0"/>
              <w:rPr>
                <w:sz w:val="20"/>
                <w:szCs w:val="20"/>
                <w:color w:val="auto"/>
              </w:rPr>
            </w:pPr>
            <w:r>
              <w:rPr>
                <w:rFonts w:ascii="Arial" w:cs="Arial" w:eastAsia="Arial" w:hAnsi="Arial"/>
                <w:sz w:val="18"/>
                <w:szCs w:val="18"/>
                <w:color w:val="auto"/>
                <w:w w:val="99"/>
              </w:rPr>
              <w:t>104</w:t>
            </w: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220" w:type="dxa"/>
            <w:vAlign w:val="bottom"/>
            <w:gridSpan w:val="2"/>
          </w:tcPr>
          <w:p>
            <w:pPr>
              <w:spacing w:after="0"/>
              <w:rPr>
                <w:sz w:val="20"/>
                <w:szCs w:val="20"/>
                <w:color w:val="auto"/>
              </w:rPr>
            </w:pPr>
            <w:r>
              <w:rPr>
                <w:rFonts w:ascii="Arial" w:cs="Arial" w:eastAsia="Arial" w:hAnsi="Arial"/>
                <w:sz w:val="18"/>
                <w:szCs w:val="18"/>
                <w:color w:val="auto"/>
              </w:rPr>
              <w:t>Cover Page Interactive Data File (formatted as Inline Extensible Business Reporting Language).</w:t>
            </w:r>
          </w:p>
        </w:tc>
      </w:tr>
      <w:tr>
        <w:trPr>
          <w:trHeight w:val="925"/>
        </w:trPr>
        <w:tc>
          <w:tcPr>
            <w:tcW w:w="2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86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840" w:type="dxa"/>
            <w:vAlign w:val="bottom"/>
            <w:tcBorders>
              <w:bottom w:val="single" w:sz="8" w:color="9A9A9A"/>
            </w:tcBorders>
          </w:tcPr>
          <w:p>
            <w:pPr>
              <w:spacing w:after="0"/>
              <w:rPr>
                <w:sz w:val="24"/>
                <w:szCs w:val="24"/>
                <w:color w:val="auto"/>
              </w:rPr>
            </w:pPr>
          </w:p>
        </w:tc>
        <w:tc>
          <w:tcPr>
            <w:tcW w:w="838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413" w:right="339" w:bottom="1440" w:gutter="0" w:footer="0" w:header="0"/>
        </w:sectPr>
      </w:pPr>
    </w:p>
    <w:bookmarkStart w:id="2" w:name="page3"/>
    <w:bookmarkEnd w:id="2"/>
    <w:p>
      <w:pPr>
        <w:spacing w:after="0" w:line="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460"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7"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3000" w:type="dxa"/>
            <w:vAlign w:val="bottom"/>
          </w:tcPr>
          <w:p>
            <w:pPr>
              <w:spacing w:after="0"/>
              <w:rPr>
                <w:sz w:val="20"/>
                <w:szCs w:val="20"/>
                <w:color w:val="auto"/>
              </w:rPr>
            </w:pPr>
          </w:p>
        </w:tc>
        <w:tc>
          <w:tcPr>
            <w:tcW w:w="8200" w:type="dxa"/>
            <w:vAlign w:val="bottom"/>
            <w:gridSpan w:val="2"/>
          </w:tcPr>
          <w:p>
            <w:pPr>
              <w:ind w:left="1640"/>
              <w:spacing w:after="0"/>
              <w:rPr>
                <w:sz w:val="20"/>
                <w:szCs w:val="20"/>
                <w:color w:val="auto"/>
              </w:rPr>
            </w:pPr>
            <w:r>
              <w:rPr>
                <w:rFonts w:ascii="Arial" w:cs="Arial" w:eastAsia="Arial" w:hAnsi="Arial"/>
                <w:sz w:val="18"/>
                <w:szCs w:val="18"/>
                <w:b w:val="1"/>
                <w:bCs w:val="1"/>
                <w:color w:val="auto"/>
              </w:rPr>
              <w:t>Penumbra, Inc.</w:t>
            </w:r>
          </w:p>
        </w:tc>
      </w:tr>
      <w:tr>
        <w:trPr>
          <w:trHeight w:val="459"/>
        </w:trPr>
        <w:tc>
          <w:tcPr>
            <w:tcW w:w="3000" w:type="dxa"/>
            <w:vAlign w:val="bottom"/>
          </w:tcPr>
          <w:p>
            <w:pPr>
              <w:spacing w:after="0"/>
              <w:rPr>
                <w:sz w:val="20"/>
                <w:szCs w:val="20"/>
                <w:color w:val="auto"/>
              </w:rPr>
            </w:pPr>
            <w:r>
              <w:rPr>
                <w:rFonts w:ascii="Arial" w:cs="Arial" w:eastAsia="Arial" w:hAnsi="Arial"/>
                <w:sz w:val="18"/>
                <w:szCs w:val="18"/>
                <w:color w:val="auto"/>
              </w:rPr>
              <w:t>Date: May 4, 2021</w:t>
            </w:r>
          </w:p>
        </w:tc>
        <w:tc>
          <w:tcPr>
            <w:tcW w:w="2360" w:type="dxa"/>
            <w:vAlign w:val="bottom"/>
          </w:tcPr>
          <w:p>
            <w:pPr>
              <w:ind w:left="1640"/>
              <w:spacing w:after="0"/>
              <w:rPr>
                <w:sz w:val="20"/>
                <w:szCs w:val="20"/>
                <w:color w:val="auto"/>
              </w:rPr>
            </w:pPr>
            <w:r>
              <w:rPr>
                <w:rFonts w:ascii="Arial" w:cs="Arial" w:eastAsia="Arial" w:hAnsi="Arial"/>
                <w:sz w:val="18"/>
                <w:szCs w:val="18"/>
                <w:color w:val="auto"/>
              </w:rPr>
              <w:t>By:</w:t>
            </w:r>
          </w:p>
        </w:tc>
        <w:tc>
          <w:tcPr>
            <w:tcW w:w="58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Maggie Yuen</w:t>
            </w:r>
          </w:p>
        </w:tc>
      </w:tr>
      <w:tr>
        <w:trPr>
          <w:trHeight w:val="222"/>
        </w:trPr>
        <w:tc>
          <w:tcPr>
            <w:tcW w:w="3000" w:type="dxa"/>
            <w:vAlign w:val="bottom"/>
          </w:tcPr>
          <w:p>
            <w:pPr>
              <w:spacing w:after="0"/>
              <w:rPr>
                <w:sz w:val="19"/>
                <w:szCs w:val="19"/>
                <w:color w:val="auto"/>
              </w:rPr>
            </w:pPr>
          </w:p>
        </w:tc>
        <w:tc>
          <w:tcPr>
            <w:tcW w:w="2360" w:type="dxa"/>
            <w:vAlign w:val="bottom"/>
          </w:tcPr>
          <w:p>
            <w:pPr>
              <w:spacing w:after="0"/>
              <w:rPr>
                <w:sz w:val="19"/>
                <w:szCs w:val="19"/>
                <w:color w:val="auto"/>
              </w:rPr>
            </w:pPr>
          </w:p>
        </w:tc>
        <w:tc>
          <w:tcPr>
            <w:tcW w:w="5840" w:type="dxa"/>
            <w:vAlign w:val="bottom"/>
          </w:tcPr>
          <w:p>
            <w:pPr>
              <w:ind w:left="20"/>
              <w:spacing w:after="0"/>
              <w:rPr>
                <w:sz w:val="20"/>
                <w:szCs w:val="20"/>
                <w:color w:val="auto"/>
              </w:rPr>
            </w:pPr>
            <w:r>
              <w:rPr>
                <w:rFonts w:ascii="Arial" w:cs="Arial" w:eastAsia="Arial" w:hAnsi="Arial"/>
                <w:sz w:val="18"/>
                <w:szCs w:val="18"/>
                <w:color w:val="auto"/>
              </w:rPr>
              <w:t>Maggie Yuen</w:t>
            </w:r>
          </w:p>
        </w:tc>
      </w:tr>
      <w:tr>
        <w:trPr>
          <w:trHeight w:val="230"/>
        </w:trPr>
        <w:tc>
          <w:tcPr>
            <w:tcW w:w="300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5840" w:type="dxa"/>
            <w:vAlign w:val="bottom"/>
          </w:tcPr>
          <w:p>
            <w:pPr>
              <w:ind w:left="20"/>
              <w:spacing w:after="0"/>
              <w:rPr>
                <w:sz w:val="20"/>
                <w:szCs w:val="20"/>
                <w:color w:val="auto"/>
              </w:rPr>
            </w:pPr>
            <w:r>
              <w:rPr>
                <w:rFonts w:ascii="Arial" w:cs="Arial" w:eastAsia="Arial" w:hAnsi="Arial"/>
                <w:sz w:val="18"/>
                <w:szCs w:val="18"/>
                <w:color w:val="auto"/>
              </w:rPr>
              <w:t>Chief Financial Officer</w:t>
            </w:r>
          </w:p>
        </w:tc>
      </w:tr>
    </w:tbl>
    <w:p>
      <w:pPr>
        <w:sectPr>
          <w:pgSz w:w="11900" w:h="16838" w:orient="portrait"/>
          <w:cols w:equalWidth="0" w:num="1">
            <w:col w:w="11220"/>
          </w:cols>
          <w:pgMar w:left="320" w:top="1440"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u w:val="single" w:color="auto"/>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485140</wp:posOffset>
            </wp:positionH>
            <wp:positionV relativeFrom="paragraph">
              <wp:posOffset>17145</wp:posOffset>
            </wp:positionV>
            <wp:extent cx="6172200" cy="8058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17220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 Reports First Quarter 2021 Financial Results</w:t>
      </w:r>
    </w:p>
    <w:p>
      <w:pPr>
        <w:spacing w:after="0" w:line="252" w:lineRule="exact"/>
        <w:rPr>
          <w:sz w:val="20"/>
          <w:szCs w:val="20"/>
          <w:color w:val="auto"/>
        </w:rPr>
      </w:pPr>
    </w:p>
    <w:p>
      <w:pPr>
        <w:ind w:right="340"/>
        <w:spacing w:after="0" w:line="282" w:lineRule="auto"/>
        <w:rPr>
          <w:sz w:val="20"/>
          <w:szCs w:val="20"/>
          <w:color w:val="auto"/>
        </w:rPr>
      </w:pPr>
      <w:r>
        <w:rPr>
          <w:rFonts w:ascii="Arial" w:cs="Arial" w:eastAsia="Arial" w:hAnsi="Arial"/>
          <w:sz w:val="18"/>
          <w:szCs w:val="18"/>
          <w:color w:val="auto"/>
        </w:rPr>
        <w:t xml:space="preserve">ALAMEDA, Calif., May 4, 2021 (PR Newswire) - Penumbra, Inc. </w:t>
      </w:r>
      <w:r>
        <w:rPr>
          <w:rFonts w:ascii="Arial" w:cs="Arial" w:eastAsia="Arial" w:hAnsi="Arial"/>
          <w:sz w:val="18"/>
          <w:szCs w:val="18"/>
          <w:b w:val="1"/>
          <w:bCs w:val="1"/>
          <w:color w:val="auto"/>
        </w:rPr>
        <w:t>(NYSE: PEN)</w:t>
      </w:r>
      <w:r>
        <w:rPr>
          <w:rFonts w:ascii="Arial" w:cs="Arial" w:eastAsia="Arial" w:hAnsi="Arial"/>
          <w:sz w:val="18"/>
          <w:szCs w:val="18"/>
          <w:color w:val="auto"/>
        </w:rPr>
        <w:t>, a global healthcare company focused on innovative therapies, today reported financial results for the first quarter ended March 31, 2021.</w:t>
      </w:r>
    </w:p>
    <w:p>
      <w:pPr>
        <w:spacing w:after="0" w:line="185" w:lineRule="exact"/>
        <w:rPr>
          <w:sz w:val="20"/>
          <w:szCs w:val="20"/>
          <w:color w:val="auto"/>
        </w:rPr>
      </w:pPr>
    </w:p>
    <w:p>
      <w:pPr>
        <w:ind w:left="660" w:right="40" w:hanging="328"/>
        <w:spacing w:after="0" w:line="230" w:lineRule="auto"/>
        <w:tabs>
          <w:tab w:leader="none" w:pos="655"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Revenue of $169.2 million in the first quarter of 2021, an increase of 23.2%, or 21.5% in constant currency</w:t>
      </w:r>
      <w:r>
        <w:rPr>
          <w:rFonts w:ascii="Arial" w:cs="Arial" w:eastAsia="Arial" w:hAnsi="Arial"/>
          <w:sz w:val="23"/>
          <w:szCs w:val="23"/>
          <w:b w:val="1"/>
          <w:bCs w:val="1"/>
          <w:color w:val="auto"/>
          <w:vertAlign w:val="superscript"/>
        </w:rPr>
        <w:t>1</w:t>
      </w:r>
      <w:r>
        <w:rPr>
          <w:rFonts w:ascii="Arial" w:cs="Arial" w:eastAsia="Arial" w:hAnsi="Arial"/>
          <w:sz w:val="18"/>
          <w:szCs w:val="18"/>
          <w:b w:val="1"/>
          <w:bCs w:val="1"/>
          <w:color w:val="auto"/>
        </w:rPr>
        <w:t>, compared to the first quarter of 2020.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2021 Financial Results</w:t>
      </w:r>
    </w:p>
    <w:p>
      <w:pPr>
        <w:spacing w:after="0" w:line="27" w:lineRule="exact"/>
        <w:rPr>
          <w:sz w:val="20"/>
          <w:szCs w:val="20"/>
          <w:color w:val="auto"/>
        </w:rPr>
      </w:pPr>
    </w:p>
    <w:p>
      <w:pPr>
        <w:ind w:right="160"/>
        <w:spacing w:after="0" w:line="253" w:lineRule="auto"/>
        <w:rPr>
          <w:sz w:val="20"/>
          <w:szCs w:val="20"/>
          <w:color w:val="auto"/>
        </w:rPr>
      </w:pPr>
      <w:r>
        <w:rPr>
          <w:rFonts w:ascii="Arial" w:cs="Arial" w:eastAsia="Arial" w:hAnsi="Arial"/>
          <w:sz w:val="18"/>
          <w:szCs w:val="18"/>
          <w:color w:val="auto"/>
        </w:rPr>
        <w:t>Total revenue increased to $169.2 million for the first quarter of 2021 compared to $137.3 million for the first quarter of 2020, an increase of 23.2%, or 21.5% on a constant currency basis. The United States represented 71% of total revenue and international represented 29% of total revenue for the first quarter of 2021. Revenue from sales of vascular products grew to $89.2 million for the first quarter of 2021, an increase of 50.5%, or 49.1% on a constant currency basis. Revenue from sales of neuro products grew to $80.0 million for the first quarter of 2021, an increase of 2.5%, or 0.6% on a constant currency basis.</w:t>
      </w:r>
    </w:p>
    <w:p>
      <w:pPr>
        <w:spacing w:after="0" w:line="83"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Gross profit was $111.3 million, or 65.8% of total revenue, for the first quarter of 2021, compared to $88.0 million, or 64.1% of total revenue, for the first quarter of 2020.</w:t>
      </w:r>
    </w:p>
    <w:p>
      <w:pPr>
        <w:spacing w:after="0" w:line="62" w:lineRule="exact"/>
        <w:rPr>
          <w:sz w:val="20"/>
          <w:szCs w:val="20"/>
          <w:color w:val="auto"/>
        </w:rPr>
      </w:pPr>
    </w:p>
    <w:p>
      <w:pPr>
        <w:ind w:right="140"/>
        <w:spacing w:after="0" w:line="311" w:lineRule="auto"/>
        <w:rPr>
          <w:sz w:val="20"/>
          <w:szCs w:val="20"/>
          <w:color w:val="auto"/>
        </w:rPr>
      </w:pPr>
      <w:r>
        <w:rPr>
          <w:rFonts w:ascii="Arial" w:cs="Arial" w:eastAsia="Arial" w:hAnsi="Arial"/>
          <w:sz w:val="16"/>
          <w:szCs w:val="16"/>
          <w:color w:val="auto"/>
        </w:rPr>
        <w:t>Total operating expenses for the first quarter of 2021 were $97.9 million, or 57.8% of total revenue. This compares to total operating expenses of $87.4 million, or 63.6% of total revenue, for the first quarter of 2020. R&amp;D expenses were $18.1 million for the first quarter of 2021, compared to $12.9 million for the first quarter of 2020. SG&amp;A expenses were $79.8 million for the first quarter of 2021, compared to $74.5 million for the first quarter of 2020.</w:t>
      </w:r>
    </w:p>
    <w:p>
      <w:pPr>
        <w:spacing w:after="0" w:line="41" w:lineRule="exact"/>
        <w:rPr>
          <w:sz w:val="20"/>
          <w:szCs w:val="20"/>
          <w:color w:val="auto"/>
        </w:rPr>
      </w:pPr>
    </w:p>
    <w:p>
      <w:pPr>
        <w:ind w:right="580"/>
        <w:spacing w:after="0" w:line="321" w:lineRule="auto"/>
        <w:rPr>
          <w:sz w:val="20"/>
          <w:szCs w:val="20"/>
          <w:color w:val="auto"/>
        </w:rPr>
      </w:pPr>
      <w:r>
        <w:rPr>
          <w:rFonts w:ascii="Arial" w:cs="Arial" w:eastAsia="Arial" w:hAnsi="Arial"/>
          <w:sz w:val="18"/>
          <w:szCs w:val="18"/>
          <w:color w:val="auto"/>
        </w:rPr>
        <w:t xml:space="preserve">Operating income for the first quarter of 2021 was $13.5 million. This compares to an operating income of $0.6 million for the first quarter of 2020. </w:t>
      </w:r>
      <w:r>
        <w:rPr>
          <w:rFonts w:ascii="Arial" w:cs="Arial" w:eastAsia="Arial" w:hAnsi="Arial"/>
          <w:sz w:val="18"/>
          <w:szCs w:val="18"/>
          <w:b w:val="1"/>
          <w:bCs w:val="1"/>
          <w:color w:val="auto"/>
        </w:rPr>
        <w:t>Updated Full Year 2021 Financial Outlook</w:t>
      </w:r>
    </w:p>
    <w:p>
      <w:pPr>
        <w:spacing w:after="0" w:line="1" w:lineRule="exact"/>
        <w:rPr>
          <w:sz w:val="20"/>
          <w:szCs w:val="20"/>
          <w:color w:val="auto"/>
        </w:rPr>
      </w:pPr>
    </w:p>
    <w:p>
      <w:pPr>
        <w:ind w:right="100"/>
        <w:spacing w:after="0" w:line="260" w:lineRule="auto"/>
        <w:rPr>
          <w:sz w:val="20"/>
          <w:szCs w:val="20"/>
          <w:color w:val="auto"/>
        </w:rPr>
      </w:pPr>
      <w:r>
        <w:rPr>
          <w:rFonts w:ascii="Arial" w:cs="Arial" w:eastAsia="Arial" w:hAnsi="Arial"/>
          <w:sz w:val="18"/>
          <w:szCs w:val="18"/>
          <w:color w:val="auto"/>
        </w:rPr>
        <w:t>The Company is increasing its guidance for 2021 total revenue to be in the range of $695 million to $705 million, which represents growth of 24% to 26% over 2020 revenue of $560.4 million. This new range compares to the previous range of $675 million to $685 million.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Webcast and Conference Call Information</w:t>
      </w:r>
    </w:p>
    <w:p>
      <w:pPr>
        <w:spacing w:after="0" w:line="27"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 xml:space="preserve">Penumbra, Inc. will host a conference call to discuss the first quarter 2021 financial results after market close on Tuesday, May 4, 2021 at 4:30 PM Eastern Time. The conference call can be accessed live over the phone by dialing (833) 350-1434 for domestic and international callers (conference id: 6645719), or the webcast can be accessed on the “Events” section under the “Investors” tab of the Company’s website at: </w:t>
      </w:r>
      <w:r>
        <w:rPr>
          <w:rFonts w:ascii="Arial" w:cs="Arial" w:eastAsia="Arial" w:hAnsi="Arial"/>
          <w:sz w:val="17"/>
          <w:szCs w:val="17"/>
          <w:u w:val="single" w:color="auto"/>
          <w:color w:val="0000FF"/>
        </w:rPr>
        <w:t>www.penumbrainc.com</w:t>
      </w:r>
      <w:r>
        <w:rPr>
          <w:rFonts w:ascii="Arial" w:cs="Arial" w:eastAsia="Arial" w:hAnsi="Arial"/>
          <w:sz w:val="17"/>
          <w:szCs w:val="17"/>
          <w:color w:val="auto"/>
        </w:rPr>
        <w:t>. The webcast will be available on the Company’s website for at least two weeks following the completion of the call.</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Penumbra</w:t>
      </w:r>
    </w:p>
    <w:p>
      <w:pPr>
        <w:spacing w:after="0" w:line="27" w:lineRule="exact"/>
        <w:rPr>
          <w:sz w:val="20"/>
          <w:szCs w:val="20"/>
          <w:color w:val="auto"/>
        </w:rPr>
      </w:pPr>
    </w:p>
    <w:p>
      <w:pPr>
        <w:ind w:right="100"/>
        <w:spacing w:after="0" w:line="253" w:lineRule="auto"/>
        <w:rPr>
          <w:sz w:val="20"/>
          <w:szCs w:val="20"/>
          <w:color w:val="auto"/>
        </w:rPr>
      </w:pPr>
      <w:r>
        <w:rPr>
          <w:rFonts w:ascii="Arial" w:cs="Arial" w:eastAsia="Arial" w:hAnsi="Arial"/>
          <w:sz w:val="18"/>
          <w:szCs w:val="18"/>
          <w:color w:val="auto"/>
        </w:rPr>
        <w:t xml:space="preserve">Penumbra, Inc., headquartered in Alameda, California, is a global healthcare company focused on innovative therapies. Penumbra designs, develops, manufactures and markets novel products and has a broad portfolio that addresses challenging medical conditions in markets with significant unmet need. Penumbra sells its products to hospitals and healthcare providers primarily through its direct sales organization in the United States, most of Europe, Canada and Australia, and through distributors in select international markets. The Penumbra logo is a trademark of Penumbra, Inc. For more information, visit </w:t>
      </w:r>
      <w:r>
        <w:rPr>
          <w:rFonts w:ascii="Arial" w:cs="Arial" w:eastAsia="Arial" w:hAnsi="Arial"/>
          <w:sz w:val="18"/>
          <w:szCs w:val="18"/>
          <w:u w:val="single" w:color="auto"/>
          <w:color w:val="0000FF"/>
        </w:rPr>
        <w:t>www.penumbrainc.com</w:t>
      </w:r>
      <w:r>
        <w:rPr>
          <w:rFonts w:ascii="Arial" w:cs="Arial" w:eastAsia="Arial" w:hAnsi="Arial"/>
          <w:sz w:val="18"/>
          <w:szCs w:val="18"/>
          <w:color w:val="auto"/>
        </w:rPr>
        <w: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vertAlign w:val="superscript"/>
        </w:rPr>
        <w:t>1</w:t>
      </w:r>
      <w:r>
        <w:rPr>
          <w:rFonts w:ascii="Arial" w:cs="Arial" w:eastAsia="Arial" w:hAnsi="Arial"/>
          <w:sz w:val="14"/>
          <w:szCs w:val="14"/>
          <w:color w:val="auto"/>
        </w:rPr>
        <w:t>See “Non-GAAP Financial Measures” for important information about our use of non-GAAP measures.</w:t>
      </w: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1</w:t>
      </w:r>
    </w:p>
    <w:p>
      <w:pPr>
        <w:sectPr>
          <w:pgSz w:w="11900" w:h="16838" w:orient="portrait"/>
          <w:cols w:equalWidth="0" w:num="1">
            <w:col w:w="11240"/>
          </w:cols>
          <w:pgMar w:left="320" w:top="769"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Non-GAAP Financial Measures</w:t>
      </w:r>
    </w:p>
    <w:p>
      <w:pPr>
        <w:spacing w:after="0" w:line="27"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In addition to financial measures prepared in accordance with U.S. generally accepted accounting principles (“GAAP”), the Company uses the following non-GAAP financial measures in this press release: a) non-GAAP net income (loss) and non-GAAP diluted earnings per share (“EPS”) and b) constant currency.</w:t>
      </w:r>
    </w:p>
    <w:p>
      <w:pPr>
        <w:spacing w:after="0" w:line="217" w:lineRule="exact"/>
        <w:rPr>
          <w:sz w:val="20"/>
          <w:szCs w:val="20"/>
          <w:color w:val="auto"/>
        </w:rPr>
      </w:pPr>
    </w:p>
    <w:p>
      <w:pPr>
        <w:ind w:right="40"/>
        <w:spacing w:after="0" w:line="263" w:lineRule="auto"/>
        <w:rPr>
          <w:sz w:val="20"/>
          <w:szCs w:val="20"/>
          <w:color w:val="auto"/>
        </w:rPr>
      </w:pPr>
      <w:r>
        <w:rPr>
          <w:rFonts w:ascii="Arial" w:cs="Arial" w:eastAsia="Arial" w:hAnsi="Arial"/>
          <w:sz w:val="18"/>
          <w:szCs w:val="18"/>
          <w:i w:val="1"/>
          <w:iCs w:val="1"/>
          <w:color w:val="auto"/>
        </w:rPr>
        <w:t>Non-GAAP net income (loss) and non-GAAP diluted EPS</w:t>
      </w:r>
      <w:r>
        <w:rPr>
          <w:rFonts w:ascii="Arial" w:cs="Arial" w:eastAsia="Arial" w:hAnsi="Arial"/>
          <w:sz w:val="18"/>
          <w:szCs w:val="18"/>
          <w:color w:val="auto"/>
        </w:rPr>
        <w:t>. The Company defines non-GAAP net income (loss) as net income attributable to Penumbra, Inc.</w:t>
      </w:r>
      <w:r>
        <w:rPr>
          <w:rFonts w:ascii="Arial" w:cs="Arial" w:eastAsia="Arial" w:hAnsi="Arial"/>
          <w:sz w:val="18"/>
          <w:szCs w:val="18"/>
          <w:i w:val="1"/>
          <w:iCs w:val="1"/>
          <w:color w:val="auto"/>
        </w:rPr>
        <w:t xml:space="preserve"> </w:t>
      </w:r>
      <w:r>
        <w:rPr>
          <w:rFonts w:ascii="Arial" w:cs="Arial" w:eastAsia="Arial" w:hAnsi="Arial"/>
          <w:sz w:val="18"/>
          <w:szCs w:val="18"/>
          <w:color w:val="auto"/>
        </w:rPr>
        <w:t>excluding the effects of the excess tax benefits associated with share-based compensation arrangements. The Company defines non-GAAP diluted EPS as GAAP diluted EPS, excluding the effects of the same item above.</w:t>
      </w:r>
    </w:p>
    <w:p>
      <w:pPr>
        <w:spacing w:after="0" w:line="21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i w:val="1"/>
          <w:iCs w:val="1"/>
          <w:color w:val="auto"/>
        </w:rPr>
        <w:t>Constant Currency</w:t>
      </w:r>
      <w:r>
        <w:rPr>
          <w:rFonts w:ascii="Arial" w:cs="Arial" w:eastAsia="Arial" w:hAnsi="Arial"/>
          <w:sz w:val="18"/>
          <w:szCs w:val="18"/>
          <w:color w:val="auto"/>
        </w:rPr>
        <w:t>. The Company’s constant currency revenue disclosures estimate the impact of changes in foreign currency rates on the translation of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Company’s current period revenue as compared to the applicable comparable period in the prior year. This impact is derived by taking the current local currency revenue and translating it into U.S. dollars based upon the foreign currency exchange rates used to translate the local currency revenue for the applicable comparable period in the prior year, rather than the actual exchange rates in effect during the current period. It does not include any other effect of changes in foreign currency rates on the Company’s results or business.</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color w:val="auto"/>
        </w:rPr>
        <w:t>Full reconciliation of these non-GAAP measures to the most comparable GAAP measures is set forth in the tables below.</w:t>
      </w:r>
    </w:p>
    <w:p>
      <w:pPr>
        <w:spacing w:after="0" w:line="252" w:lineRule="exact"/>
        <w:rPr>
          <w:sz w:val="20"/>
          <w:szCs w:val="20"/>
          <w:color w:val="auto"/>
        </w:rPr>
      </w:pPr>
    </w:p>
    <w:p>
      <w:pPr>
        <w:spacing w:after="0" w:line="311" w:lineRule="auto"/>
        <w:rPr>
          <w:sz w:val="20"/>
          <w:szCs w:val="20"/>
          <w:color w:val="auto"/>
        </w:rPr>
      </w:pPr>
      <w:r>
        <w:rPr>
          <w:rFonts w:ascii="Arial" w:cs="Arial" w:eastAsia="Arial" w:hAnsi="Arial"/>
          <w:sz w:val="16"/>
          <w:szCs w:val="16"/>
          <w:color w:val="auto"/>
        </w:rPr>
        <w:t>Our management believes the non-GAAP financial measures disclosed in this press release are useful to investors in assessing the operating performance of our business and provide meaningful comparisons to prior periods and thus a more complete understanding of our business than could be obtained absent this disclosure. In addition, non-GAAP financial measures enable comparison of the Company’s financial results with other public companies.</w:t>
      </w:r>
    </w:p>
    <w:p>
      <w:pPr>
        <w:spacing w:after="0" w:line="176"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 non-GAAP financial measures included in this press release may be different from, and therefore may not be comparable to, similarly titled measures used by other companies. These non-GAAP measures should not be considered in isolation or as alternatives to GAAP measures. We urge investors to review the reconciliation of these non-GAAP financial measures to the comparable GAAP financial measures included in this press release, and not to rely on any single financial measure to evaluate our business.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7" w:lineRule="exact"/>
        <w:rPr>
          <w:sz w:val="20"/>
          <w:szCs w:val="20"/>
          <w:color w:val="auto"/>
        </w:rPr>
      </w:pPr>
    </w:p>
    <w:p>
      <w:pPr>
        <w:ind w:right="20"/>
        <w:spacing w:after="0" w:line="267" w:lineRule="auto"/>
        <w:rPr>
          <w:sz w:val="20"/>
          <w:szCs w:val="20"/>
          <w:color w:val="auto"/>
        </w:rPr>
      </w:pPr>
      <w:r>
        <w:rPr>
          <w:rFonts w:ascii="Arial" w:cs="Arial" w:eastAsia="Arial" w:hAnsi="Arial"/>
          <w:sz w:val="17"/>
          <w:szCs w:val="17"/>
          <w:color w:val="auto"/>
        </w:rPr>
        <w:t>Except for historical information, certain statements in this press release are forward-looking in nature and are subject to risks, uncertainties and assumptions about us. Our business and operations are subject to a variety of risks and uncertainties and, consequently, actual results may differ materially from those projected by any forward-looking statements. Factors that could cause actual results to differ from those projected include, but are not limited to: the impact of the COVID-19 pandemic on our business, results of operations and financial condition; failure to sustain or grow profitability or generate positive cash flows; failure to effectively introduce and market new products; delays in product introductions; significant competition; inability to further penetrate our current customer base, expand our user base and increase the frequency of use of our products by our customers; inability to achieve or maintain satisfactory pricing and margins; manufacturing difficulties; permanent write-downs or write-offs of our inventory; product defects or failures; unfavorable outcomes in clinical trials; inability to maintain our culture as we grow; fluctuations in foreign currency exchange rates; and potential adverse regulatory actions. These risks and uncertainties, as well as others, are discussed in greater detail in our filings with the Securities and Exchange Commission, including our Annual Report on Form 10-K for the year ended December 31, 2020 filed with the SEC on February 23, 2021. There may be additional risks of which we are not presently aware or that we currently believe are immaterial which could have an adverse impact on our business. Any forward-looking statements are based on our current expectations, estimates and assumptions regarding future events and are applicable only as of the dates of such statements. We make no commitment to revise or update any forward-looking statements in order to reflect events or circumstances that may change.</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769"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7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60" w:type="dxa"/>
            <w:vAlign w:val="bottom"/>
            <w:gridSpan w:val="2"/>
          </w:tcPr>
          <w:p>
            <w:pPr>
              <w:ind w:left="120"/>
              <w:spacing w:after="0"/>
              <w:rPr>
                <w:sz w:val="20"/>
                <w:szCs w:val="20"/>
                <w:color w:val="auto"/>
              </w:rPr>
            </w:pPr>
            <w:r>
              <w:rPr>
                <w:rFonts w:ascii="Arial" w:cs="Arial" w:eastAsia="Arial" w:hAnsi="Arial"/>
                <w:sz w:val="16"/>
                <w:szCs w:val="16"/>
                <w:b w:val="1"/>
                <w:bCs w:val="1"/>
                <w:color w:val="auto"/>
              </w:rPr>
              <w:t>March 31, 2021</w:t>
            </w:r>
          </w:p>
        </w:tc>
        <w:tc>
          <w:tcPr>
            <w:tcW w:w="160" w:type="dxa"/>
            <w:vAlign w:val="bottom"/>
          </w:tcPr>
          <w:p>
            <w:pPr>
              <w:spacing w:after="0"/>
              <w:rPr>
                <w:sz w:val="18"/>
                <w:szCs w:val="18"/>
                <w:color w:val="auto"/>
              </w:rPr>
            </w:pPr>
          </w:p>
        </w:tc>
        <w:tc>
          <w:tcPr>
            <w:tcW w:w="1600" w:type="dxa"/>
            <w:vAlign w:val="bottom"/>
          </w:tcPr>
          <w:p>
            <w:pPr>
              <w:jc w:val="right"/>
              <w:ind w:right="130"/>
              <w:spacing w:after="0"/>
              <w:rPr>
                <w:sz w:val="20"/>
                <w:szCs w:val="20"/>
                <w:color w:val="auto"/>
              </w:rPr>
            </w:pPr>
            <w:r>
              <w:rPr>
                <w:rFonts w:ascii="Arial" w:cs="Arial" w:eastAsia="Arial" w:hAnsi="Arial"/>
                <w:sz w:val="16"/>
                <w:szCs w:val="16"/>
                <w:b w:val="1"/>
                <w:bCs w:val="1"/>
                <w:color w:val="auto"/>
                <w:w w:val="94"/>
              </w:rPr>
              <w:t>December 31, 2020</w:t>
            </w:r>
          </w:p>
        </w:tc>
      </w:tr>
      <w:tr>
        <w:trPr>
          <w:trHeight w:val="213"/>
        </w:trPr>
        <w:tc>
          <w:tcPr>
            <w:tcW w:w="76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220" w:type="dxa"/>
            <w:vAlign w:val="bottom"/>
            <w:tcBorders>
              <w:top w:val="single" w:sz="8" w:color="auto"/>
            </w:tcBorders>
            <w:shd w:val="clear" w:color="auto" w:fill="CCEEFF"/>
          </w:tcPr>
          <w:p>
            <w:pPr>
              <w:spacing w:after="0"/>
              <w:rPr>
                <w:sz w:val="18"/>
                <w:szCs w:val="18"/>
                <w:color w:val="auto"/>
              </w:rPr>
            </w:pPr>
          </w:p>
        </w:tc>
        <w:tc>
          <w:tcPr>
            <w:tcW w:w="15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18"/>
                <w:szCs w:val="18"/>
                <w:color w:val="auto"/>
              </w:rPr>
            </w:pPr>
          </w:p>
        </w:tc>
      </w:tr>
      <w:tr>
        <w:trPr>
          <w:trHeight w:val="229"/>
        </w:trPr>
        <w:tc>
          <w:tcPr>
            <w:tcW w:w="760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2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r>
      <w:tr>
        <w:trPr>
          <w:trHeight w:val="229"/>
        </w:trPr>
        <w:tc>
          <w:tcPr>
            <w:tcW w:w="7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Cash and cash equivalents</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55,632</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69,670</w:t>
            </w:r>
          </w:p>
        </w:tc>
      </w:tr>
      <w:tr>
        <w:trPr>
          <w:trHeight w:val="230"/>
        </w:trPr>
        <w:tc>
          <w:tcPr>
            <w:tcW w:w="7600" w:type="dxa"/>
            <w:vAlign w:val="bottom"/>
          </w:tcPr>
          <w:p>
            <w:pPr>
              <w:ind w:left="260"/>
              <w:spacing w:after="0"/>
              <w:rPr>
                <w:sz w:val="20"/>
                <w:szCs w:val="20"/>
                <w:color w:val="auto"/>
              </w:rPr>
            </w:pPr>
            <w:r>
              <w:rPr>
                <w:rFonts w:ascii="Arial" w:cs="Arial" w:eastAsia="Arial" w:hAnsi="Arial"/>
                <w:sz w:val="18"/>
                <w:szCs w:val="18"/>
                <w:color w:val="auto"/>
              </w:rPr>
              <w:t>Marketable investments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186,977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195,162</w:t>
            </w:r>
          </w:p>
        </w:tc>
      </w:tr>
      <w:tr>
        <w:trPr>
          <w:trHeight w:val="229"/>
        </w:trPr>
        <w:tc>
          <w:tcPr>
            <w:tcW w:w="76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Accounts receivable, net</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126,415</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114,608</w:t>
            </w:r>
          </w:p>
        </w:tc>
      </w:tr>
      <w:tr>
        <w:trPr>
          <w:trHeight w:val="230"/>
        </w:trPr>
        <w:tc>
          <w:tcPr>
            <w:tcW w:w="7600" w:type="dxa"/>
            <w:vAlign w:val="bottom"/>
          </w:tcPr>
          <w:p>
            <w:pPr>
              <w:ind w:left="260"/>
              <w:spacing w:after="0"/>
              <w:rPr>
                <w:sz w:val="20"/>
                <w:szCs w:val="20"/>
                <w:color w:val="auto"/>
              </w:rPr>
            </w:pPr>
            <w:r>
              <w:rPr>
                <w:rFonts w:ascii="Arial" w:cs="Arial" w:eastAsia="Arial" w:hAnsi="Arial"/>
                <w:sz w:val="18"/>
                <w:szCs w:val="18"/>
                <w:color w:val="auto"/>
              </w:rPr>
              <w:t>Inventories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245,321</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219,527</w:t>
            </w:r>
          </w:p>
        </w:tc>
      </w:tr>
      <w:tr>
        <w:trPr>
          <w:trHeight w:val="229"/>
        </w:trPr>
        <w:tc>
          <w:tcPr>
            <w:tcW w:w="76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Prepaid expenses and other current assets</w:t>
            </w: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20,782</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18,735</w:t>
            </w:r>
          </w:p>
        </w:tc>
      </w:tr>
      <w:tr>
        <w:trPr>
          <w:trHeight w:val="223"/>
        </w:trPr>
        <w:tc>
          <w:tcPr>
            <w:tcW w:w="7600" w:type="dxa"/>
            <w:vAlign w:val="bottom"/>
          </w:tcPr>
          <w:p>
            <w:pPr>
              <w:ind w:left="480"/>
              <w:spacing w:after="0"/>
              <w:rPr>
                <w:sz w:val="20"/>
                <w:szCs w:val="20"/>
                <w:color w:val="auto"/>
              </w:rPr>
            </w:pPr>
            <w:r>
              <w:rPr>
                <w:rFonts w:ascii="Arial" w:cs="Arial" w:eastAsia="Arial" w:hAnsi="Arial"/>
                <w:sz w:val="18"/>
                <w:szCs w:val="18"/>
                <w:color w:val="auto"/>
              </w:rPr>
              <w:t>Total current assets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635,127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617,702</w:t>
            </w:r>
          </w:p>
        </w:tc>
      </w:tr>
      <w:tr>
        <w:trPr>
          <w:trHeight w:val="229"/>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Property and equipment, net</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50,314</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48,169</w:t>
            </w:r>
          </w:p>
        </w:tc>
      </w:tr>
      <w:tr>
        <w:trPr>
          <w:trHeight w:val="229"/>
        </w:trPr>
        <w:tc>
          <w:tcPr>
            <w:tcW w:w="7600" w:type="dxa"/>
            <w:vAlign w:val="bottom"/>
          </w:tcPr>
          <w:p>
            <w:pPr>
              <w:ind w:left="20"/>
              <w:spacing w:after="0"/>
              <w:rPr>
                <w:sz w:val="20"/>
                <w:szCs w:val="20"/>
                <w:color w:val="auto"/>
              </w:rPr>
            </w:pPr>
            <w:r>
              <w:rPr>
                <w:rFonts w:ascii="Arial" w:cs="Arial" w:eastAsia="Arial" w:hAnsi="Arial"/>
                <w:sz w:val="18"/>
                <w:szCs w:val="18"/>
                <w:color w:val="auto"/>
              </w:rPr>
              <w:t>Operating lease right-of-use assets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40,691</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41,192</w:t>
            </w:r>
          </w:p>
        </w:tc>
      </w:tr>
      <w:tr>
        <w:trPr>
          <w:trHeight w:val="230"/>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Finance lease right-of-use assets</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37,697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38,065</w:t>
            </w:r>
          </w:p>
        </w:tc>
      </w:tr>
      <w:tr>
        <w:trPr>
          <w:trHeight w:val="229"/>
        </w:trPr>
        <w:tc>
          <w:tcPr>
            <w:tcW w:w="7600" w:type="dxa"/>
            <w:vAlign w:val="bottom"/>
          </w:tcPr>
          <w:p>
            <w:pPr>
              <w:ind w:left="20"/>
              <w:spacing w:after="0"/>
              <w:rPr>
                <w:sz w:val="20"/>
                <w:szCs w:val="20"/>
                <w:color w:val="auto"/>
              </w:rPr>
            </w:pPr>
            <w:r>
              <w:rPr>
                <w:rFonts w:ascii="Arial" w:cs="Arial" w:eastAsia="Arial" w:hAnsi="Arial"/>
                <w:sz w:val="18"/>
                <w:szCs w:val="18"/>
                <w:color w:val="auto"/>
              </w:rPr>
              <w:t>Intangible assets, net</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10,097</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10,639</w:t>
            </w:r>
          </w:p>
        </w:tc>
      </w:tr>
      <w:tr>
        <w:trPr>
          <w:trHeight w:val="229"/>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8,372</w:t>
            </w:r>
          </w:p>
        </w:tc>
      </w:tr>
      <w:tr>
        <w:trPr>
          <w:trHeight w:val="230"/>
        </w:trPr>
        <w:tc>
          <w:tcPr>
            <w:tcW w:w="7600" w:type="dxa"/>
            <w:vAlign w:val="bottom"/>
          </w:tcPr>
          <w:p>
            <w:pPr>
              <w:ind w:left="20"/>
              <w:spacing w:after="0"/>
              <w:rPr>
                <w:sz w:val="20"/>
                <w:szCs w:val="20"/>
                <w:color w:val="auto"/>
              </w:rPr>
            </w:pPr>
            <w:r>
              <w:rPr>
                <w:rFonts w:ascii="Arial" w:cs="Arial" w:eastAsia="Arial" w:hAnsi="Arial"/>
                <w:sz w:val="18"/>
                <w:szCs w:val="18"/>
                <w:color w:val="auto"/>
              </w:rPr>
              <w:t>Deferred taxes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48,978</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50,139</w:t>
            </w:r>
          </w:p>
        </w:tc>
      </w:tr>
      <w:tr>
        <w:trPr>
          <w:trHeight w:val="229"/>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non-current assets</w:t>
            </w: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9,914</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8,705</w:t>
            </w:r>
          </w:p>
        </w:tc>
      </w:tr>
      <w:tr>
        <w:trPr>
          <w:trHeight w:val="223"/>
        </w:trPr>
        <w:tc>
          <w:tcPr>
            <w:tcW w:w="7600" w:type="dxa"/>
            <w:vAlign w:val="bottom"/>
          </w:tcPr>
          <w:p>
            <w:pPr>
              <w:ind w:left="420"/>
              <w:spacing w:after="0"/>
              <w:rPr>
                <w:sz w:val="20"/>
                <w:szCs w:val="20"/>
                <w:color w:val="auto"/>
              </w:rPr>
            </w:pPr>
            <w:r>
              <w:rPr>
                <w:rFonts w:ascii="Arial" w:cs="Arial" w:eastAsia="Arial" w:hAnsi="Arial"/>
                <w:sz w:val="18"/>
                <w:szCs w:val="18"/>
                <w:color w:val="auto"/>
              </w:rPr>
              <w:t>Total assets</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840,824</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822,983</w:t>
            </w:r>
          </w:p>
        </w:tc>
      </w:tr>
      <w:tr>
        <w:trPr>
          <w:trHeight w:val="20"/>
        </w:trPr>
        <w:tc>
          <w:tcPr>
            <w:tcW w:w="76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r>
        <w:trPr>
          <w:trHeight w:val="197"/>
        </w:trPr>
        <w:tc>
          <w:tcPr>
            <w:tcW w:w="7600" w:type="dxa"/>
            <w:vAlign w:val="bottom"/>
            <w:shd w:val="clear" w:color="auto" w:fill="CCEEFF"/>
          </w:tcPr>
          <w:p>
            <w:pPr>
              <w:ind w:left="2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22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600" w:type="dxa"/>
            <w:vAlign w:val="bottom"/>
            <w:shd w:val="clear" w:color="auto" w:fill="CCEEFF"/>
          </w:tcPr>
          <w:p>
            <w:pPr>
              <w:spacing w:after="0"/>
              <w:rPr>
                <w:sz w:val="17"/>
                <w:szCs w:val="17"/>
                <w:color w:val="auto"/>
              </w:rPr>
            </w:pPr>
          </w:p>
        </w:tc>
      </w:tr>
      <w:tr>
        <w:trPr>
          <w:trHeight w:val="229"/>
        </w:trPr>
        <w:tc>
          <w:tcPr>
            <w:tcW w:w="760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2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r>
      <w:tr>
        <w:trPr>
          <w:trHeight w:val="229"/>
        </w:trPr>
        <w:tc>
          <w:tcPr>
            <w:tcW w:w="76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Accounts payable</w:t>
            </w: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15,389</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14,109</w:t>
            </w:r>
          </w:p>
        </w:tc>
      </w:tr>
      <w:tr>
        <w:trPr>
          <w:trHeight w:val="230"/>
        </w:trPr>
        <w:tc>
          <w:tcPr>
            <w:tcW w:w="7600" w:type="dxa"/>
            <w:vAlign w:val="bottom"/>
          </w:tcPr>
          <w:p>
            <w:pPr>
              <w:ind w:left="240"/>
              <w:spacing w:after="0"/>
              <w:rPr>
                <w:sz w:val="20"/>
                <w:szCs w:val="20"/>
                <w:color w:val="auto"/>
              </w:rPr>
            </w:pPr>
            <w:r>
              <w:rPr>
                <w:rFonts w:ascii="Arial" w:cs="Arial" w:eastAsia="Arial" w:hAnsi="Arial"/>
                <w:sz w:val="18"/>
                <w:szCs w:val="18"/>
                <w:color w:val="auto"/>
              </w:rPr>
              <w:t>Accrued liabilities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90,214</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85,795</w:t>
            </w:r>
          </w:p>
        </w:tc>
      </w:tr>
      <w:tr>
        <w:trPr>
          <w:trHeight w:val="229"/>
        </w:trPr>
        <w:tc>
          <w:tcPr>
            <w:tcW w:w="7600" w:type="dxa"/>
            <w:vAlign w:val="bottom"/>
            <w:shd w:val="clear" w:color="auto" w:fill="CCEEFF"/>
          </w:tcPr>
          <w:p>
            <w:pPr>
              <w:ind w:left="220"/>
              <w:spacing w:after="0"/>
              <w:rPr>
                <w:sz w:val="20"/>
                <w:szCs w:val="20"/>
                <w:color w:val="auto"/>
              </w:rPr>
            </w:pPr>
            <w:r>
              <w:rPr>
                <w:rFonts w:ascii="Arial" w:cs="Arial" w:eastAsia="Arial" w:hAnsi="Arial"/>
                <w:sz w:val="18"/>
                <w:szCs w:val="18"/>
                <w:color w:val="auto"/>
              </w:rPr>
              <w:t>Current operating lease liabilities</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4,822</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4,697</w:t>
            </w:r>
          </w:p>
        </w:tc>
      </w:tr>
      <w:tr>
        <w:trPr>
          <w:trHeight w:val="230"/>
        </w:trPr>
        <w:tc>
          <w:tcPr>
            <w:tcW w:w="7600" w:type="dxa"/>
            <w:vAlign w:val="bottom"/>
            <w:tcBorders>
              <w:bottom w:val="single" w:sz="8" w:color="CCEEFF"/>
            </w:tcBorders>
          </w:tcPr>
          <w:p>
            <w:pPr>
              <w:ind w:left="220"/>
              <w:spacing w:after="0"/>
              <w:rPr>
                <w:sz w:val="20"/>
                <w:szCs w:val="20"/>
                <w:color w:val="auto"/>
              </w:rPr>
            </w:pPr>
            <w:r>
              <w:rPr>
                <w:rFonts w:ascii="Arial" w:cs="Arial" w:eastAsia="Arial" w:hAnsi="Arial"/>
                <w:sz w:val="18"/>
                <w:szCs w:val="18"/>
                <w:color w:val="auto"/>
              </w:rPr>
              <w:t>Current finance lease liabilities</w:t>
            </w: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1,437</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1,331</w:t>
            </w:r>
          </w:p>
        </w:tc>
      </w:tr>
      <w:tr>
        <w:trPr>
          <w:trHeight w:val="223"/>
        </w:trPr>
        <w:tc>
          <w:tcPr>
            <w:tcW w:w="760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current liabilities</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111,862</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105,932</w:t>
            </w:r>
          </w:p>
        </w:tc>
      </w:tr>
      <w:tr>
        <w:trPr>
          <w:trHeight w:val="230"/>
        </w:trPr>
        <w:tc>
          <w:tcPr>
            <w:tcW w:w="7600" w:type="dxa"/>
            <w:vAlign w:val="bottom"/>
          </w:tcPr>
          <w:p>
            <w:pPr>
              <w:ind w:left="20"/>
              <w:spacing w:after="0"/>
              <w:rPr>
                <w:sz w:val="20"/>
                <w:szCs w:val="20"/>
                <w:color w:val="auto"/>
              </w:rPr>
            </w:pPr>
            <w:r>
              <w:rPr>
                <w:rFonts w:ascii="Arial" w:cs="Arial" w:eastAsia="Arial" w:hAnsi="Arial"/>
                <w:sz w:val="18"/>
                <w:szCs w:val="18"/>
                <w:color w:val="auto"/>
              </w:rPr>
              <w:t>Non-current operating lease liabilities</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43,525</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44,183</w:t>
            </w:r>
          </w:p>
        </w:tc>
      </w:tr>
      <w:tr>
        <w:trPr>
          <w:trHeight w:val="230"/>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Non-current finance lease liabilities</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27,000</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27,066</w:t>
            </w:r>
          </w:p>
        </w:tc>
      </w:tr>
      <w:tr>
        <w:trPr>
          <w:trHeight w:val="229"/>
        </w:trPr>
        <w:tc>
          <w:tcPr>
            <w:tcW w:w="76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non-current liabilities</w:t>
            </w: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7,966</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8,014</w:t>
            </w:r>
          </w:p>
        </w:tc>
      </w:tr>
      <w:tr>
        <w:trPr>
          <w:trHeight w:val="223"/>
        </w:trPr>
        <w:tc>
          <w:tcPr>
            <w:tcW w:w="7600" w:type="dxa"/>
            <w:vAlign w:val="bottom"/>
            <w:shd w:val="clear" w:color="auto" w:fill="CCEEFF"/>
          </w:tcPr>
          <w:p>
            <w:pPr>
              <w:ind w:left="480"/>
              <w:spacing w:after="0"/>
              <w:rPr>
                <w:sz w:val="20"/>
                <w:szCs w:val="20"/>
                <w:color w:val="auto"/>
              </w:rPr>
            </w:pPr>
            <w:r>
              <w:rPr>
                <w:rFonts w:ascii="Arial" w:cs="Arial" w:eastAsia="Arial" w:hAnsi="Arial"/>
                <w:sz w:val="18"/>
                <w:szCs w:val="18"/>
                <w:color w:val="auto"/>
              </w:rPr>
              <w:t>Total liabilities</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190,353</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185,195</w:t>
            </w:r>
          </w:p>
        </w:tc>
      </w:tr>
      <w:tr>
        <w:trPr>
          <w:trHeight w:val="230"/>
        </w:trPr>
        <w:tc>
          <w:tcPr>
            <w:tcW w:w="7600" w:type="dxa"/>
            <w:vAlign w:val="bottom"/>
          </w:tcPr>
          <w:p>
            <w:pPr>
              <w:ind w:left="20"/>
              <w:spacing w:after="0"/>
              <w:rPr>
                <w:sz w:val="20"/>
                <w:szCs w:val="20"/>
                <w:color w:val="auto"/>
              </w:rPr>
            </w:pPr>
            <w:r>
              <w:rPr>
                <w:rFonts w:ascii="Arial" w:cs="Arial" w:eastAsia="Arial" w:hAnsi="Arial"/>
                <w:sz w:val="18"/>
                <w:szCs w:val="18"/>
                <w:color w:val="auto"/>
              </w:rPr>
              <w:t>Stockholders’ equity:</w:t>
            </w:r>
          </w:p>
        </w:tc>
        <w:tc>
          <w:tcPr>
            <w:tcW w:w="2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r>
      <w:tr>
        <w:trPr>
          <w:trHeight w:val="230"/>
        </w:trPr>
        <w:tc>
          <w:tcPr>
            <w:tcW w:w="76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Common stock</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w:t>
            </w:r>
          </w:p>
        </w:tc>
      </w:tr>
      <w:tr>
        <w:trPr>
          <w:trHeight w:val="230"/>
        </w:trPr>
        <w:tc>
          <w:tcPr>
            <w:tcW w:w="7600" w:type="dxa"/>
            <w:vAlign w:val="bottom"/>
          </w:tcPr>
          <w:p>
            <w:pPr>
              <w:ind w:left="240"/>
              <w:spacing w:after="0"/>
              <w:rPr>
                <w:sz w:val="20"/>
                <w:szCs w:val="20"/>
                <w:color w:val="auto"/>
              </w:rPr>
            </w:pPr>
            <w:r>
              <w:rPr>
                <w:rFonts w:ascii="Arial" w:cs="Arial" w:eastAsia="Arial" w:hAnsi="Arial"/>
                <w:sz w:val="18"/>
                <w:szCs w:val="18"/>
                <w:color w:val="auto"/>
              </w:rPr>
              <w:t>Additional paid-in capital</w:t>
            </w:r>
          </w:p>
        </w:tc>
        <w:tc>
          <w:tcPr>
            <w:tcW w:w="220" w:type="dxa"/>
            <w:vAlign w:val="bottom"/>
          </w:tcPr>
          <w:p>
            <w:pPr>
              <w:spacing w:after="0"/>
              <w:rPr>
                <w:sz w:val="19"/>
                <w:szCs w:val="19"/>
                <w:color w:val="auto"/>
              </w:rPr>
            </w:pPr>
          </w:p>
        </w:tc>
        <w:tc>
          <w:tcPr>
            <w:tcW w:w="1540" w:type="dxa"/>
            <w:vAlign w:val="bottom"/>
          </w:tcPr>
          <w:p>
            <w:pPr>
              <w:jc w:val="right"/>
              <w:spacing w:after="0"/>
              <w:rPr>
                <w:sz w:val="20"/>
                <w:szCs w:val="20"/>
                <w:color w:val="auto"/>
              </w:rPr>
            </w:pPr>
            <w:r>
              <w:rPr>
                <w:rFonts w:ascii="Arial" w:cs="Arial" w:eastAsia="Arial" w:hAnsi="Arial"/>
                <w:sz w:val="18"/>
                <w:szCs w:val="18"/>
                <w:color w:val="auto"/>
              </w:rPr>
              <w:t>603,022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598,299</w:t>
            </w:r>
          </w:p>
        </w:tc>
      </w:tr>
      <w:tr>
        <w:trPr>
          <w:trHeight w:val="229"/>
        </w:trPr>
        <w:tc>
          <w:tcPr>
            <w:tcW w:w="76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Accumulated other comprehensive (loss) income</w:t>
            </w:r>
          </w:p>
        </w:tc>
        <w:tc>
          <w:tcPr>
            <w:tcW w:w="22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2,541</w:t>
            </w:r>
          </w:p>
        </w:tc>
      </w:tr>
      <w:tr>
        <w:trPr>
          <w:trHeight w:val="230"/>
        </w:trPr>
        <w:tc>
          <w:tcPr>
            <w:tcW w:w="760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Retained earnings</w:t>
            </w: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52,458</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40,622</w:t>
            </w:r>
          </w:p>
        </w:tc>
      </w:tr>
      <w:tr>
        <w:trPr>
          <w:trHeight w:val="223"/>
        </w:trPr>
        <w:tc>
          <w:tcPr>
            <w:tcW w:w="76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 Penumbra, Inc. stockholders’ equity</w:t>
            </w: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655,091</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641,498</w:t>
            </w:r>
          </w:p>
        </w:tc>
      </w:tr>
      <w:tr>
        <w:trPr>
          <w:trHeight w:val="223"/>
        </w:trPr>
        <w:tc>
          <w:tcPr>
            <w:tcW w:w="760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Non-controlling interest</w:t>
            </w:r>
          </w:p>
        </w:tc>
        <w:tc>
          <w:tcPr>
            <w:tcW w:w="22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(4,620)</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(3,710)</w:t>
            </w:r>
          </w:p>
        </w:tc>
      </w:tr>
      <w:tr>
        <w:trPr>
          <w:trHeight w:val="223"/>
        </w:trPr>
        <w:tc>
          <w:tcPr>
            <w:tcW w:w="76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 stockholders’ equity</w:t>
            </w:r>
          </w:p>
        </w:tc>
        <w:tc>
          <w:tcPr>
            <w:tcW w:w="22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650,471</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637,788</w:t>
            </w:r>
          </w:p>
        </w:tc>
      </w:tr>
      <w:tr>
        <w:trPr>
          <w:trHeight w:val="223"/>
        </w:trPr>
        <w:tc>
          <w:tcPr>
            <w:tcW w:w="7600" w:type="dxa"/>
            <w:vAlign w:val="bottom"/>
          </w:tcPr>
          <w:p>
            <w:pPr>
              <w:ind w:left="560"/>
              <w:spacing w:after="0"/>
              <w:rPr>
                <w:sz w:val="20"/>
                <w:szCs w:val="20"/>
                <w:color w:val="auto"/>
              </w:rPr>
            </w:pPr>
            <w:r>
              <w:rPr>
                <w:rFonts w:ascii="Arial" w:cs="Arial" w:eastAsia="Arial" w:hAnsi="Arial"/>
                <w:sz w:val="18"/>
                <w:szCs w:val="18"/>
                <w:color w:val="auto"/>
              </w:rPr>
              <w:t>Total liabilities and stockholders’ equity</w:t>
            </w: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840,824</w:t>
            </w:r>
          </w:p>
        </w:tc>
        <w:tc>
          <w:tcPr>
            <w:tcW w:w="1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822,983</w:t>
            </w:r>
          </w:p>
        </w:tc>
      </w:tr>
      <w:tr>
        <w:trPr>
          <w:trHeight w:val="20"/>
        </w:trPr>
        <w:tc>
          <w:tcPr>
            <w:tcW w:w="76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769"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0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3220" w:type="dxa"/>
            <w:vAlign w:val="bottom"/>
            <w:tcBorders>
              <w:bottom w:val="single" w:sz="8" w:color="auto"/>
            </w:tcBorders>
            <w:gridSpan w:val="4"/>
          </w:tcPr>
          <w:p>
            <w:pPr>
              <w:jc w:val="right"/>
              <w:ind w:right="751"/>
              <w:spacing w:after="0"/>
              <w:rPr>
                <w:sz w:val="20"/>
                <w:szCs w:val="20"/>
                <w:color w:val="auto"/>
              </w:rPr>
            </w:pPr>
            <w:r>
              <w:rPr>
                <w:rFonts w:ascii="Arial" w:cs="Arial" w:eastAsia="Arial" w:hAnsi="Arial"/>
                <w:sz w:val="14"/>
                <w:szCs w:val="14"/>
                <w:b w:val="1"/>
                <w:bCs w:val="1"/>
                <w:color w:val="auto"/>
              </w:rPr>
              <w:t>Three Months Ended March 31,</w:t>
            </w:r>
          </w:p>
        </w:tc>
        <w:tc>
          <w:tcPr>
            <w:tcW w:w="0" w:type="dxa"/>
            <w:vAlign w:val="bottom"/>
          </w:tcPr>
          <w:p>
            <w:pPr>
              <w:spacing w:after="0"/>
              <w:rPr>
                <w:sz w:val="1"/>
                <w:szCs w:val="1"/>
                <w:color w:val="auto"/>
              </w:rPr>
            </w:pPr>
          </w:p>
        </w:tc>
      </w:tr>
      <w:tr>
        <w:trPr>
          <w:trHeight w:val="187"/>
        </w:trPr>
        <w:tc>
          <w:tcPr>
            <w:tcW w:w="760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652"/>
              <w:spacing w:after="0"/>
              <w:rPr>
                <w:sz w:val="20"/>
                <w:szCs w:val="20"/>
                <w:color w:val="auto"/>
              </w:rPr>
            </w:pPr>
            <w:r>
              <w:rPr>
                <w:rFonts w:ascii="Arial" w:cs="Arial" w:eastAsia="Arial" w:hAnsi="Arial"/>
                <w:sz w:val="14"/>
                <w:szCs w:val="14"/>
                <w:b w:val="1"/>
                <w:bCs w:val="1"/>
                <w:color w:val="auto"/>
              </w:rPr>
              <w:t>2021</w:t>
            </w:r>
          </w:p>
        </w:tc>
        <w:tc>
          <w:tcPr>
            <w:tcW w:w="120" w:type="dxa"/>
            <w:vAlign w:val="bottom"/>
            <w:tcBorders>
              <w:bottom w:val="single" w:sz="8" w:color="CCEEFF"/>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651"/>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24"/>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169,204</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137,329</w:t>
            </w:r>
          </w:p>
        </w:tc>
        <w:tc>
          <w:tcPr>
            <w:tcW w:w="0" w:type="dxa"/>
            <w:vAlign w:val="bottom"/>
          </w:tcPr>
          <w:p>
            <w:pPr>
              <w:spacing w:after="0"/>
              <w:rPr>
                <w:sz w:val="1"/>
                <w:szCs w:val="1"/>
                <w:color w:val="auto"/>
              </w:rPr>
            </w:pPr>
          </w:p>
        </w:tc>
      </w:tr>
      <w:tr>
        <w:trPr>
          <w:trHeight w:val="229"/>
        </w:trPr>
        <w:tc>
          <w:tcPr>
            <w:tcW w:w="76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57,867</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49,320</w:t>
            </w:r>
          </w:p>
        </w:tc>
        <w:tc>
          <w:tcPr>
            <w:tcW w:w="0" w:type="dxa"/>
            <w:vAlign w:val="bottom"/>
          </w:tcPr>
          <w:p>
            <w:pPr>
              <w:spacing w:after="0"/>
              <w:rPr>
                <w:sz w:val="1"/>
                <w:szCs w:val="1"/>
                <w:color w:val="auto"/>
              </w:rPr>
            </w:pPr>
          </w:p>
        </w:tc>
      </w:tr>
      <w:tr>
        <w:trPr>
          <w:trHeight w:val="223"/>
        </w:trPr>
        <w:tc>
          <w:tcPr>
            <w:tcW w:w="76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Gross profit</w:t>
            </w:r>
          </w:p>
        </w:tc>
        <w:tc>
          <w:tcPr>
            <w:tcW w:w="42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111,337</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88,009</w:t>
            </w:r>
          </w:p>
        </w:tc>
        <w:tc>
          <w:tcPr>
            <w:tcW w:w="0" w:type="dxa"/>
            <w:vAlign w:val="bottom"/>
          </w:tcPr>
          <w:p>
            <w:pPr>
              <w:spacing w:after="0"/>
              <w:rPr>
                <w:sz w:val="1"/>
                <w:szCs w:val="1"/>
                <w:color w:val="auto"/>
              </w:rPr>
            </w:pPr>
          </w:p>
        </w:tc>
      </w:tr>
      <w:tr>
        <w:trPr>
          <w:trHeight w:val="209"/>
        </w:trPr>
        <w:tc>
          <w:tcPr>
            <w:tcW w:w="760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4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Research and development</w:t>
            </w: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18,076</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12,946</w:t>
            </w:r>
          </w:p>
        </w:tc>
        <w:tc>
          <w:tcPr>
            <w:tcW w:w="0" w:type="dxa"/>
            <w:vAlign w:val="bottom"/>
          </w:tcPr>
          <w:p>
            <w:pPr>
              <w:spacing w:after="0"/>
              <w:rPr>
                <w:sz w:val="1"/>
                <w:szCs w:val="1"/>
                <w:color w:val="auto"/>
              </w:rPr>
            </w:pPr>
          </w:p>
        </w:tc>
      </w:tr>
      <w:tr>
        <w:trPr>
          <w:trHeight w:val="229"/>
        </w:trPr>
        <w:tc>
          <w:tcPr>
            <w:tcW w:w="760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Sales, general and administrative</w:t>
            </w: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79,798</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74,453</w:t>
            </w:r>
          </w:p>
        </w:tc>
        <w:tc>
          <w:tcPr>
            <w:tcW w:w="0" w:type="dxa"/>
            <w:vAlign w:val="bottom"/>
          </w:tcPr>
          <w:p>
            <w:pPr>
              <w:spacing w:after="0"/>
              <w:rPr>
                <w:sz w:val="1"/>
                <w:szCs w:val="1"/>
                <w:color w:val="auto"/>
              </w:rPr>
            </w:pPr>
          </w:p>
        </w:tc>
      </w:tr>
      <w:tr>
        <w:trPr>
          <w:trHeight w:val="223"/>
        </w:trPr>
        <w:tc>
          <w:tcPr>
            <w:tcW w:w="7600" w:type="dxa"/>
            <w:vAlign w:val="bottom"/>
            <w:shd w:val="clear" w:color="auto" w:fill="CCEEFF"/>
          </w:tcPr>
          <w:p>
            <w:pPr>
              <w:ind w:left="460"/>
              <w:spacing w:after="0"/>
              <w:rPr>
                <w:sz w:val="20"/>
                <w:szCs w:val="20"/>
                <w:color w:val="auto"/>
              </w:rPr>
            </w:pPr>
            <w:r>
              <w:rPr>
                <w:rFonts w:ascii="Arial" w:cs="Arial" w:eastAsia="Arial" w:hAnsi="Arial"/>
                <w:sz w:val="18"/>
                <w:szCs w:val="18"/>
                <w:color w:val="auto"/>
              </w:rPr>
              <w:t>Total operating expenses</w:t>
            </w:r>
          </w:p>
        </w:tc>
        <w:tc>
          <w:tcPr>
            <w:tcW w:w="42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97,874</w:t>
            </w:r>
          </w:p>
        </w:tc>
        <w:tc>
          <w:tcPr>
            <w:tcW w:w="12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87,399</w:t>
            </w:r>
          </w:p>
        </w:tc>
        <w:tc>
          <w:tcPr>
            <w:tcW w:w="0" w:type="dxa"/>
            <w:vAlign w:val="bottom"/>
          </w:tcPr>
          <w:p>
            <w:pPr>
              <w:spacing w:after="0"/>
              <w:rPr>
                <w:sz w:val="1"/>
                <w:szCs w:val="1"/>
                <w:color w:val="auto"/>
              </w:rPr>
            </w:pPr>
          </w:p>
        </w:tc>
      </w:tr>
      <w:tr>
        <w:trPr>
          <w:trHeight w:val="223"/>
        </w:trPr>
        <w:tc>
          <w:tcPr>
            <w:tcW w:w="7600" w:type="dxa"/>
            <w:vAlign w:val="bottom"/>
          </w:tcPr>
          <w:p>
            <w:pPr>
              <w:ind w:left="20"/>
              <w:spacing w:after="0"/>
              <w:rPr>
                <w:sz w:val="20"/>
                <w:szCs w:val="20"/>
                <w:color w:val="auto"/>
              </w:rPr>
            </w:pPr>
            <w:r>
              <w:rPr>
                <w:rFonts w:ascii="Arial" w:cs="Arial" w:eastAsia="Arial" w:hAnsi="Arial"/>
                <w:sz w:val="18"/>
                <w:szCs w:val="18"/>
                <w:color w:val="auto"/>
              </w:rPr>
              <w:t>Income from operations</w:t>
            </w:r>
          </w:p>
        </w:tc>
        <w:tc>
          <w:tcPr>
            <w:tcW w:w="4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13,463</w:t>
            </w:r>
          </w:p>
        </w:tc>
        <w:tc>
          <w:tcPr>
            <w:tcW w:w="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610</w:t>
            </w:r>
          </w:p>
        </w:tc>
        <w:tc>
          <w:tcPr>
            <w:tcW w:w="0" w:type="dxa"/>
            <w:vAlign w:val="bottom"/>
          </w:tcPr>
          <w:p>
            <w:pPr>
              <w:spacing w:after="0"/>
              <w:rPr>
                <w:sz w:val="1"/>
                <w:szCs w:val="1"/>
                <w:color w:val="auto"/>
              </w:rPr>
            </w:pPr>
          </w:p>
        </w:tc>
      </w:tr>
      <w:tr>
        <w:trPr>
          <w:trHeight w:val="230"/>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income, net</w:t>
            </w: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480</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0" w:type="dxa"/>
            <w:vAlign w:val="bottom"/>
          </w:tcPr>
          <w:p>
            <w:pPr>
              <w:spacing w:after="0"/>
              <w:rPr>
                <w:sz w:val="1"/>
                <w:szCs w:val="1"/>
                <w:color w:val="auto"/>
              </w:rPr>
            </w:pPr>
          </w:p>
        </w:tc>
      </w:tr>
      <w:tr>
        <w:trPr>
          <w:trHeight w:val="229"/>
        </w:trPr>
        <w:tc>
          <w:tcPr>
            <w:tcW w:w="76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 income, net</w:t>
            </w: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(1,476)</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(1,655)</w:t>
            </w:r>
          </w:p>
        </w:tc>
        <w:tc>
          <w:tcPr>
            <w:tcW w:w="0" w:type="dxa"/>
            <w:vAlign w:val="bottom"/>
          </w:tcPr>
          <w:p>
            <w:pPr>
              <w:spacing w:after="0"/>
              <w:rPr>
                <w:sz w:val="1"/>
                <w:szCs w:val="1"/>
                <w:color w:val="auto"/>
              </w:rPr>
            </w:pPr>
          </w:p>
        </w:tc>
      </w:tr>
      <w:tr>
        <w:trPr>
          <w:trHeight w:val="223"/>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(loss) before income taxes</w:t>
            </w: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12,467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(746)</w:t>
            </w:r>
          </w:p>
        </w:tc>
        <w:tc>
          <w:tcPr>
            <w:tcW w:w="0" w:type="dxa"/>
            <w:vAlign w:val="bottom"/>
          </w:tcPr>
          <w:p>
            <w:pPr>
              <w:spacing w:after="0"/>
              <w:rPr>
                <w:sz w:val="1"/>
                <w:szCs w:val="1"/>
                <w:color w:val="auto"/>
              </w:rPr>
            </w:pPr>
          </w:p>
        </w:tc>
      </w:tr>
      <w:tr>
        <w:trPr>
          <w:trHeight w:val="229"/>
        </w:trPr>
        <w:tc>
          <w:tcPr>
            <w:tcW w:w="76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Provision for (benefit from) income taxes</w:t>
            </w: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1,541</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(1,634)</w:t>
            </w:r>
          </w:p>
        </w:tc>
        <w:tc>
          <w:tcPr>
            <w:tcW w:w="0" w:type="dxa"/>
            <w:vAlign w:val="bottom"/>
          </w:tcPr>
          <w:p>
            <w:pPr>
              <w:spacing w:after="0"/>
              <w:rPr>
                <w:sz w:val="1"/>
                <w:szCs w:val="1"/>
                <w:color w:val="auto"/>
              </w:rPr>
            </w:pPr>
          </w:p>
        </w:tc>
      </w:tr>
      <w:tr>
        <w:trPr>
          <w:trHeight w:val="248"/>
        </w:trPr>
        <w:tc>
          <w:tcPr>
            <w:tcW w:w="7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Consolidated net income</w:t>
            </w: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10,926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888</w:t>
            </w:r>
          </w:p>
        </w:tc>
        <w:tc>
          <w:tcPr>
            <w:tcW w:w="0" w:type="dxa"/>
            <w:vAlign w:val="bottom"/>
          </w:tcPr>
          <w:p>
            <w:pPr>
              <w:spacing w:after="0"/>
              <w:rPr>
                <w:sz w:val="1"/>
                <w:szCs w:val="1"/>
                <w:color w:val="auto"/>
              </w:rPr>
            </w:pPr>
          </w:p>
        </w:tc>
      </w:tr>
      <w:tr>
        <w:trPr>
          <w:trHeight w:val="20"/>
        </w:trPr>
        <w:tc>
          <w:tcPr>
            <w:tcW w:w="76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loss attributable to non-controlling interest</w:t>
            </w: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600" w:type="dxa"/>
            <w:vAlign w:val="bottom"/>
            <w:tcBorders>
              <w:bottom w:val="single" w:sz="8" w:color="CCEEFF"/>
            </w:tcBorders>
            <w:vMerge w:val="continue"/>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(910)</w:t>
            </w:r>
          </w:p>
        </w:tc>
        <w:tc>
          <w:tcPr>
            <w:tcW w:w="12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(537)</w:t>
            </w:r>
          </w:p>
        </w:tc>
        <w:tc>
          <w:tcPr>
            <w:tcW w:w="0" w:type="dxa"/>
            <w:vAlign w:val="bottom"/>
          </w:tcPr>
          <w:p>
            <w:pPr>
              <w:spacing w:after="0"/>
              <w:rPr>
                <w:sz w:val="1"/>
                <w:szCs w:val="1"/>
                <w:color w:val="auto"/>
              </w:rPr>
            </w:pPr>
          </w:p>
        </w:tc>
      </w:tr>
      <w:tr>
        <w:trPr>
          <w:trHeight w:val="248"/>
        </w:trPr>
        <w:tc>
          <w:tcPr>
            <w:tcW w:w="76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attributable to Penumbra, Inc.</w:t>
            </w: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11,836</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1,425</w:t>
            </w:r>
          </w:p>
        </w:tc>
        <w:tc>
          <w:tcPr>
            <w:tcW w:w="0" w:type="dxa"/>
            <w:vAlign w:val="bottom"/>
          </w:tcPr>
          <w:p>
            <w:pPr>
              <w:spacing w:after="0"/>
              <w:rPr>
                <w:sz w:val="1"/>
                <w:szCs w:val="1"/>
                <w:color w:val="auto"/>
              </w:rPr>
            </w:pPr>
          </w:p>
        </w:tc>
      </w:tr>
      <w:tr>
        <w:trPr>
          <w:trHeight w:val="20"/>
        </w:trPr>
        <w:tc>
          <w:tcPr>
            <w:tcW w:w="76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7"/>
        </w:trPr>
        <w:tc>
          <w:tcPr>
            <w:tcW w:w="76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6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 attributable to Penumbra, Inc. per share:</w:t>
            </w: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0" w:type="dxa"/>
            <w:vAlign w:val="bottom"/>
          </w:tcPr>
          <w:p>
            <w:pPr>
              <w:ind w:left="240"/>
              <w:spacing w:after="0"/>
              <w:rPr>
                <w:sz w:val="20"/>
                <w:szCs w:val="20"/>
                <w:color w:val="auto"/>
              </w:rPr>
            </w:pPr>
            <w:r>
              <w:rPr>
                <w:rFonts w:ascii="Arial" w:cs="Arial" w:eastAsia="Arial" w:hAnsi="Arial"/>
                <w:sz w:val="18"/>
                <w:szCs w:val="18"/>
                <w:color w:val="auto"/>
              </w:rPr>
              <w:t>Basic</w:t>
            </w: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0.32</w:t>
            </w:r>
          </w:p>
        </w:tc>
        <w:tc>
          <w:tcPr>
            <w:tcW w:w="1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0"/>
        </w:trPr>
        <w:tc>
          <w:tcPr>
            <w:tcW w:w="760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8"/>
        </w:trPr>
        <w:tc>
          <w:tcPr>
            <w:tcW w:w="760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Diluted</w:t>
            </w: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0"/>
        </w:trPr>
        <w:tc>
          <w:tcPr>
            <w:tcW w:w="76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Weighted average shares outstanding:</w:t>
            </w: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600" w:type="dxa"/>
            <w:vAlign w:val="bottom"/>
            <w:vMerge w:val="continue"/>
          </w:tcPr>
          <w:p>
            <w:pPr>
              <w:spacing w:after="0"/>
              <w:rPr>
                <w:sz w:val="15"/>
                <w:szCs w:val="15"/>
                <w:color w:val="auto"/>
              </w:rPr>
            </w:pPr>
          </w:p>
        </w:tc>
        <w:tc>
          <w:tcPr>
            <w:tcW w:w="4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5"/>
        </w:trPr>
        <w:tc>
          <w:tcPr>
            <w:tcW w:w="760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Basic</w:t>
            </w:r>
          </w:p>
        </w:tc>
        <w:tc>
          <w:tcPr>
            <w:tcW w:w="420" w:type="dxa"/>
            <w:vAlign w:val="bottom"/>
            <w:tcBorders>
              <w:bottom w:val="single" w:sz="8" w:color="auto"/>
            </w:tcBorders>
            <w:shd w:val="clear" w:color="auto" w:fill="CCEEFF"/>
          </w:tcPr>
          <w:p>
            <w:pPr>
              <w:spacing w:after="0"/>
              <w:rPr>
                <w:sz w:val="21"/>
                <w:szCs w:val="21"/>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36,455,712</w:t>
            </w:r>
          </w:p>
        </w:tc>
        <w:tc>
          <w:tcPr>
            <w:tcW w:w="12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auto"/>
            </w:tcBorders>
            <w:shd w:val="clear" w:color="auto" w:fill="CCEEFF"/>
          </w:tcPr>
          <w:p>
            <w:pPr>
              <w:spacing w:after="0"/>
              <w:rPr>
                <w:sz w:val="21"/>
                <w:szCs w:val="21"/>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35,042,912</w:t>
            </w:r>
          </w:p>
        </w:tc>
        <w:tc>
          <w:tcPr>
            <w:tcW w:w="0" w:type="dxa"/>
            <w:vAlign w:val="bottom"/>
          </w:tcPr>
          <w:p>
            <w:pPr>
              <w:spacing w:after="0"/>
              <w:rPr>
                <w:sz w:val="1"/>
                <w:szCs w:val="1"/>
                <w:color w:val="auto"/>
              </w:rPr>
            </w:pPr>
          </w:p>
        </w:tc>
      </w:tr>
      <w:tr>
        <w:trPr>
          <w:trHeight w:val="20"/>
        </w:trPr>
        <w:tc>
          <w:tcPr>
            <w:tcW w:w="7600" w:type="dxa"/>
            <w:vAlign w:val="bottom"/>
            <w:tcBorders>
              <w:top w:val="single" w:sz="8" w:color="CCEEFF"/>
              <w:bottom w:val="single" w:sz="8" w:color="CCEEFF"/>
            </w:tcBorders>
            <w:vMerge w:val="restart"/>
          </w:tcPr>
          <w:p>
            <w:pPr>
              <w:ind w:left="240"/>
              <w:spacing w:after="0"/>
              <w:rPr>
                <w:sz w:val="20"/>
                <w:szCs w:val="20"/>
                <w:color w:val="auto"/>
              </w:rPr>
            </w:pPr>
            <w:r>
              <w:rPr>
                <w:rFonts w:ascii="Arial" w:cs="Arial" w:eastAsia="Arial" w:hAnsi="Arial"/>
                <w:sz w:val="18"/>
                <w:szCs w:val="18"/>
                <w:color w:val="auto"/>
              </w:rPr>
              <w:t>Diluted</w:t>
            </w: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600" w:type="dxa"/>
            <w:vAlign w:val="bottom"/>
            <w:vMerge w:val="continue"/>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37,533,520</w:t>
            </w:r>
          </w:p>
        </w:tc>
        <w:tc>
          <w:tcPr>
            <w:tcW w:w="120" w:type="dxa"/>
            <w:vAlign w:val="bottom"/>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36,362,726</w:t>
            </w:r>
          </w:p>
        </w:tc>
        <w:tc>
          <w:tcPr>
            <w:tcW w:w="0" w:type="dxa"/>
            <w:vAlign w:val="bottom"/>
          </w:tcPr>
          <w:p>
            <w:pPr>
              <w:spacing w:after="0"/>
              <w:rPr>
                <w:sz w:val="1"/>
                <w:szCs w:val="1"/>
                <w:color w:val="auto"/>
              </w:rPr>
            </w:pPr>
          </w:p>
        </w:tc>
      </w:tr>
      <w:tr>
        <w:trPr>
          <w:trHeight w:val="20"/>
        </w:trPr>
        <w:tc>
          <w:tcPr>
            <w:tcW w:w="76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769"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7"/>
          <w:szCs w:val="17"/>
          <w:b w:val="1"/>
          <w:bCs w:val="1"/>
          <w:color w:val="auto"/>
        </w:rPr>
        <w:t>Penumbra, Inc.</w:t>
      </w:r>
    </w:p>
    <w:p>
      <w:pPr>
        <w:jc w:val="center"/>
        <w:spacing w:after="0" w:line="215" w:lineRule="auto"/>
        <w:rPr>
          <w:sz w:val="20"/>
          <w:szCs w:val="20"/>
          <w:color w:val="auto"/>
        </w:rPr>
      </w:pPr>
      <w:r>
        <w:rPr>
          <w:rFonts w:ascii="Arial" w:cs="Arial" w:eastAsia="Arial" w:hAnsi="Arial"/>
          <w:sz w:val="17"/>
          <w:szCs w:val="17"/>
          <w:b w:val="1"/>
          <w:bCs w:val="1"/>
          <w:color w:val="auto"/>
        </w:rPr>
        <w:t>Reconciliation of GAAP Net Income and GAAP Diluted EPS to Non-GAAP Net Income (Loss) and Non-GAAP Diluted EPS</w:t>
      </w:r>
      <w:r>
        <w:rPr>
          <w:rFonts w:ascii="Arial" w:cs="Arial" w:eastAsia="Arial" w:hAnsi="Arial"/>
          <w:sz w:val="22"/>
          <w:szCs w:val="22"/>
          <w:b w:val="1"/>
          <w:bCs w:val="1"/>
          <w:color w:val="auto"/>
          <w:vertAlign w:val="superscript"/>
        </w:rPr>
        <w:t>1</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(unaudited)</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amounts)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300" w:type="dxa"/>
            <w:vAlign w:val="bottom"/>
            <w:gridSpan w:val="9"/>
          </w:tcPr>
          <w:p>
            <w:pPr>
              <w:jc w:val="center"/>
              <w:ind w:right="320"/>
              <w:spacing w:after="0"/>
              <w:rPr>
                <w:sz w:val="20"/>
                <w:szCs w:val="20"/>
                <w:color w:val="auto"/>
              </w:rPr>
            </w:pPr>
            <w:r>
              <w:rPr>
                <w:rFonts w:ascii="Arial" w:cs="Arial" w:eastAsia="Arial" w:hAnsi="Arial"/>
                <w:sz w:val="14"/>
                <w:szCs w:val="14"/>
                <w:b w:val="1"/>
                <w:bCs w:val="1"/>
                <w:color w:val="auto"/>
                <w:w w:val="93"/>
              </w:rPr>
              <w:t>Three Months Ended</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420" w:type="dxa"/>
            <w:vAlign w:val="bottom"/>
            <w:gridSpan w:val="6"/>
          </w:tcPr>
          <w:p>
            <w:pPr>
              <w:jc w:val="right"/>
              <w:ind w:right="555"/>
              <w:spacing w:after="0"/>
              <w:rPr>
                <w:sz w:val="20"/>
                <w:szCs w:val="20"/>
                <w:color w:val="auto"/>
              </w:rPr>
            </w:pPr>
            <w:r>
              <w:rPr>
                <w:rFonts w:ascii="Arial" w:cs="Arial" w:eastAsia="Arial" w:hAnsi="Arial"/>
                <w:sz w:val="14"/>
                <w:szCs w:val="14"/>
                <w:b w:val="1"/>
                <w:bCs w:val="1"/>
                <w:color w:val="auto"/>
              </w:rPr>
              <w:t>Three Months Ended</w:t>
            </w:r>
          </w:p>
        </w:tc>
      </w:tr>
      <w:tr>
        <w:trPr>
          <w:trHeight w:val="188"/>
        </w:trPr>
        <w:tc>
          <w:tcPr>
            <w:tcW w:w="15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9"/>
          </w:tcPr>
          <w:p>
            <w:pPr>
              <w:jc w:val="center"/>
              <w:ind w:right="320"/>
              <w:spacing w:after="0"/>
              <w:rPr>
                <w:sz w:val="20"/>
                <w:szCs w:val="20"/>
                <w:color w:val="auto"/>
              </w:rPr>
            </w:pPr>
            <w:r>
              <w:rPr>
                <w:rFonts w:ascii="Arial" w:cs="Arial" w:eastAsia="Arial" w:hAnsi="Arial"/>
                <w:sz w:val="14"/>
                <w:szCs w:val="14"/>
                <w:b w:val="1"/>
                <w:bCs w:val="1"/>
                <w:color w:val="auto"/>
                <w:w w:val="94"/>
              </w:rPr>
              <w:t>March 31, 2021</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6"/>
          </w:tcPr>
          <w:p>
            <w:pPr>
              <w:jc w:val="right"/>
              <w:ind w:right="735"/>
              <w:spacing w:after="0"/>
              <w:rPr>
                <w:sz w:val="20"/>
                <w:szCs w:val="20"/>
                <w:color w:val="auto"/>
              </w:rPr>
            </w:pPr>
            <w:r>
              <w:rPr>
                <w:rFonts w:ascii="Arial" w:cs="Arial" w:eastAsia="Arial" w:hAnsi="Arial"/>
                <w:sz w:val="14"/>
                <w:szCs w:val="14"/>
                <w:b w:val="1"/>
                <w:bCs w:val="1"/>
                <w:color w:val="auto"/>
              </w:rPr>
              <w:t>March 31, 2020</w:t>
            </w:r>
          </w:p>
        </w:tc>
      </w:tr>
      <w:tr>
        <w:trPr>
          <w:trHeight w:val="183"/>
        </w:trPr>
        <w:tc>
          <w:tcPr>
            <w:tcW w:w="15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20" w:type="dxa"/>
            <w:vAlign w:val="bottom"/>
            <w:gridSpan w:val="4"/>
          </w:tcPr>
          <w:p>
            <w:pPr>
              <w:ind w:left="100"/>
              <w:spacing w:after="0"/>
              <w:rPr>
                <w:sz w:val="20"/>
                <w:szCs w:val="20"/>
                <w:color w:val="auto"/>
              </w:rPr>
            </w:pPr>
            <w:r>
              <w:rPr>
                <w:rFonts w:ascii="Arial" w:cs="Arial" w:eastAsia="Arial" w:hAnsi="Arial"/>
                <w:sz w:val="14"/>
                <w:szCs w:val="14"/>
                <w:b w:val="1"/>
                <w:bCs w:val="1"/>
                <w:color w:val="auto"/>
                <w:w w:val="94"/>
              </w:rPr>
              <w:t>Net (loss) income</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gridSpan w:val="3"/>
          </w:tcPr>
          <w:p>
            <w:pPr>
              <w:ind w:left="100"/>
              <w:spacing w:after="0"/>
              <w:rPr>
                <w:sz w:val="20"/>
                <w:szCs w:val="20"/>
                <w:color w:val="auto"/>
              </w:rPr>
            </w:pPr>
            <w:r>
              <w:rPr>
                <w:rFonts w:ascii="Arial" w:cs="Arial" w:eastAsia="Arial" w:hAnsi="Arial"/>
                <w:sz w:val="14"/>
                <w:szCs w:val="14"/>
                <w:b w:val="1"/>
                <w:bCs w:val="1"/>
                <w:color w:val="auto"/>
              </w:rPr>
              <w:t>Diluted EPS</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80" w:type="dxa"/>
            <w:vAlign w:val="bottom"/>
            <w:gridSpan w:val="4"/>
          </w:tcPr>
          <w:p>
            <w:pPr>
              <w:ind w:left="100"/>
              <w:spacing w:after="0"/>
              <w:rPr>
                <w:sz w:val="20"/>
                <w:szCs w:val="20"/>
                <w:color w:val="auto"/>
              </w:rPr>
            </w:pPr>
            <w:r>
              <w:rPr>
                <w:rFonts w:ascii="Arial" w:cs="Arial" w:eastAsia="Arial" w:hAnsi="Arial"/>
                <w:sz w:val="14"/>
                <w:szCs w:val="14"/>
                <w:b w:val="1"/>
                <w:bCs w:val="1"/>
                <w:color w:val="auto"/>
              </w:rPr>
              <w:t>Net income</w:t>
            </w:r>
          </w:p>
        </w:tc>
        <w:tc>
          <w:tcPr>
            <w:tcW w:w="180" w:type="dxa"/>
            <w:vAlign w:val="bottom"/>
          </w:tcPr>
          <w:p>
            <w:pPr>
              <w:spacing w:after="0"/>
              <w:rPr>
                <w:sz w:val="15"/>
                <w:szCs w:val="15"/>
                <w:color w:val="auto"/>
              </w:rPr>
            </w:pPr>
          </w:p>
        </w:tc>
        <w:tc>
          <w:tcPr>
            <w:tcW w:w="1060" w:type="dxa"/>
            <w:vAlign w:val="bottom"/>
          </w:tcPr>
          <w:p>
            <w:pPr>
              <w:jc w:val="right"/>
              <w:ind w:right="155"/>
              <w:spacing w:after="0"/>
              <w:rPr>
                <w:sz w:val="20"/>
                <w:szCs w:val="20"/>
                <w:color w:val="auto"/>
              </w:rPr>
            </w:pPr>
            <w:r>
              <w:rPr>
                <w:rFonts w:ascii="Arial" w:cs="Arial" w:eastAsia="Arial" w:hAnsi="Arial"/>
                <w:sz w:val="14"/>
                <w:szCs w:val="14"/>
                <w:b w:val="1"/>
                <w:bCs w:val="1"/>
                <w:color w:val="auto"/>
              </w:rPr>
              <w:t>Diluted EPS</w:t>
            </w:r>
          </w:p>
        </w:tc>
      </w:tr>
      <w:tr>
        <w:trPr>
          <w:trHeight w:val="224"/>
        </w:trPr>
        <w:tc>
          <w:tcPr>
            <w:tcW w:w="15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GAAP net income</w:t>
            </w:r>
          </w:p>
        </w:tc>
        <w:tc>
          <w:tcPr>
            <w:tcW w:w="200" w:type="dxa"/>
            <w:vAlign w:val="bottom"/>
            <w:tcBorders>
              <w:top w:val="single" w:sz="8" w:color="CCEEFF"/>
            </w:tcBorders>
            <w:shd w:val="clear" w:color="auto" w:fill="CCEEFF"/>
          </w:tcPr>
          <w:p>
            <w:pPr>
              <w:spacing w:after="0"/>
              <w:rPr>
                <w:sz w:val="19"/>
                <w:szCs w:val="19"/>
                <w:color w:val="auto"/>
              </w:rPr>
            </w:pPr>
          </w:p>
        </w:tc>
        <w:tc>
          <w:tcPr>
            <w:tcW w:w="104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CCEEFF"/>
            </w:tcBorders>
            <w:shd w:val="clear" w:color="auto" w:fill="CCEEFF"/>
          </w:tcPr>
          <w:p>
            <w:pPr>
              <w:spacing w:after="0"/>
              <w:rPr>
                <w:sz w:val="19"/>
                <w:szCs w:val="19"/>
                <w:color w:val="auto"/>
              </w:rPr>
            </w:pPr>
          </w:p>
        </w:tc>
        <w:tc>
          <w:tcPr>
            <w:tcW w:w="96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400" w:type="dxa"/>
            <w:vAlign w:val="bottom"/>
            <w:tcBorders>
              <w:top w:val="single" w:sz="8" w:color="CCEEFF"/>
            </w:tcBorders>
            <w:shd w:val="clear" w:color="auto" w:fill="CCEEFF"/>
          </w:tcPr>
          <w:p>
            <w:pPr>
              <w:spacing w:after="0"/>
              <w:rPr>
                <w:sz w:val="19"/>
                <w:szCs w:val="19"/>
                <w:color w:val="auto"/>
              </w:rPr>
            </w:pPr>
          </w:p>
        </w:tc>
        <w:tc>
          <w:tcPr>
            <w:tcW w:w="84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CCEEFF"/>
            </w:tcBorders>
            <w:shd w:val="clear" w:color="auto" w:fill="CCEEFF"/>
          </w:tcPr>
          <w:p>
            <w:pPr>
              <w:spacing w:after="0"/>
              <w:rPr>
                <w:sz w:val="19"/>
                <w:szCs w:val="19"/>
                <w:color w:val="auto"/>
              </w:rPr>
            </w:pPr>
          </w:p>
        </w:tc>
        <w:tc>
          <w:tcPr>
            <w:tcW w:w="300" w:type="dxa"/>
            <w:vAlign w:val="bottom"/>
            <w:tcBorders>
              <w:top w:val="single" w:sz="8" w:color="auto"/>
            </w:tcBorders>
            <w:shd w:val="clear" w:color="auto" w:fill="CCEEFF"/>
          </w:tcPr>
          <w:p>
            <w:pPr>
              <w:jc w:val="right"/>
              <w:ind w:right="116"/>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gridSpan w:val="2"/>
            <w:shd w:val="clear" w:color="auto" w:fill="CCEEFF"/>
          </w:tcPr>
          <w:p>
            <w:pPr>
              <w:ind w:left="380"/>
              <w:spacing w:after="0"/>
              <w:rPr>
                <w:sz w:val="20"/>
                <w:szCs w:val="20"/>
                <w:color w:val="auto"/>
              </w:rPr>
            </w:pPr>
            <w:r>
              <w:rPr>
                <w:rFonts w:ascii="Arial" w:cs="Arial" w:eastAsia="Arial" w:hAnsi="Arial"/>
                <w:sz w:val="18"/>
                <w:szCs w:val="18"/>
                <w:color w:val="auto"/>
                <w:w w:val="90"/>
              </w:rPr>
              <w:t>11,836</w:t>
            </w:r>
          </w:p>
        </w:tc>
        <w:tc>
          <w:tcPr>
            <w:tcW w:w="2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gridSpan w:val="2"/>
            <w:shd w:val="clear" w:color="auto" w:fill="CCEEFF"/>
          </w:tcPr>
          <w:p>
            <w:pPr>
              <w:ind w:left="720"/>
              <w:spacing w:after="0"/>
              <w:rPr>
                <w:sz w:val="20"/>
                <w:szCs w:val="20"/>
                <w:color w:val="auto"/>
              </w:rPr>
            </w:pPr>
            <w:r>
              <w:rPr>
                <w:rFonts w:ascii="Arial" w:cs="Arial" w:eastAsia="Arial" w:hAnsi="Arial"/>
                <w:sz w:val="18"/>
                <w:szCs w:val="18"/>
                <w:color w:val="auto"/>
              </w:rPr>
              <w:t>0.32</w:t>
            </w:r>
          </w:p>
        </w:tc>
        <w:tc>
          <w:tcPr>
            <w:tcW w:w="20" w:type="dxa"/>
            <w:vAlign w:val="bottom"/>
            <w:tcBorders>
              <w:top w:val="single" w:sz="8" w:color="auto"/>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1,425</w:t>
            </w: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center"/>
              <w:ind w:left="515"/>
              <w:spacing w:after="0"/>
              <w:rPr>
                <w:sz w:val="20"/>
                <w:szCs w:val="20"/>
                <w:color w:val="auto"/>
              </w:rPr>
            </w:pPr>
            <w:r>
              <w:rPr>
                <w:rFonts w:ascii="Arial" w:cs="Arial" w:eastAsia="Arial" w:hAnsi="Arial"/>
                <w:sz w:val="18"/>
                <w:szCs w:val="18"/>
                <w:color w:val="auto"/>
                <w:w w:val="85"/>
              </w:rPr>
              <w:t>0.04</w:t>
            </w:r>
          </w:p>
        </w:tc>
      </w:tr>
      <w:tr>
        <w:trPr>
          <w:trHeight w:val="229"/>
        </w:trPr>
        <w:tc>
          <w:tcPr>
            <w:tcW w:w="4700" w:type="dxa"/>
            <w:vAlign w:val="bottom"/>
            <w:gridSpan w:val="12"/>
          </w:tcPr>
          <w:p>
            <w:pPr>
              <w:ind w:left="140"/>
              <w:spacing w:after="0"/>
              <w:rPr>
                <w:sz w:val="20"/>
                <w:szCs w:val="20"/>
                <w:color w:val="auto"/>
              </w:rPr>
            </w:pPr>
            <w:r>
              <w:rPr>
                <w:rFonts w:ascii="Arial" w:cs="Arial" w:eastAsia="Arial" w:hAnsi="Arial"/>
                <w:sz w:val="18"/>
                <w:szCs w:val="18"/>
                <w:color w:val="auto"/>
                <w:w w:val="96"/>
              </w:rPr>
              <w:t>GAAP net income includes the effect of the following items:</w:t>
            </w: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9"/>
        </w:trPr>
        <w:tc>
          <w:tcPr>
            <w:tcW w:w="4700" w:type="dxa"/>
            <w:vAlign w:val="bottom"/>
            <w:gridSpan w:val="12"/>
            <w:shd w:val="clear" w:color="auto" w:fill="CCEEFF"/>
          </w:tcPr>
          <w:p>
            <w:pPr>
              <w:ind w:left="360"/>
              <w:spacing w:after="0"/>
              <w:rPr>
                <w:sz w:val="20"/>
                <w:szCs w:val="20"/>
                <w:color w:val="auto"/>
              </w:rPr>
            </w:pPr>
            <w:r>
              <w:rPr>
                <w:rFonts w:ascii="Arial" w:cs="Arial" w:eastAsia="Arial" w:hAnsi="Arial"/>
                <w:sz w:val="18"/>
                <w:szCs w:val="18"/>
                <w:color w:val="auto"/>
                <w:w w:val="93"/>
              </w:rPr>
              <w:t>Excess tax benefits related to stock compensation awards</w:t>
            </w:r>
          </w:p>
        </w:tc>
        <w:tc>
          <w:tcPr>
            <w:tcW w:w="8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gridSpan w:val="3"/>
            <w:shd w:val="clear" w:color="auto" w:fill="CCEEFF"/>
          </w:tcPr>
          <w:p>
            <w:pPr>
              <w:ind w:left="380"/>
              <w:spacing w:after="0"/>
              <w:rPr>
                <w:sz w:val="20"/>
                <w:szCs w:val="20"/>
                <w:color w:val="auto"/>
              </w:rPr>
            </w:pPr>
            <w:r>
              <w:rPr>
                <w:rFonts w:ascii="Arial" w:cs="Arial" w:eastAsia="Arial" w:hAnsi="Arial"/>
                <w:sz w:val="18"/>
                <w:szCs w:val="18"/>
                <w:color w:val="auto"/>
                <w:w w:val="91"/>
              </w:rPr>
              <w:t>(1,784)</w:t>
            </w:r>
          </w:p>
        </w:tc>
        <w:tc>
          <w:tcPr>
            <w:tcW w:w="2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(0.05)</w:t>
            </w:r>
          </w:p>
        </w:tc>
        <w:tc>
          <w:tcPr>
            <w:tcW w:w="2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(1,482)</w:t>
            </w:r>
          </w:p>
        </w:tc>
        <w:tc>
          <w:tcPr>
            <w:tcW w:w="1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center"/>
              <w:ind w:left="495"/>
              <w:spacing w:after="0"/>
              <w:rPr>
                <w:sz w:val="20"/>
                <w:szCs w:val="20"/>
                <w:color w:val="auto"/>
              </w:rPr>
            </w:pPr>
            <w:r>
              <w:rPr>
                <w:rFonts w:ascii="Arial" w:cs="Arial" w:eastAsia="Arial" w:hAnsi="Arial"/>
                <w:sz w:val="18"/>
                <w:szCs w:val="18"/>
                <w:color w:val="auto"/>
                <w:w w:val="93"/>
              </w:rPr>
              <w:t>(0.04)</w:t>
            </w:r>
          </w:p>
        </w:tc>
      </w:tr>
      <w:tr>
        <w:trPr>
          <w:trHeight w:val="223"/>
        </w:trPr>
        <w:tc>
          <w:tcPr>
            <w:tcW w:w="2940" w:type="dxa"/>
            <w:vAlign w:val="bottom"/>
            <w:gridSpan w:val="6"/>
          </w:tcPr>
          <w:p>
            <w:pPr>
              <w:ind w:left="20"/>
              <w:spacing w:after="0"/>
              <w:rPr>
                <w:sz w:val="20"/>
                <w:szCs w:val="20"/>
                <w:color w:val="auto"/>
              </w:rPr>
            </w:pPr>
            <w:r>
              <w:rPr>
                <w:rFonts w:ascii="Arial" w:cs="Arial" w:eastAsia="Arial" w:hAnsi="Arial"/>
                <w:sz w:val="18"/>
                <w:szCs w:val="18"/>
                <w:color w:val="auto"/>
              </w:rPr>
              <w:t>Non-GAAP net income (loss)</w:t>
            </w: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00" w:type="dxa"/>
            <w:vAlign w:val="bottom"/>
            <w:tcBorders>
              <w:bottom w:val="single" w:sz="8" w:color="auto"/>
            </w:tcBorders>
          </w:tcPr>
          <w:p>
            <w:pPr>
              <w:jc w:val="right"/>
              <w:ind w:right="116"/>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gridSpan w:val="2"/>
          </w:tcPr>
          <w:p>
            <w:pPr>
              <w:ind w:left="360"/>
              <w:spacing w:after="0"/>
              <w:rPr>
                <w:sz w:val="20"/>
                <w:szCs w:val="20"/>
                <w:color w:val="auto"/>
              </w:rPr>
            </w:pPr>
            <w:r>
              <w:rPr>
                <w:rFonts w:ascii="Arial" w:cs="Arial" w:eastAsia="Arial" w:hAnsi="Arial"/>
                <w:sz w:val="18"/>
                <w:szCs w:val="18"/>
                <w:color w:val="auto"/>
                <w:w w:val="94"/>
              </w:rPr>
              <w:t>10,052</w:t>
            </w:r>
          </w:p>
        </w:tc>
        <w:tc>
          <w:tcPr>
            <w:tcW w:w="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gridSpan w:val="2"/>
          </w:tcPr>
          <w:p>
            <w:pPr>
              <w:ind w:left="720"/>
              <w:spacing w:after="0"/>
              <w:rPr>
                <w:sz w:val="20"/>
                <w:szCs w:val="20"/>
                <w:color w:val="auto"/>
              </w:rPr>
            </w:pPr>
            <w:r>
              <w:rPr>
                <w:rFonts w:ascii="Arial" w:cs="Arial" w:eastAsia="Arial" w:hAnsi="Arial"/>
                <w:sz w:val="18"/>
                <w:szCs w:val="18"/>
                <w:color w:val="auto"/>
              </w:rPr>
              <w:t>0.27</w:t>
            </w:r>
          </w:p>
        </w:tc>
        <w:tc>
          <w:tcPr>
            <w:tcW w:w="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(57)</w:t>
            </w:r>
          </w:p>
        </w:tc>
        <w:tc>
          <w:tcPr>
            <w:tcW w:w="12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center"/>
              <w:ind w:left="515"/>
              <w:spacing w:after="0"/>
              <w:rPr>
                <w:sz w:val="20"/>
                <w:szCs w:val="20"/>
                <w:color w:val="auto"/>
              </w:rPr>
            </w:pPr>
            <w:r>
              <w:rPr>
                <w:rFonts w:ascii="Arial" w:cs="Arial" w:eastAsia="Arial" w:hAnsi="Arial"/>
                <w:sz w:val="18"/>
                <w:szCs w:val="18"/>
                <w:color w:val="auto"/>
                <w:w w:val="85"/>
              </w:rPr>
              <w:t>0.00</w:t>
            </w:r>
          </w:p>
        </w:tc>
      </w:tr>
      <w:tr>
        <w:trPr>
          <w:trHeight w:val="21"/>
        </w:trPr>
        <w:tc>
          <w:tcPr>
            <w:tcW w:w="1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841"/>
        </w:trPr>
        <w:tc>
          <w:tcPr>
            <w:tcW w:w="1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540" w:type="dxa"/>
            <w:vAlign w:val="bottom"/>
            <w:gridSpan w:val="5"/>
          </w:tcPr>
          <w:p>
            <w:pPr>
              <w:jc w:val="center"/>
              <w:ind w:left="236"/>
              <w:spacing w:after="0"/>
              <w:rPr>
                <w:sz w:val="20"/>
                <w:szCs w:val="20"/>
                <w:color w:val="auto"/>
              </w:rPr>
            </w:pPr>
            <w:r>
              <w:rPr>
                <w:rFonts w:ascii="Arial" w:cs="Arial" w:eastAsia="Arial" w:hAnsi="Arial"/>
                <w:sz w:val="17"/>
                <w:szCs w:val="17"/>
                <w:b w:val="1"/>
                <w:bCs w:val="1"/>
                <w:color w:val="auto"/>
                <w:w w:val="93"/>
              </w:rPr>
              <w:t>Penumbra, Inc.</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11"/>
        </w:trPr>
        <w:tc>
          <w:tcPr>
            <w:tcW w:w="1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220" w:type="dxa"/>
            <w:vAlign w:val="bottom"/>
            <w:gridSpan w:val="29"/>
          </w:tcPr>
          <w:p>
            <w:pPr>
              <w:jc w:val="center"/>
              <w:ind w:right="520"/>
              <w:spacing w:after="0" w:line="210" w:lineRule="exact"/>
              <w:rPr>
                <w:sz w:val="20"/>
                <w:szCs w:val="20"/>
                <w:color w:val="auto"/>
              </w:rPr>
            </w:pPr>
            <w:r>
              <w:rPr>
                <w:rFonts w:ascii="Arial" w:cs="Arial" w:eastAsia="Arial" w:hAnsi="Arial"/>
                <w:sz w:val="17"/>
                <w:szCs w:val="17"/>
                <w:b w:val="1"/>
                <w:bCs w:val="1"/>
                <w:color w:val="auto"/>
                <w:w w:val="90"/>
              </w:rPr>
              <w:t>Reconciliation of Revenue Growth by Geographic Regions to Constant Currency Revenue Growth</w:t>
            </w:r>
            <w:r>
              <w:rPr>
                <w:rFonts w:ascii="Arial" w:cs="Arial" w:eastAsia="Arial" w:hAnsi="Arial"/>
                <w:sz w:val="22"/>
                <w:szCs w:val="22"/>
                <w:b w:val="1"/>
                <w:bCs w:val="1"/>
                <w:color w:val="auto"/>
                <w:w w:val="90"/>
                <w:vertAlign w:val="superscript"/>
              </w:rPr>
              <w:t>1</w:t>
            </w: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03"/>
        </w:trPr>
        <w:tc>
          <w:tcPr>
            <w:tcW w:w="1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540" w:type="dxa"/>
            <w:vAlign w:val="bottom"/>
            <w:gridSpan w:val="5"/>
          </w:tcPr>
          <w:p>
            <w:pPr>
              <w:jc w:val="center"/>
              <w:ind w:left="236"/>
              <w:spacing w:after="0"/>
              <w:rPr>
                <w:sz w:val="20"/>
                <w:szCs w:val="20"/>
                <w:color w:val="auto"/>
              </w:rPr>
            </w:pPr>
            <w:r>
              <w:rPr>
                <w:rFonts w:ascii="Arial" w:cs="Arial" w:eastAsia="Arial" w:hAnsi="Arial"/>
                <w:sz w:val="17"/>
                <w:szCs w:val="17"/>
                <w:b w:val="1"/>
                <w:bCs w:val="1"/>
                <w:color w:val="auto"/>
                <w:w w:val="92"/>
              </w:rPr>
              <w:t>(unaudited)</w:t>
            </w: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20"/>
        </w:trPr>
        <w:tc>
          <w:tcPr>
            <w:tcW w:w="15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40" w:type="dxa"/>
            <w:vAlign w:val="bottom"/>
            <w:gridSpan w:val="5"/>
          </w:tcPr>
          <w:p>
            <w:pPr>
              <w:jc w:val="center"/>
              <w:ind w:left="216"/>
              <w:spacing w:after="0"/>
              <w:rPr>
                <w:sz w:val="20"/>
                <w:szCs w:val="20"/>
                <w:color w:val="auto"/>
              </w:rPr>
            </w:pPr>
            <w:r>
              <w:rPr>
                <w:rFonts w:ascii="Arial" w:cs="Arial" w:eastAsia="Arial" w:hAnsi="Arial"/>
                <w:sz w:val="17"/>
                <w:szCs w:val="17"/>
                <w:b w:val="1"/>
                <w:bCs w:val="1"/>
                <w:color w:val="auto"/>
                <w:w w:val="88"/>
              </w:rPr>
              <w:t>(in thousands)</w:t>
            </w: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14"/>
        </w:trPr>
        <w:tc>
          <w:tcPr>
            <w:tcW w:w="1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520" w:type="dxa"/>
            <w:vAlign w:val="bottom"/>
            <w:gridSpan w:val="8"/>
          </w:tcPr>
          <w:p>
            <w:pPr>
              <w:ind w:left="120"/>
              <w:spacing w:after="0"/>
              <w:rPr>
                <w:sz w:val="20"/>
                <w:szCs w:val="20"/>
                <w:color w:val="auto"/>
              </w:rPr>
            </w:pPr>
            <w:r>
              <w:rPr>
                <w:rFonts w:ascii="Arial" w:cs="Arial" w:eastAsia="Arial" w:hAnsi="Arial"/>
                <w:sz w:val="14"/>
                <w:szCs w:val="14"/>
                <w:b w:val="1"/>
                <w:bCs w:val="1"/>
                <w:color w:val="auto"/>
              </w:rPr>
              <w:t>Three Months Ended March 31,</w:t>
            </w:r>
          </w:p>
        </w:tc>
        <w:tc>
          <w:tcPr>
            <w:tcW w:w="400" w:type="dxa"/>
            <w:vAlign w:val="bottom"/>
          </w:tcPr>
          <w:p>
            <w:pPr>
              <w:spacing w:after="0"/>
              <w:rPr>
                <w:sz w:val="18"/>
                <w:szCs w:val="18"/>
                <w:color w:val="auto"/>
              </w:rPr>
            </w:pPr>
          </w:p>
        </w:tc>
        <w:tc>
          <w:tcPr>
            <w:tcW w:w="1540" w:type="dxa"/>
            <w:vAlign w:val="bottom"/>
            <w:gridSpan w:val="5"/>
          </w:tcPr>
          <w:p>
            <w:pPr>
              <w:jc w:val="right"/>
              <w:spacing w:after="0"/>
              <w:rPr>
                <w:sz w:val="20"/>
                <w:szCs w:val="20"/>
                <w:color w:val="auto"/>
              </w:rPr>
            </w:pPr>
            <w:r>
              <w:rPr>
                <w:rFonts w:ascii="Arial" w:cs="Arial" w:eastAsia="Arial" w:hAnsi="Arial"/>
                <w:sz w:val="14"/>
                <w:szCs w:val="14"/>
                <w:b w:val="1"/>
                <w:bCs w:val="1"/>
                <w:color w:val="auto"/>
              </w:rPr>
              <w:t>Reported Change</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rPr>
              <w:t>FX Impact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20" w:type="dxa"/>
            <w:vAlign w:val="bottom"/>
            <w:gridSpan w:val="6"/>
          </w:tcPr>
          <w:p>
            <w:pPr>
              <w:jc w:val="right"/>
              <w:ind w:right="435"/>
              <w:spacing w:after="0"/>
              <w:rPr>
                <w:sz w:val="20"/>
                <w:szCs w:val="20"/>
                <w:color w:val="auto"/>
              </w:rPr>
            </w:pPr>
            <w:r>
              <w:rPr>
                <w:rFonts w:ascii="Arial" w:cs="Arial" w:eastAsia="Arial" w:hAnsi="Arial"/>
                <w:sz w:val="14"/>
                <w:szCs w:val="14"/>
                <w:b w:val="1"/>
                <w:bCs w:val="1"/>
                <w:color w:val="auto"/>
              </w:rPr>
              <w:t>Constant Currency Change</w:t>
            </w:r>
          </w:p>
        </w:tc>
      </w:tr>
      <w:tr>
        <w:trPr>
          <w:trHeight w:val="187"/>
        </w:trPr>
        <w:tc>
          <w:tcPr>
            <w:tcW w:w="156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1040" w:type="dxa"/>
            <w:vAlign w:val="bottom"/>
            <w:tcBorders>
              <w:top w:val="single" w:sz="8" w:color="auto"/>
              <w:bottom w:val="single" w:sz="8" w:color="auto"/>
            </w:tcBorders>
          </w:tcPr>
          <w:p>
            <w:pPr>
              <w:jc w:val="right"/>
              <w:ind w:right="39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top w:val="single" w:sz="8" w:color="auto"/>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40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w:t>
            </w: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30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center"/>
              <w:ind w:right="176"/>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8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498"/>
              <w:spacing w:after="0"/>
              <w:rPr>
                <w:sz w:val="20"/>
                <w:szCs w:val="20"/>
                <w:color w:val="auto"/>
              </w:rPr>
            </w:pPr>
            <w:r>
              <w:rPr>
                <w:rFonts w:ascii="Arial" w:cs="Arial" w:eastAsia="Arial" w:hAnsi="Arial"/>
                <w:sz w:val="14"/>
                <w:szCs w:val="14"/>
                <w:b w:val="1"/>
                <w:bCs w:val="1"/>
                <w:color w:val="auto"/>
              </w:rPr>
              <w:t>$</w:t>
            </w:r>
          </w:p>
        </w:tc>
        <w:tc>
          <w:tcPr>
            <w:tcW w:w="80" w:type="dxa"/>
            <w:vAlign w:val="bottom"/>
            <w:tcBorders>
              <w:top w:val="single" w:sz="8" w:color="auto"/>
              <w:bottom w:val="single" w:sz="8" w:color="CCEEFF"/>
            </w:tcBorders>
          </w:tcPr>
          <w:p>
            <w:pPr>
              <w:spacing w:after="0"/>
              <w:rPr>
                <w:sz w:val="16"/>
                <w:szCs w:val="16"/>
                <w:color w:val="auto"/>
              </w:rPr>
            </w:pPr>
          </w:p>
        </w:tc>
        <w:tc>
          <w:tcPr>
            <w:tcW w:w="4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180" w:type="dxa"/>
            <w:vAlign w:val="bottom"/>
            <w:tcBorders>
              <w:top w:val="single" w:sz="8" w:color="auto"/>
              <w:bottom w:val="single" w:sz="8" w:color="auto"/>
            </w:tcBorders>
          </w:tcPr>
          <w:p>
            <w:pPr>
              <w:spacing w:after="0"/>
              <w:rPr>
                <w:sz w:val="16"/>
                <w:szCs w:val="16"/>
                <w:color w:val="auto"/>
              </w:rPr>
            </w:pPr>
          </w:p>
        </w:tc>
        <w:tc>
          <w:tcPr>
            <w:tcW w:w="1060" w:type="dxa"/>
            <w:vAlign w:val="bottom"/>
            <w:tcBorders>
              <w:top w:val="single" w:sz="8" w:color="auto"/>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w:t>
            </w:r>
          </w:p>
        </w:tc>
      </w:tr>
      <w:tr>
        <w:trPr>
          <w:trHeight w:val="224"/>
        </w:trPr>
        <w:tc>
          <w:tcPr>
            <w:tcW w:w="15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United States</w:t>
            </w:r>
          </w:p>
        </w:tc>
        <w:tc>
          <w:tcPr>
            <w:tcW w:w="20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120,070</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95,774</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24,296</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25.4 %</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ind w:left="7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24,296</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25.4 %</w:t>
            </w:r>
          </w:p>
        </w:tc>
      </w:tr>
      <w:tr>
        <w:trPr>
          <w:trHeight w:val="230"/>
        </w:trPr>
        <w:tc>
          <w:tcPr>
            <w:tcW w:w="158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International</w:t>
            </w:r>
          </w:p>
        </w:tc>
        <w:tc>
          <w:tcPr>
            <w:tcW w:w="2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49,134</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41,555</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7,579</w:t>
            </w: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CCEEFF"/>
            </w:tcBorders>
          </w:tcPr>
          <w:p>
            <w:pPr>
              <w:spacing w:after="0"/>
              <w:rPr>
                <w:sz w:val="19"/>
                <w:szCs w:val="19"/>
                <w:color w:val="auto"/>
              </w:rPr>
            </w:pPr>
          </w:p>
        </w:tc>
        <w:tc>
          <w:tcPr>
            <w:tcW w:w="300" w:type="dxa"/>
            <w:vAlign w:val="bottom"/>
            <w:tcBorders>
              <w:bottom w:val="single" w:sz="8" w:color="CCEEFF"/>
            </w:tcBorders>
          </w:tcPr>
          <w:p>
            <w:pPr>
              <w:spacing w:after="0"/>
              <w:rPr>
                <w:sz w:val="19"/>
                <w:szCs w:val="19"/>
                <w:color w:val="auto"/>
              </w:rPr>
            </w:pPr>
          </w:p>
        </w:tc>
        <w:tc>
          <w:tcPr>
            <w:tcW w:w="80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18.2 %</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(2,299)</w:t>
            </w:r>
          </w:p>
        </w:tc>
        <w:tc>
          <w:tcPr>
            <w:tcW w:w="1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5,280</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12.7 %</w:t>
            </w:r>
          </w:p>
        </w:tc>
      </w:tr>
      <w:tr>
        <w:trPr>
          <w:trHeight w:val="248"/>
        </w:trPr>
        <w:tc>
          <w:tcPr>
            <w:tcW w:w="15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auto"/>
            </w:tcBorders>
            <w:shd w:val="clear" w:color="auto" w:fill="CCEEFF"/>
          </w:tcPr>
          <w:p>
            <w:pPr>
              <w:jc w:val="right"/>
              <w:ind w:right="18"/>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169,204</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137,329</w:t>
            </w:r>
          </w:p>
        </w:tc>
        <w:tc>
          <w:tcPr>
            <w:tcW w:w="20" w:type="dxa"/>
            <w:vAlign w:val="bottom"/>
            <w:tcBorders>
              <w:bottom w:val="single" w:sz="8" w:color="auto"/>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31,875</w:t>
            </w: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23.2 %</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20" w:type="dxa"/>
            <w:vAlign w:val="bottom"/>
            <w:tcBorders>
              <w:bottom w:val="single" w:sz="8" w:color="auto"/>
            </w:tcBorders>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99"/>
              </w:rPr>
              <w:t>$</w:t>
            </w:r>
          </w:p>
        </w:tc>
        <w:tc>
          <w:tcPr>
            <w:tcW w:w="140" w:type="dxa"/>
            <w:vAlign w:val="bottom"/>
            <w:tcBorders>
              <w:bottom w:val="single" w:sz="8" w:color="auto"/>
            </w:tcBorders>
            <w:shd w:val="clear" w:color="auto" w:fill="CCEEFF"/>
          </w:tcPr>
          <w:p>
            <w:pPr>
              <w:spacing w:after="0"/>
              <w:rPr>
                <w:sz w:val="21"/>
                <w:szCs w:val="21"/>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(2,299)</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80" w:type="dxa"/>
            <w:vAlign w:val="bottom"/>
            <w:tcBorders>
              <w:bottom w:val="single" w:sz="8" w:color="auto"/>
            </w:tcBorders>
            <w:shd w:val="clear" w:color="auto" w:fill="CCEEFF"/>
          </w:tcPr>
          <w:p>
            <w:pPr>
              <w:spacing w:after="0"/>
              <w:rPr>
                <w:sz w:val="21"/>
                <w:szCs w:val="21"/>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29,576</w:t>
            </w:r>
          </w:p>
        </w:tc>
        <w:tc>
          <w:tcPr>
            <w:tcW w:w="8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21.5 %</w:t>
            </w:r>
          </w:p>
        </w:tc>
      </w:tr>
      <w:tr>
        <w:trPr>
          <w:trHeight w:val="20"/>
        </w:trPr>
        <w:tc>
          <w:tcPr>
            <w:tcW w:w="15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tcBorders>
            <w:gridSpan w:val="2"/>
          </w:tcPr>
          <w:p>
            <w:pPr>
              <w:spacing w:after="0" w:line="20" w:lineRule="exact"/>
              <w:rPr>
                <w:sz w:val="1"/>
                <w:szCs w:val="1"/>
                <w:color w:val="auto"/>
              </w:rPr>
            </w:pPr>
          </w:p>
        </w:tc>
        <w:tc>
          <w:tcPr>
            <w:tcW w:w="8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r>
      <w:tr>
        <w:trPr>
          <w:trHeight w:val="587"/>
        </w:trPr>
        <w:tc>
          <w:tcPr>
            <w:tcW w:w="1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540" w:type="dxa"/>
            <w:vAlign w:val="bottom"/>
            <w:gridSpan w:val="5"/>
          </w:tcPr>
          <w:p>
            <w:pPr>
              <w:jc w:val="center"/>
              <w:ind w:left="236"/>
              <w:spacing w:after="0"/>
              <w:rPr>
                <w:sz w:val="20"/>
                <w:szCs w:val="20"/>
                <w:color w:val="auto"/>
              </w:rPr>
            </w:pPr>
            <w:r>
              <w:rPr>
                <w:rFonts w:ascii="Arial" w:cs="Arial" w:eastAsia="Arial" w:hAnsi="Arial"/>
                <w:sz w:val="17"/>
                <w:szCs w:val="17"/>
                <w:b w:val="1"/>
                <w:bCs w:val="1"/>
                <w:color w:val="auto"/>
                <w:w w:val="93"/>
              </w:rPr>
              <w:t>Penumbra, Inc.</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203"/>
        </w:trPr>
        <w:tc>
          <w:tcPr>
            <w:tcW w:w="1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220" w:type="dxa"/>
            <w:vAlign w:val="bottom"/>
            <w:gridSpan w:val="29"/>
          </w:tcPr>
          <w:p>
            <w:pPr>
              <w:jc w:val="center"/>
              <w:ind w:right="520"/>
              <w:spacing w:after="0" w:line="203" w:lineRule="exact"/>
              <w:rPr>
                <w:sz w:val="20"/>
                <w:szCs w:val="20"/>
                <w:color w:val="auto"/>
              </w:rPr>
            </w:pPr>
            <w:r>
              <w:rPr>
                <w:rFonts w:ascii="Arial" w:cs="Arial" w:eastAsia="Arial" w:hAnsi="Arial"/>
                <w:sz w:val="17"/>
                <w:szCs w:val="17"/>
                <w:b w:val="1"/>
                <w:bCs w:val="1"/>
                <w:color w:val="auto"/>
                <w:w w:val="90"/>
              </w:rPr>
              <w:t>Reconciliation of Revenue Growth by Product Categories to Constant Currency Revenue Growth</w:t>
            </w:r>
            <w:r>
              <w:rPr>
                <w:rFonts w:ascii="Arial" w:cs="Arial" w:eastAsia="Arial" w:hAnsi="Arial"/>
                <w:sz w:val="22"/>
                <w:szCs w:val="22"/>
                <w:b w:val="1"/>
                <w:bCs w:val="1"/>
                <w:color w:val="auto"/>
                <w:w w:val="90"/>
                <w:vertAlign w:val="superscript"/>
              </w:rPr>
              <w:t>1</w:t>
            </w: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02"/>
        </w:trPr>
        <w:tc>
          <w:tcPr>
            <w:tcW w:w="1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540" w:type="dxa"/>
            <w:vAlign w:val="bottom"/>
            <w:gridSpan w:val="5"/>
          </w:tcPr>
          <w:p>
            <w:pPr>
              <w:jc w:val="center"/>
              <w:ind w:left="236"/>
              <w:spacing w:after="0"/>
              <w:rPr>
                <w:sz w:val="20"/>
                <w:szCs w:val="20"/>
                <w:color w:val="auto"/>
              </w:rPr>
            </w:pPr>
            <w:r>
              <w:rPr>
                <w:rFonts w:ascii="Arial" w:cs="Arial" w:eastAsia="Arial" w:hAnsi="Arial"/>
                <w:sz w:val="17"/>
                <w:szCs w:val="17"/>
                <w:b w:val="1"/>
                <w:bCs w:val="1"/>
                <w:color w:val="auto"/>
                <w:w w:val="92"/>
              </w:rPr>
              <w:t>(unaudited)</w:t>
            </w: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60" w:type="dxa"/>
            <w:vAlign w:val="bottom"/>
          </w:tcPr>
          <w:p>
            <w:pPr>
              <w:spacing w:after="0"/>
              <w:rPr>
                <w:sz w:val="17"/>
                <w:szCs w:val="17"/>
                <w:color w:val="auto"/>
              </w:rPr>
            </w:pPr>
          </w:p>
        </w:tc>
      </w:tr>
      <w:tr>
        <w:trPr>
          <w:trHeight w:val="220"/>
        </w:trPr>
        <w:tc>
          <w:tcPr>
            <w:tcW w:w="15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40" w:type="dxa"/>
            <w:vAlign w:val="bottom"/>
            <w:gridSpan w:val="5"/>
          </w:tcPr>
          <w:p>
            <w:pPr>
              <w:jc w:val="center"/>
              <w:ind w:left="216"/>
              <w:spacing w:after="0"/>
              <w:rPr>
                <w:sz w:val="20"/>
                <w:szCs w:val="20"/>
                <w:color w:val="auto"/>
              </w:rPr>
            </w:pPr>
            <w:r>
              <w:rPr>
                <w:rFonts w:ascii="Arial" w:cs="Arial" w:eastAsia="Arial" w:hAnsi="Arial"/>
                <w:sz w:val="17"/>
                <w:szCs w:val="17"/>
                <w:b w:val="1"/>
                <w:bCs w:val="1"/>
                <w:color w:val="auto"/>
                <w:w w:val="88"/>
              </w:rPr>
              <w:t>(in thousands)</w:t>
            </w: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14"/>
        </w:trPr>
        <w:tc>
          <w:tcPr>
            <w:tcW w:w="1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520" w:type="dxa"/>
            <w:vAlign w:val="bottom"/>
            <w:gridSpan w:val="8"/>
          </w:tcPr>
          <w:p>
            <w:pPr>
              <w:ind w:left="100"/>
              <w:spacing w:after="0"/>
              <w:rPr>
                <w:sz w:val="20"/>
                <w:szCs w:val="20"/>
                <w:color w:val="auto"/>
              </w:rPr>
            </w:pPr>
            <w:r>
              <w:rPr>
                <w:rFonts w:ascii="Arial" w:cs="Arial" w:eastAsia="Arial" w:hAnsi="Arial"/>
                <w:sz w:val="14"/>
                <w:szCs w:val="14"/>
                <w:b w:val="1"/>
                <w:bCs w:val="1"/>
                <w:color w:val="auto"/>
              </w:rPr>
              <w:t>Three Months Ended March 31,</w:t>
            </w:r>
          </w:p>
        </w:tc>
        <w:tc>
          <w:tcPr>
            <w:tcW w:w="400" w:type="dxa"/>
            <w:vAlign w:val="bottom"/>
          </w:tcPr>
          <w:p>
            <w:pPr>
              <w:spacing w:after="0"/>
              <w:rPr>
                <w:sz w:val="18"/>
                <w:szCs w:val="18"/>
                <w:color w:val="auto"/>
              </w:rPr>
            </w:pPr>
          </w:p>
        </w:tc>
        <w:tc>
          <w:tcPr>
            <w:tcW w:w="1540" w:type="dxa"/>
            <w:vAlign w:val="bottom"/>
            <w:gridSpan w:val="5"/>
          </w:tcPr>
          <w:p>
            <w:pPr>
              <w:jc w:val="right"/>
              <w:spacing w:after="0"/>
              <w:rPr>
                <w:sz w:val="20"/>
                <w:szCs w:val="20"/>
                <w:color w:val="auto"/>
              </w:rPr>
            </w:pPr>
            <w:r>
              <w:rPr>
                <w:rFonts w:ascii="Arial" w:cs="Arial" w:eastAsia="Arial" w:hAnsi="Arial"/>
                <w:sz w:val="14"/>
                <w:szCs w:val="14"/>
                <w:b w:val="1"/>
                <w:bCs w:val="1"/>
                <w:color w:val="auto"/>
              </w:rPr>
              <w:t>Reported Change</w:t>
            </w: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98"/>
              </w:rPr>
              <w:t>FX Impact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20" w:type="dxa"/>
            <w:vAlign w:val="bottom"/>
            <w:gridSpan w:val="6"/>
          </w:tcPr>
          <w:p>
            <w:pPr>
              <w:jc w:val="right"/>
              <w:ind w:right="435"/>
              <w:spacing w:after="0"/>
              <w:rPr>
                <w:sz w:val="20"/>
                <w:szCs w:val="20"/>
                <w:color w:val="auto"/>
              </w:rPr>
            </w:pPr>
            <w:r>
              <w:rPr>
                <w:rFonts w:ascii="Arial" w:cs="Arial" w:eastAsia="Arial" w:hAnsi="Arial"/>
                <w:sz w:val="14"/>
                <w:szCs w:val="14"/>
                <w:b w:val="1"/>
                <w:bCs w:val="1"/>
                <w:color w:val="auto"/>
              </w:rPr>
              <w:t>Constant Currency Change</w:t>
            </w:r>
          </w:p>
        </w:tc>
      </w:tr>
      <w:tr>
        <w:trPr>
          <w:trHeight w:val="187"/>
        </w:trPr>
        <w:tc>
          <w:tcPr>
            <w:tcW w:w="156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1040" w:type="dxa"/>
            <w:vAlign w:val="bottom"/>
            <w:tcBorders>
              <w:top w:val="single" w:sz="8" w:color="auto"/>
              <w:bottom w:val="single" w:sz="8" w:color="auto"/>
            </w:tcBorders>
          </w:tcPr>
          <w:p>
            <w:pPr>
              <w:jc w:val="right"/>
              <w:ind w:right="397"/>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960" w:type="dxa"/>
            <w:vAlign w:val="bottom"/>
            <w:tcBorders>
              <w:top w:val="single" w:sz="8" w:color="auto"/>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2020</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40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ind w:right="496"/>
              <w:spacing w:after="0"/>
              <w:rPr>
                <w:sz w:val="20"/>
                <w:szCs w:val="20"/>
                <w:color w:val="auto"/>
              </w:rPr>
            </w:pPr>
            <w:r>
              <w:rPr>
                <w:rFonts w:ascii="Arial" w:cs="Arial" w:eastAsia="Arial" w:hAnsi="Arial"/>
                <w:sz w:val="14"/>
                <w:szCs w:val="14"/>
                <w:b w:val="1"/>
                <w:bCs w:val="1"/>
                <w:color w:val="auto"/>
              </w:rPr>
              <w:t>$</w:t>
            </w:r>
          </w:p>
        </w:tc>
        <w:tc>
          <w:tcPr>
            <w:tcW w:w="20" w:type="dxa"/>
            <w:vAlign w:val="bottom"/>
            <w:tcBorders>
              <w:top w:val="single" w:sz="8" w:color="auto"/>
              <w:bottom w:val="single" w:sz="8" w:color="CCEEFF"/>
            </w:tcBorders>
          </w:tcPr>
          <w:p>
            <w:pPr>
              <w:spacing w:after="0"/>
              <w:rPr>
                <w:sz w:val="16"/>
                <w:szCs w:val="16"/>
                <w:color w:val="auto"/>
              </w:rPr>
            </w:pPr>
          </w:p>
        </w:tc>
        <w:tc>
          <w:tcPr>
            <w:tcW w:w="100" w:type="dxa"/>
            <w:vAlign w:val="bottom"/>
            <w:tcBorders>
              <w:top w:val="single" w:sz="8" w:color="auto"/>
              <w:bottom w:val="single" w:sz="8" w:color="CCEEFF"/>
            </w:tcBorders>
          </w:tcPr>
          <w:p>
            <w:pPr>
              <w:spacing w:after="0"/>
              <w:rPr>
                <w:sz w:val="16"/>
                <w:szCs w:val="16"/>
                <w:color w:val="auto"/>
              </w:rPr>
            </w:pPr>
          </w:p>
        </w:tc>
        <w:tc>
          <w:tcPr>
            <w:tcW w:w="280" w:type="dxa"/>
            <w:vAlign w:val="bottom"/>
            <w:tcBorders>
              <w:top w:val="single" w:sz="8" w:color="auto"/>
              <w:bottom w:val="single" w:sz="8" w:color="auto"/>
            </w:tcBorders>
          </w:tcPr>
          <w:p>
            <w:pPr>
              <w:spacing w:after="0"/>
              <w:rPr>
                <w:sz w:val="16"/>
                <w:szCs w:val="16"/>
                <w:color w:val="auto"/>
              </w:rPr>
            </w:pPr>
          </w:p>
        </w:tc>
        <w:tc>
          <w:tcPr>
            <w:tcW w:w="300" w:type="dxa"/>
            <w:vAlign w:val="bottom"/>
            <w:tcBorders>
              <w:top w:val="single" w:sz="8" w:color="auto"/>
              <w:bottom w:val="single" w:sz="8" w:color="auto"/>
            </w:tcBorders>
          </w:tcPr>
          <w:p>
            <w:pPr>
              <w:spacing w:after="0"/>
              <w:rPr>
                <w:sz w:val="16"/>
                <w:szCs w:val="16"/>
                <w:color w:val="auto"/>
              </w:rPr>
            </w:pPr>
          </w:p>
        </w:tc>
        <w:tc>
          <w:tcPr>
            <w:tcW w:w="800" w:type="dxa"/>
            <w:vAlign w:val="bottom"/>
            <w:tcBorders>
              <w:top w:val="single" w:sz="8" w:color="auto"/>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4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center"/>
              <w:ind w:right="136"/>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16"/>
                <w:szCs w:val="16"/>
                <w:color w:val="auto"/>
              </w:rPr>
            </w:pPr>
          </w:p>
        </w:tc>
        <w:tc>
          <w:tcPr>
            <w:tcW w:w="20" w:type="dxa"/>
            <w:vAlign w:val="bottom"/>
            <w:tcBorders>
              <w:top w:val="single" w:sz="8" w:color="auto"/>
              <w:bottom w:val="single" w:sz="8" w:color="auto"/>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180" w:type="dxa"/>
            <w:vAlign w:val="bottom"/>
            <w:tcBorders>
              <w:top w:val="single" w:sz="8" w:color="auto"/>
              <w:bottom w:val="single" w:sz="8" w:color="auto"/>
            </w:tcBorders>
          </w:tcPr>
          <w:p>
            <w:pPr>
              <w:spacing w:after="0"/>
              <w:rPr>
                <w:sz w:val="16"/>
                <w:szCs w:val="16"/>
                <w:color w:val="auto"/>
              </w:rPr>
            </w:pPr>
          </w:p>
        </w:tc>
        <w:tc>
          <w:tcPr>
            <w:tcW w:w="940" w:type="dxa"/>
            <w:vAlign w:val="bottom"/>
            <w:tcBorders>
              <w:top w:val="single" w:sz="8" w:color="auto"/>
              <w:bottom w:val="single" w:sz="8" w:color="auto"/>
            </w:tcBorders>
          </w:tcPr>
          <w:p>
            <w:pPr>
              <w:jc w:val="right"/>
              <w:ind w:right="498"/>
              <w:spacing w:after="0"/>
              <w:rPr>
                <w:sz w:val="20"/>
                <w:szCs w:val="20"/>
                <w:color w:val="auto"/>
              </w:rPr>
            </w:pPr>
            <w:r>
              <w:rPr>
                <w:rFonts w:ascii="Arial" w:cs="Arial" w:eastAsia="Arial" w:hAnsi="Arial"/>
                <w:sz w:val="14"/>
                <w:szCs w:val="14"/>
                <w:b w:val="1"/>
                <w:bCs w:val="1"/>
                <w:color w:val="auto"/>
              </w:rPr>
              <w:t>$</w:t>
            </w:r>
          </w:p>
        </w:tc>
        <w:tc>
          <w:tcPr>
            <w:tcW w:w="80" w:type="dxa"/>
            <w:vAlign w:val="bottom"/>
            <w:tcBorders>
              <w:top w:val="single" w:sz="8" w:color="auto"/>
              <w:bottom w:val="single" w:sz="8" w:color="CCEEFF"/>
            </w:tcBorders>
          </w:tcPr>
          <w:p>
            <w:pPr>
              <w:spacing w:after="0"/>
              <w:rPr>
                <w:sz w:val="16"/>
                <w:szCs w:val="16"/>
                <w:color w:val="auto"/>
              </w:rPr>
            </w:pPr>
          </w:p>
        </w:tc>
        <w:tc>
          <w:tcPr>
            <w:tcW w:w="40" w:type="dxa"/>
            <w:vAlign w:val="bottom"/>
            <w:tcBorders>
              <w:top w:val="single" w:sz="8" w:color="auto"/>
              <w:bottom w:val="single" w:sz="8" w:color="auto"/>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180" w:type="dxa"/>
            <w:vAlign w:val="bottom"/>
            <w:tcBorders>
              <w:top w:val="single" w:sz="8" w:color="auto"/>
              <w:bottom w:val="single" w:sz="8" w:color="auto"/>
            </w:tcBorders>
          </w:tcPr>
          <w:p>
            <w:pPr>
              <w:spacing w:after="0"/>
              <w:rPr>
                <w:sz w:val="16"/>
                <w:szCs w:val="16"/>
                <w:color w:val="auto"/>
              </w:rPr>
            </w:pPr>
          </w:p>
        </w:tc>
        <w:tc>
          <w:tcPr>
            <w:tcW w:w="1060" w:type="dxa"/>
            <w:vAlign w:val="bottom"/>
            <w:tcBorders>
              <w:top w:val="single" w:sz="8" w:color="auto"/>
              <w:bottom w:val="single" w:sz="8" w:color="auto"/>
            </w:tcBorders>
          </w:tcPr>
          <w:p>
            <w:pPr>
              <w:jc w:val="right"/>
              <w:ind w:right="535"/>
              <w:spacing w:after="0"/>
              <w:rPr>
                <w:sz w:val="20"/>
                <w:szCs w:val="20"/>
                <w:color w:val="auto"/>
              </w:rPr>
            </w:pPr>
            <w:r>
              <w:rPr>
                <w:rFonts w:ascii="Arial" w:cs="Arial" w:eastAsia="Arial" w:hAnsi="Arial"/>
                <w:sz w:val="14"/>
                <w:szCs w:val="14"/>
                <w:b w:val="1"/>
                <w:bCs w:val="1"/>
                <w:color w:val="auto"/>
              </w:rPr>
              <w:t>%</w:t>
            </w:r>
          </w:p>
        </w:tc>
      </w:tr>
      <w:tr>
        <w:trPr>
          <w:trHeight w:val="224"/>
        </w:trPr>
        <w:tc>
          <w:tcPr>
            <w:tcW w:w="1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Vascular</w:t>
            </w:r>
          </w:p>
        </w:tc>
        <w:tc>
          <w:tcPr>
            <w:tcW w:w="2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38"/>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89,165</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59,253</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29,912</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50.5 %</w:t>
            </w: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(813)</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8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29,099</w:t>
            </w: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49.1 %</w:t>
            </w:r>
          </w:p>
        </w:tc>
      </w:tr>
      <w:tr>
        <w:trPr>
          <w:trHeight w:val="230"/>
        </w:trPr>
        <w:tc>
          <w:tcPr>
            <w:tcW w:w="15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Neuro</w:t>
            </w:r>
          </w:p>
        </w:tc>
        <w:tc>
          <w:tcPr>
            <w:tcW w:w="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80,039</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78,076</w:t>
            </w:r>
          </w:p>
        </w:tc>
        <w:tc>
          <w:tcPr>
            <w:tcW w:w="2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1,963</w:t>
            </w:r>
          </w:p>
        </w:tc>
        <w:tc>
          <w:tcPr>
            <w:tcW w:w="2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CCEEFF"/>
            </w:tcBorders>
          </w:tcPr>
          <w:p>
            <w:pPr>
              <w:spacing w:after="0"/>
              <w:rPr>
                <w:sz w:val="19"/>
                <w:szCs w:val="19"/>
                <w:color w:val="auto"/>
              </w:rPr>
            </w:pPr>
          </w:p>
        </w:tc>
        <w:tc>
          <w:tcPr>
            <w:tcW w:w="300" w:type="dxa"/>
            <w:vAlign w:val="bottom"/>
            <w:tcBorders>
              <w:bottom w:val="single" w:sz="8" w:color="CCEEFF"/>
            </w:tcBorders>
          </w:tcPr>
          <w:p>
            <w:pPr>
              <w:spacing w:after="0"/>
              <w:rPr>
                <w:sz w:val="19"/>
                <w:szCs w:val="19"/>
                <w:color w:val="auto"/>
              </w:rPr>
            </w:pPr>
          </w:p>
        </w:tc>
        <w:tc>
          <w:tcPr>
            <w:tcW w:w="80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2.5 %</w:t>
            </w:r>
          </w:p>
        </w:tc>
        <w:tc>
          <w:tcPr>
            <w:tcW w:w="10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(1,486)</w:t>
            </w:r>
          </w:p>
        </w:tc>
        <w:tc>
          <w:tcPr>
            <w:tcW w:w="120" w:type="dxa"/>
            <w:vAlign w:val="bottom"/>
            <w:tcBorders>
              <w:bottom w:val="single" w:sz="8" w:color="CCEEFF"/>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477</w:t>
            </w:r>
          </w:p>
        </w:tc>
        <w:tc>
          <w:tcPr>
            <w:tcW w:w="80" w:type="dxa"/>
            <w:vAlign w:val="bottom"/>
            <w:tcBorders>
              <w:bottom w:val="single" w:sz="8" w:color="CCEEFF"/>
            </w:tcBorders>
          </w:tcPr>
          <w:p>
            <w:pPr>
              <w:spacing w:after="0"/>
              <w:rPr>
                <w:sz w:val="19"/>
                <w:szCs w:val="19"/>
                <w:color w:val="auto"/>
              </w:rPr>
            </w:pPr>
          </w:p>
        </w:tc>
        <w:tc>
          <w:tcPr>
            <w:tcW w:w="4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06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0.6 %</w:t>
            </w:r>
          </w:p>
        </w:tc>
      </w:tr>
      <w:tr>
        <w:trPr>
          <w:trHeight w:val="243"/>
        </w:trPr>
        <w:tc>
          <w:tcPr>
            <w:tcW w:w="15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200" w:type="dxa"/>
            <w:vAlign w:val="bottom"/>
            <w:shd w:val="clear" w:color="auto" w:fill="CCEEFF"/>
          </w:tcPr>
          <w:p>
            <w:pPr>
              <w:jc w:val="right"/>
              <w:ind w:right="38"/>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169,204</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137,329</w:t>
            </w:r>
          </w:p>
        </w:tc>
        <w:tc>
          <w:tcPr>
            <w:tcW w:w="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31,875</w:t>
            </w: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300" w:type="dxa"/>
            <w:vAlign w:val="bottom"/>
            <w:shd w:val="clear" w:color="auto" w:fill="CCEEFF"/>
          </w:tcPr>
          <w:p>
            <w:pPr>
              <w:spacing w:after="0"/>
              <w:rPr>
                <w:sz w:val="21"/>
                <w:szCs w:val="21"/>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23.2 %</w:t>
            </w:r>
          </w:p>
        </w:tc>
        <w:tc>
          <w:tcPr>
            <w:tcW w:w="10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20" w:type="dxa"/>
            <w:vAlign w:val="bottom"/>
            <w:gridSpan w:val="2"/>
            <w:shd w:val="clear" w:color="auto" w:fill="CCEEFF"/>
          </w:tcPr>
          <w:p>
            <w:pPr>
              <w:jc w:val="center"/>
              <w:ind w:right="20"/>
              <w:spacing w:after="0"/>
              <w:rPr>
                <w:sz w:val="20"/>
                <w:szCs w:val="20"/>
                <w:color w:val="auto"/>
              </w:rPr>
            </w:pPr>
            <w:r>
              <w:rPr>
                <w:rFonts w:ascii="Arial" w:cs="Arial" w:eastAsia="Arial" w:hAnsi="Arial"/>
                <w:sz w:val="18"/>
                <w:szCs w:val="18"/>
                <w:color w:val="auto"/>
                <w:w w:val="99"/>
              </w:rPr>
              <w:t>$</w:t>
            </w:r>
          </w:p>
        </w:tc>
        <w:tc>
          <w:tcPr>
            <w:tcW w:w="140" w:type="dxa"/>
            <w:vAlign w:val="bottom"/>
            <w:shd w:val="clear" w:color="auto" w:fill="CCEEFF"/>
          </w:tcPr>
          <w:p>
            <w:pPr>
              <w:spacing w:after="0"/>
              <w:rPr>
                <w:sz w:val="21"/>
                <w:szCs w:val="21"/>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(2,299)</w:t>
            </w:r>
          </w:p>
        </w:tc>
        <w:tc>
          <w:tcPr>
            <w:tcW w:w="120" w:type="dxa"/>
            <w:vAlign w:val="bottom"/>
            <w:shd w:val="clear" w:color="auto" w:fill="CCEEFF"/>
          </w:tcPr>
          <w:p>
            <w:pPr>
              <w:spacing w:after="0"/>
              <w:rPr>
                <w:sz w:val="21"/>
                <w:szCs w:val="21"/>
                <w:color w:val="auto"/>
              </w:rPr>
            </w:pPr>
          </w:p>
        </w:tc>
        <w:tc>
          <w:tcPr>
            <w:tcW w:w="20" w:type="dxa"/>
            <w:vAlign w:val="bottom"/>
            <w:shd w:val="clear" w:color="auto" w:fill="CCEEFF"/>
          </w:tcPr>
          <w:p>
            <w:pPr>
              <w:spacing w:after="0"/>
              <w:rPr>
                <w:sz w:val="21"/>
                <w:szCs w:val="2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80" w:type="dxa"/>
            <w:vAlign w:val="bottom"/>
            <w:shd w:val="clear" w:color="auto" w:fill="CCEEFF"/>
          </w:tcPr>
          <w:p>
            <w:pPr>
              <w:spacing w:after="0"/>
              <w:rPr>
                <w:sz w:val="21"/>
                <w:szCs w:val="21"/>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29,576</w:t>
            </w:r>
          </w:p>
        </w:tc>
        <w:tc>
          <w:tcPr>
            <w:tcW w:w="8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180" w:type="dxa"/>
            <w:vAlign w:val="bottom"/>
            <w:shd w:val="clear" w:color="auto" w:fill="CCEEFF"/>
          </w:tcPr>
          <w:p>
            <w:pPr>
              <w:spacing w:after="0"/>
              <w:rPr>
                <w:sz w:val="21"/>
                <w:szCs w:val="21"/>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21.5 %</w:t>
            </w:r>
          </w:p>
        </w:tc>
      </w:tr>
      <w:tr>
        <w:trPr>
          <w:trHeight w:val="20"/>
        </w:trPr>
        <w:tc>
          <w:tcPr>
            <w:tcW w:w="15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8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428625</wp:posOffset>
            </wp:positionV>
            <wp:extent cx="1448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843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right="280"/>
        <w:spacing w:after="0" w:line="223" w:lineRule="auto"/>
        <w:rPr>
          <w:sz w:val="20"/>
          <w:szCs w:val="20"/>
          <w:color w:val="auto"/>
        </w:rPr>
      </w:pPr>
      <w:r>
        <w:rPr>
          <w:rFonts w:ascii="Arial" w:cs="Arial" w:eastAsia="Arial" w:hAnsi="Arial"/>
          <w:sz w:val="21"/>
          <w:szCs w:val="21"/>
          <w:color w:val="auto"/>
          <w:vertAlign w:val="superscript"/>
        </w:rPr>
        <w:t>1</w:t>
      </w:r>
      <w:r>
        <w:rPr>
          <w:rFonts w:ascii="Arial" w:cs="Arial" w:eastAsia="Arial" w:hAnsi="Arial"/>
          <w:sz w:val="16"/>
          <w:szCs w:val="16"/>
          <w:color w:val="auto"/>
        </w:rPr>
        <w:t>See “Non-GAAP Financial Measures” above for important information about our use of non-GAAP measures and further information about our non-GAAP net income (loss) and, non-GAAP diluted EPS measures and our use of constant currency.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Penumbra,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510-995-2461</w:t>
      </w:r>
    </w:p>
    <w:p>
      <w:pPr>
        <w:spacing w:after="0" w:line="19" w:lineRule="exact"/>
        <w:rPr>
          <w:sz w:val="20"/>
          <w:szCs w:val="20"/>
          <w:color w:val="auto"/>
        </w:rPr>
      </w:pPr>
    </w:p>
    <w:p>
      <w:pPr>
        <w:spacing w:after="0"/>
        <w:rPr>
          <w:sz w:val="20"/>
          <w:szCs w:val="20"/>
          <w:color w:val="auto"/>
        </w:rPr>
      </w:pPr>
      <w:r>
        <w:rPr>
          <w:rFonts w:ascii="Arial" w:cs="Arial" w:eastAsia="Arial" w:hAnsi="Arial"/>
          <w:sz w:val="13"/>
          <w:szCs w:val="13"/>
          <w:u w:val="single" w:color="auto"/>
          <w:color w:val="0000FF"/>
        </w:rPr>
        <w:t>investors@penumbrainc.com</w:t>
      </w:r>
    </w:p>
    <w:p>
      <w:pPr>
        <w:spacing w:after="0" w:line="9"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Source: Penumbra, Inc.</w:t>
      </w:r>
    </w:p>
    <w:p>
      <w:pPr>
        <w:sectPr>
          <w:pgSz w:w="11900" w:h="16838" w:orient="portrait"/>
          <w:cols w:equalWidth="0" w:num="1">
            <w:col w:w="11240"/>
          </w:cols>
          <w:pgMar w:left="320" w:top="86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5</w:t>
      </w:r>
    </w:p>
    <w:sectPr>
      <w:pgSz w:w="11900" w:h="16838" w:orient="portrait"/>
      <w:cols w:equalWidth="0" w:num="1">
        <w:col w:w="11240"/>
      </w:cols>
      <w:pgMar w:left="320" w:top="860"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2021-05-04T15:30:01Z</dcterms:created>
  <dcterms:modified xsi:type="dcterms:W3CDTF">2021-05-04T15:30:01Z</dcterms:modified>
</cp:coreProperties>
</file>