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5363845</wp:posOffset>
            </wp:positionH>
            <wp:positionV relativeFrom="paragraph">
              <wp:posOffset>-625475</wp:posOffset>
            </wp:positionV>
            <wp:extent cx="8255" cy="6261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4060825</wp:posOffset>
            </wp:positionH>
            <wp:positionV relativeFrom="paragraph">
              <wp:posOffset>-633730</wp:posOffset>
            </wp:positionV>
            <wp:extent cx="8255" cy="6343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4086225</wp:posOffset>
            </wp:positionH>
            <wp:positionV relativeFrom="paragraph">
              <wp:posOffset>-608330</wp:posOffset>
            </wp:positionV>
            <wp:extent cx="1260475" cy="5835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-1557020</wp:posOffset>
            </wp:positionH>
            <wp:positionV relativeFrom="paragraph">
              <wp:posOffset>32385</wp:posOffset>
            </wp:positionV>
            <wp:extent cx="6964045" cy="16668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Bose Arani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ONE PENUMBRA PLACE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1"/>
          <w:szCs w:val="21"/>
          <w:color w:val="0000EE"/>
        </w:rPr>
      </w:pPr>
      <w:hyperlink r:id="rId14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Penumbra Inc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PEN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34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02/01/2021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0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0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102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Chief Innovator</w:t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345"/>
          </w:cols>
          <w:pgMar w:left="460" w:top="225" w:right="359" w:bottom="0" w:gutter="0" w:footer="0" w:header="0"/>
          <w:type w:val="continuous"/>
        </w:sectPr>
      </w:pPr>
    </w:p>
    <w:p>
      <w:pPr>
        <w:spacing w:after="0" w:line="2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40" w:type="dxa"/>
            <w:vAlign w:val="bottom"/>
            <w:gridSpan w:val="7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760" w:type="dxa"/>
            <w:vAlign w:val="bottom"/>
            <w:gridSpan w:val="10"/>
            <w:vMerge w:val="restart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76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ALAMEDA</w:t>
            </w:r>
          </w:p>
        </w:tc>
        <w:tc>
          <w:tcPr>
            <w:tcW w:w="3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CA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94502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4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40" w:type="dxa"/>
            <w:vAlign w:val="bottom"/>
            <w:gridSpan w:val="7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jc w:val="right"/>
              <w:ind w:righ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74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40" w:type="dxa"/>
            <w:vAlign w:val="bottom"/>
            <w:gridSpan w:val="3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6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3"/>
          </w:tcPr>
          <w:p>
            <w:pPr>
              <w:ind w:left="4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2060" w:type="dxa"/>
            <w:vAlign w:val="bottom"/>
            <w:gridSpan w:val="5"/>
          </w:tcPr>
          <w:p>
            <w:pPr>
              <w:jc w:val="center"/>
              <w:ind w:right="55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5)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3"/>
          </w:tcPr>
          <w:p>
            <w:pPr>
              <w:ind w:left="6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4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3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80" w:type="dxa"/>
            <w:vAlign w:val="bottom"/>
          </w:tcPr>
          <w:p>
            <w:pPr>
              <w:jc w:val="center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(A) or</w:t>
            </w:r>
          </w:p>
        </w:tc>
        <w:tc>
          <w:tcPr>
            <w:tcW w:w="6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13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02/01/2021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0000FF"/>
                <w:w w:val="87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7"/>
              </w:rPr>
              <w:t>(1)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1,156</w:t>
            </w: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88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88"/>
              </w:rPr>
              <w:t>255.48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8"/>
                <w:vertAlign w:val="superscript"/>
              </w:rPr>
              <w:t>(2)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539,506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13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02/01/2021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0000FF"/>
                <w:w w:val="87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7"/>
              </w:rPr>
              <w:t>(1)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700</w:t>
            </w: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88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88"/>
              </w:rPr>
              <w:t>256.37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8"/>
                <w:vertAlign w:val="superscript"/>
              </w:rPr>
              <w:t>(3)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538,806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13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02/01/2021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0000FF"/>
                <w:w w:val="87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7"/>
              </w:rPr>
              <w:t>(1)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944</w:t>
            </w: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88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88"/>
              </w:rPr>
              <w:t>257.85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8"/>
                <w:vertAlign w:val="superscript"/>
              </w:rPr>
              <w:t>(4)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537,862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13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02/01/2021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0000FF"/>
                <w:w w:val="87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7"/>
              </w:rPr>
              <w:t>(1)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1,400</w:t>
            </w: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88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88"/>
              </w:rPr>
              <w:t>258.34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8"/>
                <w:vertAlign w:val="superscript"/>
              </w:rPr>
              <w:t>(5)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536,462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13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02/01/2021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0000FF"/>
                <w:w w:val="87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7"/>
              </w:rPr>
              <w:t>(1)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2,300</w:t>
            </w: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88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88"/>
              </w:rPr>
              <w:t>259.45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8"/>
                <w:vertAlign w:val="superscript"/>
              </w:rPr>
              <w:t>(6)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534,162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13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02/01/2021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0000FF"/>
                <w:w w:val="87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7"/>
              </w:rPr>
              <w:t>(1)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1,800</w:t>
            </w: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88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88"/>
              </w:rPr>
              <w:t>260.5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8"/>
                <w:vertAlign w:val="superscript"/>
              </w:rPr>
              <w:t>(7)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532,362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13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02/01/2021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0000FF"/>
                <w:w w:val="87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7"/>
              </w:rPr>
              <w:t>(1)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900</w:t>
            </w: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88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88"/>
              </w:rPr>
              <w:t>261.38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8"/>
                <w:vertAlign w:val="superscript"/>
              </w:rPr>
              <w:t>(8)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531,462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13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02/01/2021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0000FF"/>
                <w:w w:val="87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7"/>
              </w:rPr>
              <w:t>(1)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300</w:t>
            </w: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88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88"/>
              </w:rPr>
              <w:t>263.57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8"/>
                <w:vertAlign w:val="superscript"/>
              </w:rPr>
              <w:t>(9)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531,162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13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02/01/2021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0000FF"/>
                <w:w w:val="87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7"/>
              </w:rPr>
              <w:t>(1)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200</w:t>
            </w: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4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4"/>
              </w:rPr>
              <w:t>264.43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530,962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13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02/01/2021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0000FF"/>
                <w:w w:val="87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7"/>
              </w:rPr>
              <w:t>(1)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100</w:t>
            </w: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4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4"/>
              </w:rPr>
              <w:t>265.07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530,862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13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02/01/2021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0000FF"/>
                <w:w w:val="87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7"/>
              </w:rPr>
              <w:t>(1)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100</w:t>
            </w: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4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4"/>
              </w:rPr>
              <w:t>273.31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530,762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13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02/01/2021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0000FF"/>
                <w:w w:val="87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7"/>
              </w:rPr>
              <w:t>(1)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100</w:t>
            </w: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4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4"/>
              </w:rPr>
              <w:t>277.19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530,662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2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jc w:val="right"/>
              <w:ind w:righ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1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00" w:type="dxa"/>
            <w:vAlign w:val="bottom"/>
            <w:gridSpan w:val="2"/>
          </w:tcPr>
          <w:p>
            <w:pPr>
              <w:jc w:val="right"/>
              <w:ind w:right="1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10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100" w:type="dxa"/>
            <w:vAlign w:val="bottom"/>
            <w:gridSpan w:val="3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16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00" w:type="dxa"/>
            <w:vAlign w:val="bottom"/>
            <w:gridSpan w:val="3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00" w:type="dxa"/>
            <w:vAlign w:val="bottom"/>
            <w:gridSpan w:val="2"/>
          </w:tcPr>
          <w:p>
            <w:pPr>
              <w:jc w:val="right"/>
              <w:ind w:right="138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60" w:type="dxa"/>
            <w:vAlign w:val="bottom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Code</w:t>
            </w:r>
          </w:p>
        </w:tc>
        <w:tc>
          <w:tcPr>
            <w:tcW w:w="4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Exercisable</w:t>
            </w:r>
          </w:p>
        </w:tc>
        <w:tc>
          <w:tcPr>
            <w:tcW w:w="7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-5293995</wp:posOffset>
            </wp:positionV>
            <wp:extent cx="7031355" cy="5339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533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sales were effected pursuant to the Reporting Person's Rule 10b5-1 trading plan.</w:t>
      </w:r>
    </w:p>
    <w:p>
      <w:pPr>
        <w:spacing w:after="0" w:line="50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40" w:right="280" w:firstLine="7"/>
        <w:spacing w:after="0" w:line="301" w:lineRule="auto"/>
        <w:tabs>
          <w:tab w:leader="none" w:pos="17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This transaction was executed in multiple trades at prices ranging from $255.00 to $255.98. The price reported above reflects the weighted average sale price. The Reporting Person hereby undertakes to provide to the SEC staff, the Issuer or a security holder of the Issuer, upon request, full information regarding the number of shares and prices at which the transaction was effected.</w:t>
      </w:r>
    </w:p>
    <w:p>
      <w:pPr>
        <w:ind w:left="40" w:right="280" w:firstLine="7"/>
        <w:spacing w:after="0" w:line="301" w:lineRule="auto"/>
        <w:tabs>
          <w:tab w:leader="none" w:pos="17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This transaction was executed in multiple trades at prices ranging from $256.03 to $256.94. The price reported above reflects the weighted average sale price. The Reporting Person hereby undertakes to provide to the SEC staff, the Issuer or a security holder of the Issuer, upon request, full information regarding the number of shares and prices at which the transaction was effected.</w:t>
      </w:r>
    </w:p>
    <w:p>
      <w:pPr>
        <w:ind w:left="40" w:right="280" w:firstLine="7"/>
        <w:spacing w:after="0" w:line="301" w:lineRule="auto"/>
        <w:tabs>
          <w:tab w:leader="none" w:pos="17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This transaction was executed in multiple trades at prices ranging from $257.54 to $257.94. The price reported above reflects the weighted average sale price. The Reporting Person hereby undertakes to provide to the SEC staff, the Issuer or a security holder of the Issuer, upon request, full information regarding the number of shares and prices at which the transaction was effected.</w:t>
      </w:r>
    </w:p>
    <w:p>
      <w:pPr>
        <w:ind w:left="40" w:right="280" w:firstLine="7"/>
        <w:spacing w:after="0" w:line="301" w:lineRule="auto"/>
        <w:tabs>
          <w:tab w:leader="none" w:pos="17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This transaction was executed in multiple trades at prices ranging from $258.02 to $258.94. The price reported above reflects the weighted average sale price. The Reporting Person hereby undertakes to provide to the SEC staff, the Issuer or a security holder of the Issuer, upon request, full information regarding the number of shares and prices at which the transaction was effected.</w:t>
      </w:r>
    </w:p>
    <w:p>
      <w:pPr>
        <w:ind w:left="40" w:right="280" w:firstLine="7"/>
        <w:spacing w:after="0" w:line="301" w:lineRule="auto"/>
        <w:tabs>
          <w:tab w:leader="none" w:pos="17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This transaction was executed in multiple trades at prices ranging from $259.04 to $259.95. The price reported above reflects the weighted average sale price. The Reporting Person hereby undertakes to provide to the SEC staff, the Issuer or a security holder of the Issuer, upon request, full information regarding the number of shares and prices at which the transaction was effected.</w:t>
      </w:r>
    </w:p>
    <w:p>
      <w:pPr>
        <w:ind w:left="40" w:right="280" w:firstLine="7"/>
        <w:spacing w:after="0" w:line="301" w:lineRule="auto"/>
        <w:tabs>
          <w:tab w:leader="none" w:pos="17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This transaction was executed in multiple trades at prices ranging from $260.00 to $260.90. The price reported above reflects the weighted average sale price. The Reporting Person hereby undertakes to provide to the SEC staff, the Issuer or a security holder of the Issuer, upon request, full information regarding the number of shares and prices at which the transaction was effected.</w:t>
      </w:r>
    </w:p>
    <w:p>
      <w:pPr>
        <w:ind w:left="40" w:right="280" w:firstLine="7"/>
        <w:spacing w:after="0" w:line="301" w:lineRule="auto"/>
        <w:tabs>
          <w:tab w:leader="none" w:pos="17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This transaction was executed in multiple trades at prices ranging from $261.15 to $261.77. The price reported above reflects the weighted average sale price. The Reporting Person hereby undertakes to provide to the SEC staff, the Issuer or a security holder of the Issuer, upon request, full information regarding the number of shares and prices at which the transaction was effected.</w:t>
      </w:r>
    </w:p>
    <w:p>
      <w:pPr>
        <w:ind w:left="40" w:right="280" w:firstLine="7"/>
        <w:spacing w:after="0" w:line="292" w:lineRule="auto"/>
        <w:tabs>
          <w:tab w:leader="none" w:pos="17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This transaction was executed in multiple trades at prices ranging from $263.54 to $263.59. The price reported above reflects the weighted average sale price. The Reporting Person hereby undertakes to provide to the SEC staff, the Issuer or a security holder of the Issuer, upon request, full information regarding the number of shares and prices at which the transaction was effected.</w:t>
      </w:r>
    </w:p>
    <w:p>
      <w:pPr>
        <w:sectPr>
          <w:pgSz w:w="11900" w:h="16838" w:orient="portrait"/>
          <w:cols w:equalWidth="0" w:num="1">
            <w:col w:w="11080"/>
          </w:cols>
          <w:pgMar w:left="460" w:top="225" w:right="359" w:bottom="0" w:gutter="0" w:footer="0" w:header="0"/>
          <w:type w:val="continuous"/>
        </w:sectPr>
      </w:pP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ectPr>
          <w:pgSz w:w="11900" w:h="16838" w:orient="portrait"/>
          <w:cols w:equalWidth="0" w:num="1">
            <w:col w:w="11080"/>
          </w:cols>
          <w:pgMar w:left="460" w:top="225" w:right="359" w:bottom="0" w:gutter="0" w:footer="0" w:header="0"/>
          <w:type w:val="continuous"/>
        </w:sectPr>
      </w:pPr>
    </w:p>
    <w:bookmarkStart w:id="1" w:name="page2"/>
    <w:bookmarkEnd w:id="1"/>
    <w:tbl>
      <w:tblPr>
        <w:tblLayout w:type="fixed"/>
        <w:tblInd w:w="65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16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7"/>
              </w:rPr>
              <w:t>/s/ Johanna Roberts, as</w:t>
            </w:r>
          </w:p>
        </w:tc>
        <w:tc>
          <w:tcPr>
            <w:tcW w:w="480" w:type="dxa"/>
            <w:vAlign w:val="bottom"/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02/03/2021</w:t>
            </w:r>
          </w:p>
        </w:tc>
      </w:tr>
      <w:tr>
        <w:trPr>
          <w:trHeight w:val="193"/>
        </w:trPr>
        <w:tc>
          <w:tcPr>
            <w:tcW w:w="2080" w:type="dxa"/>
            <w:vAlign w:val="bottom"/>
            <w:gridSpan w:val="4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attorney-in-fact for Arani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3"/>
        </w:trPr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7"/>
              </w:rPr>
              <w:t>Bose</w:t>
            </w:r>
          </w:p>
        </w:tc>
        <w:tc>
          <w:tcPr>
            <w:tcW w:w="140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33"/>
        </w:trPr>
        <w:tc>
          <w:tcPr>
            <w:tcW w:w="20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</w:tr>
    </w:tbl>
    <w:p>
      <w:pPr>
        <w:spacing w:after="0" w:line="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jc w:val="both"/>
        <w:ind w:right="2480" w:firstLine="7"/>
        <w:spacing w:after="0" w:line="319" w:lineRule="auto"/>
        <w:tabs>
          <w:tab w:leader="none" w:pos="141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0180"/>
      </w:cols>
      <w:pgMar w:left="500" w:top="117" w:right="121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3" Type="http://schemas.openxmlformats.org/officeDocument/2006/relationships/hyperlink" Target="http://www.sec.gov/cgi-bin/browse-edgar?action=getcompany&amp;CIK=0001651318" TargetMode="External"/><Relationship Id="rId14" Type="http://schemas.openxmlformats.org/officeDocument/2006/relationships/hyperlink" Target="http://www.sec.gov/cgi-bin/browse-edgar?action=getcompany&amp;CIK=0001321732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2021-02-03T18:23:54Z</dcterms:created>
  <dcterms:modified xsi:type="dcterms:W3CDTF">2021-02-03T18:23:54Z</dcterms:modified>
</cp:coreProperties>
</file>