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6219644755162.xml.htm"/>
      <w:bookmarkStart w:id="1" w:name="kswfform4_156219644755162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O'Rourke Bridget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07/01/2019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55"/>
        <w:gridCol w:w="905"/>
        <w:gridCol w:w="774"/>
        <w:gridCol w:w="601"/>
        <w:gridCol w:w="348"/>
        <w:gridCol w:w="802"/>
        <w:gridCol w:w="453"/>
        <w:gridCol w:w="884"/>
        <w:gridCol w:w="1161"/>
        <w:gridCol w:w="997"/>
        <w:gridCol w:w="925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5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3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5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07/01/2019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73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159.94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3,351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07/01/2019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102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161.19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3,249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were effected pursuant to the Reporting Person's Rule 10b5-1 trading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A portion of these shares is subject to vesting.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This transaction was executed in multiple trades at prices ranging from $161 to $161.19.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Emma J. Purdy, as attorney-in-fact for Bridget O'Rourke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07/03/2019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704713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</Pages>
  <Words>613</Words>
  <CharactersWithSpaces>3859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