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wf-form4_156047195303281.xml.htm"/>
      <w:bookmarkStart w:id="1" w:name="kswfform4_156047195303281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Elsesser Adam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ONE PENUMBRA PLACE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ALAMEDA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94502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Penumbra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PEN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/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Chairman, CEO and President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06/11/2019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268"/>
        <w:gridCol w:w="902"/>
        <w:gridCol w:w="772"/>
        <w:gridCol w:w="599"/>
        <w:gridCol w:w="344"/>
        <w:gridCol w:w="832"/>
        <w:gridCol w:w="443"/>
        <w:gridCol w:w="880"/>
        <w:gridCol w:w="1264"/>
        <w:gridCol w:w="984"/>
        <w:gridCol w:w="917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268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15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26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8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1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268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2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26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06/11/2019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1,600</w:t>
            </w:r>
          </w:p>
        </w:tc>
        <w:tc>
          <w:tcPr>
            <w:tcW w:w="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162.83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1,104,382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</w:tr>
      <w:tr>
        <w:trPr/>
        <w:tc>
          <w:tcPr>
            <w:tcW w:w="226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06/11/2019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900</w:t>
            </w:r>
          </w:p>
        </w:tc>
        <w:tc>
          <w:tcPr>
            <w:tcW w:w="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164.15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  <w:tc>
          <w:tcPr>
            <w:tcW w:w="1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1,103,482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</w:tr>
      <w:tr>
        <w:trPr/>
        <w:tc>
          <w:tcPr>
            <w:tcW w:w="226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06/11/2019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3,204</w:t>
            </w:r>
          </w:p>
        </w:tc>
        <w:tc>
          <w:tcPr>
            <w:tcW w:w="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165.05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(5)</w:t>
            </w:r>
            <w:r>
              <w:rPr/>
              <w:t xml:space="preserve"> </w:t>
            </w:r>
          </w:p>
        </w:tc>
        <w:tc>
          <w:tcPr>
            <w:tcW w:w="1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1,100,278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</w:tr>
      <w:tr>
        <w:trPr/>
        <w:tc>
          <w:tcPr>
            <w:tcW w:w="226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06/11/2019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996</w:t>
            </w:r>
          </w:p>
        </w:tc>
        <w:tc>
          <w:tcPr>
            <w:tcW w:w="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165.87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(6)</w:t>
            </w:r>
            <w:r>
              <w:rPr/>
              <w:t xml:space="preserve"> </w:t>
            </w:r>
          </w:p>
        </w:tc>
        <w:tc>
          <w:tcPr>
            <w:tcW w:w="1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1,099,282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</w:tr>
      <w:tr>
        <w:trPr/>
        <w:tc>
          <w:tcPr>
            <w:tcW w:w="226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06/11/2019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100</w:t>
            </w:r>
          </w:p>
        </w:tc>
        <w:tc>
          <w:tcPr>
            <w:tcW w:w="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167</w:t>
            </w:r>
            <w:r>
              <w:rPr/>
              <w:t xml:space="preserve"> </w:t>
            </w:r>
          </w:p>
        </w:tc>
        <w:tc>
          <w:tcPr>
            <w:tcW w:w="1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1,099,182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</w:tr>
      <w:tr>
        <w:trPr/>
        <w:tc>
          <w:tcPr>
            <w:tcW w:w="226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06/11/2019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800</w:t>
            </w:r>
          </w:p>
        </w:tc>
        <w:tc>
          <w:tcPr>
            <w:tcW w:w="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167.77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(7)</w:t>
            </w:r>
            <w:r>
              <w:rPr/>
              <w:t xml:space="preserve"> </w:t>
            </w:r>
          </w:p>
        </w:tc>
        <w:tc>
          <w:tcPr>
            <w:tcW w:w="1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1,098,382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</w:tr>
      <w:tr>
        <w:trPr/>
        <w:tc>
          <w:tcPr>
            <w:tcW w:w="226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06/11/2019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400</w:t>
            </w:r>
          </w:p>
        </w:tc>
        <w:tc>
          <w:tcPr>
            <w:tcW w:w="4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168.61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(8)</w:t>
            </w:r>
            <w:r>
              <w:rPr/>
              <w:t xml:space="preserve"> </w:t>
            </w:r>
          </w:p>
        </w:tc>
        <w:tc>
          <w:tcPr>
            <w:tcW w:w="12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1,097,982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sales were effected pursuant to the Reporting Person's Rule 10b5-1 trading plan.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This transaction was executed in multiple trades at prices ranging from $162.43 to $163.22.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Shares are held by the Siegel/Elsesser Revocable Trust.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4. This transaction was executed in multiple trades at prices ranging from $163.53 to $164.37.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5. This transaction was executed in multiple trades at prices ranging from $164.48 to $165.37.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6. This transaction was executed in multiple trades at prices ranging from $165.48 to $166.37.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7. This transaction was executed in multiple trades at prices ranging from $167.58 to $168.19.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8. This transaction was executed in multiple trades at prices ranging from $168.53 to $168.77.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Johanna Roberts, as attorney-in-fact for Adam Elsesser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06/13/2019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651323" TargetMode="External"/><Relationship Id="rId4" Type="http://schemas.openxmlformats.org/officeDocument/2006/relationships/hyperlink" Target="http://www.sec.gov/cgi-bin/browse-edgar?action=getcompany&amp;CIK=000132173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984</Words>
  <CharactersWithSpaces>6166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