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_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Penumbra,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70975L107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70975L107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1,715,102</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2,061,247</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2,061,247</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5.97%</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70975L107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1,715,102</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2,061,247</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2,061,247</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5.97%</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70975L107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1,715,102</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2,061,247</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2,061,247</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5.97%</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70975L107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1,691,469</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1,979,455</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1,979,455</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5.74%</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IA</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right="8080" w:hanging="407"/>
        <w:spacing w:after="0" w:line="335" w:lineRule="auto"/>
        <w:tabs>
          <w:tab w:leader="none" w:pos="178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Issuer </w:t>
      </w:r>
      <w:r>
        <w:rPr>
          <w:rFonts w:ascii="Arial" w:cs="Arial" w:eastAsia="Arial" w:hAnsi="Arial"/>
          <w:sz w:val="19"/>
          <w:szCs w:val="19"/>
          <w:color w:val="auto"/>
        </w:rPr>
        <w:t>Penumbra, Inc.</w:t>
      </w:r>
    </w:p>
    <w:p>
      <w:pPr>
        <w:spacing w:after="0" w:line="11" w:lineRule="exact"/>
        <w:rPr>
          <w:rFonts w:ascii="Arial" w:cs="Arial" w:eastAsia="Arial" w:hAnsi="Arial"/>
          <w:sz w:val="19"/>
          <w:szCs w:val="19"/>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One Penumbra Place</w:t>
      </w: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Alameda, CA 94502</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3"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3"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70975L107</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Group LLP - HC</w:t>
      </w:r>
    </w:p>
    <w:p>
      <w:pPr>
        <w:ind w:left="1380"/>
        <w:spacing w:after="0" w:line="238" w:lineRule="auto"/>
        <w:rPr>
          <w:sz w:val="20"/>
          <w:szCs w:val="20"/>
          <w:color w:val="auto"/>
        </w:rPr>
      </w:pPr>
      <w:r>
        <w:rPr>
          <w:rFonts w:ascii="Arial" w:cs="Arial" w:eastAsia="Arial" w:hAnsi="Arial"/>
          <w:sz w:val="22"/>
          <w:szCs w:val="22"/>
          <w:color w:val="auto"/>
        </w:rPr>
        <w:t>Wellington Group Holdings LLP - HC</w:t>
      </w:r>
    </w:p>
    <w:p>
      <w:pPr>
        <w:ind w:left="138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11 on the attached cover pages.</w:t>
      </w:r>
    </w:p>
    <w:p>
      <w:pPr>
        <w:sectPr>
          <w:pgSz w:w="11900" w:h="16838" w:orient="portrait"/>
          <w:cols w:equalWidth="0" w:num="1">
            <w:col w:w="11260"/>
          </w:cols>
          <w:pgMar w:left="320" w:top="409" w:right="319" w:bottom="0" w:gutter="0" w:footer="0" w:header="0"/>
        </w:sectPr>
      </w:pPr>
    </w:p>
    <w:bookmarkStart w:id="6" w:name="page7"/>
    <w:bookmarkEnd w:id="6"/>
    <w:p>
      <w:pPr>
        <w:ind w:left="1780" w:hanging="407"/>
        <w:spacing w:after="0"/>
        <w:tabs>
          <w:tab w:leader="none" w:pos="1780" w:val="left"/>
        </w:tabs>
        <w:numPr>
          <w:ilvl w:val="0"/>
          <w:numId w:val="6"/>
        </w:numPr>
        <w:rPr>
          <w:rFonts w:ascii="Arial" w:cs="Arial" w:eastAsia="Arial" w:hAnsi="Arial"/>
          <w:sz w:val="19"/>
          <w:szCs w:val="19"/>
          <w:color w:val="auto"/>
        </w:rPr>
      </w:pPr>
      <w:r>
        <w:rPr>
          <w:rFonts w:ascii="Arial" w:cs="Arial" w:eastAsia="Arial" w:hAnsi="Arial"/>
          <w:sz w:val="19"/>
          <w:szCs w:val="19"/>
          <w:color w:val="auto"/>
        </w:rPr>
        <w:t>Number of shares as to which such person has:</w:t>
      </w:r>
    </w:p>
    <w:p>
      <w:pPr>
        <w:spacing w:after="0" w:line="160" w:lineRule="exact"/>
        <w:rPr>
          <w:rFonts w:ascii="Arial" w:cs="Arial" w:eastAsia="Arial" w:hAnsi="Arial"/>
          <w:sz w:val="19"/>
          <w:szCs w:val="19"/>
          <w:color w:val="auto"/>
        </w:rPr>
      </w:pPr>
    </w:p>
    <w:p>
      <w:pPr>
        <w:ind w:left="2240" w:hanging="462"/>
        <w:spacing w:after="0"/>
        <w:tabs>
          <w:tab w:leader="none" w:pos="2240" w:val="left"/>
        </w:tabs>
        <w:numPr>
          <w:ilvl w:val="1"/>
          <w:numId w:val="6"/>
        </w:numPr>
        <w:rPr>
          <w:rFonts w:ascii="Arial" w:cs="Arial" w:eastAsia="Arial" w:hAnsi="Arial"/>
          <w:sz w:val="21"/>
          <w:szCs w:val="21"/>
          <w:color w:val="auto"/>
        </w:rPr>
      </w:pPr>
      <w:r>
        <w:rPr>
          <w:rFonts w:ascii="Arial" w:cs="Arial" w:eastAsia="Arial" w:hAnsi="Arial"/>
          <w:sz w:val="21"/>
          <w:szCs w:val="21"/>
          <w:color w:val="auto"/>
        </w:rPr>
        <w:t>sole power to vote or to direct the vote</w:t>
      </w:r>
    </w:p>
    <w:p>
      <w:pPr>
        <w:spacing w:after="0" w:line="258" w:lineRule="exact"/>
        <w:rPr>
          <w:rFonts w:ascii="Arial" w:cs="Arial" w:eastAsia="Arial" w:hAnsi="Arial"/>
          <w:sz w:val="21"/>
          <w:szCs w:val="21"/>
          <w:color w:val="auto"/>
        </w:rPr>
      </w:pPr>
    </w:p>
    <w:p>
      <w:pPr>
        <w:ind w:left="2240" w:hanging="462"/>
        <w:spacing w:after="0"/>
        <w:tabs>
          <w:tab w:leader="none" w:pos="2240" w:val="left"/>
        </w:tabs>
        <w:numPr>
          <w:ilvl w:val="1"/>
          <w:numId w:val="6"/>
        </w:numPr>
        <w:rPr>
          <w:rFonts w:ascii="Arial" w:cs="Arial" w:eastAsia="Arial" w:hAnsi="Arial"/>
          <w:sz w:val="19"/>
          <w:szCs w:val="19"/>
          <w:color w:val="auto"/>
        </w:rPr>
      </w:pPr>
      <w:r>
        <w:rPr>
          <w:rFonts w:ascii="Arial" w:cs="Arial" w:eastAsia="Arial" w:hAnsi="Arial"/>
          <w:sz w:val="19"/>
          <w:szCs w:val="19"/>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320"/>
        <w:spacing w:after="0" w:line="245" w:lineRule="auto"/>
        <w:rPr>
          <w:sz w:val="20"/>
          <w:szCs w:val="20"/>
          <w:color w:val="auto"/>
        </w:rPr>
      </w:pPr>
      <w:r>
        <w:rPr>
          <w:rFonts w:ascii="Arial" w:cs="Arial" w:eastAsia="Arial" w:hAnsi="Arial"/>
          <w:sz w:val="22"/>
          <w:szCs w:val="22"/>
          <w:color w:val="auto"/>
        </w:rPr>
        <w:t>See the responses to Item 6 on the attached cover pages.</w:t>
      </w:r>
    </w:p>
    <w:p>
      <w:pPr>
        <w:spacing w:after="0" w:line="59" w:lineRule="exact"/>
        <w:rPr>
          <w:sz w:val="20"/>
          <w:szCs w:val="20"/>
          <w:color w:val="auto"/>
        </w:rPr>
      </w:pPr>
    </w:p>
    <w:p>
      <w:pPr>
        <w:sectPr>
          <w:pgSz w:w="11900" w:h="16838" w:orient="portrait"/>
          <w:cols w:equalWidth="0" w:num="2">
            <w:col w:w="5980" w:space="720"/>
            <w:col w:w="4560"/>
          </w:cols>
          <w:pgMar w:left="320" w:top="118" w:right="319" w:bottom="0" w:gutter="0" w:footer="0" w:header="0"/>
        </w:sectPr>
      </w:pPr>
    </w:p>
    <w:p>
      <w:pPr>
        <w:ind w:left="2240" w:hanging="462"/>
        <w:spacing w:after="0"/>
        <w:tabs>
          <w:tab w:leader="none" w:pos="2240" w:val="left"/>
        </w:tabs>
        <w:numPr>
          <w:ilvl w:val="0"/>
          <w:numId w:val="7"/>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2240" w:right="780" w:hanging="462"/>
        <w:spacing w:after="0" w:line="183" w:lineRule="auto"/>
        <w:tabs>
          <w:tab w:leader="none" w:pos="224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6420" w:space="280"/>
            <w:col w:w="4560"/>
          </w:cols>
          <w:pgMar w:left="320" w:top="118" w:right="31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2019</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2019</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bl>
    <w:p>
      <w:pPr>
        <w:sectPr>
          <w:pgSz w:w="11900" w:h="16838" w:orient="portrait"/>
          <w:cols w:equalWidth="0" w:num="1">
            <w:col w:w="11260"/>
          </w:cols>
          <w:pgMar w:left="320" w:top="118" w:right="319" w:bottom="0" w:gutter="0" w:footer="0" w:header="0"/>
          <w:type w:val="continuous"/>
        </w:sectPr>
      </w:pPr>
    </w:p>
    <w:bookmarkStart w:id="7" w:name="page8"/>
    <w:bookmarkEnd w:id="7"/>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356870</wp:posOffset>
            </wp:positionV>
            <wp:extent cx="581850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Penumbra,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ectPr>
          <w:pgSz w:w="11900" w:h="16838" w:orient="portrait"/>
          <w:cols w:equalWidth="0" w:num="1">
            <w:col w:w="9020"/>
          </w:cols>
          <w:pgMar w:left="1440" w:top="118" w:right="1439" w:bottom="0" w:gutter="0" w:footer="0" w:header="0"/>
        </w:sectPr>
      </w:pPr>
    </w:p>
    <w:bookmarkStart w:id="8" w:name="page9"/>
    <w:bookmarkEnd w:id="8"/>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2019</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2020-01-09T19:56:44Z</dcterms:created>
  <dcterms:modified xsi:type="dcterms:W3CDTF">2020-01-09T19:56:44Z</dcterms:modified>
</cp:coreProperties>
</file>