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8-A</w:t>
      </w:r>
    </w:p>
    <w:p>
      <w:pPr>
        <w:spacing w:after="0" w:line="226" w:lineRule="exact"/>
        <w:rPr>
          <w:sz w:val="24"/>
          <w:szCs w:val="24"/>
          <w:color w:val="auto"/>
        </w:rPr>
      </w:pPr>
    </w:p>
    <w:p>
      <w:pPr>
        <w:jc w:val="center"/>
        <w:ind w:left="320" w:right="2480"/>
        <w:spacing w:after="0" w:line="243" w:lineRule="auto"/>
        <w:rPr>
          <w:sz w:val="20"/>
          <w:szCs w:val="20"/>
          <w:color w:val="auto"/>
        </w:rPr>
      </w:pPr>
      <w:r>
        <w:rPr>
          <w:rFonts w:ascii="Arial" w:cs="Arial" w:eastAsia="Arial" w:hAnsi="Arial"/>
          <w:sz w:val="22"/>
          <w:szCs w:val="22"/>
          <w:b w:val="1"/>
          <w:bCs w:val="1"/>
          <w:color w:val="auto"/>
        </w:rPr>
        <w:t>FOR REGISTRATION OF CERTAIN CLASSES OF SECURITIES PURSUANT TO SECTION 12(b) OR 12(g)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215265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6"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PENUMBRA, INC.</w:t>
      </w:r>
    </w:p>
    <w:p>
      <w:pPr>
        <w:spacing w:after="0" w:line="50"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220" w:type="dxa"/>
        <w:tblCellMar>
          <w:top w:w="0" w:type="dxa"/>
          <w:left w:w="0" w:type="dxa"/>
          <w:bottom w:w="0" w:type="dxa"/>
          <w:right w:w="0" w:type="dxa"/>
        </w:tblCellMar>
      </w:tblPr>
      <w:tr>
        <w:trPr>
          <w:trHeight w:val="212"/>
        </w:trPr>
        <w:tc>
          <w:tcPr>
            <w:tcW w:w="1060" w:type="dxa"/>
            <w:vAlign w:val="bottom"/>
          </w:tcPr>
          <w:p>
            <w:pPr>
              <w:spacing w:after="0"/>
              <w:rPr>
                <w:sz w:val="18"/>
                <w:szCs w:val="18"/>
                <w:color w:val="auto"/>
              </w:rPr>
            </w:pPr>
          </w:p>
        </w:tc>
        <w:tc>
          <w:tcPr>
            <w:tcW w:w="5160" w:type="dxa"/>
            <w:vAlign w:val="bottom"/>
            <w:gridSpan w:val="2"/>
          </w:tcPr>
          <w:p>
            <w:pPr>
              <w:jc w:val="center"/>
              <w:ind w:right="3914"/>
              <w:spacing w:after="0"/>
              <w:rPr>
                <w:sz w:val="20"/>
                <w:szCs w:val="20"/>
                <w:color w:val="auto"/>
              </w:rPr>
            </w:pPr>
            <w:r>
              <w:rPr>
                <w:rFonts w:ascii="Arial" w:cs="Arial" w:eastAsia="Arial" w:hAnsi="Arial"/>
                <w:sz w:val="18"/>
                <w:szCs w:val="18"/>
                <w:b w:val="1"/>
                <w:bCs w:val="1"/>
                <w:color w:val="auto"/>
                <w:w w:val="91"/>
              </w:rPr>
              <w:t>Delaware</w:t>
            </w:r>
          </w:p>
        </w:tc>
        <w:tc>
          <w:tcPr>
            <w:tcW w:w="2300" w:type="dxa"/>
            <w:vAlign w:val="bottom"/>
            <w:gridSpan w:val="2"/>
          </w:tcPr>
          <w:p>
            <w:pPr>
              <w:jc w:val="center"/>
              <w:ind w:left="96"/>
              <w:spacing w:after="0"/>
              <w:rPr>
                <w:sz w:val="20"/>
                <w:szCs w:val="20"/>
                <w:color w:val="auto"/>
              </w:rPr>
            </w:pPr>
            <w:r>
              <w:rPr>
                <w:rFonts w:ascii="Arial" w:cs="Arial" w:eastAsia="Arial" w:hAnsi="Arial"/>
                <w:sz w:val="18"/>
                <w:szCs w:val="18"/>
                <w:b w:val="1"/>
                <w:bCs w:val="1"/>
                <w:color w:val="auto"/>
                <w:w w:val="91"/>
              </w:rPr>
              <w:t>05-0605598</w:t>
            </w:r>
          </w:p>
        </w:tc>
        <w:tc>
          <w:tcPr>
            <w:tcW w:w="120" w:type="dxa"/>
            <w:vAlign w:val="bottom"/>
          </w:tcPr>
          <w:p>
            <w:pPr>
              <w:spacing w:after="0"/>
              <w:rPr>
                <w:sz w:val="18"/>
                <w:szCs w:val="18"/>
                <w:color w:val="auto"/>
              </w:rPr>
            </w:pPr>
          </w:p>
        </w:tc>
      </w:tr>
      <w:tr>
        <w:trPr>
          <w:trHeight w:val="186"/>
        </w:trPr>
        <w:tc>
          <w:tcPr>
            <w:tcW w:w="6220" w:type="dxa"/>
            <w:vAlign w:val="bottom"/>
            <w:gridSpan w:val="3"/>
          </w:tcPr>
          <w:p>
            <w:pPr>
              <w:jc w:val="center"/>
              <w:ind w:right="2854"/>
              <w:spacing w:after="0"/>
              <w:rPr>
                <w:sz w:val="20"/>
                <w:szCs w:val="20"/>
                <w:color w:val="auto"/>
              </w:rPr>
            </w:pPr>
            <w:r>
              <w:rPr>
                <w:rFonts w:ascii="Arial" w:cs="Arial" w:eastAsia="Arial" w:hAnsi="Arial"/>
                <w:sz w:val="14"/>
                <w:szCs w:val="14"/>
                <w:b w:val="1"/>
                <w:bCs w:val="1"/>
                <w:color w:val="auto"/>
                <w:w w:val="94"/>
              </w:rPr>
              <w:t>(State of Incorporation or Organization)</w:t>
            </w:r>
          </w:p>
        </w:tc>
        <w:tc>
          <w:tcPr>
            <w:tcW w:w="2420" w:type="dxa"/>
            <w:vAlign w:val="bottom"/>
            <w:gridSpan w:val="3"/>
          </w:tcPr>
          <w:p>
            <w:pPr>
              <w:jc w:val="center"/>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399"/>
        </w:trPr>
        <w:tc>
          <w:tcPr>
            <w:tcW w:w="1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00" w:type="dxa"/>
            <w:vAlign w:val="bottom"/>
          </w:tcPr>
          <w:p>
            <w:pPr>
              <w:jc w:val="center"/>
              <w:ind w:left="454"/>
              <w:spacing w:after="0"/>
              <w:rPr>
                <w:sz w:val="20"/>
                <w:szCs w:val="20"/>
                <w:color w:val="auto"/>
              </w:rPr>
            </w:pPr>
            <w:r>
              <w:rPr>
                <w:rFonts w:ascii="Arial" w:cs="Arial" w:eastAsia="Arial" w:hAnsi="Arial"/>
                <w:sz w:val="18"/>
                <w:szCs w:val="18"/>
                <w:b w:val="1"/>
                <w:bCs w:val="1"/>
                <w:color w:val="auto"/>
                <w:w w:val="89"/>
              </w:rPr>
              <w:t>One Penumbra Place</w:t>
            </w:r>
          </w:p>
        </w:tc>
        <w:tc>
          <w:tcPr>
            <w:tcW w:w="18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16"/>
        </w:trPr>
        <w:tc>
          <w:tcPr>
            <w:tcW w:w="10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4000" w:type="dxa"/>
            <w:vAlign w:val="bottom"/>
          </w:tcPr>
          <w:p>
            <w:pPr>
              <w:jc w:val="center"/>
              <w:ind w:left="454"/>
              <w:spacing w:after="0"/>
              <w:rPr>
                <w:sz w:val="20"/>
                <w:szCs w:val="20"/>
                <w:color w:val="auto"/>
              </w:rPr>
            </w:pPr>
            <w:r>
              <w:rPr>
                <w:rFonts w:ascii="Arial" w:cs="Arial" w:eastAsia="Arial" w:hAnsi="Arial"/>
                <w:sz w:val="18"/>
                <w:szCs w:val="18"/>
                <w:b w:val="1"/>
                <w:bCs w:val="1"/>
                <w:color w:val="auto"/>
                <w:w w:val="93"/>
              </w:rPr>
              <w:t>1351 Harbor Bay Parkway</w:t>
            </w:r>
          </w:p>
        </w:tc>
        <w:tc>
          <w:tcPr>
            <w:tcW w:w="18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2"/>
        </w:trPr>
        <w:tc>
          <w:tcPr>
            <w:tcW w:w="10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4000" w:type="dxa"/>
            <w:vAlign w:val="bottom"/>
          </w:tcPr>
          <w:p>
            <w:pPr>
              <w:jc w:val="center"/>
              <w:ind w:left="454"/>
              <w:spacing w:after="0"/>
              <w:rPr>
                <w:sz w:val="20"/>
                <w:szCs w:val="20"/>
                <w:color w:val="auto"/>
              </w:rPr>
            </w:pPr>
            <w:r>
              <w:rPr>
                <w:rFonts w:ascii="Arial" w:cs="Arial" w:eastAsia="Arial" w:hAnsi="Arial"/>
                <w:sz w:val="18"/>
                <w:szCs w:val="18"/>
                <w:b w:val="1"/>
                <w:bCs w:val="1"/>
                <w:color w:val="auto"/>
                <w:w w:val="92"/>
              </w:rPr>
              <w:t>Alameda, CA 94502</w:t>
            </w:r>
          </w:p>
        </w:tc>
        <w:tc>
          <w:tcPr>
            <w:tcW w:w="18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186"/>
        </w:trPr>
        <w:tc>
          <w:tcPr>
            <w:tcW w:w="10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4000" w:type="dxa"/>
            <w:vAlign w:val="bottom"/>
          </w:tcPr>
          <w:p>
            <w:pPr>
              <w:jc w:val="center"/>
              <w:ind w:left="454"/>
              <w:spacing w:after="0"/>
              <w:rPr>
                <w:sz w:val="20"/>
                <w:szCs w:val="20"/>
                <w:color w:val="auto"/>
              </w:rPr>
            </w:pPr>
            <w:r>
              <w:rPr>
                <w:rFonts w:ascii="Arial" w:cs="Arial" w:eastAsia="Arial" w:hAnsi="Arial"/>
                <w:sz w:val="14"/>
                <w:szCs w:val="14"/>
                <w:b w:val="1"/>
                <w:bCs w:val="1"/>
                <w:color w:val="auto"/>
                <w:w w:val="93"/>
              </w:rPr>
              <w:t>(Address of Principal Executive Offices and Zip Code)</w:t>
            </w:r>
          </w:p>
        </w:tc>
        <w:tc>
          <w:tcPr>
            <w:tcW w:w="18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417"/>
        </w:trPr>
        <w:tc>
          <w:tcPr>
            <w:tcW w:w="1060" w:type="dxa"/>
            <w:vAlign w:val="bottom"/>
          </w:tcPr>
          <w:p>
            <w:pPr>
              <w:spacing w:after="0"/>
              <w:rPr>
                <w:sz w:val="24"/>
                <w:szCs w:val="24"/>
                <w:color w:val="auto"/>
              </w:rPr>
            </w:pPr>
          </w:p>
        </w:tc>
        <w:tc>
          <w:tcPr>
            <w:tcW w:w="7580" w:type="dxa"/>
            <w:vAlign w:val="bottom"/>
            <w:gridSpan w:val="5"/>
          </w:tcPr>
          <w:p>
            <w:pPr>
              <w:jc w:val="center"/>
              <w:ind w:right="720"/>
              <w:spacing w:after="0"/>
              <w:rPr>
                <w:sz w:val="20"/>
                <w:szCs w:val="20"/>
                <w:color w:val="auto"/>
              </w:rPr>
            </w:pPr>
            <w:r>
              <w:rPr>
                <w:rFonts w:ascii="Arial" w:cs="Arial" w:eastAsia="Arial" w:hAnsi="Arial"/>
                <w:sz w:val="18"/>
                <w:szCs w:val="18"/>
                <w:b w:val="1"/>
                <w:bCs w:val="1"/>
                <w:color w:val="auto"/>
                <w:w w:val="88"/>
              </w:rPr>
              <w:t>Securities to be registered pursuant to Section 12(b) of the Act:</w:t>
            </w:r>
          </w:p>
        </w:tc>
      </w:tr>
      <w:tr>
        <w:trPr>
          <w:trHeight w:val="369"/>
        </w:trPr>
        <w:tc>
          <w:tcPr>
            <w:tcW w:w="1060" w:type="dxa"/>
            <w:vAlign w:val="bottom"/>
          </w:tcPr>
          <w:p>
            <w:pPr>
              <w:spacing w:after="0"/>
              <w:rPr>
                <w:sz w:val="24"/>
                <w:szCs w:val="24"/>
                <w:color w:val="auto"/>
              </w:rPr>
            </w:pPr>
          </w:p>
        </w:tc>
        <w:tc>
          <w:tcPr>
            <w:tcW w:w="5160" w:type="dxa"/>
            <w:vAlign w:val="bottom"/>
            <w:gridSpan w:val="2"/>
          </w:tcPr>
          <w:p>
            <w:pPr>
              <w:jc w:val="center"/>
              <w:ind w:right="3914"/>
              <w:spacing w:after="0"/>
              <w:rPr>
                <w:sz w:val="20"/>
                <w:szCs w:val="20"/>
                <w:color w:val="auto"/>
              </w:rPr>
            </w:pPr>
            <w:r>
              <w:rPr>
                <w:rFonts w:ascii="Arial" w:cs="Arial" w:eastAsia="Arial" w:hAnsi="Arial"/>
                <w:sz w:val="14"/>
                <w:szCs w:val="14"/>
                <w:b w:val="1"/>
                <w:bCs w:val="1"/>
                <w:color w:val="auto"/>
                <w:w w:val="93"/>
              </w:rPr>
              <w:t>Title of Each Class</w:t>
            </w:r>
          </w:p>
        </w:tc>
        <w:tc>
          <w:tcPr>
            <w:tcW w:w="180" w:type="dxa"/>
            <w:vAlign w:val="bottom"/>
          </w:tcPr>
          <w:p>
            <w:pPr>
              <w:spacing w:after="0"/>
              <w:rPr>
                <w:sz w:val="24"/>
                <w:szCs w:val="24"/>
                <w:color w:val="auto"/>
              </w:rPr>
            </w:pPr>
          </w:p>
        </w:tc>
        <w:tc>
          <w:tcPr>
            <w:tcW w:w="22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Name of Each Exchange on Which</w:t>
            </w:r>
          </w:p>
        </w:tc>
      </w:tr>
      <w:tr>
        <w:trPr>
          <w:trHeight w:val="171"/>
        </w:trPr>
        <w:tc>
          <w:tcPr>
            <w:tcW w:w="1060" w:type="dxa"/>
            <w:vAlign w:val="bottom"/>
          </w:tcPr>
          <w:p>
            <w:pPr>
              <w:spacing w:after="0"/>
              <w:rPr>
                <w:sz w:val="14"/>
                <w:szCs w:val="14"/>
                <w:color w:val="auto"/>
              </w:rPr>
            </w:pPr>
          </w:p>
        </w:tc>
        <w:tc>
          <w:tcPr>
            <w:tcW w:w="5160" w:type="dxa"/>
            <w:vAlign w:val="bottom"/>
            <w:gridSpan w:val="2"/>
          </w:tcPr>
          <w:p>
            <w:pPr>
              <w:jc w:val="center"/>
              <w:ind w:right="3914"/>
              <w:spacing w:after="0"/>
              <w:rPr>
                <w:sz w:val="20"/>
                <w:szCs w:val="20"/>
                <w:color w:val="auto"/>
              </w:rPr>
            </w:pPr>
            <w:r>
              <w:rPr>
                <w:rFonts w:ascii="Arial" w:cs="Arial" w:eastAsia="Arial" w:hAnsi="Arial"/>
                <w:sz w:val="14"/>
                <w:szCs w:val="14"/>
                <w:b w:val="1"/>
                <w:bCs w:val="1"/>
                <w:color w:val="auto"/>
                <w:w w:val="89"/>
              </w:rPr>
              <w:t>to be so Registered</w:t>
            </w:r>
          </w:p>
        </w:tc>
        <w:tc>
          <w:tcPr>
            <w:tcW w:w="180" w:type="dxa"/>
            <w:vAlign w:val="bottom"/>
          </w:tcPr>
          <w:p>
            <w:pPr>
              <w:spacing w:after="0"/>
              <w:rPr>
                <w:sz w:val="14"/>
                <w:szCs w:val="14"/>
                <w:color w:val="auto"/>
              </w:rPr>
            </w:pPr>
          </w:p>
        </w:tc>
        <w:tc>
          <w:tcPr>
            <w:tcW w:w="22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Each Class is to be Registered</w:t>
            </w:r>
          </w:p>
        </w:tc>
      </w:tr>
      <w:tr>
        <w:trPr>
          <w:trHeight w:val="20"/>
        </w:trPr>
        <w:tc>
          <w:tcPr>
            <w:tcW w:w="106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1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37"/>
        </w:trPr>
        <w:tc>
          <w:tcPr>
            <w:tcW w:w="6220" w:type="dxa"/>
            <w:vAlign w:val="bottom"/>
            <w:gridSpan w:val="3"/>
          </w:tcPr>
          <w:p>
            <w:pPr>
              <w:jc w:val="center"/>
              <w:ind w:right="2854"/>
              <w:spacing w:after="0"/>
              <w:rPr>
                <w:sz w:val="20"/>
                <w:szCs w:val="20"/>
                <w:color w:val="auto"/>
              </w:rPr>
            </w:pPr>
            <w:r>
              <w:rPr>
                <w:rFonts w:ascii="Arial" w:cs="Arial" w:eastAsia="Arial" w:hAnsi="Arial"/>
                <w:sz w:val="18"/>
                <w:szCs w:val="18"/>
                <w:b w:val="1"/>
                <w:bCs w:val="1"/>
                <w:color w:val="auto"/>
                <w:w w:val="89"/>
              </w:rPr>
              <w:t>Common stock, par value $0.001 per share</w:t>
            </w:r>
          </w:p>
        </w:tc>
        <w:tc>
          <w:tcPr>
            <w:tcW w:w="242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The New York Stock Exchange</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222885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6" w:lineRule="exact"/>
        <w:rPr>
          <w:sz w:val="24"/>
          <w:szCs w:val="24"/>
          <w:color w:val="auto"/>
        </w:rPr>
      </w:pPr>
    </w:p>
    <w:p>
      <w:pPr>
        <w:spacing w:after="0"/>
        <w:rPr>
          <w:sz w:val="20"/>
          <w:szCs w:val="20"/>
          <w:color w:val="auto"/>
        </w:rPr>
      </w:pPr>
      <w:r>
        <w:rPr>
          <w:rFonts w:ascii="Arial" w:cs="Arial" w:eastAsia="Arial" w:hAnsi="Arial"/>
          <w:sz w:val="16"/>
          <w:szCs w:val="16"/>
          <w:color w:val="auto"/>
        </w:rPr>
        <w:t>If this form relates to the registration of a class of securities pursuant to Section 12(b) of the Exchange Act and is effective pursuant to General Instruction A.</w:t>
      </w:r>
    </w:p>
    <w:p>
      <w:pPr>
        <w:spacing w:after="0" w:line="46"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(c), please check the following box.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211"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this form relates to the registration of a class of securities pursuant to Section 12(g) of the Exchange Act and is effective pursuant to General Instruction A. (d), please check the following box. </w:t>
      </w:r>
      <w:r>
        <w:rPr>
          <w:rFonts w:ascii="MS PGothic" w:cs="MS PGothic" w:eastAsia="MS PGothic" w:hAnsi="MS PGothic"/>
          <w:sz w:val="18"/>
          <w:szCs w:val="18"/>
          <w:color w:val="auto"/>
        </w:rPr>
        <w:t>☐</w:t>
      </w:r>
    </w:p>
    <w:p>
      <w:pPr>
        <w:spacing w:after="0" w:line="17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Securities Act registration statement file number to which this form relates:</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333-206412</w:t>
      </w:r>
    </w:p>
    <w:p>
      <w:pPr>
        <w:spacing w:after="0" w:line="20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Securities to be registered pursuant to Section 12(g) of the Act: Not Applicable</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(Title of Class)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194310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368" w:right="31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 Description of Registrant’s Securities to be Registered</w:t>
      </w:r>
    </w:p>
    <w:p>
      <w:pPr>
        <w:spacing w:after="0" w:line="121"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A description of the common stock, par value $0.001 per share (the “Common Stock”), of Penumbra, Inc., a Delaware corporation (the “Registrant”) to be registered hereunder is set forth in the section titled “Description of Capital Stock” in the prospectus included in the Registrant’s Registration Statement on Form S-1 (Registration No. 333-206412) as originally filed with the Securities and Exchange Commission (the “Commission”) on August 14, 2015, as subsequently amended (the “Registration Statement”), and is incorporated herein by reference. In addition, a description of the Common Stock will be included in a prospectus to be subsequently filed by the Registrant with the Commission pursuant to Rule 424(b) under the Securities Act of 1933, as amended, relating to the Registration Statement, and such prospectus is incorporated herein by reference.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Exhibits</w:t>
      </w:r>
    </w:p>
    <w:p>
      <w:pPr>
        <w:spacing w:after="0" w:line="121"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Pursuant to the “Instructions as to Exhibits” section of Form 8-A, no exhibits are required to be filed, because no other securities of the Registrant are registered on The New York Stock Exchange and the securities registered hereby are not being registered pursuant to Section 12(g) of the Securities Exchange Act of 1934, as amended.</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80"/>
          </w:cols>
          <w:pgMar w:left="240" w:top="270" w:right="279" w:bottom="1440" w:gutter="0" w:footer="0" w:header="0"/>
        </w:sectPr>
      </w:pPr>
    </w:p>
    <w:bookmarkStart w:id="2" w:name="page3"/>
    <w:bookmarkEnd w:id="2"/>
    <w:p>
      <w:pPr>
        <w:jc w:val="center"/>
        <w:ind w:right="-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Pursuant to the requirements of Section 12 of the Securities Exchange Act of 1934, the Registrant has duly caused this registration statement to be signed on its behalf by the undersigned, thereto duly authorized.</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PENUMBRA,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4558665</wp:posOffset>
            </wp:positionH>
            <wp:positionV relativeFrom="paragraph">
              <wp:posOffset>14605</wp:posOffset>
            </wp:positionV>
            <wp:extent cx="269303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16"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Name:  Adam Elsesser</w:t>
      </w:r>
    </w:p>
    <w:p>
      <w:pPr>
        <w:spacing w:after="0" w:line="23" w:lineRule="exact"/>
        <w:rPr>
          <w:sz w:val="20"/>
          <w:szCs w:val="20"/>
          <w:color w:val="auto"/>
        </w:rPr>
      </w:pPr>
    </w:p>
    <w:p>
      <w:pPr>
        <w:jc w:val="both"/>
        <w:ind w:left="7180"/>
        <w:spacing w:after="0"/>
        <w:tabs>
          <w:tab w:leader="none" w:pos="7760" w:val="left"/>
        </w:tabs>
        <w:rPr>
          <w:sz w:val="20"/>
          <w:szCs w:val="20"/>
          <w:color w:val="auto"/>
        </w:rPr>
      </w:pPr>
      <w:r>
        <w:rPr>
          <w:rFonts w:ascii="Arial" w:cs="Arial" w:eastAsia="Arial" w:hAnsi="Arial"/>
          <w:sz w:val="18"/>
          <w:szCs w:val="18"/>
          <w:color w:val="auto"/>
        </w:rPr>
        <w:t>Title:</w:t>
        <w:tab/>
        <w:t>Chairman, Chief Executive Officer and President</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auto"/>
        </w:rPr>
        <w:t>Date: September 15, 2015</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i w:val="1"/>
          <w:iCs w:val="1"/>
          <w:color w:val="auto"/>
        </w:rPr>
        <w:t>[Signature page to Form 8-A</w:t>
      </w:r>
      <w:r>
        <w:rPr>
          <w:rFonts w:ascii="Arial" w:cs="Arial" w:eastAsia="Arial" w:hAnsi="Arial"/>
          <w:sz w:val="18"/>
          <w:szCs w:val="18"/>
          <w:color w:val="auto"/>
        </w:rPr>
        <w:t>]</w:t>
      </w:r>
    </w:p>
    <w:p>
      <w:pPr>
        <w:spacing w:after="0" w:line="2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w:t>
      </w:r>
    </w:p>
    <w:sectPr>
      <w:pgSz w:w="11900" w:h="16838" w:orient="portrait"/>
      <w:cols w:equalWidth="0" w:num="1">
        <w:col w:w="11320"/>
      </w:cols>
      <w:pgMar w:left="240" w:top="27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2020-01-24T17:01:21Z</dcterms:created>
  <dcterms:modified xsi:type="dcterms:W3CDTF">2020-01-24T17:01:21Z</dcterms:modified>
</cp:coreProperties>
</file>