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5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320675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337820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8" w:lineRule="exact"/>
        <w:rPr>
          <w:sz w:val="24"/>
          <w:szCs w:val="24"/>
          <w:color w:val="auto"/>
        </w:rPr>
      </w:pPr>
    </w:p>
    <w:p>
      <w:pPr>
        <w:jc w:val="center"/>
        <w:ind w:right="-259"/>
        <w:spacing w:after="0"/>
        <w:rPr>
          <w:sz w:val="20"/>
          <w:szCs w:val="20"/>
          <w:color w:val="auto"/>
        </w:rPr>
      </w:pPr>
      <w:r>
        <w:rPr>
          <w:rFonts w:ascii="Arial" w:cs="Arial" w:eastAsia="Arial" w:hAnsi="Arial"/>
          <w:sz w:val="25"/>
          <w:szCs w:val="25"/>
          <w:b w:val="1"/>
          <w:bCs w:val="1"/>
          <w:color w:val="auto"/>
        </w:rPr>
        <w:t>SECURITIES AND EXCHANGE COMMISSION</w:t>
      </w:r>
    </w:p>
    <w:p>
      <w:pPr>
        <w:spacing w:after="0" w:line="13"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82550</wp:posOffset>
            </wp:positionV>
            <wp:extent cx="169799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97990" cy="17145"/>
                    </a:xfrm>
                    <a:prstGeom prst="rect">
                      <a:avLst/>
                    </a:prstGeom>
                    <a:noFill/>
                  </pic:spPr>
                </pic:pic>
              </a:graphicData>
            </a:graphic>
          </wp:anchor>
        </w:drawing>
      </w:r>
    </w:p>
    <w:p>
      <w:pPr>
        <w:spacing w:after="0" w:line="236" w:lineRule="exact"/>
        <w:rPr>
          <w:sz w:val="24"/>
          <w:szCs w:val="24"/>
          <w:color w:val="auto"/>
        </w:rPr>
      </w:pPr>
    </w:p>
    <w:p>
      <w:pPr>
        <w:jc w:val="center"/>
        <w:ind w:right="-259"/>
        <w:spacing w:after="0"/>
        <w:rPr>
          <w:sz w:val="20"/>
          <w:szCs w:val="20"/>
          <w:color w:val="auto"/>
        </w:rPr>
      </w:pPr>
      <w:r>
        <w:rPr>
          <w:rFonts w:ascii="Arial" w:cs="Arial" w:eastAsia="Arial" w:hAnsi="Arial"/>
          <w:sz w:val="25"/>
          <w:szCs w:val="25"/>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183515</wp:posOffset>
            </wp:positionV>
            <wp:extent cx="169799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97990" cy="17145"/>
                    </a:xfrm>
                    <a:prstGeom prst="rect">
                      <a:avLst/>
                    </a:prstGeom>
                    <a:noFill/>
                  </pic:spPr>
                </pic:pic>
              </a:graphicData>
            </a:graphic>
          </wp:anchor>
        </w:drawing>
      </w:r>
    </w:p>
    <w:p>
      <w:pPr>
        <w:spacing w:after="0" w:line="345" w:lineRule="exact"/>
        <w:rPr>
          <w:sz w:val="24"/>
          <w:szCs w:val="24"/>
          <w:color w:val="auto"/>
        </w:rPr>
      </w:pPr>
    </w:p>
    <w:p>
      <w:pPr>
        <w:spacing w:after="0"/>
        <w:rPr>
          <w:sz w:val="20"/>
          <w:szCs w:val="20"/>
          <w:color w:val="auto"/>
        </w:rPr>
      </w:pPr>
      <w:r>
        <w:rPr>
          <w:rFonts w:ascii="Arial" w:cs="Arial" w:eastAsia="Arial" w:hAnsi="Arial"/>
          <w:sz w:val="14"/>
          <w:szCs w:val="14"/>
          <w:color w:val="auto"/>
        </w:rPr>
        <w:t>(Mark One)</w:t>
      </w:r>
    </w:p>
    <w:p>
      <w:pPr>
        <w:spacing w:after="0" w:line="213" w:lineRule="exact"/>
        <w:rPr>
          <w:sz w:val="24"/>
          <w:szCs w:val="24"/>
          <w:color w:val="auto"/>
        </w:rPr>
      </w:pPr>
    </w:p>
    <w:p>
      <w:pPr>
        <w:ind w:left="720" w:hanging="685"/>
        <w:spacing w:after="0"/>
        <w:tabs>
          <w:tab w:leader="none" w:pos="720" w:val="left"/>
        </w:tabs>
        <w:numPr>
          <w:ilvl w:val="0"/>
          <w:numId w:val="1"/>
        </w:numPr>
        <w:rPr>
          <w:rFonts w:ascii="Arial" w:cs="Arial" w:eastAsia="Arial" w:hAnsi="Arial"/>
          <w:sz w:val="19"/>
          <w:szCs w:val="19"/>
          <w:color w:val="auto"/>
        </w:rPr>
      </w:pPr>
      <w:r>
        <w:rPr>
          <w:rFonts w:ascii="Arial" w:cs="Arial" w:eastAsia="Arial" w:hAnsi="Arial"/>
          <w:sz w:val="19"/>
          <w:szCs w:val="19"/>
          <w:b w:val="1"/>
          <w:bCs w:val="1"/>
          <w:color w:val="auto"/>
        </w:rPr>
        <w:t>QUARTERLY REPORT PURSUANT TO SECTION 13 OR 15(d) OF THE SECURITIES EXCHANGE ACT OF 1934</w:t>
      </w:r>
    </w:p>
    <w:p>
      <w:pPr>
        <w:spacing w:after="0" w:line="123" w:lineRule="exact"/>
        <w:rPr>
          <w:rFonts w:ascii="Arial" w:cs="Arial" w:eastAsia="Arial" w:hAnsi="Arial"/>
          <w:sz w:val="19"/>
          <w:szCs w:val="19"/>
          <w:color w:val="auto"/>
        </w:rPr>
      </w:pPr>
    </w:p>
    <w:p>
      <w:pPr>
        <w:ind w:left="3980"/>
        <w:spacing w:after="0"/>
        <w:rPr>
          <w:rFonts w:ascii="Arial" w:cs="Arial" w:eastAsia="Arial" w:hAnsi="Arial"/>
          <w:sz w:val="19"/>
          <w:szCs w:val="19"/>
          <w:color w:val="auto"/>
        </w:rPr>
      </w:pPr>
      <w:r>
        <w:rPr>
          <w:rFonts w:ascii="Arial" w:cs="Arial" w:eastAsia="Arial" w:hAnsi="Arial"/>
          <w:sz w:val="18"/>
          <w:szCs w:val="18"/>
          <w:b w:val="1"/>
          <w:bCs w:val="1"/>
          <w:color w:val="auto"/>
        </w:rPr>
        <w:t>For the quarterly period ended June 30, 2016</w:t>
      </w:r>
    </w:p>
    <w:p>
      <w:pPr>
        <w:spacing w:after="0" w:line="212" w:lineRule="exact"/>
        <w:rPr>
          <w:sz w:val="24"/>
          <w:szCs w:val="24"/>
          <w:color w:val="auto"/>
        </w:rPr>
      </w:pPr>
    </w:p>
    <w:p>
      <w:pPr>
        <w:jc w:val="center"/>
        <w:ind w:right="-219"/>
        <w:spacing w:after="0"/>
        <w:rPr>
          <w:sz w:val="20"/>
          <w:szCs w:val="20"/>
          <w:color w:val="auto"/>
        </w:rPr>
      </w:pPr>
      <w:r>
        <w:rPr>
          <w:rFonts w:ascii="Arial" w:cs="Arial" w:eastAsia="Arial" w:hAnsi="Arial"/>
          <w:sz w:val="18"/>
          <w:szCs w:val="18"/>
          <w:b w:val="1"/>
          <w:bCs w:val="1"/>
          <w:color w:val="auto"/>
        </w:rPr>
        <w:t>OR</w:t>
      </w:r>
    </w:p>
    <w:p>
      <w:pPr>
        <w:spacing w:after="0" w:line="221" w:lineRule="exact"/>
        <w:rPr>
          <w:sz w:val="24"/>
          <w:szCs w:val="24"/>
          <w:color w:val="auto"/>
        </w:rPr>
      </w:pPr>
    </w:p>
    <w:p>
      <w:pPr>
        <w:ind w:left="720" w:hanging="685"/>
        <w:spacing w:after="0"/>
        <w:tabs>
          <w:tab w:leader="none" w:pos="720" w:val="left"/>
        </w:tabs>
        <w:numPr>
          <w:ilvl w:val="0"/>
          <w:numId w:val="2"/>
        </w:numPr>
        <w:rPr>
          <w:rFonts w:ascii="Arial" w:cs="Arial" w:eastAsia="Arial" w:hAnsi="Arial"/>
          <w:sz w:val="19"/>
          <w:szCs w:val="19"/>
          <w:color w:val="auto"/>
        </w:rPr>
      </w:pPr>
      <w:r>
        <w:rPr>
          <w:rFonts w:ascii="Arial" w:cs="Arial" w:eastAsia="Arial" w:hAnsi="Arial"/>
          <w:sz w:val="19"/>
          <w:szCs w:val="19"/>
          <w:b w:val="1"/>
          <w:bCs w:val="1"/>
          <w:color w:val="auto"/>
        </w:rPr>
        <w:t>TRANSITION REPORT PURSUANT TO SECTION 13 OR 15(d) OF THE SECURITIES EXCHANGE ACT OF 1934</w:t>
      </w:r>
    </w:p>
    <w:p>
      <w:pPr>
        <w:spacing w:after="0" w:line="123" w:lineRule="exact"/>
        <w:rPr>
          <w:rFonts w:ascii="Arial" w:cs="Arial" w:eastAsia="Arial" w:hAnsi="Arial"/>
          <w:sz w:val="19"/>
          <w:szCs w:val="19"/>
          <w:color w:val="auto"/>
        </w:rPr>
      </w:pPr>
    </w:p>
    <w:p>
      <w:pPr>
        <w:ind w:left="3820"/>
        <w:spacing w:after="0"/>
        <w:rPr>
          <w:rFonts w:ascii="Arial" w:cs="Arial" w:eastAsia="Arial" w:hAnsi="Arial"/>
          <w:sz w:val="19"/>
          <w:szCs w:val="19"/>
          <w:color w:val="auto"/>
        </w:rPr>
      </w:pPr>
      <w:r>
        <w:rPr>
          <w:rFonts w:ascii="Arial" w:cs="Arial" w:eastAsia="Arial" w:hAnsi="Arial"/>
          <w:sz w:val="18"/>
          <w:szCs w:val="18"/>
          <w:b w:val="1"/>
          <w:bCs w:val="1"/>
          <w:color w:val="auto"/>
        </w:rPr>
        <w:t>For the transition period from</w:t>
      </w:r>
      <w:r>
        <w:rPr>
          <w:rFonts w:ascii="Arial" w:cs="Arial" w:eastAsia="Arial" w:hAnsi="Arial"/>
          <w:sz w:val="16"/>
          <w:szCs w:val="16"/>
          <w:color w:val="auto"/>
        </w:rPr>
        <w:t>_____</w:t>
      </w:r>
      <w:r>
        <w:rPr>
          <w:rFonts w:ascii="Arial" w:cs="Arial" w:eastAsia="Arial" w:hAnsi="Arial"/>
          <w:sz w:val="18"/>
          <w:szCs w:val="18"/>
          <w:b w:val="1"/>
          <w:bCs w:val="1"/>
          <w:color w:val="auto"/>
        </w:rPr>
        <w:t xml:space="preserve"> to </w:t>
      </w:r>
      <w:r>
        <w:rPr>
          <w:rFonts w:ascii="Arial" w:cs="Arial" w:eastAsia="Arial" w:hAnsi="Arial"/>
          <w:sz w:val="16"/>
          <w:szCs w:val="16"/>
          <w:color w:val="auto"/>
        </w:rPr>
        <w:t>_____</w:t>
      </w:r>
    </w:p>
    <w:p>
      <w:pPr>
        <w:spacing w:after="0" w:line="90" w:lineRule="exact"/>
        <w:rPr>
          <w:rFonts w:ascii="Arial" w:cs="Arial" w:eastAsia="Arial" w:hAnsi="Arial"/>
          <w:sz w:val="19"/>
          <w:szCs w:val="19"/>
          <w:color w:val="auto"/>
        </w:rPr>
      </w:pPr>
    </w:p>
    <w:p>
      <w:pPr>
        <w:ind w:left="4280"/>
        <w:spacing w:after="0"/>
        <w:rPr>
          <w:rFonts w:ascii="Arial" w:cs="Arial" w:eastAsia="Arial" w:hAnsi="Arial"/>
          <w:sz w:val="19"/>
          <w:szCs w:val="19"/>
          <w:color w:val="auto"/>
        </w:rPr>
      </w:pPr>
      <w:r>
        <w:rPr>
          <w:rFonts w:ascii="Arial" w:cs="Arial" w:eastAsia="Arial" w:hAnsi="Arial"/>
          <w:sz w:val="18"/>
          <w:szCs w:val="18"/>
          <w:b w:val="1"/>
          <w:bCs w:val="1"/>
          <w:color w:val="auto"/>
        </w:rPr>
        <w:t>Commission File Number: 001-37557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137795</wp:posOffset>
            </wp:positionV>
            <wp:extent cx="169799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697990" cy="17145"/>
                    </a:xfrm>
                    <a:prstGeom prst="rect">
                      <a:avLst/>
                    </a:prstGeom>
                    <a:noFill/>
                  </pic:spPr>
                </pic:pic>
              </a:graphicData>
            </a:graphic>
          </wp:anchor>
        </w:drawing>
      </w:r>
    </w:p>
    <w:p>
      <w:pPr>
        <w:sectPr>
          <w:pgSz w:w="11900" w:h="16838" w:orient="portrait"/>
          <w:cols w:equalWidth="0" w:num="1">
            <w:col w:w="11160"/>
          </w:cols>
          <w:pgMar w:left="240" w:top="657" w:right="499" w:bottom="1440" w:gutter="0" w:footer="0" w:header="0"/>
        </w:sectPr>
      </w:pPr>
    </w:p>
    <w:p>
      <w:pPr>
        <w:spacing w:after="0" w:line="391" w:lineRule="exact"/>
        <w:rPr>
          <w:sz w:val="24"/>
          <w:szCs w:val="24"/>
          <w:color w:val="auto"/>
        </w:rPr>
      </w:pPr>
    </w:p>
    <w:p>
      <w:pPr>
        <w:jc w:val="center"/>
        <w:ind w:left="4020"/>
        <w:spacing w:after="0"/>
        <w:rPr>
          <w:sz w:val="20"/>
          <w:szCs w:val="20"/>
          <w:color w:val="auto"/>
        </w:rPr>
      </w:pPr>
      <w:r>
        <w:rPr>
          <w:rFonts w:ascii="Arial" w:cs="Arial" w:eastAsia="Arial" w:hAnsi="Arial"/>
          <w:sz w:val="32"/>
          <w:szCs w:val="32"/>
          <w:b w:val="1"/>
          <w:bCs w:val="1"/>
          <w:color w:val="auto"/>
        </w:rPr>
        <w:t>Penumbra, Inc.</w:t>
      </w:r>
    </w:p>
    <w:p>
      <w:pPr>
        <w:spacing w:after="0" w:line="87" w:lineRule="exact"/>
        <w:rPr>
          <w:sz w:val="24"/>
          <w:szCs w:val="24"/>
          <w:color w:val="auto"/>
        </w:rPr>
      </w:pPr>
    </w:p>
    <w:p>
      <w:pPr>
        <w:ind w:left="4200"/>
        <w:spacing w:after="0"/>
        <w:rPr>
          <w:sz w:val="20"/>
          <w:szCs w:val="20"/>
          <w:color w:val="auto"/>
        </w:rPr>
      </w:pPr>
      <w:r>
        <w:rPr>
          <w:rFonts w:ascii="Arial" w:cs="Arial" w:eastAsia="Arial" w:hAnsi="Arial"/>
          <w:sz w:val="13"/>
          <w:szCs w:val="13"/>
          <w:i w:val="1"/>
          <w:i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217170</wp:posOffset>
            </wp:positionV>
            <wp:extent cx="169799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697990" cy="17145"/>
                    </a:xfrm>
                    <a:prstGeom prst="rect">
                      <a:avLst/>
                    </a:prstGeom>
                    <a:noFill/>
                  </pic:spPr>
                </pic:pic>
              </a:graphicData>
            </a:graphic>
          </wp:anchor>
        </w:drawing>
      </w:r>
    </w:p>
    <w:p>
      <w:pPr>
        <w:spacing w:after="0" w:line="200" w:lineRule="exact"/>
        <w:rPr>
          <w:sz w:val="24"/>
          <w:szCs w:val="24"/>
          <w:color w:val="auto"/>
        </w:rPr>
      </w:pPr>
    </w:p>
    <w:p>
      <w:pPr>
        <w:spacing w:after="0" w:line="342" w:lineRule="exact"/>
        <w:rPr>
          <w:sz w:val="24"/>
          <w:szCs w:val="24"/>
          <w:color w:val="auto"/>
        </w:rPr>
      </w:pPr>
    </w:p>
    <w:p>
      <w:pPr>
        <w:jc w:val="center"/>
        <w:ind w:right="1800"/>
        <w:spacing w:after="0"/>
        <w:rPr>
          <w:sz w:val="20"/>
          <w:szCs w:val="20"/>
          <w:color w:val="auto"/>
        </w:rPr>
      </w:pPr>
      <w:r>
        <w:rPr>
          <w:rFonts w:ascii="Arial" w:cs="Arial" w:eastAsia="Arial" w:hAnsi="Arial"/>
          <w:sz w:val="14"/>
          <w:szCs w:val="14"/>
          <w:b w:val="1"/>
          <w:bCs w:val="1"/>
          <w:color w:val="auto"/>
        </w:rPr>
        <w:t>Delaware</w:t>
      </w:r>
    </w:p>
    <w:p>
      <w:pPr>
        <w:spacing w:after="0" w:line="113" w:lineRule="exact"/>
        <w:rPr>
          <w:sz w:val="24"/>
          <w:szCs w:val="24"/>
          <w:color w:val="auto"/>
        </w:rPr>
      </w:pPr>
    </w:p>
    <w:p>
      <w:pPr>
        <w:ind w:left="1980"/>
        <w:spacing w:after="0"/>
        <w:rPr>
          <w:sz w:val="20"/>
          <w:szCs w:val="20"/>
          <w:color w:val="auto"/>
        </w:rPr>
      </w:pPr>
      <w:r>
        <w:rPr>
          <w:rFonts w:ascii="Arial" w:cs="Arial" w:eastAsia="Arial" w:hAnsi="Arial"/>
          <w:sz w:val="14"/>
          <w:szCs w:val="14"/>
          <w:color w:val="auto"/>
        </w:rPr>
        <w:t>(State or other jurisdiction of</w:t>
      </w:r>
    </w:p>
    <w:p>
      <w:pPr>
        <w:ind w:left="1940"/>
        <w:spacing w:after="0"/>
        <w:rPr>
          <w:sz w:val="20"/>
          <w:szCs w:val="20"/>
          <w:color w:val="auto"/>
        </w:rPr>
      </w:pPr>
      <w:r>
        <w:rPr>
          <w:rFonts w:ascii="Arial" w:cs="Arial" w:eastAsia="Arial" w:hAnsi="Arial"/>
          <w:sz w:val="14"/>
          <w:szCs w:val="14"/>
          <w:color w:val="auto"/>
        </w:rPr>
        <w:t>incorporation or organization)</w:t>
      </w:r>
    </w:p>
    <w:p>
      <w:pPr>
        <w:spacing w:after="0" w:line="323" w:lineRule="exact"/>
        <w:rPr>
          <w:sz w:val="24"/>
          <w:szCs w:val="24"/>
          <w:color w:val="auto"/>
        </w:rPr>
      </w:pPr>
    </w:p>
    <w:p>
      <w:pPr>
        <w:jc w:val="center"/>
        <w:ind w:right="1800"/>
        <w:spacing w:after="0"/>
        <w:rPr>
          <w:sz w:val="20"/>
          <w:szCs w:val="20"/>
          <w:color w:val="auto"/>
        </w:rPr>
      </w:pPr>
      <w:r>
        <w:rPr>
          <w:rFonts w:ascii="Arial" w:cs="Arial" w:eastAsia="Arial" w:hAnsi="Arial"/>
          <w:sz w:val="14"/>
          <w:szCs w:val="14"/>
          <w:b w:val="1"/>
          <w:bCs w:val="1"/>
          <w:color w:val="auto"/>
        </w:rPr>
        <w:t>One Penumbra Place</w:t>
      </w:r>
    </w:p>
    <w:p>
      <w:pPr>
        <w:spacing w:after="0" w:line="4" w:lineRule="exact"/>
        <w:rPr>
          <w:sz w:val="24"/>
          <w:szCs w:val="24"/>
          <w:color w:val="auto"/>
        </w:rPr>
      </w:pPr>
    </w:p>
    <w:p>
      <w:pPr>
        <w:jc w:val="center"/>
        <w:ind w:right="1800"/>
        <w:spacing w:after="0"/>
        <w:rPr>
          <w:sz w:val="20"/>
          <w:szCs w:val="20"/>
          <w:color w:val="auto"/>
        </w:rPr>
      </w:pPr>
      <w:r>
        <w:rPr>
          <w:rFonts w:ascii="Arial" w:cs="Arial" w:eastAsia="Arial" w:hAnsi="Arial"/>
          <w:sz w:val="14"/>
          <w:szCs w:val="14"/>
          <w:b w:val="1"/>
          <w:bCs w:val="1"/>
          <w:color w:val="auto"/>
        </w:rPr>
        <w:t>Alameda, CA</w:t>
      </w:r>
    </w:p>
    <w:p>
      <w:pPr>
        <w:spacing w:after="0" w:line="57" w:lineRule="exact"/>
        <w:rPr>
          <w:sz w:val="24"/>
          <w:szCs w:val="24"/>
          <w:color w:val="auto"/>
        </w:rPr>
      </w:pPr>
    </w:p>
    <w:p>
      <w:pPr>
        <w:ind w:left="1660"/>
        <w:spacing w:after="0"/>
        <w:rPr>
          <w:sz w:val="20"/>
          <w:szCs w:val="20"/>
          <w:color w:val="auto"/>
        </w:rPr>
      </w:pPr>
      <w:r>
        <w:rPr>
          <w:rFonts w:ascii="Arial" w:cs="Arial" w:eastAsia="Arial" w:hAnsi="Arial"/>
          <w:sz w:val="14"/>
          <w:szCs w:val="14"/>
          <w:color w:val="auto"/>
        </w:rPr>
        <w:t>(Address of principal executive offices)</w:t>
      </w:r>
    </w:p>
    <w:p>
      <w:pPr>
        <w:spacing w:after="0" w:line="213" w:lineRule="exact"/>
        <w:rPr>
          <w:sz w:val="24"/>
          <w:szCs w:val="24"/>
          <w:color w:val="auto"/>
        </w:rPr>
      </w:pPr>
    </w:p>
    <w:p>
      <w:pPr>
        <w:jc w:val="center"/>
        <w:ind w:left="4020"/>
        <w:spacing w:after="0"/>
        <w:rPr>
          <w:sz w:val="20"/>
          <w:szCs w:val="20"/>
          <w:color w:val="auto"/>
        </w:rPr>
      </w:pPr>
      <w:r>
        <w:rPr>
          <w:rFonts w:ascii="Arial" w:cs="Arial" w:eastAsia="Arial" w:hAnsi="Arial"/>
          <w:sz w:val="14"/>
          <w:szCs w:val="14"/>
          <w:b w:val="1"/>
          <w:bCs w:val="1"/>
          <w:color w:val="auto"/>
        </w:rPr>
        <w:t>(510) 748-3200</w:t>
      </w:r>
    </w:p>
    <w:p>
      <w:pPr>
        <w:spacing w:after="0" w:line="25" w:lineRule="exact"/>
        <w:rPr>
          <w:sz w:val="24"/>
          <w:szCs w:val="24"/>
          <w:color w:val="auto"/>
        </w:rPr>
      </w:pPr>
    </w:p>
    <w:p>
      <w:pPr>
        <w:jc w:val="center"/>
        <w:ind w:left="4020"/>
        <w:spacing w:after="0"/>
        <w:rPr>
          <w:sz w:val="20"/>
          <w:szCs w:val="20"/>
          <w:color w:val="auto"/>
        </w:rPr>
      </w:pPr>
      <w:r>
        <w:rPr>
          <w:rFonts w:ascii="Arial" w:cs="Arial" w:eastAsia="Arial" w:hAnsi="Arial"/>
          <w:sz w:val="12"/>
          <w:szCs w:val="12"/>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186055</wp:posOffset>
            </wp:positionV>
            <wp:extent cx="169799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697990" cy="1714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8" w:lineRule="exact"/>
        <w:rPr>
          <w:sz w:val="24"/>
          <w:szCs w:val="24"/>
          <w:color w:val="auto"/>
        </w:rPr>
      </w:pPr>
    </w:p>
    <w:p>
      <w:pPr>
        <w:jc w:val="center"/>
        <w:ind w:right="1940"/>
        <w:spacing w:after="0"/>
        <w:rPr>
          <w:sz w:val="20"/>
          <w:szCs w:val="20"/>
          <w:color w:val="auto"/>
        </w:rPr>
      </w:pPr>
      <w:r>
        <w:rPr>
          <w:rFonts w:ascii="Arial" w:cs="Arial" w:eastAsia="Arial" w:hAnsi="Arial"/>
          <w:sz w:val="14"/>
          <w:szCs w:val="14"/>
          <w:b w:val="1"/>
          <w:bCs w:val="1"/>
          <w:color w:val="auto"/>
        </w:rPr>
        <w:t>05-0605598</w:t>
      </w:r>
    </w:p>
    <w:p>
      <w:pPr>
        <w:spacing w:after="0" w:line="113" w:lineRule="exact"/>
        <w:rPr>
          <w:sz w:val="24"/>
          <w:szCs w:val="24"/>
          <w:color w:val="auto"/>
        </w:rPr>
      </w:pPr>
    </w:p>
    <w:p>
      <w:pPr>
        <w:ind w:left="60"/>
        <w:spacing w:after="0"/>
        <w:rPr>
          <w:sz w:val="20"/>
          <w:szCs w:val="20"/>
          <w:color w:val="auto"/>
        </w:rPr>
      </w:pPr>
      <w:r>
        <w:rPr>
          <w:rFonts w:ascii="Arial" w:cs="Arial" w:eastAsia="Arial" w:hAnsi="Arial"/>
          <w:sz w:val="13"/>
          <w:szCs w:val="13"/>
          <w:color w:val="auto"/>
        </w:rPr>
        <w:t>(I.R.S. Employer</w:t>
      </w:r>
    </w:p>
    <w:p>
      <w:pPr>
        <w:spacing w:after="0" w:line="11" w:lineRule="exact"/>
        <w:rPr>
          <w:sz w:val="24"/>
          <w:szCs w:val="24"/>
          <w:color w:val="auto"/>
        </w:rPr>
      </w:pPr>
    </w:p>
    <w:p>
      <w:pPr>
        <w:spacing w:after="0"/>
        <w:rPr>
          <w:sz w:val="20"/>
          <w:szCs w:val="20"/>
          <w:color w:val="auto"/>
        </w:rPr>
      </w:pPr>
      <w:r>
        <w:rPr>
          <w:rFonts w:ascii="Arial" w:cs="Arial" w:eastAsia="Arial" w:hAnsi="Arial"/>
          <w:sz w:val="13"/>
          <w:szCs w:val="13"/>
          <w:color w:val="auto"/>
        </w:rPr>
        <w:t>Identification No.)</w:t>
      </w:r>
    </w:p>
    <w:p>
      <w:pPr>
        <w:spacing w:after="0" w:line="200" w:lineRule="exact"/>
        <w:rPr>
          <w:sz w:val="24"/>
          <w:szCs w:val="24"/>
          <w:color w:val="auto"/>
        </w:rPr>
      </w:pPr>
    </w:p>
    <w:p>
      <w:pPr>
        <w:spacing w:after="0" w:line="202" w:lineRule="exact"/>
        <w:rPr>
          <w:sz w:val="24"/>
          <w:szCs w:val="24"/>
          <w:color w:val="auto"/>
        </w:rPr>
      </w:pPr>
    </w:p>
    <w:p>
      <w:pPr>
        <w:jc w:val="center"/>
        <w:ind w:right="1940"/>
        <w:spacing w:after="0"/>
        <w:rPr>
          <w:sz w:val="20"/>
          <w:szCs w:val="20"/>
          <w:color w:val="auto"/>
        </w:rPr>
      </w:pPr>
      <w:r>
        <w:rPr>
          <w:rFonts w:ascii="Arial" w:cs="Arial" w:eastAsia="Arial" w:hAnsi="Arial"/>
          <w:sz w:val="14"/>
          <w:szCs w:val="14"/>
          <w:b w:val="1"/>
          <w:bCs w:val="1"/>
          <w:color w:val="auto"/>
        </w:rPr>
        <w:t>94502</w:t>
      </w:r>
    </w:p>
    <w:p>
      <w:pPr>
        <w:spacing w:after="0" w:line="154" w:lineRule="exact"/>
        <w:rPr>
          <w:sz w:val="24"/>
          <w:szCs w:val="24"/>
          <w:color w:val="auto"/>
        </w:rPr>
      </w:pPr>
    </w:p>
    <w:p>
      <w:pPr>
        <w:jc w:val="center"/>
        <w:ind w:right="1940"/>
        <w:spacing w:after="0"/>
        <w:rPr>
          <w:sz w:val="20"/>
          <w:szCs w:val="20"/>
          <w:color w:val="auto"/>
        </w:rPr>
      </w:pPr>
      <w:r>
        <w:rPr>
          <w:rFonts w:ascii="Arial" w:cs="Arial" w:eastAsia="Arial" w:hAnsi="Arial"/>
          <w:sz w:val="14"/>
          <w:szCs w:val="14"/>
          <w:color w:val="auto"/>
        </w:rPr>
        <w:t>(Zip code)</w:t>
      </w:r>
    </w:p>
    <w:p>
      <w:pPr>
        <w:spacing w:after="0" w:line="737" w:lineRule="exact"/>
        <w:rPr>
          <w:sz w:val="24"/>
          <w:szCs w:val="24"/>
          <w:color w:val="auto"/>
        </w:rPr>
      </w:pPr>
    </w:p>
    <w:p>
      <w:pPr>
        <w:sectPr>
          <w:pgSz w:w="11900" w:h="16838" w:orient="portrait"/>
          <w:cols w:equalWidth="0" w:num="2">
            <w:col w:w="7420" w:space="720"/>
            <w:col w:w="3020"/>
          </w:cols>
          <w:pgMar w:left="240" w:top="657" w:right="499" w:bottom="1440" w:gutter="0" w:footer="0" w:header="0"/>
          <w:type w:val="continuous"/>
        </w:sectPr>
      </w:pPr>
    </w:p>
    <w:p>
      <w:pPr>
        <w:spacing w:after="0" w:line="339" w:lineRule="exact"/>
        <w:rPr>
          <w:sz w:val="24"/>
          <w:szCs w:val="24"/>
          <w:color w:val="auto"/>
        </w:rPr>
      </w:pPr>
    </w:p>
    <w:p>
      <w:pPr>
        <w:ind w:right="120" w:firstLine="432"/>
        <w:spacing w:after="0" w:line="243" w:lineRule="auto"/>
        <w:rPr>
          <w:sz w:val="20"/>
          <w:szCs w:val="20"/>
          <w:color w:val="auto"/>
        </w:rPr>
      </w:pPr>
      <w:r>
        <w:rPr>
          <w:rFonts w:ascii="Arial" w:cs="Arial" w:eastAsia="Arial" w:hAnsi="Arial"/>
          <w:sz w:val="16"/>
          <w:szCs w:val="16"/>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o</w:t>
      </w:r>
    </w:p>
    <w:p>
      <w:pPr>
        <w:spacing w:after="0" w:line="76" w:lineRule="exact"/>
        <w:rPr>
          <w:sz w:val="24"/>
          <w:szCs w:val="24"/>
          <w:color w:val="auto"/>
        </w:rPr>
      </w:pPr>
    </w:p>
    <w:p>
      <w:pPr>
        <w:ind w:right="140" w:firstLine="432"/>
        <w:spacing w:after="0" w:line="243" w:lineRule="auto"/>
        <w:rPr>
          <w:sz w:val="20"/>
          <w:szCs w:val="20"/>
          <w:color w:val="auto"/>
        </w:rPr>
      </w:pPr>
      <w:r>
        <w:rPr>
          <w:rFonts w:ascii="Arial" w:cs="Arial" w:eastAsia="Arial" w:hAnsi="Arial"/>
          <w:sz w:val="16"/>
          <w:szCs w:val="16"/>
          <w:color w:val="auto"/>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x No: o</w:t>
      </w:r>
    </w:p>
    <w:p>
      <w:pPr>
        <w:spacing w:after="0" w:line="76" w:lineRule="exact"/>
        <w:rPr>
          <w:sz w:val="24"/>
          <w:szCs w:val="24"/>
          <w:color w:val="auto"/>
        </w:rPr>
      </w:pPr>
    </w:p>
    <w:p>
      <w:pPr>
        <w:ind w:firstLine="432"/>
        <w:spacing w:after="0" w:line="258"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definition of “large accelerated filer,” “accelerated filer” and “smaller reporting company” in Rule 12b-2 of the Exchange Act.</w:t>
      </w:r>
    </w:p>
    <w:p>
      <w:pPr>
        <w:spacing w:after="0" w:line="131" w:lineRule="exact"/>
        <w:rPr>
          <w:sz w:val="24"/>
          <w:szCs w:val="24"/>
          <w:color w:val="auto"/>
        </w:rPr>
      </w:pPr>
    </w:p>
    <w:p>
      <w:pPr>
        <w:ind w:left="40"/>
        <w:spacing w:after="0"/>
        <w:tabs>
          <w:tab w:leader="none" w:pos="2180" w:val="left"/>
          <w:tab w:leader="none" w:pos="8360" w:val="left"/>
          <w:tab w:leader="none" w:pos="10980" w:val="left"/>
        </w:tabs>
        <w:rPr>
          <w:sz w:val="20"/>
          <w:szCs w:val="20"/>
          <w:color w:val="auto"/>
        </w:rPr>
      </w:pPr>
      <w:r>
        <w:rPr>
          <w:rFonts w:ascii="Arial" w:cs="Arial" w:eastAsia="Arial" w:hAnsi="Arial"/>
          <w:sz w:val="16"/>
          <w:szCs w:val="16"/>
          <w:color w:val="auto"/>
        </w:rPr>
        <w:t>Large Accelerated Filer</w:t>
      </w:r>
      <w:r>
        <w:rPr>
          <w:sz w:val="20"/>
          <w:szCs w:val="20"/>
          <w:color w:val="auto"/>
        </w:rPr>
        <w:tab/>
      </w:r>
      <w:r>
        <w:rPr>
          <w:rFonts w:ascii="Arial" w:cs="Arial" w:eastAsia="Arial" w:hAnsi="Arial"/>
          <w:sz w:val="16"/>
          <w:szCs w:val="16"/>
          <w:color w:val="auto"/>
        </w:rPr>
        <w:t>o</w:t>
      </w:r>
      <w:r>
        <w:rPr>
          <w:sz w:val="20"/>
          <w:szCs w:val="20"/>
          <w:color w:val="auto"/>
        </w:rPr>
        <w:tab/>
      </w:r>
      <w:r>
        <w:rPr>
          <w:rFonts w:ascii="Arial" w:cs="Arial" w:eastAsia="Arial" w:hAnsi="Arial"/>
          <w:sz w:val="16"/>
          <w:szCs w:val="16"/>
          <w:color w:val="auto"/>
        </w:rPr>
        <w:t>Accelerated Filer</w:t>
      </w:r>
      <w:r>
        <w:rPr>
          <w:sz w:val="20"/>
          <w:szCs w:val="20"/>
          <w:color w:val="auto"/>
        </w:rPr>
        <w:tab/>
      </w:r>
      <w:r>
        <w:rPr>
          <w:rFonts w:ascii="Arial" w:cs="Arial" w:eastAsia="Arial" w:hAnsi="Arial"/>
          <w:sz w:val="14"/>
          <w:szCs w:val="14"/>
          <w:color w:val="auto"/>
        </w:rPr>
        <w:t>o</w:t>
      </w:r>
    </w:p>
    <w:p>
      <w:pPr>
        <w:spacing w:after="0" w:line="208" w:lineRule="exact"/>
        <w:rPr>
          <w:sz w:val="24"/>
          <w:szCs w:val="24"/>
          <w:color w:val="auto"/>
        </w:rPr>
      </w:pPr>
    </w:p>
    <w:p>
      <w:pPr>
        <w:ind w:left="40"/>
        <w:spacing w:after="0"/>
        <w:tabs>
          <w:tab w:leader="none" w:pos="2180" w:val="left"/>
          <w:tab w:leader="none" w:pos="2540" w:val="left"/>
          <w:tab w:leader="none" w:pos="8360" w:val="left"/>
          <w:tab w:leader="none" w:pos="10980" w:val="left"/>
        </w:tabs>
        <w:rPr>
          <w:sz w:val="20"/>
          <w:szCs w:val="20"/>
          <w:color w:val="auto"/>
        </w:rPr>
      </w:pPr>
      <w:r>
        <w:rPr>
          <w:rFonts w:ascii="Arial" w:cs="Arial" w:eastAsia="Arial" w:hAnsi="Arial"/>
          <w:sz w:val="16"/>
          <w:szCs w:val="16"/>
          <w:color w:val="auto"/>
        </w:rPr>
        <w:t>Non-accelerated filer</w:t>
      </w:r>
      <w:r>
        <w:rPr>
          <w:sz w:val="20"/>
          <w:szCs w:val="20"/>
          <w:color w:val="auto"/>
        </w:rPr>
        <w:tab/>
      </w:r>
      <w:r>
        <w:rPr>
          <w:rFonts w:ascii="Arial" w:cs="Arial" w:eastAsia="Arial" w:hAnsi="Arial"/>
          <w:sz w:val="16"/>
          <w:szCs w:val="16"/>
          <w:color w:val="auto"/>
        </w:rPr>
        <w:t>x</w:t>
      </w:r>
      <w:r>
        <w:rPr>
          <w:sz w:val="20"/>
          <w:szCs w:val="20"/>
          <w:color w:val="auto"/>
        </w:rPr>
        <w:tab/>
      </w:r>
      <w:r>
        <w:rPr>
          <w:rFonts w:ascii="Arial" w:cs="Arial" w:eastAsia="Arial" w:hAnsi="Arial"/>
          <w:sz w:val="16"/>
          <w:szCs w:val="16"/>
          <w:color w:val="auto"/>
        </w:rPr>
        <w:t>(Do not check if a smaller reporting Company)</w:t>
      </w:r>
      <w:r>
        <w:rPr>
          <w:sz w:val="20"/>
          <w:szCs w:val="20"/>
          <w:color w:val="auto"/>
        </w:rPr>
        <w:tab/>
      </w:r>
      <w:r>
        <w:rPr>
          <w:rFonts w:ascii="Arial" w:cs="Arial" w:eastAsia="Arial" w:hAnsi="Arial"/>
          <w:sz w:val="16"/>
          <w:szCs w:val="16"/>
          <w:color w:val="auto"/>
        </w:rPr>
        <w:t>Smaller Reporting Company</w:t>
      </w:r>
      <w:r>
        <w:rPr>
          <w:sz w:val="20"/>
          <w:szCs w:val="20"/>
          <w:color w:val="auto"/>
        </w:rPr>
        <w:tab/>
      </w:r>
      <w:r>
        <w:rPr>
          <w:rFonts w:ascii="Arial" w:cs="Arial" w:eastAsia="Arial" w:hAnsi="Arial"/>
          <w:sz w:val="14"/>
          <w:szCs w:val="14"/>
          <w:color w:val="auto"/>
        </w:rPr>
        <w:t>o</w:t>
      </w:r>
    </w:p>
    <w:p>
      <w:pPr>
        <w:spacing w:after="0" w:line="167" w:lineRule="exact"/>
        <w:rPr>
          <w:sz w:val="24"/>
          <w:szCs w:val="24"/>
          <w:color w:val="auto"/>
        </w:rPr>
      </w:pPr>
    </w:p>
    <w:p>
      <w:pPr>
        <w:ind w:left="440" w:right="2280"/>
        <w:spacing w:after="0" w:line="498" w:lineRule="auto"/>
        <w:rPr>
          <w:sz w:val="20"/>
          <w:szCs w:val="20"/>
          <w:color w:val="auto"/>
        </w:rPr>
      </w:pPr>
      <w:r>
        <w:rPr>
          <w:rFonts w:ascii="Arial" w:cs="Arial" w:eastAsia="Arial" w:hAnsi="Arial"/>
          <w:sz w:val="15"/>
          <w:szCs w:val="15"/>
          <w:color w:val="auto"/>
        </w:rPr>
        <w:t>Indicate by check mark whether the registrant is a shell company (as defined in Rule 12b-2 of the Exchange Act). Yes: o No: x As of July 15, 2016, the registrant had 31,054,604 shares of common stock, par value $0.001 per share,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57785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74930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160"/>
          </w:cols>
          <w:pgMar w:left="240" w:top="657" w:right="499" w:bottom="1440" w:gutter="0" w:footer="0" w:header="0"/>
          <w:type w:val="continuous"/>
        </w:sectPr>
      </w:pPr>
    </w:p>
    <w:bookmarkStart w:id="1" w:name="page2"/>
    <w:bookmarkEnd w:id="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10-Q</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00" w:lineRule="exact"/>
        <w:rPr>
          <w:sz w:val="20"/>
          <w:szCs w:val="20"/>
          <w:color w:val="auto"/>
        </w:rPr>
      </w:pPr>
    </w:p>
    <w:p>
      <w:pPr>
        <w:spacing w:after="0" w:line="213"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5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600" w:type="dxa"/>
            <w:vAlign w:val="bottom"/>
          </w:tcPr>
          <w:p>
            <w:pPr>
              <w:spacing w:after="0"/>
              <w:rPr>
                <w:sz w:val="20"/>
                <w:szCs w:val="20"/>
                <w:color w:val="auto"/>
              </w:rPr>
            </w:pPr>
          </w:p>
        </w:tc>
        <w:tc>
          <w:tcPr>
            <w:tcW w:w="900" w:type="dxa"/>
            <w:vAlign w:val="bottom"/>
            <w:gridSpan w:val="4"/>
          </w:tcPr>
          <w:p>
            <w:pPr>
              <w:ind w:left="280"/>
              <w:spacing w:after="0"/>
              <w:rPr>
                <w:sz w:val="20"/>
                <w:szCs w:val="20"/>
                <w:color w:val="auto"/>
              </w:rPr>
            </w:pPr>
            <w:r>
              <w:rPr>
                <w:rFonts w:ascii="Arial" w:cs="Arial" w:eastAsia="Arial" w:hAnsi="Arial"/>
                <w:sz w:val="18"/>
                <w:szCs w:val="18"/>
                <w:color w:val="auto"/>
              </w:rPr>
              <w:t>Page</w:t>
            </w:r>
          </w:p>
        </w:tc>
        <w:tc>
          <w:tcPr>
            <w:tcW w:w="0" w:type="dxa"/>
            <w:vAlign w:val="bottom"/>
          </w:tcPr>
          <w:p>
            <w:pPr>
              <w:spacing w:after="0"/>
              <w:rPr>
                <w:sz w:val="1"/>
                <w:szCs w:val="1"/>
                <w:color w:val="auto"/>
              </w:rPr>
            </w:pPr>
          </w:p>
        </w:tc>
      </w:tr>
      <w:tr>
        <w:trPr>
          <w:trHeight w:val="27"/>
        </w:trPr>
        <w:tc>
          <w:tcPr>
            <w:tcW w:w="50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0" w:type="dxa"/>
            <w:vAlign w:val="bottom"/>
          </w:tcPr>
          <w:p>
            <w:pPr>
              <w:spacing w:after="0"/>
              <w:rPr>
                <w:sz w:val="2"/>
                <w:szCs w:val="2"/>
                <w:color w:val="auto"/>
              </w:rPr>
            </w:pPr>
          </w:p>
        </w:tc>
        <w:tc>
          <w:tcPr>
            <w:tcW w:w="60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tcPr>
          <w:p>
            <w:pPr>
              <w:spacing w:after="0"/>
              <w:rPr>
                <w:sz w:val="2"/>
                <w:szCs w:val="2"/>
                <w:color w:val="auto"/>
              </w:rPr>
            </w:pPr>
          </w:p>
        </w:tc>
        <w:tc>
          <w:tcPr>
            <w:tcW w:w="4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340" w:type="dxa"/>
            <w:vAlign w:val="bottom"/>
            <w:gridSpan w:val="11"/>
            <w:vMerge w:val="restart"/>
          </w:tcPr>
          <w:p>
            <w:pPr>
              <w:jc w:val="center"/>
              <w:ind w:right="3280"/>
              <w:spacing w:after="0"/>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PART I. FINANCIAL INFORMATION</w:t>
              </w:r>
            </w:hyperlink>
          </w:p>
        </w:tc>
        <w:tc>
          <w:tcPr>
            <w:tcW w:w="7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3"/>
        </w:trPr>
        <w:tc>
          <w:tcPr>
            <w:tcW w:w="5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6340" w:type="dxa"/>
            <w:vAlign w:val="bottom"/>
            <w:gridSpan w:val="11"/>
            <w:vMerge w:val="continue"/>
          </w:tcPr>
          <w:p>
            <w:pPr>
              <w:spacing w:after="0"/>
              <w:rPr>
                <w:sz w:val="15"/>
                <w:szCs w:val="15"/>
                <w:color w:val="auto"/>
              </w:rPr>
            </w:pP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5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040" w:type="dxa"/>
            <w:vAlign w:val="bottom"/>
            <w:gridSpan w:val="3"/>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Item 1.</w:t>
              </w:r>
            </w:hyperlink>
          </w:p>
        </w:tc>
        <w:tc>
          <w:tcPr>
            <w:tcW w:w="9440" w:type="dxa"/>
            <w:vAlign w:val="bottom"/>
            <w:gridSpan w:val="17"/>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Condensed Consolidated Financial Statements (Unaudited)</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3">
              <w:r>
                <w:rPr>
                  <w:rFonts w:ascii="Arial" w:cs="Arial" w:eastAsia="Arial" w:hAnsi="Arial"/>
                  <w:sz w:val="18"/>
                  <w:szCs w:val="18"/>
                  <w:color w:val="0000EE"/>
                </w:rPr>
                <w:t>2</w:t>
              </w:r>
            </w:hyperlink>
          </w:p>
        </w:tc>
        <w:tc>
          <w:tcPr>
            <w:tcW w:w="0" w:type="dxa"/>
            <w:vAlign w:val="bottom"/>
          </w:tcPr>
          <w:p>
            <w:pPr>
              <w:spacing w:after="0"/>
              <w:rPr>
                <w:sz w:val="1"/>
                <w:szCs w:val="1"/>
                <w:color w:val="auto"/>
              </w:rPr>
            </w:pPr>
          </w:p>
        </w:tc>
      </w:tr>
      <w:tr>
        <w:trPr>
          <w:trHeight w:val="250"/>
        </w:trPr>
        <w:tc>
          <w:tcPr>
            <w:tcW w:w="500" w:type="dxa"/>
            <w:vAlign w:val="bottom"/>
            <w:tcBorders>
              <w:top w:val="single" w:sz="8" w:color="0000EE"/>
            </w:tcBorders>
          </w:tcPr>
          <w:p>
            <w:pPr>
              <w:spacing w:after="0"/>
              <w:rPr>
                <w:sz w:val="21"/>
                <w:szCs w:val="21"/>
                <w:color w:val="auto"/>
              </w:rPr>
            </w:pPr>
          </w:p>
        </w:tc>
        <w:tc>
          <w:tcPr>
            <w:tcW w:w="14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600" w:type="dxa"/>
            <w:vAlign w:val="bottom"/>
            <w:tcBorders>
              <w:top w:val="single" w:sz="8" w:color="0000EE"/>
            </w:tcBorders>
          </w:tcPr>
          <w:p>
            <w:pPr>
              <w:spacing w:after="0"/>
              <w:rPr>
                <w:sz w:val="21"/>
                <w:szCs w:val="21"/>
                <w:color w:val="auto"/>
              </w:rPr>
            </w:pPr>
          </w:p>
        </w:tc>
        <w:tc>
          <w:tcPr>
            <w:tcW w:w="20" w:type="dxa"/>
            <w:vAlign w:val="bottom"/>
            <w:tcBorders>
              <w:top w:val="single" w:sz="8" w:color="0000EE"/>
            </w:tcBorders>
          </w:tcPr>
          <w:p>
            <w:pPr>
              <w:spacing w:after="0"/>
              <w:rPr>
                <w:sz w:val="21"/>
                <w:szCs w:val="21"/>
                <w:color w:val="auto"/>
              </w:rPr>
            </w:pPr>
          </w:p>
        </w:tc>
        <w:tc>
          <w:tcPr>
            <w:tcW w:w="2940" w:type="dxa"/>
            <w:vAlign w:val="bottom"/>
            <w:tcBorders>
              <w:top w:val="single" w:sz="8" w:color="0000EE"/>
              <w:bottom w:val="single" w:sz="8" w:color="0000EE"/>
            </w:tcBorders>
            <w:gridSpan w:val="6"/>
          </w:tcPr>
          <w:p>
            <w:pPr>
              <w:spacing w:after="0"/>
              <w:rPr>
                <w:rFonts w:ascii="Arial" w:cs="Arial" w:eastAsia="Arial" w:hAnsi="Arial"/>
                <w:sz w:val="18"/>
                <w:szCs w:val="18"/>
                <w:color w:val="0000EE"/>
                <w:w w:val="87"/>
              </w:rPr>
            </w:pPr>
            <w:hyperlink w:anchor="page4">
              <w:r>
                <w:rPr>
                  <w:rFonts w:ascii="Arial" w:cs="Arial" w:eastAsia="Arial" w:hAnsi="Arial"/>
                  <w:sz w:val="18"/>
                  <w:szCs w:val="18"/>
                  <w:color w:val="0000EE"/>
                  <w:w w:val="87"/>
                </w:rPr>
                <w:t>Condensed Consolidated Balance Sheets</w:t>
              </w:r>
            </w:hyperlink>
          </w:p>
        </w:tc>
        <w:tc>
          <w:tcPr>
            <w:tcW w:w="700" w:type="dxa"/>
            <w:vAlign w:val="bottom"/>
            <w:tcBorders>
              <w:top w:val="single" w:sz="8" w:color="0000EE"/>
            </w:tcBorders>
            <w:gridSpan w:val="2"/>
          </w:tcPr>
          <w:p>
            <w:pPr>
              <w:spacing w:after="0"/>
              <w:rPr>
                <w:sz w:val="21"/>
                <w:szCs w:val="21"/>
                <w:color w:val="auto"/>
              </w:rPr>
            </w:pPr>
          </w:p>
        </w:tc>
        <w:tc>
          <w:tcPr>
            <w:tcW w:w="5180" w:type="dxa"/>
            <w:vAlign w:val="bottom"/>
            <w:gridSpan w:val="7"/>
          </w:tcPr>
          <w:p>
            <w:pPr>
              <w:spacing w:after="0"/>
              <w:rPr>
                <w:sz w:val="21"/>
                <w:szCs w:val="21"/>
                <w:color w:val="auto"/>
              </w:rPr>
            </w:pPr>
          </w:p>
        </w:tc>
        <w:tc>
          <w:tcPr>
            <w:tcW w:w="780" w:type="dxa"/>
            <w:vAlign w:val="bottom"/>
            <w:gridSpan w:val="2"/>
          </w:tcPr>
          <w:p>
            <w:pPr>
              <w:spacing w:after="0"/>
              <w:rPr>
                <w:sz w:val="21"/>
                <w:szCs w:val="21"/>
                <w:color w:val="auto"/>
              </w:rPr>
            </w:pPr>
          </w:p>
        </w:tc>
        <w:tc>
          <w:tcPr>
            <w:tcW w:w="100" w:type="dxa"/>
            <w:vAlign w:val="bottom"/>
            <w:tcBorders>
              <w:top w:val="single" w:sz="8" w:color="0000EE"/>
              <w:bottom w:val="single" w:sz="8" w:color="0000EE"/>
            </w:tcBorders>
          </w:tcPr>
          <w:p>
            <w:pPr>
              <w:jc w:val="right"/>
              <w:spacing w:after="0"/>
              <w:rPr>
                <w:rFonts w:ascii="Arial" w:cs="Arial" w:eastAsia="Arial" w:hAnsi="Arial"/>
                <w:sz w:val="18"/>
                <w:szCs w:val="18"/>
                <w:color w:val="0000EE"/>
                <w:w w:val="79"/>
              </w:rPr>
            </w:pPr>
            <w:hyperlink w:anchor="page4">
              <w:r>
                <w:rPr>
                  <w:rFonts w:ascii="Arial" w:cs="Arial" w:eastAsia="Arial" w:hAnsi="Arial"/>
                  <w:sz w:val="18"/>
                  <w:szCs w:val="18"/>
                  <w:color w:val="0000EE"/>
                  <w:w w:val="79"/>
                </w:rPr>
                <w:t>3</w:t>
              </w:r>
            </w:hyperlink>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5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820" w:type="dxa"/>
            <w:vAlign w:val="bottom"/>
            <w:gridSpan w:val="15"/>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Condensed Consolidated Statements of Operations and Comprehensive Income (Loss)</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5">
              <w:r>
                <w:rPr>
                  <w:rFonts w:ascii="Arial" w:cs="Arial" w:eastAsia="Arial" w:hAnsi="Arial"/>
                  <w:sz w:val="18"/>
                  <w:szCs w:val="18"/>
                  <w:color w:val="0000EE"/>
                </w:rPr>
                <w:t>4</w:t>
              </w:r>
            </w:hyperlink>
          </w:p>
        </w:tc>
        <w:tc>
          <w:tcPr>
            <w:tcW w:w="0" w:type="dxa"/>
            <w:vAlign w:val="bottom"/>
          </w:tcPr>
          <w:p>
            <w:pPr>
              <w:spacing w:after="0"/>
              <w:rPr>
                <w:sz w:val="1"/>
                <w:szCs w:val="1"/>
                <w:color w:val="auto"/>
              </w:rPr>
            </w:pPr>
          </w:p>
        </w:tc>
      </w:tr>
      <w:tr>
        <w:trPr>
          <w:trHeight w:val="250"/>
        </w:trPr>
        <w:tc>
          <w:tcPr>
            <w:tcW w:w="5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720" w:type="dxa"/>
            <w:vAlign w:val="bottom"/>
            <w:tcBorders>
              <w:top w:val="single" w:sz="8" w:color="0000EE"/>
              <w:bottom w:val="single" w:sz="8" w:color="0000EE"/>
            </w:tcBorders>
            <w:gridSpan w:val="9"/>
          </w:tcPr>
          <w:p>
            <w:pPr>
              <w:spacing w:after="0"/>
              <w:rPr>
                <w:rFonts w:ascii="Arial" w:cs="Arial" w:eastAsia="Arial" w:hAnsi="Arial"/>
                <w:sz w:val="18"/>
                <w:szCs w:val="18"/>
                <w:color w:val="0000EE"/>
                <w:w w:val="88"/>
              </w:rPr>
            </w:pPr>
            <w:hyperlink w:anchor="page6">
              <w:r>
                <w:rPr>
                  <w:rFonts w:ascii="Arial" w:cs="Arial" w:eastAsia="Arial" w:hAnsi="Arial"/>
                  <w:sz w:val="18"/>
                  <w:szCs w:val="18"/>
                  <w:color w:val="0000EE"/>
                  <w:w w:val="88"/>
                </w:rPr>
                <w:t>Condensed Consolidated Statements of Cash Flows</w:t>
              </w:r>
            </w:hyperlink>
          </w:p>
        </w:tc>
        <w:tc>
          <w:tcPr>
            <w:tcW w:w="2500" w:type="dxa"/>
            <w:vAlign w:val="bottom"/>
            <w:tcBorders>
              <w:top w:val="single" w:sz="8" w:color="0000EE"/>
            </w:tcBorders>
            <w:gridSpan w:val="5"/>
          </w:tcPr>
          <w:p>
            <w:pPr>
              <w:spacing w:after="0"/>
              <w:rPr>
                <w:sz w:val="21"/>
                <w:szCs w:val="21"/>
                <w:color w:val="auto"/>
              </w:rPr>
            </w:pPr>
          </w:p>
        </w:tc>
        <w:tc>
          <w:tcPr>
            <w:tcW w:w="2600" w:type="dxa"/>
            <w:vAlign w:val="bottom"/>
          </w:tcPr>
          <w:p>
            <w:pPr>
              <w:spacing w:after="0"/>
              <w:rPr>
                <w:sz w:val="21"/>
                <w:szCs w:val="21"/>
                <w:color w:val="auto"/>
              </w:rPr>
            </w:pPr>
          </w:p>
        </w:tc>
        <w:tc>
          <w:tcPr>
            <w:tcW w:w="780" w:type="dxa"/>
            <w:vAlign w:val="bottom"/>
            <w:gridSpan w:val="2"/>
          </w:tcPr>
          <w:p>
            <w:pPr>
              <w:spacing w:after="0"/>
              <w:rPr>
                <w:sz w:val="21"/>
                <w:szCs w:val="21"/>
                <w:color w:val="auto"/>
              </w:rPr>
            </w:pPr>
          </w:p>
        </w:tc>
        <w:tc>
          <w:tcPr>
            <w:tcW w:w="100" w:type="dxa"/>
            <w:vAlign w:val="bottom"/>
            <w:tcBorders>
              <w:top w:val="single" w:sz="8" w:color="0000EE"/>
              <w:bottom w:val="single" w:sz="8" w:color="0000EE"/>
            </w:tcBorders>
          </w:tcPr>
          <w:p>
            <w:pPr>
              <w:jc w:val="right"/>
              <w:spacing w:after="0"/>
              <w:rPr>
                <w:rFonts w:ascii="Arial" w:cs="Arial" w:eastAsia="Arial" w:hAnsi="Arial"/>
                <w:sz w:val="18"/>
                <w:szCs w:val="18"/>
                <w:color w:val="0000EE"/>
                <w:w w:val="79"/>
              </w:rPr>
            </w:pPr>
            <w:hyperlink w:anchor="page6">
              <w:r>
                <w:rPr>
                  <w:rFonts w:ascii="Arial" w:cs="Arial" w:eastAsia="Arial" w:hAnsi="Arial"/>
                  <w:sz w:val="18"/>
                  <w:szCs w:val="18"/>
                  <w:color w:val="0000EE"/>
                  <w:w w:val="79"/>
                </w:rPr>
                <w:t>5</w:t>
              </w:r>
            </w:hyperlink>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5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00" w:type="dxa"/>
            <w:vAlign w:val="bottom"/>
            <w:tcBorders>
              <w:bottom w:val="single" w:sz="8" w:color="0000EE"/>
            </w:tcBorders>
            <w:gridSpan w:val="10"/>
          </w:tcPr>
          <w:p>
            <w:pPr>
              <w:spacing w:after="0"/>
              <w:rPr>
                <w:rFonts w:ascii="Arial" w:cs="Arial" w:eastAsia="Arial" w:hAnsi="Arial"/>
                <w:sz w:val="18"/>
                <w:szCs w:val="18"/>
                <w:color w:val="0000EE"/>
                <w:w w:val="88"/>
              </w:rPr>
            </w:pPr>
            <w:hyperlink w:anchor="page7">
              <w:r>
                <w:rPr>
                  <w:rFonts w:ascii="Arial" w:cs="Arial" w:eastAsia="Arial" w:hAnsi="Arial"/>
                  <w:sz w:val="18"/>
                  <w:szCs w:val="18"/>
                  <w:color w:val="0000EE"/>
                  <w:w w:val="88"/>
                </w:rPr>
                <w:t>Notes to Condensed Consolidated Financial Statements</w:t>
              </w:r>
            </w:hyperlink>
          </w:p>
        </w:tc>
        <w:tc>
          <w:tcPr>
            <w:tcW w:w="4820" w:type="dxa"/>
            <w:vAlign w:val="bottom"/>
            <w:gridSpan w:val="5"/>
          </w:tcPr>
          <w:p>
            <w:pPr>
              <w:spacing w:after="0"/>
              <w:rPr>
                <w:sz w:val="21"/>
                <w:szCs w:val="21"/>
                <w:color w:val="auto"/>
              </w:rPr>
            </w:pPr>
          </w:p>
        </w:tc>
        <w:tc>
          <w:tcPr>
            <w:tcW w:w="780" w:type="dxa"/>
            <w:vAlign w:val="bottom"/>
            <w:gridSpan w:val="2"/>
          </w:tcPr>
          <w:p>
            <w:pPr>
              <w:spacing w:after="0"/>
              <w:rPr>
                <w:sz w:val="21"/>
                <w:szCs w:val="21"/>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7">
              <w:r>
                <w:rPr>
                  <w:rFonts w:ascii="Arial" w:cs="Arial" w:eastAsia="Arial" w:hAnsi="Arial"/>
                  <w:sz w:val="18"/>
                  <w:szCs w:val="18"/>
                  <w:color w:val="0000EE"/>
                  <w:w w:val="79"/>
                </w:rPr>
                <w:t>6</w:t>
              </w:r>
            </w:hyperlink>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1040" w:type="dxa"/>
            <w:vAlign w:val="bottom"/>
            <w:gridSpan w:val="3"/>
          </w:tcPr>
          <w:p>
            <w:pPr>
              <w:spacing w:after="0"/>
              <w:rPr>
                <w:rFonts w:ascii="Arial" w:cs="Arial" w:eastAsia="Arial" w:hAnsi="Arial"/>
                <w:sz w:val="18"/>
                <w:szCs w:val="18"/>
                <w:color w:val="0000EE"/>
              </w:rPr>
            </w:pPr>
            <w:hyperlink w:anchor="page20">
              <w:r>
                <w:rPr>
                  <w:rFonts w:ascii="Arial" w:cs="Arial" w:eastAsia="Arial" w:hAnsi="Arial"/>
                  <w:sz w:val="18"/>
                  <w:szCs w:val="18"/>
                  <w:color w:val="0000EE"/>
                </w:rPr>
                <w:t>Item 2.</w:t>
              </w:r>
            </w:hyperlink>
          </w:p>
        </w:tc>
        <w:tc>
          <w:tcPr>
            <w:tcW w:w="9440" w:type="dxa"/>
            <w:vAlign w:val="bottom"/>
            <w:gridSpan w:val="17"/>
          </w:tcPr>
          <w:p>
            <w:pPr>
              <w:spacing w:after="0"/>
              <w:rPr>
                <w:rFonts w:ascii="Arial" w:cs="Arial" w:eastAsia="Arial" w:hAnsi="Arial"/>
                <w:sz w:val="18"/>
                <w:szCs w:val="18"/>
                <w:color w:val="0000EE"/>
              </w:rPr>
            </w:pPr>
            <w:hyperlink w:anchor="page20">
              <w:r>
                <w:rPr>
                  <w:rFonts w:ascii="Arial" w:cs="Arial" w:eastAsia="Arial" w:hAnsi="Arial"/>
                  <w:sz w:val="18"/>
                  <w:szCs w:val="18"/>
                  <w:color w:val="0000EE"/>
                </w:rPr>
                <w:t>Management’s Discussion and Analysis of Financial Condition and Results of Operations</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20">
              <w:r>
                <w:rPr>
                  <w:rFonts w:ascii="Arial" w:cs="Arial" w:eastAsia="Arial" w:hAnsi="Arial"/>
                  <w:sz w:val="18"/>
                  <w:szCs w:val="18"/>
                  <w:color w:val="0000EE"/>
                </w:rPr>
                <w:t>19</w:t>
              </w:r>
            </w:hyperlink>
          </w:p>
        </w:tc>
        <w:tc>
          <w:tcPr>
            <w:tcW w:w="0" w:type="dxa"/>
            <w:vAlign w:val="bottom"/>
          </w:tcPr>
          <w:p>
            <w:pPr>
              <w:spacing w:after="0"/>
              <w:rPr>
                <w:sz w:val="1"/>
                <w:szCs w:val="1"/>
                <w:color w:val="auto"/>
              </w:rPr>
            </w:pPr>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1500" w:type="dxa"/>
            <w:vAlign w:val="bottom"/>
            <w:gridSpan w:val="2"/>
            <w:shd w:val="clear" w:color="auto" w:fill="0000EE"/>
          </w:tcPr>
          <w:p>
            <w:pPr>
              <w:spacing w:after="0" w:line="20" w:lineRule="exact"/>
              <w:rPr>
                <w:sz w:val="1"/>
                <w:szCs w:val="1"/>
                <w:color w:val="auto"/>
              </w:rPr>
            </w:pPr>
          </w:p>
        </w:tc>
        <w:tc>
          <w:tcPr>
            <w:tcW w:w="980" w:type="dxa"/>
            <w:vAlign w:val="bottom"/>
            <w:gridSpan w:val="2"/>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1680" w:type="dxa"/>
            <w:vAlign w:val="bottom"/>
            <w:gridSpan w:val="2"/>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98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040" w:type="dxa"/>
            <w:vAlign w:val="bottom"/>
            <w:gridSpan w:val="3"/>
          </w:tcPr>
          <w:p>
            <w:pPr>
              <w:spacing w:after="0"/>
              <w:rPr>
                <w:rFonts w:ascii="Arial" w:cs="Arial" w:eastAsia="Arial" w:hAnsi="Arial"/>
                <w:sz w:val="18"/>
                <w:szCs w:val="18"/>
                <w:color w:val="0000EE"/>
              </w:rPr>
            </w:pPr>
            <w:hyperlink w:anchor="page28">
              <w:r>
                <w:rPr>
                  <w:rFonts w:ascii="Arial" w:cs="Arial" w:eastAsia="Arial" w:hAnsi="Arial"/>
                  <w:sz w:val="18"/>
                  <w:szCs w:val="18"/>
                  <w:color w:val="0000EE"/>
                </w:rPr>
                <w:t>Item 3.</w:t>
              </w:r>
            </w:hyperlink>
          </w:p>
        </w:tc>
        <w:tc>
          <w:tcPr>
            <w:tcW w:w="9440" w:type="dxa"/>
            <w:vAlign w:val="bottom"/>
            <w:gridSpan w:val="17"/>
          </w:tcPr>
          <w:p>
            <w:pPr>
              <w:spacing w:after="0"/>
              <w:rPr>
                <w:rFonts w:ascii="Arial" w:cs="Arial" w:eastAsia="Arial" w:hAnsi="Arial"/>
                <w:sz w:val="18"/>
                <w:szCs w:val="18"/>
                <w:color w:val="0000EE"/>
              </w:rPr>
            </w:pPr>
            <w:hyperlink w:anchor="page28">
              <w:r>
                <w:rPr>
                  <w:rFonts w:ascii="Arial" w:cs="Arial" w:eastAsia="Arial" w:hAnsi="Arial"/>
                  <w:sz w:val="18"/>
                  <w:szCs w:val="18"/>
                  <w:color w:val="0000EE"/>
                </w:rPr>
                <w:t>Quantitative and Qualitative Disclosure about Market Risk</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28">
              <w:r>
                <w:rPr>
                  <w:rFonts w:ascii="Arial" w:cs="Arial" w:eastAsia="Arial" w:hAnsi="Arial"/>
                  <w:sz w:val="18"/>
                  <w:szCs w:val="18"/>
                  <w:color w:val="0000EE"/>
                </w:rPr>
                <w:t>27</w:t>
              </w:r>
            </w:hyperlink>
          </w:p>
        </w:tc>
        <w:tc>
          <w:tcPr>
            <w:tcW w:w="0" w:type="dxa"/>
            <w:vAlign w:val="bottom"/>
          </w:tcPr>
          <w:p>
            <w:pPr>
              <w:spacing w:after="0"/>
              <w:rPr>
                <w:sz w:val="1"/>
                <w:szCs w:val="1"/>
                <w:color w:val="auto"/>
              </w:rPr>
            </w:pPr>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1500" w:type="dxa"/>
            <w:vAlign w:val="bottom"/>
            <w:gridSpan w:val="2"/>
            <w:shd w:val="clear" w:color="auto" w:fill="0000EE"/>
          </w:tcPr>
          <w:p>
            <w:pPr>
              <w:spacing w:after="0" w:line="20" w:lineRule="exact"/>
              <w:rPr>
                <w:sz w:val="1"/>
                <w:szCs w:val="1"/>
                <w:color w:val="auto"/>
              </w:rPr>
            </w:pPr>
          </w:p>
        </w:tc>
        <w:tc>
          <w:tcPr>
            <w:tcW w:w="980" w:type="dxa"/>
            <w:vAlign w:val="bottom"/>
            <w:gridSpan w:val="2"/>
            <w:shd w:val="clear" w:color="auto" w:fill="0000EE"/>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680" w:type="dxa"/>
            <w:vAlign w:val="bottom"/>
            <w:gridSpan w:val="2"/>
          </w:tcPr>
          <w:p>
            <w:pPr>
              <w:spacing w:after="0" w:line="20" w:lineRule="exact"/>
              <w:rPr>
                <w:sz w:val="1"/>
                <w:szCs w:val="1"/>
                <w:color w:val="auto"/>
              </w:rPr>
            </w:pPr>
          </w:p>
        </w:tc>
        <w:tc>
          <w:tcPr>
            <w:tcW w:w="3420" w:type="dxa"/>
            <w:vAlign w:val="bottom"/>
            <w:gridSpan w:val="4"/>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040" w:type="dxa"/>
            <w:vAlign w:val="bottom"/>
            <w:gridSpan w:val="3"/>
          </w:tcPr>
          <w:p>
            <w:pPr>
              <w:spacing w:after="0"/>
              <w:rPr>
                <w:rFonts w:ascii="Arial" w:cs="Arial" w:eastAsia="Arial" w:hAnsi="Arial"/>
                <w:sz w:val="18"/>
                <w:szCs w:val="18"/>
                <w:color w:val="0000EE"/>
              </w:rPr>
            </w:pPr>
            <w:hyperlink w:anchor="page29">
              <w:r>
                <w:rPr>
                  <w:rFonts w:ascii="Arial" w:cs="Arial" w:eastAsia="Arial" w:hAnsi="Arial"/>
                  <w:sz w:val="18"/>
                  <w:szCs w:val="18"/>
                  <w:color w:val="0000EE"/>
                </w:rPr>
                <w:t>Item 4.</w:t>
              </w:r>
            </w:hyperlink>
          </w:p>
        </w:tc>
        <w:tc>
          <w:tcPr>
            <w:tcW w:w="9440" w:type="dxa"/>
            <w:vAlign w:val="bottom"/>
            <w:gridSpan w:val="17"/>
          </w:tcPr>
          <w:p>
            <w:pPr>
              <w:spacing w:after="0"/>
              <w:rPr>
                <w:rFonts w:ascii="Arial" w:cs="Arial" w:eastAsia="Arial" w:hAnsi="Arial"/>
                <w:sz w:val="18"/>
                <w:szCs w:val="18"/>
                <w:color w:val="0000EE"/>
              </w:rPr>
            </w:pPr>
            <w:hyperlink w:anchor="page29">
              <w:r>
                <w:rPr>
                  <w:rFonts w:ascii="Arial" w:cs="Arial" w:eastAsia="Arial" w:hAnsi="Arial"/>
                  <w:sz w:val="18"/>
                  <w:szCs w:val="18"/>
                  <w:color w:val="0000EE"/>
                </w:rPr>
                <w:t>Controls and Procedures</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29">
              <w:r>
                <w:rPr>
                  <w:rFonts w:ascii="Arial" w:cs="Arial" w:eastAsia="Arial" w:hAnsi="Arial"/>
                  <w:sz w:val="18"/>
                  <w:szCs w:val="18"/>
                  <w:color w:val="0000EE"/>
                </w:rPr>
                <w:t>28</w:t>
              </w:r>
            </w:hyperlink>
          </w:p>
        </w:tc>
        <w:tc>
          <w:tcPr>
            <w:tcW w:w="0" w:type="dxa"/>
            <w:vAlign w:val="bottom"/>
          </w:tcPr>
          <w:p>
            <w:pPr>
              <w:spacing w:after="0"/>
              <w:rPr>
                <w:sz w:val="1"/>
                <w:szCs w:val="1"/>
                <w:color w:val="auto"/>
              </w:rPr>
            </w:pPr>
          </w:p>
        </w:tc>
      </w:tr>
      <w:tr>
        <w:trPr>
          <w:trHeight w:val="547"/>
        </w:trPr>
        <w:tc>
          <w:tcPr>
            <w:tcW w:w="500" w:type="dxa"/>
            <w:vAlign w:val="bottom"/>
            <w:tcBorders>
              <w:top w:val="single" w:sz="8" w:color="0000EE"/>
            </w:tcBorders>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80" w:type="dxa"/>
            <w:vAlign w:val="bottom"/>
            <w:tcBorders>
              <w:top w:val="single" w:sz="8" w:color="0000EE"/>
            </w:tcBorders>
          </w:tcPr>
          <w:p>
            <w:pPr>
              <w:spacing w:after="0"/>
              <w:rPr>
                <w:sz w:val="24"/>
                <w:szCs w:val="24"/>
                <w:color w:val="auto"/>
              </w:rPr>
            </w:pPr>
          </w:p>
        </w:tc>
        <w:tc>
          <w:tcPr>
            <w:tcW w:w="420" w:type="dxa"/>
            <w:vAlign w:val="bottom"/>
            <w:tcBorders>
              <w:top w:val="single" w:sz="8" w:color="0000EE"/>
            </w:tcBorders>
          </w:tcPr>
          <w:p>
            <w:pPr>
              <w:spacing w:after="0"/>
              <w:rPr>
                <w:sz w:val="24"/>
                <w:szCs w:val="24"/>
                <w:color w:val="auto"/>
              </w:rPr>
            </w:pPr>
          </w:p>
        </w:tc>
        <w:tc>
          <w:tcPr>
            <w:tcW w:w="440" w:type="dxa"/>
            <w:vAlign w:val="bottom"/>
            <w:tcBorders>
              <w:top w:val="single" w:sz="8" w:color="0000EE"/>
            </w:tcBorders>
          </w:tcPr>
          <w:p>
            <w:pPr>
              <w:spacing w:after="0"/>
              <w:rPr>
                <w:sz w:val="24"/>
                <w:szCs w:val="24"/>
                <w:color w:val="auto"/>
              </w:rPr>
            </w:pPr>
          </w:p>
        </w:tc>
        <w:tc>
          <w:tcPr>
            <w:tcW w:w="1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760" w:type="dxa"/>
            <w:vAlign w:val="bottom"/>
            <w:tcBorders>
              <w:bottom w:val="single" w:sz="8" w:color="0000EE"/>
            </w:tcBorders>
            <w:gridSpan w:val="6"/>
          </w:tcPr>
          <w:p>
            <w:pPr>
              <w:jc w:val="center"/>
              <w:spacing w:after="0"/>
              <w:rPr>
                <w:rFonts w:ascii="Arial" w:cs="Arial" w:eastAsia="Arial" w:hAnsi="Arial"/>
                <w:sz w:val="18"/>
                <w:szCs w:val="18"/>
                <w:b w:val="1"/>
                <w:bCs w:val="1"/>
                <w:color w:val="0000EE"/>
              </w:rPr>
            </w:pPr>
            <w:hyperlink w:anchor="page30">
              <w:r>
                <w:rPr>
                  <w:rFonts w:ascii="Arial" w:cs="Arial" w:eastAsia="Arial" w:hAnsi="Arial"/>
                  <w:sz w:val="18"/>
                  <w:szCs w:val="18"/>
                  <w:b w:val="1"/>
                  <w:bCs w:val="1"/>
                  <w:color w:val="0000EE"/>
                </w:rPr>
                <w:t>PART II. OTHER INFORMATION</w:t>
              </w:r>
            </w:hyperlink>
          </w:p>
        </w:tc>
        <w:tc>
          <w:tcPr>
            <w:tcW w:w="3420" w:type="dxa"/>
            <w:vAlign w:val="bottom"/>
            <w:gridSpan w:val="4"/>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1040" w:type="dxa"/>
            <w:vAlign w:val="bottom"/>
            <w:gridSpan w:val="3"/>
          </w:tcPr>
          <w:p>
            <w:pPr>
              <w:spacing w:after="0"/>
              <w:rPr>
                <w:rFonts w:ascii="Arial" w:cs="Arial" w:eastAsia="Arial" w:hAnsi="Arial"/>
                <w:sz w:val="18"/>
                <w:szCs w:val="18"/>
                <w:color w:val="0000EE"/>
              </w:rPr>
            </w:pPr>
            <w:hyperlink w:anchor="page30">
              <w:r>
                <w:rPr>
                  <w:rFonts w:ascii="Arial" w:cs="Arial" w:eastAsia="Arial" w:hAnsi="Arial"/>
                  <w:sz w:val="18"/>
                  <w:szCs w:val="18"/>
                  <w:color w:val="0000EE"/>
                </w:rPr>
                <w:t>Item 1.</w:t>
              </w:r>
            </w:hyperlink>
          </w:p>
        </w:tc>
        <w:tc>
          <w:tcPr>
            <w:tcW w:w="9440" w:type="dxa"/>
            <w:vAlign w:val="bottom"/>
            <w:gridSpan w:val="17"/>
          </w:tcPr>
          <w:p>
            <w:pPr>
              <w:spacing w:after="0"/>
              <w:rPr>
                <w:rFonts w:ascii="Arial" w:cs="Arial" w:eastAsia="Arial" w:hAnsi="Arial"/>
                <w:sz w:val="18"/>
                <w:szCs w:val="18"/>
                <w:color w:val="0000EE"/>
              </w:rPr>
            </w:pPr>
            <w:hyperlink w:anchor="page30">
              <w:r>
                <w:rPr>
                  <w:rFonts w:ascii="Arial" w:cs="Arial" w:eastAsia="Arial" w:hAnsi="Arial"/>
                  <w:sz w:val="18"/>
                  <w:szCs w:val="18"/>
                  <w:color w:val="0000EE"/>
                </w:rPr>
                <w:t>Legal Proceedings</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30">
              <w:r>
                <w:rPr>
                  <w:rFonts w:ascii="Arial" w:cs="Arial" w:eastAsia="Arial" w:hAnsi="Arial"/>
                  <w:sz w:val="18"/>
                  <w:szCs w:val="18"/>
                  <w:color w:val="0000EE"/>
                </w:rPr>
                <w:t>29</w:t>
              </w:r>
            </w:hyperlink>
          </w:p>
        </w:tc>
        <w:tc>
          <w:tcPr>
            <w:tcW w:w="0" w:type="dxa"/>
            <w:vAlign w:val="bottom"/>
          </w:tcPr>
          <w:p>
            <w:pPr>
              <w:spacing w:after="0"/>
              <w:rPr>
                <w:sz w:val="1"/>
                <w:szCs w:val="1"/>
                <w:color w:val="auto"/>
              </w:rPr>
            </w:pPr>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020" w:type="dxa"/>
            <w:vAlign w:val="bottom"/>
            <w:gridSpan w:val="7"/>
          </w:tcPr>
          <w:p>
            <w:pPr>
              <w:spacing w:after="0" w:line="20" w:lineRule="exact"/>
              <w:rPr>
                <w:sz w:val="1"/>
                <w:szCs w:val="1"/>
                <w:color w:val="auto"/>
              </w:rPr>
            </w:pPr>
          </w:p>
        </w:tc>
        <w:tc>
          <w:tcPr>
            <w:tcW w:w="5100" w:type="dxa"/>
            <w:vAlign w:val="bottom"/>
            <w:gridSpan w:val="6"/>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40" w:type="dxa"/>
            <w:vAlign w:val="bottom"/>
            <w:gridSpan w:val="2"/>
          </w:tcPr>
          <w:p>
            <w:pPr>
              <w:spacing w:after="0"/>
              <w:rPr>
                <w:rFonts w:ascii="Arial" w:cs="Arial" w:eastAsia="Arial" w:hAnsi="Arial"/>
                <w:sz w:val="18"/>
                <w:szCs w:val="18"/>
                <w:color w:val="0000EE"/>
                <w:w w:val="92"/>
              </w:rPr>
            </w:pPr>
            <w:hyperlink w:anchor="page30">
              <w:r>
                <w:rPr>
                  <w:rFonts w:ascii="Arial" w:cs="Arial" w:eastAsia="Arial" w:hAnsi="Arial"/>
                  <w:sz w:val="18"/>
                  <w:szCs w:val="18"/>
                  <w:color w:val="0000EE"/>
                  <w:w w:val="92"/>
                </w:rPr>
                <w:t>Item 1A.</w:t>
              </w:r>
            </w:hyperlink>
          </w:p>
        </w:tc>
        <w:tc>
          <w:tcPr>
            <w:tcW w:w="400" w:type="dxa"/>
            <w:vAlign w:val="bottom"/>
          </w:tcPr>
          <w:p>
            <w:pPr>
              <w:spacing w:after="0"/>
              <w:rPr>
                <w:sz w:val="21"/>
                <w:szCs w:val="21"/>
                <w:color w:val="auto"/>
              </w:rPr>
            </w:pPr>
          </w:p>
        </w:tc>
        <w:tc>
          <w:tcPr>
            <w:tcW w:w="900" w:type="dxa"/>
            <w:vAlign w:val="bottom"/>
            <w:gridSpan w:val="3"/>
          </w:tcPr>
          <w:p>
            <w:pPr>
              <w:spacing w:after="0"/>
              <w:rPr>
                <w:rFonts w:ascii="Arial" w:cs="Arial" w:eastAsia="Arial" w:hAnsi="Arial"/>
                <w:sz w:val="18"/>
                <w:szCs w:val="18"/>
                <w:color w:val="0000EE"/>
                <w:w w:val="87"/>
              </w:rPr>
            </w:pPr>
            <w:hyperlink w:anchor="page30">
              <w:r>
                <w:rPr>
                  <w:rFonts w:ascii="Arial" w:cs="Arial" w:eastAsia="Arial" w:hAnsi="Arial"/>
                  <w:sz w:val="18"/>
                  <w:szCs w:val="18"/>
                  <w:color w:val="0000EE"/>
                  <w:w w:val="87"/>
                </w:rPr>
                <w:t>Risk Factors</w:t>
              </w:r>
            </w:hyperlink>
          </w:p>
        </w:tc>
        <w:tc>
          <w:tcPr>
            <w:tcW w:w="8540" w:type="dxa"/>
            <w:vAlign w:val="bottom"/>
            <w:gridSpan w:val="14"/>
          </w:tcPr>
          <w:p>
            <w:pPr>
              <w:spacing w:after="0"/>
              <w:rPr>
                <w:sz w:val="21"/>
                <w:szCs w:val="21"/>
                <w:color w:val="auto"/>
              </w:rPr>
            </w:pPr>
          </w:p>
        </w:tc>
        <w:tc>
          <w:tcPr>
            <w:tcW w:w="900" w:type="dxa"/>
            <w:vAlign w:val="bottom"/>
            <w:gridSpan w:val="4"/>
          </w:tcPr>
          <w:p>
            <w:pPr>
              <w:jc w:val="right"/>
              <w:ind w:right="20"/>
              <w:spacing w:after="0"/>
              <w:rPr>
                <w:rFonts w:ascii="Arial" w:cs="Arial" w:eastAsia="Arial" w:hAnsi="Arial"/>
                <w:sz w:val="18"/>
                <w:szCs w:val="18"/>
                <w:color w:val="0000EE"/>
              </w:rPr>
            </w:pPr>
            <w:hyperlink w:anchor="page30">
              <w:r>
                <w:rPr>
                  <w:rFonts w:ascii="Arial" w:cs="Arial" w:eastAsia="Arial" w:hAnsi="Arial"/>
                  <w:sz w:val="18"/>
                  <w:szCs w:val="18"/>
                  <w:color w:val="0000EE"/>
                </w:rPr>
                <w:t>29</w:t>
              </w:r>
            </w:hyperlink>
          </w:p>
        </w:tc>
        <w:tc>
          <w:tcPr>
            <w:tcW w:w="0" w:type="dxa"/>
            <w:vAlign w:val="bottom"/>
          </w:tcPr>
          <w:p>
            <w:pPr>
              <w:spacing w:after="0"/>
              <w:rPr>
                <w:sz w:val="1"/>
                <w:szCs w:val="1"/>
                <w:color w:val="auto"/>
              </w:rPr>
            </w:pPr>
          </w:p>
        </w:tc>
      </w:tr>
      <w:tr>
        <w:trPr>
          <w:trHeight w:val="20"/>
        </w:trPr>
        <w:tc>
          <w:tcPr>
            <w:tcW w:w="640" w:type="dxa"/>
            <w:vAlign w:val="bottom"/>
            <w:gridSpan w:val="2"/>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3440" w:type="dxa"/>
            <w:vAlign w:val="bottom"/>
            <w:gridSpan w:val="8"/>
          </w:tcPr>
          <w:p>
            <w:pPr>
              <w:spacing w:after="0" w:line="20" w:lineRule="exact"/>
              <w:rPr>
                <w:sz w:val="1"/>
                <w:szCs w:val="1"/>
                <w:color w:val="auto"/>
              </w:rPr>
            </w:pPr>
          </w:p>
        </w:tc>
        <w:tc>
          <w:tcPr>
            <w:tcW w:w="5100" w:type="dxa"/>
            <w:vAlign w:val="bottom"/>
            <w:gridSpan w:val="6"/>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40" w:type="dxa"/>
            <w:vAlign w:val="bottom"/>
            <w:gridSpan w:val="2"/>
          </w:tcPr>
          <w:p>
            <w:pPr>
              <w:spacing w:after="0"/>
              <w:rPr>
                <w:rFonts w:ascii="Arial" w:cs="Arial" w:eastAsia="Arial" w:hAnsi="Arial"/>
                <w:sz w:val="18"/>
                <w:szCs w:val="18"/>
                <w:color w:val="0000EE"/>
              </w:rPr>
            </w:pPr>
            <w:hyperlink w:anchor="page31">
              <w:r>
                <w:rPr>
                  <w:rFonts w:ascii="Arial" w:cs="Arial" w:eastAsia="Arial" w:hAnsi="Arial"/>
                  <w:sz w:val="18"/>
                  <w:szCs w:val="18"/>
                  <w:color w:val="0000EE"/>
                </w:rPr>
                <w:t>Item 2.</w:t>
              </w:r>
            </w:hyperlink>
          </w:p>
        </w:tc>
        <w:tc>
          <w:tcPr>
            <w:tcW w:w="400" w:type="dxa"/>
            <w:vAlign w:val="bottom"/>
          </w:tcPr>
          <w:p>
            <w:pPr>
              <w:spacing w:after="0"/>
              <w:rPr>
                <w:sz w:val="21"/>
                <w:szCs w:val="21"/>
                <w:color w:val="auto"/>
              </w:rPr>
            </w:pPr>
          </w:p>
        </w:tc>
        <w:tc>
          <w:tcPr>
            <w:tcW w:w="9440" w:type="dxa"/>
            <w:vAlign w:val="bottom"/>
            <w:gridSpan w:val="17"/>
          </w:tcPr>
          <w:p>
            <w:pPr>
              <w:spacing w:after="0"/>
              <w:rPr>
                <w:rFonts w:ascii="Arial" w:cs="Arial" w:eastAsia="Arial" w:hAnsi="Arial"/>
                <w:sz w:val="18"/>
                <w:szCs w:val="18"/>
                <w:color w:val="0000EE"/>
              </w:rPr>
            </w:pPr>
            <w:hyperlink w:anchor="page31">
              <w:r>
                <w:rPr>
                  <w:rFonts w:ascii="Arial" w:cs="Arial" w:eastAsia="Arial" w:hAnsi="Arial"/>
                  <w:sz w:val="18"/>
                  <w:szCs w:val="18"/>
                  <w:color w:val="0000EE"/>
                </w:rPr>
                <w:t>Unregistered Sales of Equity Securities and Use of Proceeds</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31">
              <w:r>
                <w:rPr>
                  <w:rFonts w:ascii="Arial" w:cs="Arial" w:eastAsia="Arial" w:hAnsi="Arial"/>
                  <w:sz w:val="18"/>
                  <w:szCs w:val="18"/>
                  <w:color w:val="0000EE"/>
                </w:rPr>
                <w:t>30</w:t>
              </w:r>
            </w:hyperlink>
          </w:p>
        </w:tc>
        <w:tc>
          <w:tcPr>
            <w:tcW w:w="0" w:type="dxa"/>
            <w:vAlign w:val="bottom"/>
          </w:tcPr>
          <w:p>
            <w:pPr>
              <w:spacing w:after="0"/>
              <w:rPr>
                <w:sz w:val="1"/>
                <w:szCs w:val="1"/>
                <w:color w:val="auto"/>
              </w:rPr>
            </w:pPr>
          </w:p>
        </w:tc>
      </w:tr>
      <w:tr>
        <w:trPr>
          <w:trHeight w:val="20"/>
        </w:trPr>
        <w:tc>
          <w:tcPr>
            <w:tcW w:w="500" w:type="dxa"/>
            <w:vAlign w:val="bottom"/>
            <w:shd w:val="clear" w:color="auto" w:fill="0000EE"/>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740" w:type="dxa"/>
            <w:vAlign w:val="bottom"/>
            <w:gridSpan w:val="10"/>
            <w:shd w:val="clear" w:color="auto" w:fill="0000EE"/>
          </w:tcPr>
          <w:p>
            <w:pPr>
              <w:spacing w:after="0" w:line="20" w:lineRule="exact"/>
              <w:rPr>
                <w:sz w:val="1"/>
                <w:szCs w:val="1"/>
                <w:color w:val="auto"/>
              </w:rPr>
            </w:pPr>
          </w:p>
        </w:tc>
        <w:tc>
          <w:tcPr>
            <w:tcW w:w="5100" w:type="dxa"/>
            <w:vAlign w:val="bottom"/>
            <w:gridSpan w:val="6"/>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040" w:type="dxa"/>
            <w:vAlign w:val="bottom"/>
            <w:gridSpan w:val="3"/>
          </w:tcPr>
          <w:p>
            <w:pPr>
              <w:spacing w:after="0"/>
              <w:rPr>
                <w:rFonts w:ascii="Arial" w:cs="Arial" w:eastAsia="Arial" w:hAnsi="Arial"/>
                <w:sz w:val="18"/>
                <w:szCs w:val="18"/>
                <w:color w:val="0000EE"/>
              </w:rPr>
            </w:pPr>
            <w:hyperlink w:anchor="page32">
              <w:r>
                <w:rPr>
                  <w:rFonts w:ascii="Arial" w:cs="Arial" w:eastAsia="Arial" w:hAnsi="Arial"/>
                  <w:sz w:val="18"/>
                  <w:szCs w:val="18"/>
                  <w:color w:val="0000EE"/>
                </w:rPr>
                <w:t>Item 6.</w:t>
              </w:r>
            </w:hyperlink>
          </w:p>
        </w:tc>
        <w:tc>
          <w:tcPr>
            <w:tcW w:w="9440" w:type="dxa"/>
            <w:vAlign w:val="bottom"/>
            <w:gridSpan w:val="17"/>
          </w:tcPr>
          <w:p>
            <w:pPr>
              <w:spacing w:after="0"/>
              <w:rPr>
                <w:rFonts w:ascii="Arial" w:cs="Arial" w:eastAsia="Arial" w:hAnsi="Arial"/>
                <w:sz w:val="18"/>
                <w:szCs w:val="18"/>
                <w:color w:val="0000EE"/>
              </w:rPr>
            </w:pPr>
            <w:hyperlink w:anchor="page32">
              <w:r>
                <w:rPr>
                  <w:rFonts w:ascii="Arial" w:cs="Arial" w:eastAsia="Arial" w:hAnsi="Arial"/>
                  <w:sz w:val="18"/>
                  <w:szCs w:val="18"/>
                  <w:color w:val="0000EE"/>
                </w:rPr>
                <w:t>Exhibits</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32">
              <w:r>
                <w:rPr>
                  <w:rFonts w:ascii="Arial" w:cs="Arial" w:eastAsia="Arial" w:hAnsi="Arial"/>
                  <w:sz w:val="18"/>
                  <w:szCs w:val="18"/>
                  <w:color w:val="0000EE"/>
                </w:rPr>
                <w:t>31</w:t>
              </w:r>
            </w:hyperlink>
          </w:p>
        </w:tc>
        <w:tc>
          <w:tcPr>
            <w:tcW w:w="0" w:type="dxa"/>
            <w:vAlign w:val="bottom"/>
          </w:tcPr>
          <w:p>
            <w:pPr>
              <w:spacing w:after="0"/>
              <w:rPr>
                <w:sz w:val="1"/>
                <w:szCs w:val="1"/>
                <w:color w:val="auto"/>
              </w:rPr>
            </w:pPr>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ind w:left="40"/>
        <w:spacing w:after="0"/>
        <w:rPr>
          <w:rFonts w:ascii="Arial" w:cs="Arial" w:eastAsia="Arial" w:hAnsi="Arial"/>
          <w:sz w:val="18"/>
          <w:szCs w:val="18"/>
          <w:u w:val="single" w:color="auto"/>
          <w:color w:val="0000EE"/>
        </w:rPr>
      </w:pPr>
      <w:hyperlink w:anchor="page33">
        <w:r>
          <w:rPr>
            <w:rFonts w:ascii="Arial" w:cs="Arial" w:eastAsia="Arial" w:hAnsi="Arial"/>
            <w:sz w:val="18"/>
            <w:szCs w:val="18"/>
            <w:u w:val="single" w:color="auto"/>
            <w:color w:val="0000EE"/>
          </w:rPr>
          <w:t>Signatures</w:t>
        </w:r>
      </w:hyperlink>
    </w:p>
    <w:p>
      <w:pPr>
        <w:sectPr>
          <w:pgSz w:w="11900" w:h="16838" w:orient="portrait"/>
          <w:cols w:equalWidth="0" w:num="1">
            <w:col w:w="11420"/>
          </w:cols>
          <w:pgMar w:left="240" w:top="125" w:right="23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1220"/>
        <w:spacing w:after="0"/>
        <w:rPr>
          <w:sz w:val="20"/>
          <w:szCs w:val="20"/>
          <w:color w:val="auto"/>
        </w:rPr>
      </w:pPr>
      <w:r>
        <w:rPr>
          <w:rFonts w:ascii="Arial" w:cs="Arial" w:eastAsia="Arial" w:hAnsi="Arial"/>
          <w:sz w:val="18"/>
          <w:szCs w:val="18"/>
          <w:b w:val="1"/>
          <w:bCs w:val="1"/>
          <w:color w:val="auto"/>
        </w:rPr>
        <w:t>PART I - FINANCIAL INFORMATION</w:t>
      </w:r>
    </w:p>
    <w:p>
      <w:pPr>
        <w:spacing w:after="0" w:line="225" w:lineRule="exact"/>
        <w:rPr>
          <w:sz w:val="20"/>
          <w:szCs w:val="20"/>
          <w:color w:val="auto"/>
        </w:rPr>
      </w:pPr>
    </w:p>
    <w:p>
      <w:pPr>
        <w:jc w:val="right"/>
        <w:ind w:right="1659"/>
        <w:spacing w:after="0"/>
        <w:rPr>
          <w:sz w:val="20"/>
          <w:szCs w:val="20"/>
          <w:color w:val="auto"/>
        </w:rPr>
      </w:pPr>
      <w:r>
        <w:rPr>
          <w:rFonts w:ascii="Arial" w:cs="Arial" w:eastAsia="Arial" w:hAnsi="Arial"/>
          <w:sz w:val="18"/>
          <w:szCs w:val="18"/>
          <w:b w:val="1"/>
          <w:bCs w:val="1"/>
          <w:color w:val="auto"/>
        </w:rPr>
        <w:t>ITEM 1. CONDENSED CONSOLIDATED FINANCIAL STATEMENTS.</w:t>
      </w:r>
    </w:p>
    <w:p>
      <w:pPr>
        <w:spacing w:after="0" w:line="200" w:lineRule="exact"/>
        <w:rPr>
          <w:sz w:val="20"/>
          <w:szCs w:val="20"/>
          <w:color w:val="auto"/>
        </w:rPr>
      </w:pPr>
    </w:p>
    <w:p>
      <w:pPr>
        <w:spacing w:after="0" w:line="272"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219"/>
          </w:cols>
          <w:pgMar w:left="240" w:top="125" w:right="1440"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00" w:type="dxa"/>
            <w:vAlign w:val="bottom"/>
            <w:gridSpan w:val="2"/>
          </w:tcPr>
          <w:p>
            <w:pPr>
              <w:ind w:left="180"/>
              <w:spacing w:after="0"/>
              <w:rPr>
                <w:sz w:val="20"/>
                <w:szCs w:val="20"/>
                <w:color w:val="auto"/>
              </w:rPr>
            </w:pPr>
            <w:r>
              <w:rPr>
                <w:rFonts w:ascii="Arial" w:cs="Arial" w:eastAsia="Arial" w:hAnsi="Arial"/>
                <w:sz w:val="14"/>
                <w:szCs w:val="14"/>
                <w:b w:val="1"/>
                <w:bCs w:val="1"/>
                <w:color w:val="auto"/>
              </w:rPr>
              <w:t>June 30,</w:t>
            </w:r>
          </w:p>
        </w:tc>
        <w:tc>
          <w:tcPr>
            <w:tcW w:w="220" w:type="dxa"/>
            <w:vAlign w:val="bottom"/>
          </w:tcPr>
          <w:p>
            <w:pPr>
              <w:spacing w:after="0"/>
              <w:rPr>
                <w:sz w:val="14"/>
                <w:szCs w:val="14"/>
                <w:color w:val="auto"/>
              </w:rPr>
            </w:pPr>
          </w:p>
        </w:tc>
        <w:tc>
          <w:tcPr>
            <w:tcW w:w="1260" w:type="dxa"/>
            <w:vAlign w:val="bottom"/>
          </w:tcPr>
          <w:p>
            <w:pPr>
              <w:jc w:val="right"/>
              <w:ind w:right="251"/>
              <w:spacing w:after="0"/>
              <w:rPr>
                <w:sz w:val="20"/>
                <w:szCs w:val="20"/>
                <w:color w:val="auto"/>
              </w:rPr>
            </w:pPr>
            <w:r>
              <w:rPr>
                <w:rFonts w:ascii="Arial" w:cs="Arial" w:eastAsia="Arial" w:hAnsi="Arial"/>
                <w:sz w:val="14"/>
                <w:szCs w:val="14"/>
                <w:b w:val="1"/>
                <w:bCs w:val="1"/>
                <w:color w:val="auto"/>
                <w:w w:val="98"/>
              </w:rPr>
              <w:t>December 31,</w:t>
            </w:r>
          </w:p>
        </w:tc>
        <w:tc>
          <w:tcPr>
            <w:tcW w:w="0" w:type="dxa"/>
            <w:vAlign w:val="bottom"/>
          </w:tcPr>
          <w:p>
            <w:pPr>
              <w:spacing w:after="0"/>
              <w:rPr>
                <w:sz w:val="1"/>
                <w:szCs w:val="1"/>
                <w:color w:val="auto"/>
              </w:rPr>
            </w:pPr>
          </w:p>
        </w:tc>
      </w:tr>
      <w:tr>
        <w:trPr>
          <w:trHeight w:val="192"/>
        </w:trPr>
        <w:tc>
          <w:tcPr>
            <w:tcW w:w="83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230"/>
        </w:trPr>
        <w:tc>
          <w:tcPr>
            <w:tcW w:w="8360" w:type="dxa"/>
            <w:vAlign w:val="bottom"/>
          </w:tcPr>
          <w:p>
            <w:pPr>
              <w:ind w:left="40"/>
              <w:spacing w:after="0"/>
              <w:rPr>
                <w:sz w:val="20"/>
                <w:szCs w:val="20"/>
                <w:color w:val="auto"/>
              </w:rPr>
            </w:pPr>
            <w:r>
              <w:rPr>
                <w:rFonts w:ascii="Arial" w:cs="Arial" w:eastAsia="Arial" w:hAnsi="Arial"/>
                <w:sz w:val="18"/>
                <w:szCs w:val="18"/>
                <w:b w:val="1"/>
                <w:bCs w:val="1"/>
                <w:color w:val="auto"/>
              </w:rPr>
              <w:t>Assets</w:t>
            </w:r>
          </w:p>
        </w:tc>
        <w:tc>
          <w:tcPr>
            <w:tcW w:w="2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836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10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assets:</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Cash and cash equivalents</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13,914</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19,547</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Marketable investments</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125,949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129,257</w:t>
            </w:r>
          </w:p>
        </w:tc>
        <w:tc>
          <w:tcPr>
            <w:tcW w:w="0" w:type="dxa"/>
            <w:vAlign w:val="bottom"/>
          </w:tcPr>
          <w:p>
            <w:pPr>
              <w:spacing w:after="0"/>
              <w:rPr>
                <w:sz w:val="1"/>
                <w:szCs w:val="1"/>
                <w:color w:val="auto"/>
              </w:rPr>
            </w:pPr>
          </w:p>
        </w:tc>
      </w:tr>
      <w:tr>
        <w:trPr>
          <w:trHeight w:val="229"/>
        </w:trPr>
        <w:tc>
          <w:tcPr>
            <w:tcW w:w="8360" w:type="dxa"/>
            <w:vAlign w:val="bottom"/>
          </w:tcPr>
          <w:p>
            <w:pPr>
              <w:ind w:left="280"/>
              <w:spacing w:after="0"/>
              <w:rPr>
                <w:sz w:val="20"/>
                <w:szCs w:val="20"/>
                <w:color w:val="auto"/>
              </w:rPr>
            </w:pPr>
            <w:r>
              <w:rPr>
                <w:rFonts w:ascii="Arial" w:cs="Arial" w:eastAsia="Arial" w:hAnsi="Arial"/>
                <w:sz w:val="18"/>
                <w:szCs w:val="18"/>
                <w:color w:val="auto"/>
                <w:w w:val="94"/>
              </w:rPr>
              <w:t>Accounts receivable, net of doubtful accounts of $661 and $589 at June 30, 2016 and December 31, 2015,</w:t>
            </w:r>
          </w:p>
        </w:tc>
        <w:tc>
          <w:tcPr>
            <w:tcW w:w="2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360" w:type="dxa"/>
            <w:vAlign w:val="bottom"/>
          </w:tcPr>
          <w:p>
            <w:pPr>
              <w:ind w:left="280"/>
              <w:spacing w:after="0"/>
              <w:rPr>
                <w:sz w:val="20"/>
                <w:szCs w:val="20"/>
                <w:color w:val="auto"/>
              </w:rPr>
            </w:pPr>
            <w:r>
              <w:rPr>
                <w:rFonts w:ascii="Arial" w:cs="Arial" w:eastAsia="Arial" w:hAnsi="Arial"/>
                <w:sz w:val="18"/>
                <w:szCs w:val="18"/>
                <w:color w:val="auto"/>
              </w:rPr>
              <w:t>respectively</w:t>
            </w:r>
          </w:p>
        </w:tc>
        <w:tc>
          <w:tcPr>
            <w:tcW w:w="280" w:type="dxa"/>
            <w:vAlign w:val="bottom"/>
          </w:tcPr>
          <w:p>
            <w:pPr>
              <w:spacing w:after="0"/>
              <w:rPr>
                <w:sz w:val="20"/>
                <w:szCs w:val="20"/>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34,577</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29,444</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Inventories</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68,406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56,761</w:t>
            </w:r>
          </w:p>
        </w:tc>
        <w:tc>
          <w:tcPr>
            <w:tcW w:w="0" w:type="dxa"/>
            <w:vAlign w:val="bottom"/>
          </w:tcPr>
          <w:p>
            <w:pPr>
              <w:spacing w:after="0"/>
              <w:rPr>
                <w:sz w:val="1"/>
                <w:szCs w:val="1"/>
                <w:color w:val="auto"/>
              </w:rPr>
            </w:pP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Prepaid expenses and other current assets</w:t>
            </w:r>
          </w:p>
        </w:tc>
        <w:tc>
          <w:tcPr>
            <w:tcW w:w="28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17,406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9,352</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current assets</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260,252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244,361</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Property and equipment, net</w:t>
            </w:r>
          </w:p>
        </w:tc>
        <w:tc>
          <w:tcPr>
            <w:tcW w:w="28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11,864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8,951</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taxes</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11,422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10,143</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Other non-current assets</w:t>
            </w:r>
          </w:p>
        </w:tc>
        <w:tc>
          <w:tcPr>
            <w:tcW w:w="28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441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393</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assets</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283,979</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263,848</w:t>
            </w:r>
          </w:p>
        </w:tc>
        <w:tc>
          <w:tcPr>
            <w:tcW w:w="0" w:type="dxa"/>
            <w:vAlign w:val="bottom"/>
          </w:tcPr>
          <w:p>
            <w:pPr>
              <w:spacing w:after="0"/>
              <w:rPr>
                <w:sz w:val="1"/>
                <w:szCs w:val="1"/>
                <w:color w:val="auto"/>
              </w:rPr>
            </w:pPr>
          </w:p>
        </w:tc>
      </w:tr>
      <w:tr>
        <w:trPr>
          <w:trHeight w:val="20"/>
        </w:trPr>
        <w:tc>
          <w:tcPr>
            <w:tcW w:w="836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b w:val="1"/>
                <w:bCs w:val="1"/>
                <w:color w:val="auto"/>
              </w:rPr>
              <w:t>Liabilities and Stockholders’ Equity</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8360" w:type="dxa"/>
            <w:vAlign w:val="bottom"/>
            <w:vMerge w:val="continue"/>
          </w:tcPr>
          <w:p>
            <w:pPr>
              <w:spacing w:after="0"/>
              <w:rPr>
                <w:sz w:val="17"/>
                <w:szCs w:val="17"/>
                <w:color w:val="auto"/>
              </w:rPr>
            </w:pPr>
          </w:p>
        </w:tc>
        <w:tc>
          <w:tcPr>
            <w:tcW w:w="2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83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Liabilities:</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Accounts payable</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4,070</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2,567</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liabilities</w:t>
            </w: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28,119</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25,581</w:t>
            </w:r>
          </w:p>
        </w:tc>
        <w:tc>
          <w:tcPr>
            <w:tcW w:w="0" w:type="dxa"/>
            <w:vAlign w:val="bottom"/>
          </w:tcPr>
          <w:p>
            <w:pPr>
              <w:spacing w:after="0"/>
              <w:rPr>
                <w:sz w:val="1"/>
                <w:szCs w:val="1"/>
                <w:color w:val="auto"/>
              </w:rPr>
            </w:pPr>
          </w:p>
        </w:tc>
      </w:tr>
      <w:tr>
        <w:trPr>
          <w:trHeight w:val="237"/>
        </w:trPr>
        <w:tc>
          <w:tcPr>
            <w:tcW w:w="8360" w:type="dxa"/>
            <w:vAlign w:val="bottom"/>
          </w:tcPr>
          <w:p>
            <w:pPr>
              <w:ind w:left="500"/>
              <w:spacing w:after="0"/>
              <w:rPr>
                <w:sz w:val="20"/>
                <w:szCs w:val="20"/>
                <w:color w:val="auto"/>
              </w:rPr>
            </w:pPr>
            <w:r>
              <w:rPr>
                <w:rFonts w:ascii="Arial" w:cs="Arial" w:eastAsia="Arial" w:hAnsi="Arial"/>
                <w:sz w:val="18"/>
                <w:szCs w:val="18"/>
                <w:color w:val="auto"/>
              </w:rPr>
              <w:t>Total current liabilities</w:t>
            </w:r>
          </w:p>
        </w:tc>
        <w:tc>
          <w:tcPr>
            <w:tcW w:w="2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32,189</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28,148</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non-current liabilities</w:t>
            </w: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4,199</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3,178</w:t>
            </w:r>
          </w:p>
        </w:tc>
        <w:tc>
          <w:tcPr>
            <w:tcW w:w="0" w:type="dxa"/>
            <w:vAlign w:val="bottom"/>
          </w:tcPr>
          <w:p>
            <w:pPr>
              <w:spacing w:after="0"/>
              <w:rPr>
                <w:sz w:val="1"/>
                <w:szCs w:val="1"/>
                <w:color w:val="auto"/>
              </w:rPr>
            </w:pPr>
          </w:p>
        </w:tc>
      </w:tr>
      <w:tr>
        <w:trPr>
          <w:trHeight w:val="237"/>
        </w:trPr>
        <w:tc>
          <w:tcPr>
            <w:tcW w:w="8360" w:type="dxa"/>
            <w:vAlign w:val="bottom"/>
          </w:tcPr>
          <w:p>
            <w:pPr>
              <w:ind w:left="500"/>
              <w:spacing w:after="0"/>
              <w:rPr>
                <w:sz w:val="20"/>
                <w:szCs w:val="20"/>
                <w:color w:val="auto"/>
              </w:rPr>
            </w:pPr>
            <w:r>
              <w:rPr>
                <w:rFonts w:ascii="Arial" w:cs="Arial" w:eastAsia="Arial" w:hAnsi="Arial"/>
                <w:sz w:val="18"/>
                <w:szCs w:val="18"/>
                <w:color w:val="auto"/>
              </w:rPr>
              <w:t>Total liabilities</w:t>
            </w:r>
          </w:p>
        </w:tc>
        <w:tc>
          <w:tcPr>
            <w:tcW w:w="2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36,388</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31,326</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Commitments and contingencies (Note 5)</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Stockholders’ Equity:</w:t>
            </w:r>
          </w:p>
        </w:tc>
        <w:tc>
          <w:tcPr>
            <w:tcW w:w="2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Common stock</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Additional paid-in capital</w:t>
            </w:r>
          </w:p>
        </w:tc>
        <w:tc>
          <w:tcPr>
            <w:tcW w:w="28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266,650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252,087</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Notes receivable from stockholder</w:t>
            </w:r>
          </w:p>
        </w:tc>
        <w:tc>
          <w:tcPr>
            <w:tcW w:w="2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Accumulated other comprehensive loss</w:t>
            </w:r>
          </w:p>
        </w:tc>
        <w:tc>
          <w:tcPr>
            <w:tcW w:w="2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(2,579)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(2,115)</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Accumulated deficit</w:t>
            </w: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(16,510)</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(17,475)</w:t>
            </w:r>
          </w:p>
        </w:tc>
        <w:tc>
          <w:tcPr>
            <w:tcW w:w="0" w:type="dxa"/>
            <w:vAlign w:val="bottom"/>
          </w:tcPr>
          <w:p>
            <w:pPr>
              <w:spacing w:after="0"/>
              <w:rPr>
                <w:sz w:val="1"/>
                <w:szCs w:val="1"/>
                <w:color w:val="auto"/>
              </w:rPr>
            </w:pPr>
          </w:p>
        </w:tc>
      </w:tr>
      <w:tr>
        <w:trPr>
          <w:trHeight w:val="237"/>
        </w:trPr>
        <w:tc>
          <w:tcPr>
            <w:tcW w:w="8360" w:type="dxa"/>
            <w:vAlign w:val="bottom"/>
          </w:tcPr>
          <w:p>
            <w:pPr>
              <w:ind w:left="280"/>
              <w:spacing w:after="0"/>
              <w:rPr>
                <w:sz w:val="20"/>
                <w:szCs w:val="20"/>
                <w:color w:val="auto"/>
              </w:rPr>
            </w:pPr>
            <w:r>
              <w:rPr>
                <w:rFonts w:ascii="Arial" w:cs="Arial" w:eastAsia="Arial" w:hAnsi="Arial"/>
                <w:sz w:val="18"/>
                <w:szCs w:val="18"/>
                <w:color w:val="auto"/>
              </w:rPr>
              <w:t>Total stockholders’ equity</w:t>
            </w:r>
          </w:p>
        </w:tc>
        <w:tc>
          <w:tcPr>
            <w:tcW w:w="2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247,591</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232,522</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liabilities and stockholders’ equity</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283,979</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263,848</w:t>
            </w:r>
          </w:p>
        </w:tc>
        <w:tc>
          <w:tcPr>
            <w:tcW w:w="0" w:type="dxa"/>
            <w:vAlign w:val="bottom"/>
          </w:tcPr>
          <w:p>
            <w:pPr>
              <w:spacing w:after="0"/>
              <w:rPr>
                <w:sz w:val="1"/>
                <w:szCs w:val="1"/>
                <w:color w:val="auto"/>
              </w:rPr>
            </w:pPr>
          </w:p>
        </w:tc>
      </w:tr>
      <w:tr>
        <w:trPr>
          <w:trHeight w:val="20"/>
        </w:trPr>
        <w:tc>
          <w:tcPr>
            <w:tcW w:w="83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to the unaudited condensed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125" w:right="2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 and Comprehensive Income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00" w:lineRule="exact"/>
        <w:rPr>
          <w:sz w:val="20"/>
          <w:szCs w:val="20"/>
          <w:color w:val="auto"/>
        </w:rPr>
      </w:pP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660" w:type="dxa"/>
            <w:vAlign w:val="bottom"/>
            <w:gridSpan w:val="5"/>
          </w:tcPr>
          <w:p>
            <w:pPr>
              <w:ind w:left="200"/>
              <w:spacing w:after="0"/>
              <w:rPr>
                <w:sz w:val="20"/>
                <w:szCs w:val="20"/>
                <w:color w:val="auto"/>
              </w:rPr>
            </w:pPr>
            <w:r>
              <w:rPr>
                <w:rFonts w:ascii="Arial" w:cs="Arial" w:eastAsia="Arial" w:hAnsi="Arial"/>
                <w:sz w:val="14"/>
                <w:szCs w:val="14"/>
                <w:b w:val="1"/>
                <w:bCs w:val="1"/>
                <w:color w:val="auto"/>
              </w:rPr>
              <w:t>Three Months Ended June 30,</w:t>
            </w:r>
          </w:p>
        </w:tc>
        <w:tc>
          <w:tcPr>
            <w:tcW w:w="340" w:type="dxa"/>
            <w:vAlign w:val="bottom"/>
          </w:tcPr>
          <w:p>
            <w:pPr>
              <w:spacing w:after="0"/>
              <w:rPr>
                <w:sz w:val="16"/>
                <w:szCs w:val="16"/>
                <w:color w:val="auto"/>
              </w:rPr>
            </w:pPr>
          </w:p>
        </w:tc>
        <w:tc>
          <w:tcPr>
            <w:tcW w:w="2500" w:type="dxa"/>
            <w:vAlign w:val="bottom"/>
            <w:gridSpan w:val="4"/>
          </w:tcPr>
          <w:p>
            <w:pPr>
              <w:jc w:val="right"/>
              <w:ind w:right="471"/>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264"/>
        </w:trPr>
        <w:tc>
          <w:tcPr>
            <w:tcW w:w="5620" w:type="dxa"/>
            <w:vAlign w:val="bottom"/>
            <w:tcBorders>
              <w:bottom w:val="single" w:sz="8" w:color="CCEEFF"/>
            </w:tcBorders>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top w:val="single" w:sz="8" w:color="auto"/>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top w:val="single" w:sz="8" w:color="auto"/>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65,106</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42,311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123,025</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81,263</w:t>
            </w:r>
          </w:p>
        </w:tc>
        <w:tc>
          <w:tcPr>
            <w:tcW w:w="0" w:type="dxa"/>
            <w:vAlign w:val="bottom"/>
          </w:tcPr>
          <w:p>
            <w:pPr>
              <w:spacing w:after="0"/>
              <w:rPr>
                <w:sz w:val="1"/>
                <w:szCs w:val="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Cost of revenue</w:t>
            </w:r>
          </w:p>
        </w:tc>
        <w:tc>
          <w:tcPr>
            <w:tcW w:w="30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23,636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14,936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41,650</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27,160</w:t>
            </w:r>
          </w:p>
        </w:tc>
        <w:tc>
          <w:tcPr>
            <w:tcW w:w="0" w:type="dxa"/>
            <w:vAlign w:val="bottom"/>
          </w:tcPr>
          <w:p>
            <w:pPr>
              <w:spacing w:after="0"/>
              <w:rPr>
                <w:sz w:val="1"/>
                <w:szCs w:val="1"/>
                <w:color w:val="auto"/>
              </w:rPr>
            </w:pPr>
          </w:p>
        </w:tc>
      </w:tr>
      <w:tr>
        <w:trPr>
          <w:trHeight w:val="27"/>
        </w:trPr>
        <w:tc>
          <w:tcPr>
            <w:tcW w:w="56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6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Gross profit</w:t>
            </w:r>
          </w:p>
        </w:tc>
        <w:tc>
          <w:tcPr>
            <w:tcW w:w="30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41,470</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27,375</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81,375</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54,103</w:t>
            </w:r>
          </w:p>
        </w:tc>
        <w:tc>
          <w:tcPr>
            <w:tcW w:w="0" w:type="dxa"/>
            <w:vAlign w:val="bottom"/>
          </w:tcPr>
          <w:p>
            <w:pPr>
              <w:spacing w:after="0"/>
              <w:rPr>
                <w:sz w:val="1"/>
                <w:szCs w:val="1"/>
                <w:color w:val="auto"/>
              </w:rPr>
            </w:pPr>
          </w:p>
        </w:tc>
      </w:tr>
      <w:tr>
        <w:trPr>
          <w:trHeight w:val="237"/>
        </w:trPr>
        <w:tc>
          <w:tcPr>
            <w:tcW w:w="562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30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Research and development</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6,264</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4,792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11,265</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7,983</w:t>
            </w:r>
          </w:p>
        </w:tc>
        <w:tc>
          <w:tcPr>
            <w:tcW w:w="0" w:type="dxa"/>
            <w:vAlign w:val="bottom"/>
          </w:tcPr>
          <w:p>
            <w:pPr>
              <w:spacing w:after="0"/>
              <w:rPr>
                <w:sz w:val="1"/>
                <w:szCs w:val="1"/>
                <w:color w:val="auto"/>
              </w:rPr>
            </w:pPr>
          </w:p>
        </w:tc>
      </w:tr>
      <w:tr>
        <w:trPr>
          <w:trHeight w:val="243"/>
        </w:trPr>
        <w:tc>
          <w:tcPr>
            <w:tcW w:w="5620" w:type="dxa"/>
            <w:vAlign w:val="bottom"/>
          </w:tcPr>
          <w:p>
            <w:pPr>
              <w:ind w:left="280"/>
              <w:spacing w:after="0"/>
              <w:rPr>
                <w:sz w:val="20"/>
                <w:szCs w:val="20"/>
                <w:color w:val="auto"/>
              </w:rPr>
            </w:pPr>
            <w:r>
              <w:rPr>
                <w:rFonts w:ascii="Arial" w:cs="Arial" w:eastAsia="Arial" w:hAnsi="Arial"/>
                <w:sz w:val="18"/>
                <w:szCs w:val="18"/>
                <w:color w:val="auto"/>
              </w:rPr>
              <w:t>Sales, general and administrative</w:t>
            </w:r>
          </w:p>
        </w:tc>
        <w:tc>
          <w:tcPr>
            <w:tcW w:w="30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35,876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26,396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68,945</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45,943</w:t>
            </w:r>
          </w:p>
        </w:tc>
        <w:tc>
          <w:tcPr>
            <w:tcW w:w="0" w:type="dxa"/>
            <w:vAlign w:val="bottom"/>
          </w:tcPr>
          <w:p>
            <w:pPr>
              <w:spacing w:after="0"/>
              <w:rPr>
                <w:sz w:val="1"/>
                <w:szCs w:val="1"/>
                <w:color w:val="auto"/>
              </w:rPr>
            </w:pPr>
          </w:p>
        </w:tc>
      </w:tr>
      <w:tr>
        <w:trPr>
          <w:trHeight w:val="27"/>
        </w:trPr>
        <w:tc>
          <w:tcPr>
            <w:tcW w:w="56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6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operating expenses</w:t>
            </w:r>
          </w:p>
        </w:tc>
        <w:tc>
          <w:tcPr>
            <w:tcW w:w="30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42,140</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31,188</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80,210</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53,926</w:t>
            </w:r>
          </w:p>
        </w:tc>
        <w:tc>
          <w:tcPr>
            <w:tcW w:w="0" w:type="dxa"/>
            <w:vAlign w:val="bottom"/>
          </w:tcPr>
          <w:p>
            <w:pPr>
              <w:spacing w:after="0"/>
              <w:rPr>
                <w:sz w:val="1"/>
                <w:szCs w:val="1"/>
                <w:color w:val="auto"/>
              </w:rPr>
            </w:pPr>
          </w:p>
        </w:tc>
      </w:tr>
      <w:tr>
        <w:trPr>
          <w:trHeight w:val="237"/>
        </w:trPr>
        <w:tc>
          <w:tcPr>
            <w:tcW w:w="5620" w:type="dxa"/>
            <w:vAlign w:val="bottom"/>
          </w:tcPr>
          <w:p>
            <w:pPr>
              <w:ind w:left="40"/>
              <w:spacing w:after="0"/>
              <w:rPr>
                <w:sz w:val="20"/>
                <w:szCs w:val="20"/>
                <w:color w:val="auto"/>
              </w:rPr>
            </w:pPr>
            <w:r>
              <w:rPr>
                <w:rFonts w:ascii="Arial" w:cs="Arial" w:eastAsia="Arial" w:hAnsi="Arial"/>
                <w:sz w:val="18"/>
                <w:szCs w:val="18"/>
                <w:color w:val="auto"/>
              </w:rPr>
              <w:t>(Loss) Income from operations</w:t>
            </w:r>
          </w:p>
        </w:tc>
        <w:tc>
          <w:tcPr>
            <w:tcW w:w="30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(670)</w:t>
            </w: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(3,813)</w:t>
            </w: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1,165</w:t>
            </w: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177</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income, net</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559</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1,069</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385</w:t>
            </w:r>
          </w:p>
        </w:tc>
        <w:tc>
          <w:tcPr>
            <w:tcW w:w="0" w:type="dxa"/>
            <w:vAlign w:val="bottom"/>
          </w:tcPr>
          <w:p>
            <w:pPr>
              <w:spacing w:after="0"/>
              <w:rPr>
                <w:sz w:val="1"/>
                <w:szCs w:val="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Other expense, net</w:t>
            </w:r>
          </w:p>
        </w:tc>
        <w:tc>
          <w:tcPr>
            <w:tcW w:w="3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(272)</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(542)</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(496)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(498)</w:t>
            </w:r>
          </w:p>
        </w:tc>
        <w:tc>
          <w:tcPr>
            <w:tcW w:w="0" w:type="dxa"/>
            <w:vAlign w:val="bottom"/>
          </w:tcPr>
          <w:p>
            <w:pPr>
              <w:spacing w:after="0"/>
              <w:rPr>
                <w:sz w:val="1"/>
                <w:szCs w:val="1"/>
                <w:color w:val="auto"/>
              </w:rPr>
            </w:pPr>
          </w:p>
        </w:tc>
      </w:tr>
      <w:tr>
        <w:trPr>
          <w:trHeight w:val="27"/>
        </w:trPr>
        <w:tc>
          <w:tcPr>
            <w:tcW w:w="56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(Loss) Income before provision for income taxes</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(383)</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(4,178)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1,738</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64</w:t>
            </w:r>
          </w:p>
        </w:tc>
        <w:tc>
          <w:tcPr>
            <w:tcW w:w="0" w:type="dxa"/>
            <w:vAlign w:val="bottom"/>
          </w:tcPr>
          <w:p>
            <w:pPr>
              <w:spacing w:after="0"/>
              <w:rPr>
                <w:sz w:val="1"/>
                <w:szCs w:val="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(Benefit from) Provision for income taxes</w:t>
            </w:r>
          </w:p>
        </w:tc>
        <w:tc>
          <w:tcPr>
            <w:tcW w:w="3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(568)</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(1,507)</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773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233</w:t>
            </w:r>
          </w:p>
        </w:tc>
        <w:tc>
          <w:tcPr>
            <w:tcW w:w="0" w:type="dxa"/>
            <w:vAlign w:val="bottom"/>
          </w:tcPr>
          <w:p>
            <w:pPr>
              <w:spacing w:after="0"/>
              <w:rPr>
                <w:sz w:val="1"/>
                <w:szCs w:val="1"/>
                <w:color w:val="auto"/>
              </w:rPr>
            </w:pPr>
          </w:p>
        </w:tc>
      </w:tr>
      <w:tr>
        <w:trPr>
          <w:trHeight w:val="27"/>
        </w:trPr>
        <w:tc>
          <w:tcPr>
            <w:tcW w:w="5620" w:type="dxa"/>
            <w:vAlign w:val="bottom"/>
            <w:tcBorders>
              <w:bottom w:val="single" w:sz="8" w:color="BFE4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BFE4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BFE4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BFE4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620" w:type="dxa"/>
            <w:vAlign w:val="bottom"/>
            <w:tcBorders>
              <w:bottom w:val="single" w:sz="8" w:color="BFE4FF"/>
            </w:tcBorders>
            <w:shd w:val="clear" w:color="auto" w:fill="BFE4FF"/>
          </w:tcPr>
          <w:p>
            <w:pPr>
              <w:ind w:left="40"/>
              <w:spacing w:after="0"/>
              <w:rPr>
                <w:sz w:val="20"/>
                <w:szCs w:val="20"/>
                <w:color w:val="auto"/>
              </w:rPr>
            </w:pPr>
            <w:r>
              <w:rPr>
                <w:rFonts w:ascii="Arial" w:cs="Arial" w:eastAsia="Arial" w:hAnsi="Arial"/>
                <w:sz w:val="18"/>
                <w:szCs w:val="18"/>
                <w:color w:val="auto"/>
              </w:rPr>
              <w:t>Net income (loss)</w:t>
            </w:r>
          </w:p>
        </w:tc>
        <w:tc>
          <w:tcPr>
            <w:tcW w:w="300" w:type="dxa"/>
            <w:vAlign w:val="bottom"/>
            <w:tcBorders>
              <w:bottom w:val="single" w:sz="8" w:color="BFE4FF"/>
            </w:tcBorders>
            <w:shd w:val="clear" w:color="auto" w:fill="BFE4FF"/>
          </w:tcPr>
          <w:p>
            <w:pPr>
              <w:spacing w:after="0"/>
              <w:rPr>
                <w:sz w:val="21"/>
                <w:szCs w:val="21"/>
                <w:color w:val="auto"/>
              </w:rPr>
            </w:pPr>
          </w:p>
        </w:tc>
        <w:tc>
          <w:tcPr>
            <w:tcW w:w="1080" w:type="dxa"/>
            <w:vAlign w:val="bottom"/>
            <w:tcBorders>
              <w:bottom w:val="single" w:sz="8" w:color="BFE4FF"/>
            </w:tcBorders>
            <w:shd w:val="clear" w:color="auto" w:fill="BFE4FF"/>
          </w:tcPr>
          <w:p>
            <w:pPr>
              <w:jc w:val="right"/>
              <w:ind w:right="12"/>
              <w:spacing w:after="0"/>
              <w:rPr>
                <w:sz w:val="20"/>
                <w:szCs w:val="20"/>
                <w:color w:val="auto"/>
              </w:rPr>
            </w:pPr>
            <w:r>
              <w:rPr>
                <w:rFonts w:ascii="Arial" w:cs="Arial" w:eastAsia="Arial" w:hAnsi="Arial"/>
                <w:sz w:val="18"/>
                <w:szCs w:val="18"/>
                <w:color w:val="auto"/>
              </w:rPr>
              <w:t>185</w:t>
            </w:r>
          </w:p>
        </w:tc>
        <w:tc>
          <w:tcPr>
            <w:tcW w:w="120" w:type="dxa"/>
            <w:vAlign w:val="bottom"/>
            <w:tcBorders>
              <w:bottom w:val="single" w:sz="8" w:color="BFE4FF"/>
            </w:tcBorders>
            <w:shd w:val="clear" w:color="auto" w:fill="BFE4FF"/>
          </w:tcPr>
          <w:p>
            <w:pPr>
              <w:spacing w:after="0"/>
              <w:rPr>
                <w:sz w:val="21"/>
                <w:szCs w:val="21"/>
                <w:color w:val="auto"/>
              </w:rPr>
            </w:pPr>
          </w:p>
        </w:tc>
        <w:tc>
          <w:tcPr>
            <w:tcW w:w="320" w:type="dxa"/>
            <w:vAlign w:val="bottom"/>
            <w:tcBorders>
              <w:bottom w:val="single" w:sz="8" w:color="BFE4FF"/>
            </w:tcBorders>
            <w:shd w:val="clear" w:color="auto" w:fill="BFE4FF"/>
          </w:tcPr>
          <w:p>
            <w:pPr>
              <w:spacing w:after="0"/>
              <w:rPr>
                <w:sz w:val="21"/>
                <w:szCs w:val="21"/>
                <w:color w:val="auto"/>
              </w:rPr>
            </w:pPr>
          </w:p>
        </w:tc>
        <w:tc>
          <w:tcPr>
            <w:tcW w:w="1040" w:type="dxa"/>
            <w:vAlign w:val="bottom"/>
            <w:tcBorders>
              <w:bottom w:val="single" w:sz="8" w:color="BFE4FF"/>
            </w:tcBorders>
            <w:shd w:val="clear" w:color="auto" w:fill="BFE4FF"/>
          </w:tcPr>
          <w:p>
            <w:pPr>
              <w:jc w:val="right"/>
              <w:spacing w:after="0"/>
              <w:rPr>
                <w:sz w:val="20"/>
                <w:szCs w:val="20"/>
                <w:color w:val="auto"/>
              </w:rPr>
            </w:pPr>
            <w:r>
              <w:rPr>
                <w:rFonts w:ascii="Arial" w:cs="Arial" w:eastAsia="Arial" w:hAnsi="Arial"/>
                <w:sz w:val="18"/>
                <w:szCs w:val="18"/>
                <w:color w:val="auto"/>
              </w:rPr>
              <w:t>(2,671)</w:t>
            </w:r>
          </w:p>
        </w:tc>
        <w:tc>
          <w:tcPr>
            <w:tcW w:w="100" w:type="dxa"/>
            <w:vAlign w:val="bottom"/>
            <w:tcBorders>
              <w:bottom w:val="single" w:sz="8" w:color="BFE4FF"/>
            </w:tcBorders>
            <w:shd w:val="clear" w:color="auto" w:fill="BFE4FF"/>
          </w:tcPr>
          <w:p>
            <w:pPr>
              <w:spacing w:after="0"/>
              <w:rPr>
                <w:sz w:val="21"/>
                <w:szCs w:val="21"/>
                <w:color w:val="auto"/>
              </w:rPr>
            </w:pPr>
          </w:p>
        </w:tc>
        <w:tc>
          <w:tcPr>
            <w:tcW w:w="340" w:type="dxa"/>
            <w:vAlign w:val="bottom"/>
            <w:tcBorders>
              <w:bottom w:val="single" w:sz="8" w:color="BFE4FF"/>
            </w:tcBorders>
            <w:shd w:val="clear" w:color="auto" w:fill="BFE4FF"/>
          </w:tcPr>
          <w:p>
            <w:pPr>
              <w:spacing w:after="0"/>
              <w:rPr>
                <w:sz w:val="21"/>
                <w:szCs w:val="21"/>
                <w:color w:val="auto"/>
              </w:rPr>
            </w:pPr>
          </w:p>
        </w:tc>
        <w:tc>
          <w:tcPr>
            <w:tcW w:w="1020" w:type="dxa"/>
            <w:vAlign w:val="bottom"/>
            <w:tcBorders>
              <w:bottom w:val="single" w:sz="8" w:color="BFE4FF"/>
            </w:tcBorders>
            <w:shd w:val="clear" w:color="auto" w:fill="BFE4FF"/>
          </w:tcPr>
          <w:p>
            <w:pPr>
              <w:jc w:val="right"/>
              <w:ind w:right="12"/>
              <w:spacing w:after="0"/>
              <w:rPr>
                <w:sz w:val="20"/>
                <w:szCs w:val="20"/>
                <w:color w:val="auto"/>
              </w:rPr>
            </w:pPr>
            <w:r>
              <w:rPr>
                <w:rFonts w:ascii="Arial" w:cs="Arial" w:eastAsia="Arial" w:hAnsi="Arial"/>
                <w:sz w:val="18"/>
                <w:szCs w:val="18"/>
                <w:color w:val="auto"/>
              </w:rPr>
              <w:t>965</w:t>
            </w:r>
          </w:p>
        </w:tc>
        <w:tc>
          <w:tcPr>
            <w:tcW w:w="120" w:type="dxa"/>
            <w:vAlign w:val="bottom"/>
            <w:tcBorders>
              <w:bottom w:val="single" w:sz="8" w:color="BFE4FF"/>
            </w:tcBorders>
            <w:shd w:val="clear" w:color="auto" w:fill="BFE4FF"/>
          </w:tcPr>
          <w:p>
            <w:pPr>
              <w:spacing w:after="0"/>
              <w:rPr>
                <w:sz w:val="21"/>
                <w:szCs w:val="21"/>
                <w:color w:val="auto"/>
              </w:rPr>
            </w:pPr>
          </w:p>
        </w:tc>
        <w:tc>
          <w:tcPr>
            <w:tcW w:w="320" w:type="dxa"/>
            <w:vAlign w:val="bottom"/>
            <w:tcBorders>
              <w:bottom w:val="single" w:sz="8" w:color="BFE4FF"/>
            </w:tcBorders>
            <w:shd w:val="clear" w:color="auto" w:fill="BFE4FF"/>
          </w:tcPr>
          <w:p>
            <w:pPr>
              <w:spacing w:after="0"/>
              <w:rPr>
                <w:sz w:val="21"/>
                <w:szCs w:val="21"/>
                <w:color w:val="auto"/>
              </w:rPr>
            </w:pPr>
          </w:p>
        </w:tc>
        <w:tc>
          <w:tcPr>
            <w:tcW w:w="1040" w:type="dxa"/>
            <w:vAlign w:val="bottom"/>
            <w:tcBorders>
              <w:bottom w:val="single" w:sz="8" w:color="BFE4FF"/>
            </w:tcBorders>
            <w:shd w:val="clear" w:color="auto" w:fill="BFE4FF"/>
          </w:tcPr>
          <w:p>
            <w:pPr>
              <w:jc w:val="right"/>
              <w:spacing w:after="0"/>
              <w:rPr>
                <w:sz w:val="20"/>
                <w:szCs w:val="20"/>
                <w:color w:val="auto"/>
              </w:rPr>
            </w:pPr>
            <w:r>
              <w:rPr>
                <w:rFonts w:ascii="Arial" w:cs="Arial" w:eastAsia="Arial" w:hAnsi="Arial"/>
                <w:sz w:val="18"/>
                <w:szCs w:val="18"/>
                <w:color w:val="auto"/>
              </w:rPr>
              <w:t>(169)</w:t>
            </w:r>
          </w:p>
        </w:tc>
        <w:tc>
          <w:tcPr>
            <w:tcW w:w="0" w:type="dxa"/>
            <w:vAlign w:val="bottom"/>
          </w:tcPr>
          <w:p>
            <w:pPr>
              <w:spacing w:after="0"/>
              <w:rPr>
                <w:sz w:val="1"/>
                <w:szCs w:val="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Foreign currency translation adjustments, net of tax</w:t>
            </w:r>
          </w:p>
        </w:tc>
        <w:tc>
          <w:tcPr>
            <w:tcW w:w="3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(1,881)</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327</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(833)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(589)</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620" w:type="dxa"/>
            <w:vAlign w:val="bottom"/>
            <w:tcBorders>
              <w:bottom w:val="single" w:sz="8" w:color="BFE4FF"/>
            </w:tcBorders>
            <w:shd w:val="clear" w:color="auto" w:fill="BFE4FF"/>
          </w:tcPr>
          <w:p>
            <w:pPr>
              <w:ind w:left="40"/>
              <w:spacing w:after="0"/>
              <w:rPr>
                <w:sz w:val="20"/>
                <w:szCs w:val="20"/>
                <w:color w:val="auto"/>
              </w:rPr>
            </w:pPr>
            <w:r>
              <w:rPr>
                <w:rFonts w:ascii="Arial" w:cs="Arial" w:eastAsia="Arial" w:hAnsi="Arial"/>
                <w:sz w:val="18"/>
                <w:szCs w:val="18"/>
                <w:color w:val="auto"/>
              </w:rPr>
              <w:t>Unrealized gains on available-for-sale securities, net of tax</w:t>
            </w:r>
          </w:p>
        </w:tc>
        <w:tc>
          <w:tcPr>
            <w:tcW w:w="300" w:type="dxa"/>
            <w:vAlign w:val="bottom"/>
            <w:tcBorders>
              <w:bottom w:val="single" w:sz="8" w:color="BFE4FF"/>
            </w:tcBorders>
            <w:shd w:val="clear" w:color="auto" w:fill="BFE4FF"/>
          </w:tcPr>
          <w:p>
            <w:pPr>
              <w:spacing w:after="0"/>
              <w:rPr>
                <w:sz w:val="23"/>
                <w:szCs w:val="23"/>
                <w:color w:val="auto"/>
              </w:rPr>
            </w:pPr>
          </w:p>
        </w:tc>
        <w:tc>
          <w:tcPr>
            <w:tcW w:w="1080" w:type="dxa"/>
            <w:vAlign w:val="bottom"/>
            <w:tcBorders>
              <w:bottom w:val="single" w:sz="8" w:color="BFE4FF"/>
            </w:tcBorders>
            <w:shd w:val="clear" w:color="auto" w:fill="BFE4FF"/>
          </w:tcPr>
          <w:p>
            <w:pPr>
              <w:jc w:val="right"/>
              <w:ind w:right="12"/>
              <w:spacing w:after="0"/>
              <w:rPr>
                <w:sz w:val="20"/>
                <w:szCs w:val="20"/>
                <w:color w:val="auto"/>
              </w:rPr>
            </w:pPr>
            <w:r>
              <w:rPr>
                <w:rFonts w:ascii="Arial" w:cs="Arial" w:eastAsia="Arial" w:hAnsi="Arial"/>
                <w:sz w:val="18"/>
                <w:szCs w:val="18"/>
                <w:color w:val="auto"/>
              </w:rPr>
              <w:t>88</w:t>
            </w:r>
          </w:p>
        </w:tc>
        <w:tc>
          <w:tcPr>
            <w:tcW w:w="120" w:type="dxa"/>
            <w:vAlign w:val="bottom"/>
            <w:tcBorders>
              <w:bottom w:val="single" w:sz="8" w:color="BFE4FF"/>
            </w:tcBorders>
            <w:shd w:val="clear" w:color="auto" w:fill="BFE4FF"/>
          </w:tcPr>
          <w:p>
            <w:pPr>
              <w:spacing w:after="0"/>
              <w:rPr>
                <w:sz w:val="23"/>
                <w:szCs w:val="23"/>
                <w:color w:val="auto"/>
              </w:rPr>
            </w:pPr>
          </w:p>
        </w:tc>
        <w:tc>
          <w:tcPr>
            <w:tcW w:w="320" w:type="dxa"/>
            <w:vAlign w:val="bottom"/>
            <w:tcBorders>
              <w:bottom w:val="single" w:sz="8" w:color="BFE4FF"/>
            </w:tcBorders>
            <w:shd w:val="clear" w:color="auto" w:fill="BFE4FF"/>
          </w:tcPr>
          <w:p>
            <w:pPr>
              <w:spacing w:after="0"/>
              <w:rPr>
                <w:sz w:val="23"/>
                <w:szCs w:val="23"/>
                <w:color w:val="auto"/>
              </w:rPr>
            </w:pPr>
          </w:p>
        </w:tc>
        <w:tc>
          <w:tcPr>
            <w:tcW w:w="1040" w:type="dxa"/>
            <w:vAlign w:val="bottom"/>
            <w:tcBorders>
              <w:bottom w:val="single" w:sz="8" w:color="BFE4FF"/>
            </w:tcBorders>
            <w:shd w:val="clear" w:color="auto" w:fill="BFE4FF"/>
          </w:tcPr>
          <w:p>
            <w:pPr>
              <w:jc w:val="right"/>
              <w:ind w:right="31"/>
              <w:spacing w:after="0"/>
              <w:rPr>
                <w:sz w:val="20"/>
                <w:szCs w:val="20"/>
                <w:color w:val="auto"/>
              </w:rPr>
            </w:pPr>
            <w:r>
              <w:rPr>
                <w:rFonts w:ascii="Arial" w:cs="Arial" w:eastAsia="Arial" w:hAnsi="Arial"/>
                <w:sz w:val="18"/>
                <w:szCs w:val="18"/>
                <w:color w:val="auto"/>
              </w:rPr>
              <w:t>193</w:t>
            </w:r>
          </w:p>
        </w:tc>
        <w:tc>
          <w:tcPr>
            <w:tcW w:w="100" w:type="dxa"/>
            <w:vAlign w:val="bottom"/>
            <w:tcBorders>
              <w:bottom w:val="single" w:sz="8" w:color="BFE4FF"/>
            </w:tcBorders>
            <w:shd w:val="clear" w:color="auto" w:fill="BFE4FF"/>
          </w:tcPr>
          <w:p>
            <w:pPr>
              <w:spacing w:after="0"/>
              <w:rPr>
                <w:sz w:val="23"/>
                <w:szCs w:val="23"/>
                <w:color w:val="auto"/>
              </w:rPr>
            </w:pPr>
          </w:p>
        </w:tc>
        <w:tc>
          <w:tcPr>
            <w:tcW w:w="340" w:type="dxa"/>
            <w:vAlign w:val="bottom"/>
            <w:tcBorders>
              <w:bottom w:val="single" w:sz="8" w:color="BFE4FF"/>
            </w:tcBorders>
            <w:shd w:val="clear" w:color="auto" w:fill="BFE4FF"/>
          </w:tcPr>
          <w:p>
            <w:pPr>
              <w:spacing w:after="0"/>
              <w:rPr>
                <w:sz w:val="23"/>
                <w:szCs w:val="23"/>
                <w:color w:val="auto"/>
              </w:rPr>
            </w:pPr>
          </w:p>
        </w:tc>
        <w:tc>
          <w:tcPr>
            <w:tcW w:w="1020" w:type="dxa"/>
            <w:vAlign w:val="bottom"/>
            <w:tcBorders>
              <w:bottom w:val="single" w:sz="8" w:color="BFE4FF"/>
            </w:tcBorders>
            <w:shd w:val="clear" w:color="auto" w:fill="BFE4FF"/>
          </w:tcPr>
          <w:p>
            <w:pPr>
              <w:jc w:val="right"/>
              <w:ind w:right="12"/>
              <w:spacing w:after="0"/>
              <w:rPr>
                <w:sz w:val="20"/>
                <w:szCs w:val="20"/>
                <w:color w:val="auto"/>
              </w:rPr>
            </w:pPr>
            <w:r>
              <w:rPr>
                <w:rFonts w:ascii="Arial" w:cs="Arial" w:eastAsia="Arial" w:hAnsi="Arial"/>
                <w:sz w:val="18"/>
                <w:szCs w:val="18"/>
                <w:color w:val="auto"/>
              </w:rPr>
              <w:t>369</w:t>
            </w:r>
          </w:p>
        </w:tc>
        <w:tc>
          <w:tcPr>
            <w:tcW w:w="120" w:type="dxa"/>
            <w:vAlign w:val="bottom"/>
            <w:tcBorders>
              <w:bottom w:val="single" w:sz="8" w:color="BFE4FF"/>
            </w:tcBorders>
            <w:shd w:val="clear" w:color="auto" w:fill="BFE4FF"/>
          </w:tcPr>
          <w:p>
            <w:pPr>
              <w:spacing w:after="0"/>
              <w:rPr>
                <w:sz w:val="23"/>
                <w:szCs w:val="23"/>
                <w:color w:val="auto"/>
              </w:rPr>
            </w:pPr>
          </w:p>
        </w:tc>
        <w:tc>
          <w:tcPr>
            <w:tcW w:w="320" w:type="dxa"/>
            <w:vAlign w:val="bottom"/>
            <w:tcBorders>
              <w:bottom w:val="single" w:sz="8" w:color="BFE4FF"/>
            </w:tcBorders>
            <w:shd w:val="clear" w:color="auto" w:fill="BFE4FF"/>
          </w:tcPr>
          <w:p>
            <w:pPr>
              <w:spacing w:after="0"/>
              <w:rPr>
                <w:sz w:val="23"/>
                <w:szCs w:val="23"/>
                <w:color w:val="auto"/>
              </w:rPr>
            </w:pPr>
          </w:p>
        </w:tc>
        <w:tc>
          <w:tcPr>
            <w:tcW w:w="1040" w:type="dxa"/>
            <w:vAlign w:val="bottom"/>
            <w:tcBorders>
              <w:bottom w:val="single" w:sz="8" w:color="BFE4FF"/>
            </w:tcBorders>
            <w:shd w:val="clear" w:color="auto" w:fill="BFE4FF"/>
          </w:tcPr>
          <w:p>
            <w:pPr>
              <w:jc w:val="right"/>
              <w:ind w:right="11"/>
              <w:spacing w:after="0"/>
              <w:rPr>
                <w:sz w:val="20"/>
                <w:szCs w:val="20"/>
                <w:color w:val="auto"/>
              </w:rPr>
            </w:pPr>
            <w:r>
              <w:rPr>
                <w:rFonts w:ascii="Arial" w:cs="Arial" w:eastAsia="Arial" w:hAnsi="Arial"/>
                <w:sz w:val="18"/>
                <w:szCs w:val="18"/>
                <w:color w:val="auto"/>
              </w:rPr>
              <w:t>220</w:t>
            </w:r>
          </w:p>
        </w:tc>
        <w:tc>
          <w:tcPr>
            <w:tcW w:w="0" w:type="dxa"/>
            <w:vAlign w:val="bottom"/>
          </w:tcPr>
          <w:p>
            <w:pPr>
              <w:spacing w:after="0"/>
              <w:rPr>
                <w:sz w:val="1"/>
                <w:szCs w:val="1"/>
                <w:color w:val="auto"/>
              </w:rPr>
            </w:pPr>
          </w:p>
        </w:tc>
      </w:tr>
      <w:tr>
        <w:trPr>
          <w:trHeight w:val="237"/>
        </w:trPr>
        <w:tc>
          <w:tcPr>
            <w:tcW w:w="5620" w:type="dxa"/>
            <w:vAlign w:val="bottom"/>
          </w:tcPr>
          <w:p>
            <w:pPr>
              <w:ind w:left="40"/>
              <w:spacing w:after="0"/>
              <w:rPr>
                <w:sz w:val="20"/>
                <w:szCs w:val="20"/>
                <w:color w:val="auto"/>
              </w:rPr>
            </w:pPr>
            <w:r>
              <w:rPr>
                <w:rFonts w:ascii="Arial" w:cs="Arial" w:eastAsia="Arial" w:hAnsi="Arial"/>
                <w:sz w:val="18"/>
                <w:szCs w:val="18"/>
                <w:color w:val="auto"/>
              </w:rPr>
              <w:t>Comprehensive (loss) income</w:t>
            </w:r>
          </w:p>
        </w:tc>
        <w:tc>
          <w:tcPr>
            <w:tcW w:w="30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(1,608)</w:t>
            </w:r>
          </w:p>
        </w:tc>
        <w:tc>
          <w:tcPr>
            <w:tcW w:w="120" w:type="dxa"/>
            <w:vAlign w:val="bottom"/>
          </w:tcPr>
          <w:p>
            <w:pPr>
              <w:spacing w:after="0"/>
              <w:rPr>
                <w:sz w:val="20"/>
                <w:szCs w:val="20"/>
                <w:color w:val="auto"/>
              </w:rPr>
            </w:pPr>
          </w:p>
        </w:tc>
        <w:tc>
          <w:tcPr>
            <w:tcW w:w="32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(2,151)</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501</w:t>
            </w:r>
          </w:p>
        </w:tc>
        <w:tc>
          <w:tcPr>
            <w:tcW w:w="120" w:type="dxa"/>
            <w:vAlign w:val="bottom"/>
          </w:tcPr>
          <w:p>
            <w:pPr>
              <w:spacing w:after="0"/>
              <w:rPr>
                <w:sz w:val="20"/>
                <w:szCs w:val="20"/>
                <w:color w:val="auto"/>
              </w:rPr>
            </w:pP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(538)</w:t>
            </w:r>
          </w:p>
        </w:tc>
        <w:tc>
          <w:tcPr>
            <w:tcW w:w="0" w:type="dxa"/>
            <w:vAlign w:val="bottom"/>
          </w:tcPr>
          <w:p>
            <w:pPr>
              <w:spacing w:after="0"/>
              <w:rPr>
                <w:sz w:val="1"/>
                <w:szCs w:val="1"/>
                <w:color w:val="auto"/>
              </w:rPr>
            </w:pPr>
          </w:p>
        </w:tc>
      </w:tr>
      <w:tr>
        <w:trPr>
          <w:trHeight w:val="67"/>
        </w:trPr>
        <w:tc>
          <w:tcPr>
            <w:tcW w:w="5620" w:type="dxa"/>
            <w:vAlign w:val="bottom"/>
            <w:tcBorders>
              <w:bottom w:val="single" w:sz="8" w:color="BFE4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20" w:type="dxa"/>
            <w:vAlign w:val="bottom"/>
            <w:tcBorders>
              <w:bottom w:val="single" w:sz="8" w:color="BFE4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00" w:type="dxa"/>
            <w:vAlign w:val="bottom"/>
            <w:tcBorders>
              <w:bottom w:val="single" w:sz="8" w:color="BFE4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20" w:type="dxa"/>
            <w:vAlign w:val="bottom"/>
            <w:tcBorders>
              <w:bottom w:val="single" w:sz="8" w:color="BFE4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5620" w:type="dxa"/>
            <w:vAlign w:val="bottom"/>
            <w:tcBorders>
              <w:bottom w:val="single" w:sz="8" w:color="BFE4FF"/>
            </w:tcBorders>
            <w:shd w:val="clear" w:color="auto" w:fill="BFE4FF"/>
          </w:tcPr>
          <w:p>
            <w:pPr>
              <w:ind w:left="40"/>
              <w:spacing w:after="0" w:line="196" w:lineRule="exact"/>
              <w:rPr>
                <w:sz w:val="20"/>
                <w:szCs w:val="20"/>
                <w:color w:val="auto"/>
              </w:rPr>
            </w:pPr>
            <w:r>
              <w:rPr>
                <w:rFonts w:ascii="Arial" w:cs="Arial" w:eastAsia="Arial" w:hAnsi="Arial"/>
                <w:sz w:val="18"/>
                <w:szCs w:val="18"/>
                <w:color w:val="auto"/>
              </w:rPr>
              <w:t>Net income (loss) attributable to common stockholders (Note 9)</w:t>
            </w:r>
          </w:p>
        </w:tc>
        <w:tc>
          <w:tcPr>
            <w:tcW w:w="300" w:type="dxa"/>
            <w:vAlign w:val="bottom"/>
            <w:tcBorders>
              <w:bottom w:val="single" w:sz="8" w:color="BFE4FF"/>
            </w:tcBorders>
            <w:shd w:val="clear" w:color="auto" w:fill="BFE4FF"/>
          </w:tcPr>
          <w:p>
            <w:pPr>
              <w:jc w:val="right"/>
              <w:ind w:right="11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BFE4FF"/>
            </w:tcBorders>
            <w:shd w:val="clear" w:color="auto" w:fill="BFE4FF"/>
          </w:tcPr>
          <w:p>
            <w:pPr>
              <w:jc w:val="right"/>
              <w:ind w:right="12"/>
              <w:spacing w:after="0"/>
              <w:rPr>
                <w:sz w:val="20"/>
                <w:szCs w:val="20"/>
                <w:color w:val="auto"/>
              </w:rPr>
            </w:pPr>
            <w:r>
              <w:rPr>
                <w:rFonts w:ascii="Arial" w:cs="Arial" w:eastAsia="Arial" w:hAnsi="Arial"/>
                <w:sz w:val="18"/>
                <w:szCs w:val="18"/>
                <w:color w:val="auto"/>
              </w:rPr>
              <w:t>185</w:t>
            </w:r>
          </w:p>
        </w:tc>
        <w:tc>
          <w:tcPr>
            <w:tcW w:w="120" w:type="dxa"/>
            <w:vAlign w:val="bottom"/>
            <w:tcBorders>
              <w:bottom w:val="single" w:sz="8" w:color="BFE4FF"/>
            </w:tcBorders>
            <w:shd w:val="clear" w:color="auto" w:fill="BFE4FF"/>
          </w:tcPr>
          <w:p>
            <w:pPr>
              <w:spacing w:after="0"/>
              <w:rPr>
                <w:sz w:val="21"/>
                <w:szCs w:val="21"/>
                <w:color w:val="auto"/>
              </w:rPr>
            </w:pPr>
          </w:p>
        </w:tc>
        <w:tc>
          <w:tcPr>
            <w:tcW w:w="320" w:type="dxa"/>
            <w:vAlign w:val="bottom"/>
            <w:tcBorders>
              <w:bottom w:val="single" w:sz="8" w:color="BFE4FF"/>
            </w:tcBorders>
            <w:shd w:val="clear" w:color="auto" w:fill="BFE4FF"/>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BFE4FF"/>
            </w:tcBorders>
            <w:shd w:val="clear" w:color="auto" w:fill="BFE4FF"/>
          </w:tcPr>
          <w:p>
            <w:pPr>
              <w:jc w:val="right"/>
              <w:spacing w:after="0"/>
              <w:rPr>
                <w:sz w:val="20"/>
                <w:szCs w:val="20"/>
                <w:color w:val="auto"/>
              </w:rPr>
            </w:pPr>
            <w:r>
              <w:rPr>
                <w:rFonts w:ascii="Arial" w:cs="Arial" w:eastAsia="Arial" w:hAnsi="Arial"/>
                <w:sz w:val="18"/>
                <w:szCs w:val="18"/>
                <w:color w:val="auto"/>
              </w:rPr>
              <w:t>(553)</w:t>
            </w:r>
          </w:p>
        </w:tc>
        <w:tc>
          <w:tcPr>
            <w:tcW w:w="100" w:type="dxa"/>
            <w:vAlign w:val="bottom"/>
            <w:tcBorders>
              <w:bottom w:val="single" w:sz="8" w:color="BFE4FF"/>
            </w:tcBorders>
            <w:shd w:val="clear" w:color="auto" w:fill="BFE4FF"/>
          </w:tcPr>
          <w:p>
            <w:pPr>
              <w:spacing w:after="0"/>
              <w:rPr>
                <w:sz w:val="21"/>
                <w:szCs w:val="21"/>
                <w:color w:val="auto"/>
              </w:rPr>
            </w:pPr>
          </w:p>
        </w:tc>
        <w:tc>
          <w:tcPr>
            <w:tcW w:w="340" w:type="dxa"/>
            <w:vAlign w:val="bottom"/>
            <w:tcBorders>
              <w:bottom w:val="single" w:sz="8" w:color="BFE4FF"/>
            </w:tcBorders>
            <w:shd w:val="clear" w:color="auto" w:fill="BFE4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BFE4FF"/>
            </w:tcBorders>
            <w:shd w:val="clear" w:color="auto" w:fill="BFE4FF"/>
          </w:tcPr>
          <w:p>
            <w:pPr>
              <w:jc w:val="right"/>
              <w:ind w:right="12"/>
              <w:spacing w:after="0"/>
              <w:rPr>
                <w:sz w:val="20"/>
                <w:szCs w:val="20"/>
                <w:color w:val="auto"/>
              </w:rPr>
            </w:pPr>
            <w:r>
              <w:rPr>
                <w:rFonts w:ascii="Arial" w:cs="Arial" w:eastAsia="Arial" w:hAnsi="Arial"/>
                <w:sz w:val="18"/>
                <w:szCs w:val="18"/>
                <w:color w:val="auto"/>
              </w:rPr>
              <w:t>965</w:t>
            </w:r>
          </w:p>
        </w:tc>
        <w:tc>
          <w:tcPr>
            <w:tcW w:w="120" w:type="dxa"/>
            <w:vAlign w:val="bottom"/>
            <w:tcBorders>
              <w:bottom w:val="single" w:sz="8" w:color="BFE4FF"/>
            </w:tcBorders>
            <w:shd w:val="clear" w:color="auto" w:fill="BFE4FF"/>
          </w:tcPr>
          <w:p>
            <w:pPr>
              <w:spacing w:after="0"/>
              <w:rPr>
                <w:sz w:val="21"/>
                <w:szCs w:val="21"/>
                <w:color w:val="auto"/>
              </w:rPr>
            </w:pPr>
          </w:p>
        </w:tc>
        <w:tc>
          <w:tcPr>
            <w:tcW w:w="320" w:type="dxa"/>
            <w:vAlign w:val="bottom"/>
            <w:tcBorders>
              <w:bottom w:val="single" w:sz="8" w:color="BFE4FF"/>
            </w:tcBorders>
            <w:shd w:val="clear" w:color="auto" w:fill="BFE4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BFE4FF"/>
            </w:tcBorders>
            <w:shd w:val="clear" w:color="auto" w:fill="BFE4FF"/>
          </w:tcPr>
          <w:p>
            <w:pPr>
              <w:jc w:val="right"/>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0"/>
        </w:trPr>
        <w:tc>
          <w:tcPr>
            <w:tcW w:w="5620" w:type="dxa"/>
            <w:vAlign w:val="bottom"/>
            <w:tcBorders>
              <w:top w:val="single" w:sz="8" w:color="BFE4FF"/>
              <w:bottom w:val="single" w:sz="8" w:color="BFE4FF"/>
            </w:tcBorders>
            <w:vMerge w:val="restart"/>
          </w:tcPr>
          <w:p>
            <w:pPr>
              <w:ind w:left="40"/>
              <w:spacing w:after="0"/>
              <w:rPr>
                <w:sz w:val="20"/>
                <w:szCs w:val="20"/>
                <w:color w:val="auto"/>
              </w:rPr>
            </w:pPr>
            <w:r>
              <w:rPr>
                <w:rFonts w:ascii="Arial" w:cs="Arial" w:eastAsia="Arial" w:hAnsi="Arial"/>
                <w:sz w:val="18"/>
                <w:szCs w:val="18"/>
                <w:color w:val="auto"/>
              </w:rPr>
              <w:t>Net income (loss) per share attributable to common stockholders</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BFE4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BFE4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BFE4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5620" w:type="dxa"/>
            <w:vAlign w:val="bottom"/>
            <w:vMerge w:val="continue"/>
          </w:tcPr>
          <w:p>
            <w:pPr>
              <w:spacing w:after="0"/>
              <w:rPr>
                <w:sz w:val="15"/>
                <w:szCs w:val="15"/>
                <w:color w:val="auto"/>
              </w:rPr>
            </w:pPr>
          </w:p>
        </w:tc>
        <w:tc>
          <w:tcPr>
            <w:tcW w:w="300" w:type="dxa"/>
            <w:vAlign w:val="bottom"/>
            <w:vMerge w:val="restart"/>
          </w:tcPr>
          <w:p>
            <w:pPr>
              <w:jc w:val="right"/>
              <w:ind w:right="110"/>
              <w:spacing w:after="0"/>
              <w:rPr>
                <w:sz w:val="20"/>
                <w:szCs w:val="20"/>
                <w:color w:val="auto"/>
              </w:rPr>
            </w:pPr>
            <w:r>
              <w:rPr>
                <w:rFonts w:ascii="Arial" w:cs="Arial" w:eastAsia="Arial" w:hAnsi="Arial"/>
                <w:sz w:val="18"/>
                <w:szCs w:val="18"/>
                <w:color w:val="auto"/>
                <w:w w:val="79"/>
              </w:rPr>
              <w:t>$</w:t>
            </w:r>
          </w:p>
        </w:tc>
        <w:tc>
          <w:tcPr>
            <w:tcW w:w="1080" w:type="dxa"/>
            <w:vAlign w:val="bottom"/>
            <w:vMerge w:val="restart"/>
          </w:tcPr>
          <w:p>
            <w:pPr>
              <w:jc w:val="right"/>
              <w:ind w:right="12"/>
              <w:spacing w:after="0"/>
              <w:rPr>
                <w:sz w:val="20"/>
                <w:szCs w:val="20"/>
                <w:color w:val="auto"/>
              </w:rPr>
            </w:pPr>
            <w:r>
              <w:rPr>
                <w:rFonts w:ascii="Arial" w:cs="Arial" w:eastAsia="Arial" w:hAnsi="Arial"/>
                <w:sz w:val="18"/>
                <w:szCs w:val="18"/>
                <w:color w:val="auto"/>
              </w:rPr>
              <w:t>0.01</w:t>
            </w:r>
          </w:p>
        </w:tc>
        <w:tc>
          <w:tcPr>
            <w:tcW w:w="120" w:type="dxa"/>
            <w:vAlign w:val="bottom"/>
          </w:tcPr>
          <w:p>
            <w:pPr>
              <w:spacing w:after="0"/>
              <w:rPr>
                <w:sz w:val="15"/>
                <w:szCs w:val="15"/>
                <w:color w:val="auto"/>
              </w:rPr>
            </w:pPr>
          </w:p>
        </w:tc>
        <w:tc>
          <w:tcPr>
            <w:tcW w:w="320" w:type="dxa"/>
            <w:vAlign w:val="bottom"/>
            <w:vMerge w:val="restart"/>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(0.11)</w:t>
            </w:r>
          </w:p>
        </w:tc>
        <w:tc>
          <w:tcPr>
            <w:tcW w:w="100" w:type="dxa"/>
            <w:vAlign w:val="bottom"/>
          </w:tcPr>
          <w:p>
            <w:pPr>
              <w:spacing w:after="0"/>
              <w:rPr>
                <w:sz w:val="15"/>
                <w:szCs w:val="15"/>
                <w:color w:val="auto"/>
              </w:rPr>
            </w:pPr>
          </w:p>
        </w:tc>
        <w:tc>
          <w:tcPr>
            <w:tcW w:w="340" w:type="dxa"/>
            <w:vAlign w:val="bottom"/>
            <w:vMerge w:val="restart"/>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vMerge w:val="restart"/>
          </w:tcPr>
          <w:p>
            <w:pPr>
              <w:jc w:val="right"/>
              <w:ind w:right="12"/>
              <w:spacing w:after="0"/>
              <w:rPr>
                <w:sz w:val="20"/>
                <w:szCs w:val="20"/>
                <w:color w:val="auto"/>
              </w:rPr>
            </w:pPr>
            <w:r>
              <w:rPr>
                <w:rFonts w:ascii="Arial" w:cs="Arial" w:eastAsia="Arial" w:hAnsi="Arial"/>
                <w:sz w:val="18"/>
                <w:szCs w:val="18"/>
                <w:color w:val="auto"/>
              </w:rPr>
              <w:t>0.03</w:t>
            </w:r>
          </w:p>
        </w:tc>
        <w:tc>
          <w:tcPr>
            <w:tcW w:w="120" w:type="dxa"/>
            <w:vAlign w:val="bottom"/>
          </w:tcPr>
          <w:p>
            <w:pPr>
              <w:spacing w:after="0"/>
              <w:rPr>
                <w:sz w:val="15"/>
                <w:szCs w:val="15"/>
                <w:color w:val="auto"/>
              </w:rPr>
            </w:pPr>
          </w:p>
        </w:tc>
        <w:tc>
          <w:tcPr>
            <w:tcW w:w="320" w:type="dxa"/>
            <w:vAlign w:val="bottom"/>
            <w:vMerge w:val="restart"/>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77"/>
        </w:trPr>
        <w:tc>
          <w:tcPr>
            <w:tcW w:w="5620" w:type="dxa"/>
            <w:vAlign w:val="bottom"/>
            <w:tcBorders>
              <w:bottom w:val="single" w:sz="8" w:color="BFE4FF"/>
            </w:tcBorders>
          </w:tcPr>
          <w:p>
            <w:pPr>
              <w:ind w:left="40"/>
              <w:spacing w:after="0"/>
              <w:rPr>
                <w:sz w:val="20"/>
                <w:szCs w:val="20"/>
                <w:color w:val="auto"/>
              </w:rPr>
            </w:pPr>
            <w:r>
              <w:rPr>
                <w:rFonts w:ascii="Arial" w:cs="Arial" w:eastAsia="Arial" w:hAnsi="Arial"/>
                <w:sz w:val="18"/>
                <w:szCs w:val="18"/>
                <w:color w:val="auto"/>
              </w:rPr>
              <w:t>—Basic</w:t>
            </w:r>
          </w:p>
        </w:tc>
        <w:tc>
          <w:tcPr>
            <w:tcW w:w="300" w:type="dxa"/>
            <w:vAlign w:val="bottom"/>
            <w:tcBorders>
              <w:bottom w:val="single" w:sz="8" w:color="auto"/>
            </w:tcBorders>
            <w:vMerge w:val="continue"/>
          </w:tcPr>
          <w:p>
            <w:pPr>
              <w:spacing w:after="0"/>
              <w:rPr>
                <w:sz w:val="24"/>
                <w:szCs w:val="24"/>
                <w:color w:val="auto"/>
              </w:rPr>
            </w:pPr>
          </w:p>
        </w:tc>
        <w:tc>
          <w:tcPr>
            <w:tcW w:w="1080" w:type="dxa"/>
            <w:vAlign w:val="bottom"/>
            <w:tcBorders>
              <w:bottom w:val="single" w:sz="8" w:color="auto"/>
            </w:tcBorders>
            <w:vMerge w:val="continue"/>
          </w:tcPr>
          <w:p>
            <w:pPr>
              <w:spacing w:after="0"/>
              <w:rPr>
                <w:sz w:val="24"/>
                <w:szCs w:val="24"/>
                <w:color w:val="auto"/>
              </w:rPr>
            </w:pPr>
          </w:p>
        </w:tc>
        <w:tc>
          <w:tcPr>
            <w:tcW w:w="120" w:type="dxa"/>
            <w:vAlign w:val="bottom"/>
            <w:tcBorders>
              <w:bottom w:val="single" w:sz="8" w:color="BFE4FF"/>
            </w:tcBorders>
          </w:tcPr>
          <w:p>
            <w:pPr>
              <w:spacing w:after="0"/>
              <w:rPr>
                <w:sz w:val="24"/>
                <w:szCs w:val="24"/>
                <w:color w:val="auto"/>
              </w:rPr>
            </w:pPr>
          </w:p>
        </w:tc>
        <w:tc>
          <w:tcPr>
            <w:tcW w:w="320" w:type="dxa"/>
            <w:vAlign w:val="bottom"/>
            <w:tcBorders>
              <w:bottom w:val="single" w:sz="8" w:color="auto"/>
            </w:tcBorders>
            <w:vMerge w:val="continue"/>
          </w:tcPr>
          <w:p>
            <w:pPr>
              <w:spacing w:after="0"/>
              <w:rPr>
                <w:sz w:val="24"/>
                <w:szCs w:val="24"/>
                <w:color w:val="auto"/>
              </w:rPr>
            </w:pPr>
          </w:p>
        </w:tc>
        <w:tc>
          <w:tcPr>
            <w:tcW w:w="1040" w:type="dxa"/>
            <w:vAlign w:val="bottom"/>
            <w:tcBorders>
              <w:bottom w:val="single" w:sz="8" w:color="auto"/>
            </w:tcBorders>
            <w:vMerge w:val="continue"/>
          </w:tcPr>
          <w:p>
            <w:pPr>
              <w:spacing w:after="0"/>
              <w:rPr>
                <w:sz w:val="24"/>
                <w:szCs w:val="24"/>
                <w:color w:val="auto"/>
              </w:rPr>
            </w:pPr>
          </w:p>
        </w:tc>
        <w:tc>
          <w:tcPr>
            <w:tcW w:w="100" w:type="dxa"/>
            <w:vAlign w:val="bottom"/>
            <w:tcBorders>
              <w:bottom w:val="single" w:sz="8" w:color="BFE4FF"/>
            </w:tcBorders>
          </w:tcPr>
          <w:p>
            <w:pPr>
              <w:spacing w:after="0"/>
              <w:rPr>
                <w:sz w:val="24"/>
                <w:szCs w:val="24"/>
                <w:color w:val="auto"/>
              </w:rPr>
            </w:pPr>
          </w:p>
        </w:tc>
        <w:tc>
          <w:tcPr>
            <w:tcW w:w="340" w:type="dxa"/>
            <w:vAlign w:val="bottom"/>
            <w:tcBorders>
              <w:bottom w:val="single" w:sz="8" w:color="auto"/>
            </w:tcBorders>
            <w:vMerge w:val="continue"/>
          </w:tcPr>
          <w:p>
            <w:pPr>
              <w:spacing w:after="0"/>
              <w:rPr>
                <w:sz w:val="24"/>
                <w:szCs w:val="24"/>
                <w:color w:val="auto"/>
              </w:rPr>
            </w:pPr>
          </w:p>
        </w:tc>
        <w:tc>
          <w:tcPr>
            <w:tcW w:w="1020" w:type="dxa"/>
            <w:vAlign w:val="bottom"/>
            <w:tcBorders>
              <w:bottom w:val="single" w:sz="8" w:color="auto"/>
            </w:tcBorders>
            <w:vMerge w:val="continue"/>
          </w:tcPr>
          <w:p>
            <w:pPr>
              <w:spacing w:after="0"/>
              <w:rPr>
                <w:sz w:val="24"/>
                <w:szCs w:val="24"/>
                <w:color w:val="auto"/>
              </w:rPr>
            </w:pPr>
          </w:p>
        </w:tc>
        <w:tc>
          <w:tcPr>
            <w:tcW w:w="120" w:type="dxa"/>
            <w:vAlign w:val="bottom"/>
            <w:tcBorders>
              <w:bottom w:val="single" w:sz="8" w:color="BFE4FF"/>
            </w:tcBorders>
          </w:tcPr>
          <w:p>
            <w:pPr>
              <w:spacing w:after="0"/>
              <w:rPr>
                <w:sz w:val="24"/>
                <w:szCs w:val="24"/>
                <w:color w:val="auto"/>
              </w:rPr>
            </w:pPr>
          </w:p>
        </w:tc>
        <w:tc>
          <w:tcPr>
            <w:tcW w:w="320" w:type="dxa"/>
            <w:vAlign w:val="bottom"/>
            <w:tcBorders>
              <w:bottom w:val="single" w:sz="8" w:color="auto"/>
            </w:tcBorders>
            <w:vMerge w:val="continue"/>
          </w:tcPr>
          <w:p>
            <w:pPr>
              <w:spacing w:after="0"/>
              <w:rPr>
                <w:sz w:val="24"/>
                <w:szCs w:val="24"/>
                <w:color w:val="auto"/>
              </w:rPr>
            </w:pPr>
          </w:p>
        </w:tc>
        <w:tc>
          <w:tcPr>
            <w:tcW w:w="1040" w:type="dxa"/>
            <w:vAlign w:val="bottom"/>
            <w:tcBorders>
              <w:bottom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5620" w:type="dxa"/>
            <w:vAlign w:val="bottom"/>
            <w:tcBorders>
              <w:bottom w:val="single" w:sz="8" w:color="BFE4FF"/>
            </w:tcBorders>
            <w:shd w:val="clear" w:color="auto" w:fill="BFE4FF"/>
          </w:tcPr>
          <w:p>
            <w:pPr>
              <w:ind w:left="40"/>
              <w:spacing w:after="0" w:line="203" w:lineRule="exact"/>
              <w:rPr>
                <w:sz w:val="20"/>
                <w:szCs w:val="20"/>
                <w:color w:val="auto"/>
              </w:rPr>
            </w:pPr>
            <w:r>
              <w:rPr>
                <w:rFonts w:ascii="Arial" w:cs="Arial" w:eastAsia="Arial" w:hAnsi="Arial"/>
                <w:sz w:val="18"/>
                <w:szCs w:val="18"/>
                <w:color w:val="auto"/>
              </w:rPr>
              <w:t>—Diluted</w:t>
            </w:r>
          </w:p>
        </w:tc>
        <w:tc>
          <w:tcPr>
            <w:tcW w:w="300" w:type="dxa"/>
            <w:vAlign w:val="bottom"/>
            <w:tcBorders>
              <w:bottom w:val="single" w:sz="8" w:color="BFE4FF"/>
            </w:tcBorders>
            <w:shd w:val="clear" w:color="auto" w:fill="BFE4FF"/>
          </w:tcPr>
          <w:p>
            <w:pPr>
              <w:jc w:val="right"/>
              <w:ind w:right="11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BFE4FF"/>
            </w:tcBorders>
            <w:shd w:val="clear" w:color="auto" w:fill="BFE4FF"/>
          </w:tcPr>
          <w:p>
            <w:pPr>
              <w:jc w:val="right"/>
              <w:ind w:right="12"/>
              <w:spacing w:after="0"/>
              <w:rPr>
                <w:sz w:val="20"/>
                <w:szCs w:val="20"/>
                <w:color w:val="auto"/>
              </w:rPr>
            </w:pPr>
            <w:r>
              <w:rPr>
                <w:rFonts w:ascii="Arial" w:cs="Arial" w:eastAsia="Arial" w:hAnsi="Arial"/>
                <w:sz w:val="18"/>
                <w:szCs w:val="18"/>
                <w:color w:val="auto"/>
              </w:rPr>
              <w:t>0.01</w:t>
            </w:r>
          </w:p>
        </w:tc>
        <w:tc>
          <w:tcPr>
            <w:tcW w:w="120" w:type="dxa"/>
            <w:vAlign w:val="bottom"/>
            <w:tcBorders>
              <w:bottom w:val="single" w:sz="8" w:color="BFE4FF"/>
            </w:tcBorders>
            <w:shd w:val="clear" w:color="auto" w:fill="BFE4FF"/>
          </w:tcPr>
          <w:p>
            <w:pPr>
              <w:spacing w:after="0"/>
              <w:rPr>
                <w:sz w:val="22"/>
                <w:szCs w:val="22"/>
                <w:color w:val="auto"/>
              </w:rPr>
            </w:pPr>
          </w:p>
        </w:tc>
        <w:tc>
          <w:tcPr>
            <w:tcW w:w="320" w:type="dxa"/>
            <w:vAlign w:val="bottom"/>
            <w:tcBorders>
              <w:bottom w:val="single" w:sz="8" w:color="BFE4FF"/>
            </w:tcBorders>
            <w:shd w:val="clear" w:color="auto" w:fill="BFE4FF"/>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BFE4FF"/>
            </w:tcBorders>
            <w:shd w:val="clear" w:color="auto" w:fill="BFE4FF"/>
          </w:tcPr>
          <w:p>
            <w:pPr>
              <w:jc w:val="right"/>
              <w:spacing w:after="0"/>
              <w:rPr>
                <w:sz w:val="20"/>
                <w:szCs w:val="20"/>
                <w:color w:val="auto"/>
              </w:rPr>
            </w:pPr>
            <w:r>
              <w:rPr>
                <w:rFonts w:ascii="Arial" w:cs="Arial" w:eastAsia="Arial" w:hAnsi="Arial"/>
                <w:sz w:val="18"/>
                <w:szCs w:val="18"/>
                <w:color w:val="auto"/>
              </w:rPr>
              <w:t>(0.11)</w:t>
            </w:r>
          </w:p>
        </w:tc>
        <w:tc>
          <w:tcPr>
            <w:tcW w:w="100" w:type="dxa"/>
            <w:vAlign w:val="bottom"/>
            <w:tcBorders>
              <w:bottom w:val="single" w:sz="8" w:color="BFE4FF"/>
            </w:tcBorders>
            <w:shd w:val="clear" w:color="auto" w:fill="BFE4FF"/>
          </w:tcPr>
          <w:p>
            <w:pPr>
              <w:spacing w:after="0"/>
              <w:rPr>
                <w:sz w:val="22"/>
                <w:szCs w:val="22"/>
                <w:color w:val="auto"/>
              </w:rPr>
            </w:pPr>
          </w:p>
        </w:tc>
        <w:tc>
          <w:tcPr>
            <w:tcW w:w="340" w:type="dxa"/>
            <w:vAlign w:val="bottom"/>
            <w:tcBorders>
              <w:bottom w:val="single" w:sz="8" w:color="BFE4FF"/>
            </w:tcBorders>
            <w:shd w:val="clear" w:color="auto" w:fill="BFE4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BFE4FF"/>
            </w:tcBorders>
            <w:shd w:val="clear" w:color="auto" w:fill="BFE4FF"/>
          </w:tcPr>
          <w:p>
            <w:pPr>
              <w:jc w:val="right"/>
              <w:ind w:right="12"/>
              <w:spacing w:after="0"/>
              <w:rPr>
                <w:sz w:val="20"/>
                <w:szCs w:val="20"/>
                <w:color w:val="auto"/>
              </w:rPr>
            </w:pPr>
            <w:r>
              <w:rPr>
                <w:rFonts w:ascii="Arial" w:cs="Arial" w:eastAsia="Arial" w:hAnsi="Arial"/>
                <w:sz w:val="18"/>
                <w:szCs w:val="18"/>
                <w:color w:val="auto"/>
              </w:rPr>
              <w:t>0.03</w:t>
            </w:r>
          </w:p>
        </w:tc>
        <w:tc>
          <w:tcPr>
            <w:tcW w:w="120" w:type="dxa"/>
            <w:vAlign w:val="bottom"/>
            <w:tcBorders>
              <w:bottom w:val="single" w:sz="8" w:color="BFE4FF"/>
            </w:tcBorders>
            <w:shd w:val="clear" w:color="auto" w:fill="BFE4FF"/>
          </w:tcPr>
          <w:p>
            <w:pPr>
              <w:spacing w:after="0"/>
              <w:rPr>
                <w:sz w:val="22"/>
                <w:szCs w:val="22"/>
                <w:color w:val="auto"/>
              </w:rPr>
            </w:pPr>
          </w:p>
        </w:tc>
        <w:tc>
          <w:tcPr>
            <w:tcW w:w="320" w:type="dxa"/>
            <w:vAlign w:val="bottom"/>
            <w:tcBorders>
              <w:bottom w:val="single" w:sz="8" w:color="BFE4FF"/>
            </w:tcBorders>
            <w:shd w:val="clear" w:color="auto" w:fill="BFE4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BFE4FF"/>
            </w:tcBorders>
            <w:shd w:val="clear" w:color="auto" w:fill="BFE4FF"/>
          </w:tcPr>
          <w:p>
            <w:pPr>
              <w:jc w:val="right"/>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0"/>
        </w:trPr>
        <w:tc>
          <w:tcPr>
            <w:tcW w:w="5620" w:type="dxa"/>
            <w:vAlign w:val="bottom"/>
            <w:tcBorders>
              <w:top w:val="single" w:sz="8" w:color="BFE4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BFE4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BFE4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BFE4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 w:lineRule="exact"/>
        <w:rPr>
          <w:sz w:val="20"/>
          <w:szCs w:val="20"/>
          <w:color w:val="auto"/>
        </w:rPr>
      </w:pPr>
    </w:p>
    <w:p>
      <w:pPr>
        <w:sectPr>
          <w:pgSz w:w="11900" w:h="16838" w:orient="portrait"/>
          <w:cols w:equalWidth="0" w:num="1">
            <w:col w:w="11420"/>
          </w:cols>
          <w:pgMar w:left="240" w:top="125" w:right="239" w:bottom="1440" w:gutter="0" w:footer="0" w:header="0"/>
        </w:sectPr>
      </w:pPr>
    </w:p>
    <w:p>
      <w:pPr>
        <w:ind w:left="40"/>
        <w:spacing w:after="0" w:line="261" w:lineRule="auto"/>
        <w:rPr>
          <w:sz w:val="20"/>
          <w:szCs w:val="20"/>
          <w:color w:val="auto"/>
        </w:rPr>
      </w:pPr>
      <w:r>
        <w:rPr>
          <w:rFonts w:ascii="Arial" w:cs="Arial" w:eastAsia="Arial" w:hAnsi="Arial"/>
          <w:sz w:val="18"/>
          <w:szCs w:val="18"/>
          <w:color w:val="auto"/>
        </w:rPr>
        <w:t>Weighted average shares used to compute net income (loss) per share attributable to common stockholders —Basic</w:t>
      </w:r>
    </w:p>
    <w:p>
      <w:pPr>
        <w:spacing w:after="0" w:line="238" w:lineRule="exact"/>
        <w:rPr>
          <w:sz w:val="20"/>
          <w:szCs w:val="20"/>
          <w:color w:val="auto"/>
        </w:rPr>
      </w:pPr>
    </w:p>
    <w:p>
      <w:pPr>
        <w:ind w:left="40"/>
        <w:spacing w:after="0"/>
        <w:rPr>
          <w:sz w:val="20"/>
          <w:szCs w:val="20"/>
          <w:color w:val="auto"/>
        </w:rPr>
      </w:pPr>
      <w:r>
        <w:rPr>
          <w:rFonts w:ascii="Arial" w:cs="Arial" w:eastAsia="Arial" w:hAnsi="Arial"/>
          <w:sz w:val="18"/>
          <w:szCs w:val="18"/>
          <w:color w:val="auto"/>
        </w:rPr>
        <w:t>—Diluted</w:t>
      </w:r>
    </w:p>
    <w:p>
      <w:pPr>
        <w:spacing w:after="0" w:line="20" w:lineRule="exact"/>
        <w:rPr>
          <w:sz w:val="20"/>
          <w:szCs w:val="20"/>
          <w:color w:val="auto"/>
        </w:rPr>
      </w:pPr>
      <w:r>
        <w:rPr>
          <w:sz w:val="20"/>
          <w:szCs w:val="20"/>
          <w:color w:val="auto"/>
        </w:rPr>
        <w:br w:type="column"/>
      </w:r>
    </w:p>
    <w:p>
      <w:pPr>
        <w:spacing w:after="0" w:line="38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1380" w:type="dxa"/>
            <w:vAlign w:val="bottom"/>
          </w:tcPr>
          <w:p>
            <w:pPr>
              <w:jc w:val="right"/>
              <w:ind w:right="10"/>
              <w:spacing w:after="0"/>
              <w:rPr>
                <w:sz w:val="20"/>
                <w:szCs w:val="20"/>
                <w:color w:val="auto"/>
              </w:rPr>
            </w:pPr>
            <w:r>
              <w:rPr>
                <w:rFonts w:ascii="Arial" w:cs="Arial" w:eastAsia="Arial" w:hAnsi="Arial"/>
                <w:sz w:val="18"/>
                <w:szCs w:val="18"/>
                <w:color w:val="auto"/>
              </w:rPr>
              <w:t>30,210,322</w:t>
            </w:r>
          </w:p>
        </w:tc>
        <w:tc>
          <w:tcPr>
            <w:tcW w:w="120" w:type="dxa"/>
            <w:vAlign w:val="bottom"/>
          </w:tcPr>
          <w:p>
            <w:pPr>
              <w:spacing w:after="0"/>
              <w:rPr>
                <w:sz w:val="20"/>
                <w:szCs w:val="20"/>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5,096,151</w:t>
            </w:r>
          </w:p>
        </w:tc>
        <w:tc>
          <w:tcPr>
            <w:tcW w:w="100" w:type="dxa"/>
            <w:vAlign w:val="bottom"/>
          </w:tcPr>
          <w:p>
            <w:pPr>
              <w:spacing w:after="0"/>
              <w:rPr>
                <w:sz w:val="20"/>
                <w:szCs w:val="20"/>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30,100,162</w:t>
            </w:r>
          </w:p>
        </w:tc>
        <w:tc>
          <w:tcPr>
            <w:tcW w:w="120" w:type="dxa"/>
            <w:vAlign w:val="bottom"/>
          </w:tcPr>
          <w:p>
            <w:pPr>
              <w:spacing w:after="0"/>
              <w:rPr>
                <w:sz w:val="20"/>
                <w:szCs w:val="20"/>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5,000,375</w:t>
            </w:r>
          </w:p>
        </w:tc>
      </w:tr>
      <w:tr>
        <w:trPr>
          <w:trHeight w:val="27"/>
        </w:trPr>
        <w:tc>
          <w:tcPr>
            <w:tcW w:w="13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0"/>
        </w:trPr>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r>
        <w:trPr>
          <w:trHeight w:val="224"/>
        </w:trPr>
        <w:tc>
          <w:tcPr>
            <w:tcW w:w="1380" w:type="dxa"/>
            <w:vAlign w:val="bottom"/>
          </w:tcPr>
          <w:p>
            <w:pPr>
              <w:jc w:val="right"/>
              <w:ind w:right="10"/>
              <w:spacing w:after="0"/>
              <w:rPr>
                <w:sz w:val="20"/>
                <w:szCs w:val="20"/>
                <w:color w:val="auto"/>
              </w:rPr>
            </w:pPr>
            <w:r>
              <w:rPr>
                <w:rFonts w:ascii="Arial" w:cs="Arial" w:eastAsia="Arial" w:hAnsi="Arial"/>
                <w:sz w:val="18"/>
                <w:szCs w:val="18"/>
                <w:color w:val="auto"/>
              </w:rPr>
              <w:t>32,693,684</w:t>
            </w:r>
          </w:p>
        </w:tc>
        <w:tc>
          <w:tcPr>
            <w:tcW w:w="120" w:type="dxa"/>
            <w:vAlign w:val="bottom"/>
          </w:tcPr>
          <w:p>
            <w:pPr>
              <w:spacing w:after="0"/>
              <w:rPr>
                <w:sz w:val="19"/>
                <w:szCs w:val="19"/>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5,096,151</w:t>
            </w:r>
          </w:p>
        </w:tc>
        <w:tc>
          <w:tcPr>
            <w:tcW w:w="100" w:type="dxa"/>
            <w:vAlign w:val="bottom"/>
          </w:tcPr>
          <w:p>
            <w:pPr>
              <w:spacing w:after="0"/>
              <w:rPr>
                <w:sz w:val="19"/>
                <w:szCs w:val="19"/>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32,542,253</w:t>
            </w:r>
          </w:p>
        </w:tc>
        <w:tc>
          <w:tcPr>
            <w:tcW w:w="120" w:type="dxa"/>
            <w:vAlign w:val="bottom"/>
          </w:tcPr>
          <w:p>
            <w:pPr>
              <w:spacing w:after="0"/>
              <w:rPr>
                <w:sz w:val="19"/>
                <w:szCs w:val="19"/>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5,000,375</w:t>
            </w:r>
          </w:p>
        </w:tc>
      </w:tr>
      <w:tr>
        <w:trPr>
          <w:trHeight w:val="27"/>
        </w:trPr>
        <w:tc>
          <w:tcPr>
            <w:tcW w:w="13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0"/>
        </w:trPr>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-3562985</wp:posOffset>
            </wp:positionH>
            <wp:positionV relativeFrom="paragraph">
              <wp:posOffset>-213995</wp:posOffset>
            </wp:positionV>
            <wp:extent cx="7246620" cy="1974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97485"/>
                    </a:xfrm>
                    <a:prstGeom prst="rect">
                      <a:avLst/>
                    </a:prstGeom>
                    <a:noFill/>
                  </pic:spPr>
                </pic:pic>
              </a:graphicData>
            </a:graphic>
          </wp:anchor>
        </w:drawing>
      </w:r>
    </w:p>
    <w:p>
      <w:pPr>
        <w:spacing w:after="0" w:line="148" w:lineRule="exact"/>
        <w:rPr>
          <w:sz w:val="20"/>
          <w:szCs w:val="20"/>
          <w:color w:val="auto"/>
        </w:rPr>
      </w:pPr>
    </w:p>
    <w:p>
      <w:pPr>
        <w:sectPr>
          <w:pgSz w:w="11900" w:h="16838" w:orient="portrait"/>
          <w:cols w:equalWidth="0" w:num="2">
            <w:col w:w="5020" w:space="600"/>
            <w:col w:w="5800"/>
          </w:cols>
          <w:pgMar w:left="240" w:top="125" w:right="239" w:bottom="1440" w:gutter="0" w:footer="0" w:header="0"/>
          <w:type w:val="continuous"/>
        </w:sectPr>
      </w:pPr>
    </w:p>
    <w:p>
      <w:pPr>
        <w:jc w:val="center"/>
        <w:ind w:right="-19"/>
        <w:spacing w:after="0"/>
        <w:rPr>
          <w:sz w:val="20"/>
          <w:szCs w:val="20"/>
          <w:color w:val="auto"/>
        </w:rPr>
      </w:pPr>
      <w:r>
        <w:rPr>
          <w:rFonts w:ascii="Arial" w:cs="Arial" w:eastAsia="Arial" w:hAnsi="Arial"/>
          <w:sz w:val="16"/>
          <w:szCs w:val="16"/>
          <w:i w:val="1"/>
          <w:iCs w:val="1"/>
          <w:color w:val="auto"/>
        </w:rPr>
        <w:t>See accompanying notes to the unaudited condensed consolidated financial statements</w:t>
      </w:r>
    </w:p>
    <w:p>
      <w:pPr>
        <w:spacing w:after="0" w:line="2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125" w:right="239" w:bottom="1440" w:gutter="0" w:footer="0" w:header="0"/>
          <w:type w:val="continuous"/>
        </w:sectPr>
      </w:pPr>
    </w:p>
    <w:bookmarkStart w:id="5" w:name="page6"/>
    <w:bookmarkEnd w:id="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w:t>
      </w:r>
    </w:p>
    <w:p>
      <w:pPr>
        <w:spacing w:after="0" w:line="216" w:lineRule="exact"/>
        <w:rPr>
          <w:sz w:val="20"/>
          <w:szCs w:val="20"/>
          <w:color w:val="auto"/>
        </w:rPr>
      </w:pPr>
    </w:p>
    <w:p>
      <w:pPr>
        <w:jc w:val="center"/>
        <w:ind w:left="8380"/>
        <w:spacing w:after="0"/>
        <w:rPr>
          <w:sz w:val="20"/>
          <w:szCs w:val="20"/>
          <w:color w:val="auto"/>
        </w:rPr>
      </w:pPr>
      <w:r>
        <w:rPr>
          <w:rFonts w:ascii="Arial" w:cs="Arial" w:eastAsia="Arial" w:hAnsi="Arial"/>
          <w:sz w:val="14"/>
          <w:szCs w:val="14"/>
          <w:b w:val="1"/>
          <w:bCs w:val="1"/>
          <w:color w:val="auto"/>
        </w:rPr>
        <w:t>Six Months Ended 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5304790</wp:posOffset>
            </wp:positionH>
            <wp:positionV relativeFrom="paragraph">
              <wp:posOffset>23495</wp:posOffset>
            </wp:positionV>
            <wp:extent cx="194691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946910" cy="8890"/>
                    </a:xfrm>
                    <a:prstGeom prst="rect">
                      <a:avLst/>
                    </a:prstGeom>
                    <a:noFill/>
                  </pic:spPr>
                </pic:pic>
              </a:graphicData>
            </a:graphic>
          </wp:anchor>
        </w:drawing>
      </w:r>
    </w:p>
    <w:p>
      <w:pPr>
        <w:spacing w:after="0" w:line="103" w:lineRule="exact"/>
        <w:rPr>
          <w:sz w:val="20"/>
          <w:szCs w:val="20"/>
          <w:color w:val="auto"/>
        </w:rPr>
      </w:pPr>
    </w:p>
    <w:p>
      <w:pPr>
        <w:jc w:val="both"/>
        <w:ind w:left="8960"/>
        <w:spacing w:after="0"/>
        <w:tabs>
          <w:tab w:leader="none" w:pos="10520" w:val="left"/>
        </w:tabs>
        <w:rPr>
          <w:sz w:val="20"/>
          <w:szCs w:val="20"/>
          <w:color w:val="auto"/>
        </w:rPr>
      </w:pPr>
      <w:r>
        <w:rPr>
          <w:rFonts w:ascii="Arial" w:cs="Arial" w:eastAsia="Arial" w:hAnsi="Arial"/>
          <w:sz w:val="14"/>
          <w:szCs w:val="14"/>
          <w:b w:val="1"/>
          <w:bCs w:val="1"/>
          <w:color w:val="auto"/>
        </w:rPr>
        <w:t>2016</w:t>
      </w:r>
      <w:r>
        <w:rPr>
          <w:sz w:val="20"/>
          <w:szCs w:val="20"/>
          <w:color w:val="auto"/>
        </w:rPr>
        <w:tab/>
      </w:r>
      <w:r>
        <w:rPr>
          <w:rFonts w:ascii="Arial" w:cs="Arial" w:eastAsia="Arial" w:hAnsi="Arial"/>
          <w:sz w:val="14"/>
          <w:szCs w:val="14"/>
          <w:b w:val="1"/>
          <w:bCs w:val="1"/>
          <w:color w:val="auto"/>
        </w:rPr>
        <w:t>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5304790</wp:posOffset>
            </wp:positionH>
            <wp:positionV relativeFrom="paragraph">
              <wp:posOffset>23495</wp:posOffset>
            </wp:positionV>
            <wp:extent cx="194691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946910" cy="8890"/>
                    </a:xfrm>
                    <a:prstGeom prst="rect">
                      <a:avLst/>
                    </a:prstGeom>
                    <a:noFill/>
                  </pic:spPr>
                </pic:pic>
              </a:graphicData>
            </a:graphic>
          </wp:anchor>
        </w:drawing>
      </w:r>
    </w:p>
    <w:p>
      <w:pPr>
        <w:spacing w:after="0" w:line="30" w:lineRule="exact"/>
        <w:rPr>
          <w:sz w:val="20"/>
          <w:szCs w:val="20"/>
          <w:color w:val="auto"/>
        </w:rPr>
      </w:pPr>
    </w:p>
    <w:p>
      <w:pPr>
        <w:ind w:left="40"/>
        <w:spacing w:after="0"/>
        <w:rPr>
          <w:sz w:val="20"/>
          <w:szCs w:val="20"/>
          <w:color w:val="auto"/>
        </w:rPr>
      </w:pPr>
      <w:r>
        <w:rPr>
          <w:rFonts w:ascii="Arial" w:cs="Arial" w:eastAsia="Arial" w:hAnsi="Arial"/>
          <w:sz w:val="16"/>
          <w:szCs w:val="16"/>
          <w:b w:val="1"/>
          <w:bCs w:val="1"/>
          <w:color w:val="auto"/>
        </w:rPr>
        <w:t>CASH FLOWS FROM OPERATING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54610</wp:posOffset>
            </wp:positionV>
            <wp:extent cx="7246620" cy="1714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p>
      <w:pPr>
        <w:spacing w:after="0" w:line="104" w:lineRule="exact"/>
        <w:rPr>
          <w:sz w:val="20"/>
          <w:szCs w:val="20"/>
          <w:color w:val="auto"/>
        </w:rPr>
      </w:pPr>
    </w:p>
    <w:p>
      <w:pPr>
        <w:ind w:left="280"/>
        <w:spacing w:after="0"/>
        <w:rPr>
          <w:sz w:val="20"/>
          <w:szCs w:val="20"/>
          <w:color w:val="auto"/>
        </w:rPr>
      </w:pPr>
      <w:r>
        <w:rPr>
          <w:rFonts w:ascii="Arial" w:cs="Arial" w:eastAsia="Arial" w:hAnsi="Arial"/>
          <w:sz w:val="16"/>
          <w:szCs w:val="16"/>
          <w:color w:val="auto"/>
        </w:rPr>
        <w:t>Net income (loss)</w:t>
      </w:r>
    </w:p>
    <w:p>
      <w:pPr>
        <w:spacing w:after="0" w:line="86" w:lineRule="exact"/>
        <w:rPr>
          <w:sz w:val="20"/>
          <w:szCs w:val="20"/>
          <w:color w:val="auto"/>
        </w:rPr>
      </w:pPr>
    </w:p>
    <w:p>
      <w:pPr>
        <w:ind w:left="40"/>
        <w:spacing w:after="0"/>
        <w:rPr>
          <w:sz w:val="20"/>
          <w:szCs w:val="20"/>
          <w:color w:val="auto"/>
        </w:rPr>
      </w:pPr>
      <w:r>
        <w:rPr>
          <w:rFonts w:ascii="Arial" w:cs="Arial" w:eastAsia="Arial" w:hAnsi="Arial"/>
          <w:sz w:val="14"/>
          <w:szCs w:val="14"/>
          <w:color w:val="auto"/>
        </w:rPr>
        <w:t>Adjustments to reconcile net income to net cash used in operating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58420</wp:posOffset>
            </wp:positionV>
            <wp:extent cx="7246620" cy="1714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89" w:lineRule="exact"/>
        <w:rPr>
          <w:sz w:val="20"/>
          <w:szCs w:val="20"/>
          <w:color w:val="auto"/>
        </w:rPr>
      </w:pPr>
    </w:p>
    <w:p>
      <w:pPr>
        <w:ind w:left="280"/>
        <w:spacing w:after="0"/>
        <w:rPr>
          <w:sz w:val="20"/>
          <w:szCs w:val="20"/>
          <w:color w:val="auto"/>
        </w:rPr>
      </w:pPr>
      <w:r>
        <w:rPr>
          <w:rFonts w:ascii="Arial" w:cs="Arial" w:eastAsia="Arial" w:hAnsi="Arial"/>
          <w:sz w:val="16"/>
          <w:szCs w:val="16"/>
          <w:color w:val="auto"/>
        </w:rPr>
        <w:t>Depreciation and amortization</w:t>
      </w:r>
    </w:p>
    <w:p>
      <w:pPr>
        <w:spacing w:after="0" w:line="8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Amortization of premium on marketable investments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43815</wp:posOffset>
            </wp:positionV>
            <wp:extent cx="7246620"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6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Stock-based compensation</w:t>
      </w:r>
    </w:p>
    <w:p>
      <w:pPr>
        <w:spacing w:after="0" w:line="8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Excess tax benefit from stock-based compensation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43815</wp:posOffset>
            </wp:positionV>
            <wp:extent cx="7246620" cy="1714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6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Provision for (release of) doubtful accounts</w:t>
      </w:r>
    </w:p>
    <w:p>
      <w:pPr>
        <w:spacing w:after="0" w:line="8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Inventory write downs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43815</wp:posOffset>
            </wp:positionV>
            <wp:extent cx="7246620" cy="1714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6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Write off of note receivable</w:t>
      </w:r>
    </w:p>
    <w:p>
      <w:pPr>
        <w:spacing w:after="0" w:line="8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(Release of) provision for sales returns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43815</wp:posOffset>
            </wp:positionV>
            <wp:extent cx="7246620" cy="1714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6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Loss on disposal of property and equipment</w:t>
      </w:r>
    </w:p>
    <w:p>
      <w:pPr>
        <w:spacing w:after="0" w:line="8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Realized (gain) loss on marketable investments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43815</wp:posOffset>
            </wp:positionV>
            <wp:extent cx="7246620" cy="1714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6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Provision for product warranty</w:t>
      </w:r>
    </w:p>
    <w:p>
      <w:pPr>
        <w:spacing w:after="0" w:line="8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Deferred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43815</wp:posOffset>
            </wp:positionV>
            <wp:extent cx="7246620" cy="1714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6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Changes in operating assets and liabilities:</w:t>
      </w:r>
    </w:p>
    <w:p>
      <w:pPr>
        <w:spacing w:after="0" w:line="86" w:lineRule="exact"/>
        <w:rPr>
          <w:sz w:val="20"/>
          <w:szCs w:val="20"/>
          <w:color w:val="auto"/>
        </w:rPr>
      </w:pPr>
    </w:p>
    <w:p>
      <w:pPr>
        <w:ind w:left="500"/>
        <w:spacing w:after="0"/>
        <w:rPr>
          <w:sz w:val="20"/>
          <w:szCs w:val="20"/>
          <w:color w:val="auto"/>
        </w:rPr>
      </w:pPr>
      <w:r>
        <w:rPr>
          <w:rFonts w:ascii="Arial" w:cs="Arial" w:eastAsia="Arial" w:hAnsi="Arial"/>
          <w:sz w:val="16"/>
          <w:szCs w:val="16"/>
          <w:color w:val="auto"/>
        </w:rPr>
        <w:t>Accounts receivable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43815</wp:posOffset>
            </wp:positionV>
            <wp:extent cx="7246620" cy="1714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66" w:lineRule="exact"/>
        <w:rPr>
          <w:sz w:val="20"/>
          <w:szCs w:val="20"/>
          <w:color w:val="auto"/>
        </w:rPr>
      </w:pPr>
    </w:p>
    <w:p>
      <w:pPr>
        <w:ind w:left="500"/>
        <w:spacing w:after="0"/>
        <w:rPr>
          <w:sz w:val="20"/>
          <w:szCs w:val="20"/>
          <w:color w:val="auto"/>
        </w:rPr>
      </w:pPr>
      <w:r>
        <w:rPr>
          <w:rFonts w:ascii="Arial" w:cs="Arial" w:eastAsia="Arial" w:hAnsi="Arial"/>
          <w:sz w:val="16"/>
          <w:szCs w:val="16"/>
          <w:color w:val="auto"/>
        </w:rPr>
        <w:t>Inventories</w:t>
      </w:r>
    </w:p>
    <w:p>
      <w:pPr>
        <w:spacing w:after="0" w:line="86" w:lineRule="exact"/>
        <w:rPr>
          <w:sz w:val="20"/>
          <w:szCs w:val="20"/>
          <w:color w:val="auto"/>
        </w:rPr>
      </w:pPr>
    </w:p>
    <w:p>
      <w:pPr>
        <w:ind w:left="500"/>
        <w:spacing w:after="0"/>
        <w:rPr>
          <w:sz w:val="20"/>
          <w:szCs w:val="20"/>
          <w:color w:val="auto"/>
        </w:rPr>
      </w:pPr>
      <w:r>
        <w:rPr>
          <w:rFonts w:ascii="Arial" w:cs="Arial" w:eastAsia="Arial" w:hAnsi="Arial"/>
          <w:sz w:val="16"/>
          <w:szCs w:val="16"/>
          <w:color w:val="auto"/>
        </w:rPr>
        <w:t>Prepaid expenses and other current and non-current 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43815</wp:posOffset>
            </wp:positionV>
            <wp:extent cx="7246620" cy="1714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66" w:lineRule="exact"/>
        <w:rPr>
          <w:sz w:val="20"/>
          <w:szCs w:val="20"/>
          <w:color w:val="auto"/>
        </w:rPr>
      </w:pPr>
    </w:p>
    <w:p>
      <w:pPr>
        <w:ind w:left="520"/>
        <w:spacing w:after="0"/>
        <w:rPr>
          <w:sz w:val="20"/>
          <w:szCs w:val="20"/>
          <w:color w:val="auto"/>
        </w:rPr>
      </w:pPr>
      <w:r>
        <w:rPr>
          <w:rFonts w:ascii="Arial" w:cs="Arial" w:eastAsia="Arial" w:hAnsi="Arial"/>
          <w:sz w:val="16"/>
          <w:szCs w:val="16"/>
          <w:color w:val="auto"/>
        </w:rPr>
        <w:t>Accounts payable</w:t>
      </w:r>
    </w:p>
    <w:p>
      <w:pPr>
        <w:spacing w:after="0" w:line="86" w:lineRule="exact"/>
        <w:rPr>
          <w:sz w:val="20"/>
          <w:szCs w:val="20"/>
          <w:color w:val="auto"/>
        </w:rPr>
      </w:pPr>
    </w:p>
    <w:p>
      <w:pPr>
        <w:ind w:left="500"/>
        <w:spacing w:after="0"/>
        <w:rPr>
          <w:sz w:val="20"/>
          <w:szCs w:val="20"/>
          <w:color w:val="auto"/>
        </w:rPr>
      </w:pPr>
      <w:r>
        <w:rPr>
          <w:rFonts w:ascii="Arial" w:cs="Arial" w:eastAsia="Arial" w:hAnsi="Arial"/>
          <w:sz w:val="16"/>
          <w:szCs w:val="16"/>
          <w:color w:val="auto"/>
        </w:rPr>
        <w:t>Accrued expenses and other non-current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43815</wp:posOffset>
            </wp:positionV>
            <wp:extent cx="7246620" cy="1714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66" w:lineRule="exact"/>
        <w:rPr>
          <w:sz w:val="20"/>
          <w:szCs w:val="20"/>
          <w:color w:val="auto"/>
        </w:rPr>
      </w:pPr>
    </w:p>
    <w:p>
      <w:pPr>
        <w:ind w:left="280"/>
        <w:spacing w:after="0"/>
        <w:rPr>
          <w:sz w:val="20"/>
          <w:szCs w:val="20"/>
          <w:color w:val="auto"/>
        </w:rPr>
      </w:pPr>
      <w:r>
        <w:rPr>
          <w:rFonts w:ascii="Arial" w:cs="Arial" w:eastAsia="Arial" w:hAnsi="Arial"/>
          <w:sz w:val="16"/>
          <w:szCs w:val="16"/>
          <w:color w:val="auto"/>
        </w:rPr>
        <w:t>Net cash used in operating activities</w:t>
      </w:r>
    </w:p>
    <w:p>
      <w:pPr>
        <w:spacing w:after="0" w:line="82" w:lineRule="exact"/>
        <w:rPr>
          <w:sz w:val="20"/>
          <w:szCs w:val="20"/>
          <w:color w:val="auto"/>
        </w:rPr>
      </w:pPr>
    </w:p>
    <w:p>
      <w:pPr>
        <w:ind w:left="40"/>
        <w:spacing w:after="0"/>
        <w:rPr>
          <w:sz w:val="20"/>
          <w:szCs w:val="20"/>
          <w:color w:val="auto"/>
        </w:rPr>
      </w:pPr>
      <w:r>
        <w:rPr>
          <w:rFonts w:ascii="Arial" w:cs="Arial" w:eastAsia="Arial" w:hAnsi="Arial"/>
          <w:sz w:val="16"/>
          <w:szCs w:val="16"/>
          <w:b w:val="1"/>
          <w:bCs w:val="1"/>
          <w:color w:val="auto"/>
        </w:rPr>
        <w:t>CASH FLOWS FROM INVESTING ACTIVITIES:</w:t>
      </w:r>
    </w:p>
    <w:p>
      <w:pPr>
        <w:spacing w:after="0" w:line="20" w:lineRule="exact"/>
        <w:rPr>
          <w:sz w:val="20"/>
          <w:szCs w:val="20"/>
          <w:color w:val="auto"/>
        </w:rPr>
      </w:pPr>
      <w:r>
        <w:rPr>
          <w:sz w:val="20"/>
          <w:szCs w:val="20"/>
          <w:color w:val="auto"/>
        </w:rPr>
        <w:br w:type="column"/>
      </w:r>
    </w:p>
    <w:p>
      <w:pPr>
        <w:spacing w:after="0" w:line="9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6"/>
        </w:trPr>
        <w:tc>
          <w:tcPr>
            <w:tcW w:w="480" w:type="dxa"/>
            <w:vAlign w:val="bottom"/>
          </w:tcPr>
          <w:p>
            <w:pPr>
              <w:jc w:val="right"/>
              <w:ind w:right="29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965</w:t>
            </w:r>
          </w:p>
        </w:tc>
        <w:tc>
          <w:tcPr>
            <w:tcW w:w="100" w:type="dxa"/>
            <w:vAlign w:val="bottom"/>
          </w:tcPr>
          <w:p>
            <w:pPr>
              <w:spacing w:after="0"/>
              <w:rPr>
                <w:sz w:val="17"/>
                <w:szCs w:val="17"/>
                <w:color w:val="auto"/>
              </w:rPr>
            </w:pPr>
          </w:p>
        </w:tc>
        <w:tc>
          <w:tcPr>
            <w:tcW w:w="480" w:type="dxa"/>
            <w:vAlign w:val="bottom"/>
          </w:tcPr>
          <w:p>
            <w:pPr>
              <w:jc w:val="right"/>
              <w:ind w:right="29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(169)</w:t>
            </w:r>
          </w:p>
        </w:tc>
      </w:tr>
      <w:tr>
        <w:trPr>
          <w:trHeight w:val="540"/>
        </w:trPr>
        <w:tc>
          <w:tcPr>
            <w:tcW w:w="480" w:type="dxa"/>
            <w:vAlign w:val="bottom"/>
          </w:tcPr>
          <w:p>
            <w:pPr>
              <w:spacing w:after="0"/>
              <w:rPr>
                <w:sz w:val="24"/>
                <w:szCs w:val="24"/>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1,146</w:t>
            </w: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745</w:t>
            </w:r>
          </w:p>
        </w:tc>
      </w:tr>
      <w:tr>
        <w:trPr>
          <w:trHeight w:val="270"/>
        </w:trPr>
        <w:tc>
          <w:tcPr>
            <w:tcW w:w="480" w:type="dxa"/>
            <w:vAlign w:val="bottom"/>
          </w:tcPr>
          <w:p>
            <w:pPr>
              <w:spacing w:after="0"/>
              <w:rPr>
                <w:sz w:val="23"/>
                <w:szCs w:val="23"/>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445</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270"/>
        </w:trPr>
        <w:tc>
          <w:tcPr>
            <w:tcW w:w="480" w:type="dxa"/>
            <w:vAlign w:val="bottom"/>
          </w:tcPr>
          <w:p>
            <w:pPr>
              <w:spacing w:after="0"/>
              <w:rPr>
                <w:sz w:val="23"/>
                <w:szCs w:val="23"/>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6,537</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3,616</w:t>
            </w:r>
          </w:p>
        </w:tc>
      </w:tr>
      <w:tr>
        <w:trPr>
          <w:trHeight w:val="270"/>
        </w:trPr>
        <w:tc>
          <w:tcPr>
            <w:tcW w:w="480" w:type="dxa"/>
            <w:vAlign w:val="bottom"/>
          </w:tcPr>
          <w:p>
            <w:pPr>
              <w:spacing w:after="0"/>
              <w:rPr>
                <w:sz w:val="23"/>
                <w:szCs w:val="23"/>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(4,373)</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270"/>
        </w:trPr>
        <w:tc>
          <w:tcPr>
            <w:tcW w:w="480" w:type="dxa"/>
            <w:vAlign w:val="bottom"/>
          </w:tcPr>
          <w:p>
            <w:pPr>
              <w:spacing w:after="0"/>
              <w:rPr>
                <w:sz w:val="23"/>
                <w:szCs w:val="23"/>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72</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(101)</w:t>
            </w:r>
          </w:p>
        </w:tc>
      </w:tr>
      <w:tr>
        <w:trPr>
          <w:trHeight w:val="270"/>
        </w:trPr>
        <w:tc>
          <w:tcPr>
            <w:tcW w:w="480" w:type="dxa"/>
            <w:vAlign w:val="bottom"/>
          </w:tcPr>
          <w:p>
            <w:pPr>
              <w:spacing w:after="0"/>
              <w:rPr>
                <w:sz w:val="23"/>
                <w:szCs w:val="23"/>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824</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304</w:t>
            </w:r>
          </w:p>
        </w:tc>
      </w:tr>
      <w:tr>
        <w:trPr>
          <w:trHeight w:val="270"/>
        </w:trPr>
        <w:tc>
          <w:tcPr>
            <w:tcW w:w="480" w:type="dxa"/>
            <w:vAlign w:val="bottom"/>
          </w:tcPr>
          <w:p>
            <w:pPr>
              <w:spacing w:after="0"/>
              <w:rPr>
                <w:sz w:val="23"/>
                <w:szCs w:val="23"/>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4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85</w:t>
            </w:r>
          </w:p>
        </w:tc>
      </w:tr>
      <w:tr>
        <w:trPr>
          <w:trHeight w:val="270"/>
        </w:trPr>
        <w:tc>
          <w:tcPr>
            <w:tcW w:w="480" w:type="dxa"/>
            <w:vAlign w:val="bottom"/>
          </w:tcPr>
          <w:p>
            <w:pPr>
              <w:spacing w:after="0"/>
              <w:rPr>
                <w:sz w:val="23"/>
                <w:szCs w:val="23"/>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(208)</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223</w:t>
            </w:r>
          </w:p>
        </w:tc>
      </w:tr>
      <w:tr>
        <w:trPr>
          <w:trHeight w:val="270"/>
        </w:trPr>
        <w:tc>
          <w:tcPr>
            <w:tcW w:w="480" w:type="dxa"/>
            <w:vAlign w:val="bottom"/>
          </w:tcPr>
          <w:p>
            <w:pPr>
              <w:spacing w:after="0"/>
              <w:rPr>
                <w:sz w:val="23"/>
                <w:szCs w:val="23"/>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59</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12</w:t>
            </w:r>
          </w:p>
        </w:tc>
      </w:tr>
      <w:tr>
        <w:trPr>
          <w:trHeight w:val="270"/>
        </w:trPr>
        <w:tc>
          <w:tcPr>
            <w:tcW w:w="480" w:type="dxa"/>
            <w:vAlign w:val="bottom"/>
          </w:tcPr>
          <w:p>
            <w:pPr>
              <w:spacing w:after="0"/>
              <w:rPr>
                <w:sz w:val="23"/>
                <w:szCs w:val="23"/>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541</w:t>
            </w:r>
          </w:p>
        </w:tc>
      </w:tr>
      <w:tr>
        <w:trPr>
          <w:trHeight w:val="270"/>
        </w:trPr>
        <w:tc>
          <w:tcPr>
            <w:tcW w:w="480" w:type="dxa"/>
            <w:vAlign w:val="bottom"/>
          </w:tcPr>
          <w:p>
            <w:pPr>
              <w:spacing w:after="0"/>
              <w:rPr>
                <w:sz w:val="23"/>
                <w:szCs w:val="23"/>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23</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176</w:t>
            </w:r>
          </w:p>
        </w:tc>
      </w:tr>
      <w:tr>
        <w:trPr>
          <w:trHeight w:val="270"/>
        </w:trPr>
        <w:tc>
          <w:tcPr>
            <w:tcW w:w="480" w:type="dxa"/>
            <w:vAlign w:val="bottom"/>
          </w:tcPr>
          <w:p>
            <w:pPr>
              <w:spacing w:after="0"/>
              <w:rPr>
                <w:sz w:val="23"/>
                <w:szCs w:val="23"/>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(207)</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540"/>
        </w:trPr>
        <w:tc>
          <w:tcPr>
            <w:tcW w:w="48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(5,058)</w:t>
            </w: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(4,940)</w:t>
            </w:r>
          </w:p>
        </w:tc>
      </w:tr>
      <w:tr>
        <w:trPr>
          <w:trHeight w:val="270"/>
        </w:trPr>
        <w:tc>
          <w:tcPr>
            <w:tcW w:w="480" w:type="dxa"/>
            <w:vAlign w:val="bottom"/>
          </w:tcPr>
          <w:p>
            <w:pPr>
              <w:spacing w:after="0"/>
              <w:rPr>
                <w:sz w:val="23"/>
                <w:szCs w:val="23"/>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(12,035)</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(11,321)</w:t>
            </w:r>
          </w:p>
        </w:tc>
      </w:tr>
      <w:tr>
        <w:trPr>
          <w:trHeight w:val="270"/>
        </w:trPr>
        <w:tc>
          <w:tcPr>
            <w:tcW w:w="480" w:type="dxa"/>
            <w:vAlign w:val="bottom"/>
          </w:tcPr>
          <w:p>
            <w:pPr>
              <w:spacing w:after="0"/>
              <w:rPr>
                <w:sz w:val="23"/>
                <w:szCs w:val="23"/>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(5,508)</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(2,759)</w:t>
            </w:r>
          </w:p>
        </w:tc>
      </w:tr>
      <w:tr>
        <w:trPr>
          <w:trHeight w:val="270"/>
        </w:trPr>
        <w:tc>
          <w:tcPr>
            <w:tcW w:w="480" w:type="dxa"/>
            <w:vAlign w:val="bottom"/>
          </w:tcPr>
          <w:p>
            <w:pPr>
              <w:spacing w:after="0"/>
              <w:rPr>
                <w:sz w:val="23"/>
                <w:szCs w:val="23"/>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1,330</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548</w:t>
            </w:r>
          </w:p>
        </w:tc>
      </w:tr>
      <w:tr>
        <w:trPr>
          <w:trHeight w:val="270"/>
        </w:trPr>
        <w:tc>
          <w:tcPr>
            <w:tcW w:w="480" w:type="dxa"/>
            <w:vAlign w:val="bottom"/>
          </w:tcPr>
          <w:p>
            <w:pPr>
              <w:spacing w:after="0"/>
              <w:rPr>
                <w:sz w:val="23"/>
                <w:szCs w:val="23"/>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3,435</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4,709</w:t>
            </w:r>
          </w:p>
        </w:tc>
      </w:tr>
      <w:tr>
        <w:trPr>
          <w:trHeight w:val="33"/>
        </w:trPr>
        <w:tc>
          <w:tcPr>
            <w:tcW w:w="4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17"/>
        </w:trPr>
        <w:tc>
          <w:tcPr>
            <w:tcW w:w="48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(12,555)</w:t>
            </w: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(8,331)</w:t>
            </w:r>
          </w:p>
        </w:tc>
      </w:tr>
      <w:tr>
        <w:trPr>
          <w:trHeight w:val="33"/>
        </w:trPr>
        <w:tc>
          <w:tcPr>
            <w:tcW w:w="4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bl>
    <w:p>
      <w:pPr>
        <w:spacing w:after="0" w:line="269" w:lineRule="exact"/>
        <w:rPr>
          <w:sz w:val="20"/>
          <w:szCs w:val="20"/>
          <w:color w:val="auto"/>
        </w:rPr>
      </w:pPr>
    </w:p>
    <w:p>
      <w:pPr>
        <w:sectPr>
          <w:pgSz w:w="11900" w:h="16838" w:orient="portrait"/>
          <w:cols w:equalWidth="0" w:num="2">
            <w:col w:w="7640" w:space="720"/>
            <w:col w:w="3060"/>
          </w:cols>
          <w:pgMar w:left="240" w:top="125" w:right="239" w:bottom="1440" w:gutter="0" w:footer="0" w:header="0"/>
          <w:type w:val="continuous"/>
        </w:sectPr>
      </w:pPr>
    </w:p>
    <w:tbl>
      <w:tblPr>
        <w:tblLayout w:type="fixed"/>
        <w:tblInd w:w="0" w:type="dxa"/>
        <w:tblCellMar>
          <w:top w:w="0" w:type="dxa"/>
          <w:left w:w="0" w:type="dxa"/>
          <w:bottom w:w="0" w:type="dxa"/>
          <w:right w:w="0" w:type="dxa"/>
        </w:tblCellMar>
      </w:tblPr>
      <w:tr>
        <w:trPr>
          <w:trHeight w:val="250"/>
        </w:trPr>
        <w:tc>
          <w:tcPr>
            <w:tcW w:w="8360" w:type="dxa"/>
            <w:vAlign w:val="bottom"/>
            <w:tcBorders>
              <w:bottom w:val="single" w:sz="8" w:color="BFE4FF"/>
            </w:tcBorders>
            <w:shd w:val="clear" w:color="auto" w:fill="BFE4FF"/>
          </w:tcPr>
          <w:p>
            <w:pPr>
              <w:ind w:left="280"/>
              <w:spacing w:after="0"/>
              <w:rPr>
                <w:sz w:val="20"/>
                <w:szCs w:val="20"/>
                <w:color w:val="auto"/>
              </w:rPr>
            </w:pPr>
            <w:r>
              <w:rPr>
                <w:rFonts w:ascii="Arial" w:cs="Arial" w:eastAsia="Arial" w:hAnsi="Arial"/>
                <w:sz w:val="16"/>
                <w:szCs w:val="16"/>
                <w:color w:val="auto"/>
              </w:rPr>
              <w:t>Purchase of marketable investments</w:t>
            </w:r>
          </w:p>
        </w:tc>
        <w:tc>
          <w:tcPr>
            <w:tcW w:w="480" w:type="dxa"/>
            <w:vAlign w:val="bottom"/>
            <w:tcBorders>
              <w:bottom w:val="single" w:sz="8" w:color="BFE4FF"/>
            </w:tcBorders>
            <w:shd w:val="clear" w:color="auto" w:fill="BFE4FF"/>
          </w:tcPr>
          <w:p>
            <w:pPr>
              <w:spacing w:after="0"/>
              <w:rPr>
                <w:sz w:val="21"/>
                <w:szCs w:val="21"/>
                <w:color w:val="auto"/>
              </w:rPr>
            </w:pPr>
          </w:p>
        </w:tc>
        <w:tc>
          <w:tcPr>
            <w:tcW w:w="1020" w:type="dxa"/>
            <w:vAlign w:val="bottom"/>
            <w:tcBorders>
              <w:bottom w:val="single" w:sz="8" w:color="BFE4FF"/>
            </w:tcBorders>
            <w:shd w:val="clear" w:color="auto" w:fill="BFE4FF"/>
          </w:tcPr>
          <w:p>
            <w:pPr>
              <w:jc w:val="right"/>
              <w:spacing w:after="0"/>
              <w:rPr>
                <w:sz w:val="20"/>
                <w:szCs w:val="20"/>
                <w:color w:val="auto"/>
              </w:rPr>
            </w:pPr>
            <w:r>
              <w:rPr>
                <w:rFonts w:ascii="Arial" w:cs="Arial" w:eastAsia="Arial" w:hAnsi="Arial"/>
                <w:sz w:val="16"/>
                <w:szCs w:val="16"/>
                <w:color w:val="auto"/>
              </w:rPr>
              <w:t>(27,467)</w:t>
            </w:r>
          </w:p>
        </w:tc>
        <w:tc>
          <w:tcPr>
            <w:tcW w:w="100" w:type="dxa"/>
            <w:vAlign w:val="bottom"/>
            <w:tcBorders>
              <w:bottom w:val="single" w:sz="8" w:color="BFE4FF"/>
            </w:tcBorders>
            <w:shd w:val="clear" w:color="auto" w:fill="BFE4FF"/>
          </w:tcPr>
          <w:p>
            <w:pPr>
              <w:spacing w:after="0"/>
              <w:rPr>
                <w:sz w:val="21"/>
                <w:szCs w:val="21"/>
                <w:color w:val="auto"/>
              </w:rPr>
            </w:pPr>
          </w:p>
        </w:tc>
        <w:tc>
          <w:tcPr>
            <w:tcW w:w="500" w:type="dxa"/>
            <w:vAlign w:val="bottom"/>
            <w:tcBorders>
              <w:bottom w:val="single" w:sz="8" w:color="BFE4FF"/>
            </w:tcBorders>
            <w:shd w:val="clear" w:color="auto" w:fill="BFE4FF"/>
          </w:tcPr>
          <w:p>
            <w:pPr>
              <w:spacing w:after="0"/>
              <w:rPr>
                <w:sz w:val="21"/>
                <w:szCs w:val="21"/>
                <w:color w:val="auto"/>
              </w:rPr>
            </w:pPr>
          </w:p>
        </w:tc>
        <w:tc>
          <w:tcPr>
            <w:tcW w:w="960" w:type="dxa"/>
            <w:vAlign w:val="bottom"/>
            <w:tcBorders>
              <w:bottom w:val="single" w:sz="8" w:color="BFE4FF"/>
            </w:tcBorders>
            <w:shd w:val="clear" w:color="auto" w:fill="BFE4FF"/>
          </w:tcPr>
          <w:p>
            <w:pPr>
              <w:jc w:val="right"/>
              <w:spacing w:after="0"/>
              <w:rPr>
                <w:sz w:val="20"/>
                <w:szCs w:val="20"/>
                <w:color w:val="auto"/>
              </w:rPr>
            </w:pPr>
            <w:r>
              <w:rPr>
                <w:rFonts w:ascii="Arial" w:cs="Arial" w:eastAsia="Arial" w:hAnsi="Arial"/>
                <w:sz w:val="16"/>
                <w:szCs w:val="16"/>
                <w:color w:val="auto"/>
              </w:rPr>
              <w:t>(4,069)</w:t>
            </w:r>
          </w:p>
        </w:tc>
      </w:tr>
      <w:tr>
        <w:trPr>
          <w:trHeight w:val="237"/>
        </w:trPr>
        <w:tc>
          <w:tcPr>
            <w:tcW w:w="8360" w:type="dxa"/>
            <w:vAlign w:val="bottom"/>
          </w:tcPr>
          <w:p>
            <w:pPr>
              <w:ind w:left="280"/>
              <w:spacing w:after="0"/>
              <w:rPr>
                <w:sz w:val="20"/>
                <w:szCs w:val="20"/>
                <w:color w:val="auto"/>
              </w:rPr>
            </w:pPr>
            <w:r>
              <w:rPr>
                <w:rFonts w:ascii="Arial" w:cs="Arial" w:eastAsia="Arial" w:hAnsi="Arial"/>
                <w:sz w:val="16"/>
                <w:szCs w:val="16"/>
                <w:color w:val="auto"/>
              </w:rPr>
              <w:t>Proceeds from sales of marketable investments</w:t>
            </w:r>
          </w:p>
        </w:tc>
        <w:tc>
          <w:tcPr>
            <w:tcW w:w="480" w:type="dxa"/>
            <w:vAlign w:val="bottom"/>
          </w:tcPr>
          <w:p>
            <w:pPr>
              <w:spacing w:after="0"/>
              <w:rPr>
                <w:sz w:val="20"/>
                <w:szCs w:val="20"/>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28,962</w:t>
            </w:r>
          </w:p>
        </w:tc>
        <w:tc>
          <w:tcPr>
            <w:tcW w:w="1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52,160</w:t>
            </w:r>
          </w:p>
        </w:tc>
      </w:tr>
      <w:tr>
        <w:trPr>
          <w:trHeight w:val="33"/>
        </w:trPr>
        <w:tc>
          <w:tcPr>
            <w:tcW w:w="836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360" w:type="dxa"/>
            <w:vAlign w:val="bottom"/>
            <w:tcBorders>
              <w:bottom w:val="single" w:sz="8" w:color="BFE4FF"/>
            </w:tcBorders>
            <w:shd w:val="clear" w:color="auto" w:fill="BFE4FF"/>
          </w:tcPr>
          <w:p>
            <w:pPr>
              <w:ind w:left="280"/>
              <w:spacing w:after="0"/>
              <w:rPr>
                <w:sz w:val="20"/>
                <w:szCs w:val="20"/>
                <w:color w:val="auto"/>
              </w:rPr>
            </w:pPr>
            <w:r>
              <w:rPr>
                <w:rFonts w:ascii="Arial" w:cs="Arial" w:eastAsia="Arial" w:hAnsi="Arial"/>
                <w:sz w:val="16"/>
                <w:szCs w:val="16"/>
                <w:color w:val="auto"/>
              </w:rPr>
              <w:t>Proceeds from maturities of marketable investments</w:t>
            </w:r>
          </w:p>
        </w:tc>
        <w:tc>
          <w:tcPr>
            <w:tcW w:w="480" w:type="dxa"/>
            <w:vAlign w:val="bottom"/>
            <w:tcBorders>
              <w:bottom w:val="single" w:sz="8" w:color="BFE4FF"/>
            </w:tcBorders>
            <w:shd w:val="clear" w:color="auto" w:fill="BFE4FF"/>
          </w:tcPr>
          <w:p>
            <w:pPr>
              <w:spacing w:after="0"/>
              <w:rPr>
                <w:sz w:val="21"/>
                <w:szCs w:val="21"/>
                <w:color w:val="auto"/>
              </w:rPr>
            </w:pPr>
          </w:p>
        </w:tc>
        <w:tc>
          <w:tcPr>
            <w:tcW w:w="1020" w:type="dxa"/>
            <w:vAlign w:val="bottom"/>
            <w:tcBorders>
              <w:bottom w:val="single" w:sz="8" w:color="BFE4FF"/>
            </w:tcBorders>
            <w:shd w:val="clear" w:color="auto" w:fill="BFE4FF"/>
          </w:tcPr>
          <w:p>
            <w:pPr>
              <w:jc w:val="right"/>
              <w:ind w:right="39"/>
              <w:spacing w:after="0"/>
              <w:rPr>
                <w:sz w:val="20"/>
                <w:szCs w:val="20"/>
                <w:color w:val="auto"/>
              </w:rPr>
            </w:pPr>
            <w:r>
              <w:rPr>
                <w:rFonts w:ascii="Arial" w:cs="Arial" w:eastAsia="Arial" w:hAnsi="Arial"/>
                <w:sz w:val="16"/>
                <w:szCs w:val="16"/>
                <w:color w:val="auto"/>
              </w:rPr>
              <w:t>2,504</w:t>
            </w:r>
          </w:p>
        </w:tc>
        <w:tc>
          <w:tcPr>
            <w:tcW w:w="100" w:type="dxa"/>
            <w:vAlign w:val="bottom"/>
            <w:tcBorders>
              <w:bottom w:val="single" w:sz="8" w:color="BFE4FF"/>
            </w:tcBorders>
            <w:shd w:val="clear" w:color="auto" w:fill="BFE4FF"/>
          </w:tcPr>
          <w:p>
            <w:pPr>
              <w:spacing w:after="0"/>
              <w:rPr>
                <w:sz w:val="21"/>
                <w:szCs w:val="21"/>
                <w:color w:val="auto"/>
              </w:rPr>
            </w:pPr>
          </w:p>
        </w:tc>
        <w:tc>
          <w:tcPr>
            <w:tcW w:w="500" w:type="dxa"/>
            <w:vAlign w:val="bottom"/>
            <w:tcBorders>
              <w:bottom w:val="single" w:sz="8" w:color="BFE4FF"/>
            </w:tcBorders>
            <w:shd w:val="clear" w:color="auto" w:fill="BFE4FF"/>
          </w:tcPr>
          <w:p>
            <w:pPr>
              <w:spacing w:after="0"/>
              <w:rPr>
                <w:sz w:val="21"/>
                <w:szCs w:val="21"/>
                <w:color w:val="auto"/>
              </w:rPr>
            </w:pPr>
          </w:p>
        </w:tc>
        <w:tc>
          <w:tcPr>
            <w:tcW w:w="960" w:type="dxa"/>
            <w:vAlign w:val="bottom"/>
            <w:tcBorders>
              <w:bottom w:val="single" w:sz="8" w:color="BFE4FF"/>
            </w:tcBorders>
            <w:shd w:val="clear" w:color="auto" w:fill="BFE4FF"/>
          </w:tcPr>
          <w:p>
            <w:pPr>
              <w:jc w:val="right"/>
              <w:ind w:right="19"/>
              <w:spacing w:after="0"/>
              <w:rPr>
                <w:sz w:val="20"/>
                <w:szCs w:val="20"/>
                <w:color w:val="auto"/>
              </w:rPr>
            </w:pPr>
            <w:r>
              <w:rPr>
                <w:rFonts w:ascii="Arial" w:cs="Arial" w:eastAsia="Arial" w:hAnsi="Arial"/>
                <w:sz w:val="16"/>
                <w:szCs w:val="16"/>
                <w:color w:val="auto"/>
              </w:rPr>
              <w:t>—</w:t>
            </w:r>
          </w:p>
        </w:tc>
      </w:tr>
      <w:tr>
        <w:trPr>
          <w:trHeight w:val="237"/>
        </w:trPr>
        <w:tc>
          <w:tcPr>
            <w:tcW w:w="8360" w:type="dxa"/>
            <w:vAlign w:val="bottom"/>
          </w:tcPr>
          <w:p>
            <w:pPr>
              <w:ind w:left="280"/>
              <w:spacing w:after="0"/>
              <w:rPr>
                <w:sz w:val="20"/>
                <w:szCs w:val="20"/>
                <w:color w:val="auto"/>
              </w:rPr>
            </w:pPr>
            <w:r>
              <w:rPr>
                <w:rFonts w:ascii="Arial" w:cs="Arial" w:eastAsia="Arial" w:hAnsi="Arial"/>
                <w:sz w:val="16"/>
                <w:szCs w:val="16"/>
                <w:color w:val="auto"/>
              </w:rPr>
              <w:t>Purchases of property and equipment</w:t>
            </w:r>
          </w:p>
        </w:tc>
        <w:tc>
          <w:tcPr>
            <w:tcW w:w="48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(3,695)</w:t>
            </w:r>
          </w:p>
        </w:tc>
        <w:tc>
          <w:tcPr>
            <w:tcW w:w="1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(3,073)</w:t>
            </w:r>
          </w:p>
        </w:tc>
      </w:tr>
      <w:tr>
        <w:trPr>
          <w:trHeight w:val="33"/>
        </w:trPr>
        <w:tc>
          <w:tcPr>
            <w:tcW w:w="8360" w:type="dxa"/>
            <w:vAlign w:val="bottom"/>
            <w:tcBorders>
              <w:bottom w:val="single" w:sz="8" w:color="BFE4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BFE4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50"/>
        </w:trPr>
        <w:tc>
          <w:tcPr>
            <w:tcW w:w="8360" w:type="dxa"/>
            <w:vAlign w:val="bottom"/>
            <w:tcBorders>
              <w:bottom w:val="single" w:sz="8" w:color="BFE4FF"/>
            </w:tcBorders>
            <w:shd w:val="clear" w:color="auto" w:fill="BFE4FF"/>
          </w:tcPr>
          <w:p>
            <w:pPr>
              <w:ind w:left="280"/>
              <w:spacing w:after="0"/>
              <w:rPr>
                <w:sz w:val="20"/>
                <w:szCs w:val="20"/>
                <w:color w:val="auto"/>
              </w:rPr>
            </w:pPr>
            <w:r>
              <w:rPr>
                <w:rFonts w:ascii="Arial" w:cs="Arial" w:eastAsia="Arial" w:hAnsi="Arial"/>
                <w:sz w:val="16"/>
                <w:szCs w:val="16"/>
                <w:color w:val="auto"/>
              </w:rPr>
              <w:t>Net cash provided by investing activities</w:t>
            </w:r>
          </w:p>
        </w:tc>
        <w:tc>
          <w:tcPr>
            <w:tcW w:w="480" w:type="dxa"/>
            <w:vAlign w:val="bottom"/>
            <w:tcBorders>
              <w:bottom w:val="single" w:sz="8" w:color="BFE4FF"/>
            </w:tcBorders>
            <w:shd w:val="clear" w:color="auto" w:fill="BFE4FF"/>
          </w:tcPr>
          <w:p>
            <w:pPr>
              <w:spacing w:after="0"/>
              <w:rPr>
                <w:sz w:val="21"/>
                <w:szCs w:val="21"/>
                <w:color w:val="auto"/>
              </w:rPr>
            </w:pPr>
          </w:p>
        </w:tc>
        <w:tc>
          <w:tcPr>
            <w:tcW w:w="1020" w:type="dxa"/>
            <w:vAlign w:val="bottom"/>
            <w:tcBorders>
              <w:bottom w:val="single" w:sz="8" w:color="BFE4FF"/>
            </w:tcBorders>
            <w:shd w:val="clear" w:color="auto" w:fill="BFE4FF"/>
          </w:tcPr>
          <w:p>
            <w:pPr>
              <w:jc w:val="right"/>
              <w:ind w:right="39"/>
              <w:spacing w:after="0"/>
              <w:rPr>
                <w:sz w:val="20"/>
                <w:szCs w:val="20"/>
                <w:color w:val="auto"/>
              </w:rPr>
            </w:pPr>
            <w:r>
              <w:rPr>
                <w:rFonts w:ascii="Arial" w:cs="Arial" w:eastAsia="Arial" w:hAnsi="Arial"/>
                <w:sz w:val="16"/>
                <w:szCs w:val="16"/>
                <w:color w:val="auto"/>
              </w:rPr>
              <w:t>304</w:t>
            </w:r>
          </w:p>
        </w:tc>
        <w:tc>
          <w:tcPr>
            <w:tcW w:w="100" w:type="dxa"/>
            <w:vAlign w:val="bottom"/>
            <w:tcBorders>
              <w:bottom w:val="single" w:sz="8" w:color="BFE4FF"/>
            </w:tcBorders>
            <w:shd w:val="clear" w:color="auto" w:fill="BFE4FF"/>
          </w:tcPr>
          <w:p>
            <w:pPr>
              <w:spacing w:after="0"/>
              <w:rPr>
                <w:sz w:val="21"/>
                <w:szCs w:val="21"/>
                <w:color w:val="auto"/>
              </w:rPr>
            </w:pPr>
          </w:p>
        </w:tc>
        <w:tc>
          <w:tcPr>
            <w:tcW w:w="500" w:type="dxa"/>
            <w:vAlign w:val="bottom"/>
            <w:tcBorders>
              <w:bottom w:val="single" w:sz="8" w:color="BFE4FF"/>
            </w:tcBorders>
            <w:shd w:val="clear" w:color="auto" w:fill="BFE4FF"/>
          </w:tcPr>
          <w:p>
            <w:pPr>
              <w:spacing w:after="0"/>
              <w:rPr>
                <w:sz w:val="21"/>
                <w:szCs w:val="21"/>
                <w:color w:val="auto"/>
              </w:rPr>
            </w:pPr>
          </w:p>
        </w:tc>
        <w:tc>
          <w:tcPr>
            <w:tcW w:w="960" w:type="dxa"/>
            <w:vAlign w:val="bottom"/>
            <w:tcBorders>
              <w:bottom w:val="single" w:sz="8" w:color="BFE4FF"/>
            </w:tcBorders>
            <w:shd w:val="clear" w:color="auto" w:fill="BFE4FF"/>
          </w:tcPr>
          <w:p>
            <w:pPr>
              <w:jc w:val="right"/>
              <w:ind w:right="19"/>
              <w:spacing w:after="0"/>
              <w:rPr>
                <w:sz w:val="20"/>
                <w:szCs w:val="20"/>
                <w:color w:val="auto"/>
              </w:rPr>
            </w:pPr>
            <w:r>
              <w:rPr>
                <w:rFonts w:ascii="Arial" w:cs="Arial" w:eastAsia="Arial" w:hAnsi="Arial"/>
                <w:sz w:val="16"/>
                <w:szCs w:val="16"/>
                <w:color w:val="auto"/>
              </w:rPr>
              <w:t>45,018</w:t>
            </w:r>
          </w:p>
        </w:tc>
      </w:tr>
      <w:tr>
        <w:trPr>
          <w:trHeight w:val="204"/>
        </w:trPr>
        <w:tc>
          <w:tcPr>
            <w:tcW w:w="8360" w:type="dxa"/>
            <w:vAlign w:val="bottom"/>
          </w:tcPr>
          <w:p>
            <w:pPr>
              <w:ind w:left="40"/>
              <w:spacing w:after="0"/>
              <w:rPr>
                <w:sz w:val="20"/>
                <w:szCs w:val="20"/>
                <w:color w:val="auto"/>
              </w:rPr>
            </w:pPr>
            <w:r>
              <w:rPr>
                <w:rFonts w:ascii="Arial" w:cs="Arial" w:eastAsia="Arial" w:hAnsi="Arial"/>
                <w:sz w:val="16"/>
                <w:szCs w:val="16"/>
                <w:b w:val="1"/>
                <w:bCs w:val="1"/>
                <w:color w:val="auto"/>
              </w:rPr>
              <w:t>CASH FLOWS FROM FINANCING ACTIVITIES:</w:t>
            </w:r>
          </w:p>
        </w:tc>
        <w:tc>
          <w:tcPr>
            <w:tcW w:w="48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r>
      <w:tr>
        <w:trPr>
          <w:trHeight w:val="60"/>
        </w:trPr>
        <w:tc>
          <w:tcPr>
            <w:tcW w:w="8360" w:type="dxa"/>
            <w:vAlign w:val="bottom"/>
          </w:tcPr>
          <w:p>
            <w:pPr>
              <w:spacing w:after="0"/>
              <w:rPr>
                <w:sz w:val="5"/>
                <w:szCs w:val="5"/>
                <w:color w:val="auto"/>
              </w:rPr>
            </w:pPr>
          </w:p>
        </w:tc>
        <w:tc>
          <w:tcPr>
            <w:tcW w:w="4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00" w:type="dxa"/>
            <w:vAlign w:val="bottom"/>
          </w:tcPr>
          <w:p>
            <w:pPr>
              <w:spacing w:after="0"/>
              <w:rPr>
                <w:sz w:val="5"/>
                <w:szCs w:val="5"/>
                <w:color w:val="auto"/>
              </w:rPr>
            </w:pPr>
          </w:p>
        </w:tc>
        <w:tc>
          <w:tcPr>
            <w:tcW w:w="500" w:type="dxa"/>
            <w:vAlign w:val="bottom"/>
          </w:tcPr>
          <w:p>
            <w:pPr>
              <w:spacing w:after="0"/>
              <w:rPr>
                <w:sz w:val="5"/>
                <w:szCs w:val="5"/>
                <w:color w:val="auto"/>
              </w:rPr>
            </w:pPr>
          </w:p>
        </w:tc>
        <w:tc>
          <w:tcPr>
            <w:tcW w:w="960" w:type="dxa"/>
            <w:vAlign w:val="bottom"/>
          </w:tcPr>
          <w:p>
            <w:pPr>
              <w:spacing w:after="0"/>
              <w:rPr>
                <w:sz w:val="5"/>
                <w:szCs w:val="5"/>
                <w:color w:val="auto"/>
              </w:rPr>
            </w:pPr>
          </w:p>
        </w:tc>
      </w:tr>
      <w:tr>
        <w:trPr>
          <w:trHeight w:val="250"/>
        </w:trPr>
        <w:tc>
          <w:tcPr>
            <w:tcW w:w="8360" w:type="dxa"/>
            <w:vAlign w:val="bottom"/>
            <w:tcBorders>
              <w:bottom w:val="single" w:sz="8" w:color="BFE4FF"/>
            </w:tcBorders>
            <w:shd w:val="clear" w:color="auto" w:fill="BFE4FF"/>
          </w:tcPr>
          <w:p>
            <w:pPr>
              <w:ind w:left="280"/>
              <w:spacing w:after="0"/>
              <w:rPr>
                <w:sz w:val="20"/>
                <w:szCs w:val="20"/>
                <w:color w:val="auto"/>
              </w:rPr>
            </w:pPr>
            <w:r>
              <w:rPr>
                <w:rFonts w:ascii="Arial" w:cs="Arial" w:eastAsia="Arial" w:hAnsi="Arial"/>
                <w:sz w:val="16"/>
                <w:szCs w:val="16"/>
                <w:color w:val="auto"/>
              </w:rPr>
              <w:t>Payment of deferred issuance costs</w:t>
            </w:r>
          </w:p>
        </w:tc>
        <w:tc>
          <w:tcPr>
            <w:tcW w:w="480" w:type="dxa"/>
            <w:vAlign w:val="bottom"/>
            <w:tcBorders>
              <w:bottom w:val="single" w:sz="8" w:color="BFE4FF"/>
            </w:tcBorders>
            <w:shd w:val="clear" w:color="auto" w:fill="BFE4FF"/>
          </w:tcPr>
          <w:p>
            <w:pPr>
              <w:spacing w:after="0"/>
              <w:rPr>
                <w:sz w:val="21"/>
                <w:szCs w:val="21"/>
                <w:color w:val="auto"/>
              </w:rPr>
            </w:pPr>
          </w:p>
        </w:tc>
        <w:tc>
          <w:tcPr>
            <w:tcW w:w="1120" w:type="dxa"/>
            <w:vAlign w:val="bottom"/>
            <w:tcBorders>
              <w:bottom w:val="single" w:sz="8" w:color="BFE4FF"/>
            </w:tcBorders>
            <w:gridSpan w:val="2"/>
            <w:shd w:val="clear" w:color="auto" w:fill="BFE4FF"/>
          </w:tcPr>
          <w:p>
            <w:pPr>
              <w:jc w:val="right"/>
              <w:ind w:right="220"/>
              <w:spacing w:after="0"/>
              <w:rPr>
                <w:sz w:val="20"/>
                <w:szCs w:val="20"/>
                <w:color w:val="auto"/>
              </w:rPr>
            </w:pPr>
            <w:r>
              <w:rPr>
                <w:rFonts w:ascii="Arial" w:cs="Arial" w:eastAsia="Arial" w:hAnsi="Arial"/>
                <w:sz w:val="16"/>
                <w:szCs w:val="16"/>
                <w:color w:val="auto"/>
              </w:rPr>
              <w:t>—</w:t>
            </w:r>
          </w:p>
        </w:tc>
        <w:tc>
          <w:tcPr>
            <w:tcW w:w="500" w:type="dxa"/>
            <w:vAlign w:val="bottom"/>
            <w:tcBorders>
              <w:bottom w:val="single" w:sz="8" w:color="BFE4FF"/>
            </w:tcBorders>
            <w:shd w:val="clear" w:color="auto" w:fill="BFE4FF"/>
          </w:tcPr>
          <w:p>
            <w:pPr>
              <w:spacing w:after="0"/>
              <w:rPr>
                <w:sz w:val="21"/>
                <w:szCs w:val="21"/>
                <w:color w:val="auto"/>
              </w:rPr>
            </w:pPr>
          </w:p>
        </w:tc>
        <w:tc>
          <w:tcPr>
            <w:tcW w:w="960" w:type="dxa"/>
            <w:vAlign w:val="bottom"/>
            <w:tcBorders>
              <w:bottom w:val="single" w:sz="8" w:color="BFE4FF"/>
            </w:tcBorders>
            <w:shd w:val="clear" w:color="auto" w:fill="BFE4FF"/>
          </w:tcPr>
          <w:p>
            <w:pPr>
              <w:jc w:val="right"/>
              <w:spacing w:after="0"/>
              <w:rPr>
                <w:sz w:val="20"/>
                <w:szCs w:val="20"/>
                <w:color w:val="auto"/>
              </w:rPr>
            </w:pPr>
            <w:r>
              <w:rPr>
                <w:rFonts w:ascii="Arial" w:cs="Arial" w:eastAsia="Arial" w:hAnsi="Arial"/>
                <w:sz w:val="16"/>
                <w:szCs w:val="16"/>
                <w:color w:val="auto"/>
              </w:rPr>
              <w:t>(964)</w:t>
            </w:r>
          </w:p>
        </w:tc>
      </w:tr>
      <w:tr>
        <w:trPr>
          <w:trHeight w:val="237"/>
        </w:trPr>
        <w:tc>
          <w:tcPr>
            <w:tcW w:w="8360" w:type="dxa"/>
            <w:vAlign w:val="bottom"/>
          </w:tcPr>
          <w:p>
            <w:pPr>
              <w:ind w:left="280"/>
              <w:spacing w:after="0"/>
              <w:rPr>
                <w:sz w:val="20"/>
                <w:szCs w:val="20"/>
                <w:color w:val="auto"/>
              </w:rPr>
            </w:pPr>
            <w:r>
              <w:rPr>
                <w:rFonts w:ascii="Arial" w:cs="Arial" w:eastAsia="Arial" w:hAnsi="Arial"/>
                <w:sz w:val="16"/>
                <w:szCs w:val="16"/>
                <w:color w:val="auto"/>
              </w:rPr>
              <w:t>Proceeds from exercises of stock options</w:t>
            </w:r>
          </w:p>
        </w:tc>
        <w:tc>
          <w:tcPr>
            <w:tcW w:w="480" w:type="dxa"/>
            <w:vAlign w:val="bottom"/>
          </w:tcPr>
          <w:p>
            <w:pPr>
              <w:spacing w:after="0"/>
              <w:rPr>
                <w:sz w:val="20"/>
                <w:szCs w:val="20"/>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1,493</w:t>
            </w:r>
          </w:p>
        </w:tc>
        <w:tc>
          <w:tcPr>
            <w:tcW w:w="1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515</w:t>
            </w:r>
          </w:p>
        </w:tc>
      </w:tr>
      <w:tr>
        <w:trPr>
          <w:trHeight w:val="33"/>
        </w:trPr>
        <w:tc>
          <w:tcPr>
            <w:tcW w:w="836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360" w:type="dxa"/>
            <w:vAlign w:val="bottom"/>
            <w:tcBorders>
              <w:bottom w:val="single" w:sz="8" w:color="BFE4FF"/>
            </w:tcBorders>
            <w:shd w:val="clear" w:color="auto" w:fill="BFE4FF"/>
          </w:tcPr>
          <w:p>
            <w:pPr>
              <w:ind w:left="280"/>
              <w:spacing w:after="0"/>
              <w:rPr>
                <w:sz w:val="20"/>
                <w:szCs w:val="20"/>
                <w:color w:val="auto"/>
              </w:rPr>
            </w:pPr>
            <w:r>
              <w:rPr>
                <w:rFonts w:ascii="Arial" w:cs="Arial" w:eastAsia="Arial" w:hAnsi="Arial"/>
                <w:sz w:val="16"/>
                <w:szCs w:val="16"/>
                <w:color w:val="auto"/>
              </w:rPr>
              <w:t>Proceeds from issuance of stock under employee stock purchase plan</w:t>
            </w:r>
          </w:p>
        </w:tc>
        <w:tc>
          <w:tcPr>
            <w:tcW w:w="480" w:type="dxa"/>
            <w:vAlign w:val="bottom"/>
            <w:tcBorders>
              <w:bottom w:val="single" w:sz="8" w:color="BFE4FF"/>
            </w:tcBorders>
            <w:shd w:val="clear" w:color="auto" w:fill="BFE4FF"/>
          </w:tcPr>
          <w:p>
            <w:pPr>
              <w:spacing w:after="0"/>
              <w:rPr>
                <w:sz w:val="21"/>
                <w:szCs w:val="21"/>
                <w:color w:val="auto"/>
              </w:rPr>
            </w:pPr>
          </w:p>
        </w:tc>
        <w:tc>
          <w:tcPr>
            <w:tcW w:w="1020" w:type="dxa"/>
            <w:vAlign w:val="bottom"/>
            <w:tcBorders>
              <w:bottom w:val="single" w:sz="8" w:color="BFE4FF"/>
            </w:tcBorders>
            <w:shd w:val="clear" w:color="auto" w:fill="BFE4FF"/>
          </w:tcPr>
          <w:p>
            <w:pPr>
              <w:jc w:val="right"/>
              <w:ind w:right="39"/>
              <w:spacing w:after="0"/>
              <w:rPr>
                <w:sz w:val="20"/>
                <w:szCs w:val="20"/>
                <w:color w:val="auto"/>
              </w:rPr>
            </w:pPr>
            <w:r>
              <w:rPr>
                <w:rFonts w:ascii="Arial" w:cs="Arial" w:eastAsia="Arial" w:hAnsi="Arial"/>
                <w:sz w:val="16"/>
                <w:szCs w:val="16"/>
                <w:color w:val="auto"/>
              </w:rPr>
              <w:t>3,783</w:t>
            </w:r>
          </w:p>
        </w:tc>
        <w:tc>
          <w:tcPr>
            <w:tcW w:w="100" w:type="dxa"/>
            <w:vAlign w:val="bottom"/>
            <w:tcBorders>
              <w:bottom w:val="single" w:sz="8" w:color="BFE4FF"/>
            </w:tcBorders>
            <w:shd w:val="clear" w:color="auto" w:fill="BFE4FF"/>
          </w:tcPr>
          <w:p>
            <w:pPr>
              <w:spacing w:after="0"/>
              <w:rPr>
                <w:sz w:val="21"/>
                <w:szCs w:val="21"/>
                <w:color w:val="auto"/>
              </w:rPr>
            </w:pPr>
          </w:p>
        </w:tc>
        <w:tc>
          <w:tcPr>
            <w:tcW w:w="500" w:type="dxa"/>
            <w:vAlign w:val="bottom"/>
            <w:tcBorders>
              <w:bottom w:val="single" w:sz="8" w:color="BFE4FF"/>
            </w:tcBorders>
            <w:shd w:val="clear" w:color="auto" w:fill="BFE4FF"/>
          </w:tcPr>
          <w:p>
            <w:pPr>
              <w:spacing w:after="0"/>
              <w:rPr>
                <w:sz w:val="21"/>
                <w:szCs w:val="21"/>
                <w:color w:val="auto"/>
              </w:rPr>
            </w:pPr>
          </w:p>
        </w:tc>
        <w:tc>
          <w:tcPr>
            <w:tcW w:w="960" w:type="dxa"/>
            <w:vAlign w:val="bottom"/>
            <w:tcBorders>
              <w:bottom w:val="single" w:sz="8" w:color="BFE4FF"/>
            </w:tcBorders>
            <w:shd w:val="clear" w:color="auto" w:fill="BFE4FF"/>
          </w:tcPr>
          <w:p>
            <w:pPr>
              <w:jc w:val="right"/>
              <w:ind w:right="19"/>
              <w:spacing w:after="0"/>
              <w:rPr>
                <w:sz w:val="20"/>
                <w:szCs w:val="20"/>
                <w:color w:val="auto"/>
              </w:rPr>
            </w:pPr>
            <w:r>
              <w:rPr>
                <w:rFonts w:ascii="Arial" w:cs="Arial" w:eastAsia="Arial" w:hAnsi="Arial"/>
                <w:sz w:val="16"/>
                <w:szCs w:val="16"/>
                <w:color w:val="auto"/>
              </w:rPr>
              <w:t>—</w:t>
            </w:r>
          </w:p>
        </w:tc>
      </w:tr>
      <w:tr>
        <w:trPr>
          <w:trHeight w:val="237"/>
        </w:trPr>
        <w:tc>
          <w:tcPr>
            <w:tcW w:w="8360" w:type="dxa"/>
            <w:vAlign w:val="bottom"/>
          </w:tcPr>
          <w:p>
            <w:pPr>
              <w:ind w:left="280"/>
              <w:spacing w:after="0"/>
              <w:rPr>
                <w:sz w:val="20"/>
                <w:szCs w:val="20"/>
                <w:color w:val="auto"/>
              </w:rPr>
            </w:pPr>
            <w:r>
              <w:rPr>
                <w:rFonts w:ascii="Arial" w:cs="Arial" w:eastAsia="Arial" w:hAnsi="Arial"/>
                <w:sz w:val="16"/>
                <w:szCs w:val="16"/>
                <w:color w:val="auto"/>
              </w:rPr>
              <w:t>Excess tax benefit from stock-based compensation</w:t>
            </w:r>
          </w:p>
        </w:tc>
        <w:tc>
          <w:tcPr>
            <w:tcW w:w="480" w:type="dxa"/>
            <w:vAlign w:val="bottom"/>
          </w:tcPr>
          <w:p>
            <w:pPr>
              <w:spacing w:after="0"/>
              <w:rPr>
                <w:sz w:val="20"/>
                <w:szCs w:val="20"/>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4,373</w:t>
            </w:r>
          </w:p>
        </w:tc>
        <w:tc>
          <w:tcPr>
            <w:tcW w:w="1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836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8360" w:type="dxa"/>
            <w:vAlign w:val="bottom"/>
            <w:tcBorders>
              <w:bottom w:val="single" w:sz="8" w:color="BFE4FF"/>
            </w:tcBorders>
            <w:shd w:val="clear" w:color="auto" w:fill="BFE4FF"/>
          </w:tcPr>
          <w:p>
            <w:pPr>
              <w:ind w:left="280"/>
              <w:spacing w:after="0"/>
              <w:rPr>
                <w:sz w:val="20"/>
                <w:szCs w:val="20"/>
                <w:color w:val="auto"/>
              </w:rPr>
            </w:pPr>
            <w:r>
              <w:rPr>
                <w:rFonts w:ascii="Arial" w:cs="Arial" w:eastAsia="Arial" w:hAnsi="Arial"/>
                <w:sz w:val="16"/>
                <w:szCs w:val="16"/>
                <w:color w:val="auto"/>
              </w:rPr>
              <w:t>Payment of employee taxes related to vested restricted stock</w:t>
            </w:r>
          </w:p>
        </w:tc>
        <w:tc>
          <w:tcPr>
            <w:tcW w:w="480" w:type="dxa"/>
            <w:vAlign w:val="bottom"/>
            <w:tcBorders>
              <w:bottom w:val="single" w:sz="8" w:color="BFE4FF"/>
            </w:tcBorders>
            <w:shd w:val="clear" w:color="auto" w:fill="BFE4FF"/>
          </w:tcPr>
          <w:p>
            <w:pPr>
              <w:spacing w:after="0"/>
              <w:rPr>
                <w:sz w:val="23"/>
                <w:szCs w:val="23"/>
                <w:color w:val="auto"/>
              </w:rPr>
            </w:pPr>
          </w:p>
        </w:tc>
        <w:tc>
          <w:tcPr>
            <w:tcW w:w="1020" w:type="dxa"/>
            <w:vAlign w:val="bottom"/>
            <w:tcBorders>
              <w:bottom w:val="single" w:sz="8" w:color="BFE4FF"/>
            </w:tcBorders>
            <w:shd w:val="clear" w:color="auto" w:fill="BFE4FF"/>
          </w:tcPr>
          <w:p>
            <w:pPr>
              <w:jc w:val="right"/>
              <w:spacing w:after="0"/>
              <w:rPr>
                <w:sz w:val="20"/>
                <w:szCs w:val="20"/>
                <w:color w:val="auto"/>
              </w:rPr>
            </w:pPr>
            <w:r>
              <w:rPr>
                <w:rFonts w:ascii="Arial" w:cs="Arial" w:eastAsia="Arial" w:hAnsi="Arial"/>
                <w:sz w:val="16"/>
                <w:szCs w:val="16"/>
                <w:color w:val="auto"/>
              </w:rPr>
              <w:t>(1,846)</w:t>
            </w:r>
          </w:p>
        </w:tc>
        <w:tc>
          <w:tcPr>
            <w:tcW w:w="100" w:type="dxa"/>
            <w:vAlign w:val="bottom"/>
            <w:tcBorders>
              <w:bottom w:val="single" w:sz="8" w:color="BFE4FF"/>
            </w:tcBorders>
            <w:shd w:val="clear" w:color="auto" w:fill="BFE4FF"/>
          </w:tcPr>
          <w:p>
            <w:pPr>
              <w:spacing w:after="0"/>
              <w:rPr>
                <w:sz w:val="23"/>
                <w:szCs w:val="23"/>
                <w:color w:val="auto"/>
              </w:rPr>
            </w:pPr>
          </w:p>
        </w:tc>
        <w:tc>
          <w:tcPr>
            <w:tcW w:w="500" w:type="dxa"/>
            <w:vAlign w:val="bottom"/>
            <w:tcBorders>
              <w:bottom w:val="single" w:sz="8" w:color="BFE4FF"/>
            </w:tcBorders>
            <w:shd w:val="clear" w:color="auto" w:fill="BFE4FF"/>
          </w:tcPr>
          <w:p>
            <w:pPr>
              <w:spacing w:after="0"/>
              <w:rPr>
                <w:sz w:val="23"/>
                <w:szCs w:val="23"/>
                <w:color w:val="auto"/>
              </w:rPr>
            </w:pPr>
          </w:p>
        </w:tc>
        <w:tc>
          <w:tcPr>
            <w:tcW w:w="960" w:type="dxa"/>
            <w:vAlign w:val="bottom"/>
            <w:tcBorders>
              <w:bottom w:val="single" w:sz="8" w:color="BFE4FF"/>
            </w:tcBorders>
            <w:shd w:val="clear" w:color="auto" w:fill="BFE4FF"/>
          </w:tcPr>
          <w:p>
            <w:pPr>
              <w:jc w:val="right"/>
              <w:spacing w:after="0"/>
              <w:rPr>
                <w:sz w:val="20"/>
                <w:szCs w:val="20"/>
                <w:color w:val="auto"/>
              </w:rPr>
            </w:pPr>
            <w:r>
              <w:rPr>
                <w:rFonts w:ascii="Arial" w:cs="Arial" w:eastAsia="Arial" w:hAnsi="Arial"/>
                <w:sz w:val="16"/>
                <w:szCs w:val="16"/>
                <w:color w:val="auto"/>
              </w:rPr>
              <w:t>(2,525)</w:t>
            </w:r>
          </w:p>
        </w:tc>
      </w:tr>
      <w:tr>
        <w:trPr>
          <w:trHeight w:val="217"/>
        </w:trPr>
        <w:tc>
          <w:tcPr>
            <w:tcW w:w="8360" w:type="dxa"/>
            <w:vAlign w:val="bottom"/>
          </w:tcPr>
          <w:p>
            <w:pPr>
              <w:ind w:left="280"/>
              <w:spacing w:after="0"/>
              <w:rPr>
                <w:sz w:val="20"/>
                <w:szCs w:val="20"/>
                <w:color w:val="auto"/>
              </w:rPr>
            </w:pPr>
            <w:r>
              <w:rPr>
                <w:rFonts w:ascii="Arial" w:cs="Arial" w:eastAsia="Arial" w:hAnsi="Arial"/>
                <w:sz w:val="16"/>
                <w:szCs w:val="16"/>
                <w:color w:val="auto"/>
              </w:rPr>
              <w:t>Net cash provided by (used in) financing activities</w:t>
            </w:r>
          </w:p>
        </w:tc>
        <w:tc>
          <w:tcPr>
            <w:tcW w:w="48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7,803</w:t>
            </w:r>
          </w:p>
        </w:tc>
        <w:tc>
          <w:tcPr>
            <w:tcW w:w="100" w:type="dxa"/>
            <w:vAlign w:val="bottom"/>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(2,974)</w:t>
            </w:r>
          </w:p>
        </w:tc>
      </w:tr>
      <w:tr>
        <w:trPr>
          <w:trHeight w:val="33"/>
        </w:trPr>
        <w:tc>
          <w:tcPr>
            <w:tcW w:w="8360" w:type="dxa"/>
            <w:vAlign w:val="bottom"/>
            <w:tcBorders>
              <w:bottom w:val="single" w:sz="8" w:color="BFE4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BFE4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50"/>
        </w:trPr>
        <w:tc>
          <w:tcPr>
            <w:tcW w:w="8360" w:type="dxa"/>
            <w:vAlign w:val="bottom"/>
            <w:tcBorders>
              <w:bottom w:val="single" w:sz="8" w:color="BFE4FF"/>
            </w:tcBorders>
            <w:shd w:val="clear" w:color="auto" w:fill="BFE4FF"/>
          </w:tcPr>
          <w:p>
            <w:pPr>
              <w:ind w:left="280"/>
              <w:spacing w:after="0"/>
              <w:rPr>
                <w:sz w:val="20"/>
                <w:szCs w:val="20"/>
                <w:color w:val="auto"/>
              </w:rPr>
            </w:pPr>
            <w:r>
              <w:rPr>
                <w:rFonts w:ascii="Arial" w:cs="Arial" w:eastAsia="Arial" w:hAnsi="Arial"/>
                <w:sz w:val="16"/>
                <w:szCs w:val="16"/>
                <w:color w:val="auto"/>
              </w:rPr>
              <w:t>Effect of foreign exchange rate changes on cash and cash equivalents</w:t>
            </w:r>
          </w:p>
        </w:tc>
        <w:tc>
          <w:tcPr>
            <w:tcW w:w="480" w:type="dxa"/>
            <w:vAlign w:val="bottom"/>
            <w:tcBorders>
              <w:bottom w:val="single" w:sz="8" w:color="BFE4FF"/>
            </w:tcBorders>
            <w:shd w:val="clear" w:color="auto" w:fill="BFE4FF"/>
          </w:tcPr>
          <w:p>
            <w:pPr>
              <w:spacing w:after="0"/>
              <w:rPr>
                <w:sz w:val="21"/>
                <w:szCs w:val="21"/>
                <w:color w:val="auto"/>
              </w:rPr>
            </w:pPr>
          </w:p>
        </w:tc>
        <w:tc>
          <w:tcPr>
            <w:tcW w:w="1020" w:type="dxa"/>
            <w:vAlign w:val="bottom"/>
            <w:tcBorders>
              <w:bottom w:val="single" w:sz="8" w:color="BFE4FF"/>
            </w:tcBorders>
            <w:shd w:val="clear" w:color="auto" w:fill="BFE4FF"/>
          </w:tcPr>
          <w:p>
            <w:pPr>
              <w:jc w:val="right"/>
              <w:spacing w:after="0"/>
              <w:rPr>
                <w:sz w:val="20"/>
                <w:szCs w:val="20"/>
                <w:color w:val="auto"/>
              </w:rPr>
            </w:pPr>
            <w:r>
              <w:rPr>
                <w:rFonts w:ascii="Arial" w:cs="Arial" w:eastAsia="Arial" w:hAnsi="Arial"/>
                <w:sz w:val="16"/>
                <w:szCs w:val="16"/>
                <w:color w:val="auto"/>
              </w:rPr>
              <w:t>(1,185)</w:t>
            </w:r>
          </w:p>
        </w:tc>
        <w:tc>
          <w:tcPr>
            <w:tcW w:w="100" w:type="dxa"/>
            <w:vAlign w:val="bottom"/>
            <w:tcBorders>
              <w:bottom w:val="single" w:sz="8" w:color="BFE4FF"/>
            </w:tcBorders>
            <w:shd w:val="clear" w:color="auto" w:fill="BFE4FF"/>
          </w:tcPr>
          <w:p>
            <w:pPr>
              <w:spacing w:after="0"/>
              <w:rPr>
                <w:sz w:val="21"/>
                <w:szCs w:val="21"/>
                <w:color w:val="auto"/>
              </w:rPr>
            </w:pPr>
          </w:p>
        </w:tc>
        <w:tc>
          <w:tcPr>
            <w:tcW w:w="500" w:type="dxa"/>
            <w:vAlign w:val="bottom"/>
            <w:tcBorders>
              <w:bottom w:val="single" w:sz="8" w:color="BFE4FF"/>
            </w:tcBorders>
            <w:shd w:val="clear" w:color="auto" w:fill="BFE4FF"/>
          </w:tcPr>
          <w:p>
            <w:pPr>
              <w:spacing w:after="0"/>
              <w:rPr>
                <w:sz w:val="21"/>
                <w:szCs w:val="21"/>
                <w:color w:val="auto"/>
              </w:rPr>
            </w:pPr>
          </w:p>
        </w:tc>
        <w:tc>
          <w:tcPr>
            <w:tcW w:w="960" w:type="dxa"/>
            <w:vAlign w:val="bottom"/>
            <w:tcBorders>
              <w:bottom w:val="single" w:sz="8" w:color="BFE4FF"/>
            </w:tcBorders>
            <w:shd w:val="clear" w:color="auto" w:fill="BFE4FF"/>
          </w:tcPr>
          <w:p>
            <w:pPr>
              <w:jc w:val="right"/>
              <w:spacing w:after="0"/>
              <w:rPr>
                <w:sz w:val="20"/>
                <w:szCs w:val="20"/>
                <w:color w:val="auto"/>
              </w:rPr>
            </w:pPr>
            <w:r>
              <w:rPr>
                <w:rFonts w:ascii="Arial" w:cs="Arial" w:eastAsia="Arial" w:hAnsi="Arial"/>
                <w:sz w:val="16"/>
                <w:szCs w:val="16"/>
                <w:color w:val="auto"/>
              </w:rPr>
              <w:t>(239)</w:t>
            </w:r>
          </w:p>
        </w:tc>
      </w:tr>
      <w:tr>
        <w:trPr>
          <w:trHeight w:val="217"/>
        </w:trPr>
        <w:tc>
          <w:tcPr>
            <w:tcW w:w="8360" w:type="dxa"/>
            <w:vAlign w:val="bottom"/>
          </w:tcPr>
          <w:p>
            <w:pPr>
              <w:ind w:left="40"/>
              <w:spacing w:after="0"/>
              <w:rPr>
                <w:sz w:val="20"/>
                <w:szCs w:val="20"/>
                <w:color w:val="auto"/>
              </w:rPr>
            </w:pPr>
            <w:r>
              <w:rPr>
                <w:rFonts w:ascii="Arial" w:cs="Arial" w:eastAsia="Arial" w:hAnsi="Arial"/>
                <w:sz w:val="16"/>
                <w:szCs w:val="16"/>
                <w:b w:val="1"/>
                <w:bCs w:val="1"/>
                <w:color w:val="auto"/>
              </w:rPr>
              <w:t>Net (Decrease) Increase In Cash And Cash Equivalents</w:t>
            </w:r>
          </w:p>
        </w:tc>
        <w:tc>
          <w:tcPr>
            <w:tcW w:w="48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(5,633)</w:t>
            </w:r>
          </w:p>
        </w:tc>
        <w:tc>
          <w:tcPr>
            <w:tcW w:w="100" w:type="dxa"/>
            <w:vAlign w:val="bottom"/>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33,474</w:t>
            </w:r>
          </w:p>
        </w:tc>
      </w:tr>
      <w:tr>
        <w:trPr>
          <w:trHeight w:val="33"/>
        </w:trPr>
        <w:tc>
          <w:tcPr>
            <w:tcW w:w="836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8360" w:type="dxa"/>
            <w:vAlign w:val="bottom"/>
            <w:tcBorders>
              <w:bottom w:val="single" w:sz="8" w:color="BFE4FF"/>
            </w:tcBorders>
            <w:shd w:val="clear" w:color="auto" w:fill="BFE4FF"/>
          </w:tcPr>
          <w:p>
            <w:pPr>
              <w:ind w:left="280"/>
              <w:spacing w:after="0"/>
              <w:rPr>
                <w:sz w:val="20"/>
                <w:szCs w:val="20"/>
                <w:color w:val="auto"/>
              </w:rPr>
            </w:pPr>
            <w:r>
              <w:rPr>
                <w:rFonts w:ascii="Arial" w:cs="Arial" w:eastAsia="Arial" w:hAnsi="Arial"/>
                <w:sz w:val="16"/>
                <w:szCs w:val="16"/>
                <w:color w:val="auto"/>
              </w:rPr>
              <w:t>CASH AND CASH EQUIVALENTS—Beginning of period</w:t>
            </w:r>
          </w:p>
        </w:tc>
        <w:tc>
          <w:tcPr>
            <w:tcW w:w="480" w:type="dxa"/>
            <w:vAlign w:val="bottom"/>
            <w:tcBorders>
              <w:bottom w:val="single" w:sz="8" w:color="BFE4FF"/>
            </w:tcBorders>
            <w:shd w:val="clear" w:color="auto" w:fill="BFE4FF"/>
          </w:tcPr>
          <w:p>
            <w:pPr>
              <w:spacing w:after="0"/>
              <w:rPr>
                <w:sz w:val="23"/>
                <w:szCs w:val="23"/>
                <w:color w:val="auto"/>
              </w:rPr>
            </w:pPr>
          </w:p>
        </w:tc>
        <w:tc>
          <w:tcPr>
            <w:tcW w:w="1020" w:type="dxa"/>
            <w:vAlign w:val="bottom"/>
            <w:tcBorders>
              <w:bottom w:val="single" w:sz="8" w:color="BFE4FF"/>
            </w:tcBorders>
            <w:shd w:val="clear" w:color="auto" w:fill="BFE4FF"/>
          </w:tcPr>
          <w:p>
            <w:pPr>
              <w:jc w:val="right"/>
              <w:ind w:right="39"/>
              <w:spacing w:after="0"/>
              <w:rPr>
                <w:sz w:val="20"/>
                <w:szCs w:val="20"/>
                <w:color w:val="auto"/>
              </w:rPr>
            </w:pPr>
            <w:r>
              <w:rPr>
                <w:rFonts w:ascii="Arial" w:cs="Arial" w:eastAsia="Arial" w:hAnsi="Arial"/>
                <w:sz w:val="16"/>
                <w:szCs w:val="16"/>
                <w:color w:val="auto"/>
              </w:rPr>
              <w:t>19,547</w:t>
            </w:r>
          </w:p>
        </w:tc>
        <w:tc>
          <w:tcPr>
            <w:tcW w:w="100" w:type="dxa"/>
            <w:vAlign w:val="bottom"/>
            <w:tcBorders>
              <w:bottom w:val="single" w:sz="8" w:color="BFE4FF"/>
            </w:tcBorders>
            <w:shd w:val="clear" w:color="auto" w:fill="BFE4FF"/>
          </w:tcPr>
          <w:p>
            <w:pPr>
              <w:spacing w:after="0"/>
              <w:rPr>
                <w:sz w:val="23"/>
                <w:szCs w:val="23"/>
                <w:color w:val="auto"/>
              </w:rPr>
            </w:pPr>
          </w:p>
        </w:tc>
        <w:tc>
          <w:tcPr>
            <w:tcW w:w="500" w:type="dxa"/>
            <w:vAlign w:val="bottom"/>
            <w:tcBorders>
              <w:bottom w:val="single" w:sz="8" w:color="BFE4FF"/>
            </w:tcBorders>
            <w:shd w:val="clear" w:color="auto" w:fill="BFE4FF"/>
          </w:tcPr>
          <w:p>
            <w:pPr>
              <w:spacing w:after="0"/>
              <w:rPr>
                <w:sz w:val="23"/>
                <w:szCs w:val="23"/>
                <w:color w:val="auto"/>
              </w:rPr>
            </w:pPr>
          </w:p>
        </w:tc>
        <w:tc>
          <w:tcPr>
            <w:tcW w:w="960" w:type="dxa"/>
            <w:vAlign w:val="bottom"/>
            <w:tcBorders>
              <w:bottom w:val="single" w:sz="8" w:color="BFE4FF"/>
            </w:tcBorders>
            <w:shd w:val="clear" w:color="auto" w:fill="BFE4FF"/>
          </w:tcPr>
          <w:p>
            <w:pPr>
              <w:jc w:val="right"/>
              <w:ind w:right="19"/>
              <w:spacing w:after="0"/>
              <w:rPr>
                <w:sz w:val="20"/>
                <w:szCs w:val="20"/>
                <w:color w:val="auto"/>
              </w:rPr>
            </w:pPr>
            <w:r>
              <w:rPr>
                <w:rFonts w:ascii="Arial" w:cs="Arial" w:eastAsia="Arial" w:hAnsi="Arial"/>
                <w:sz w:val="16"/>
                <w:szCs w:val="16"/>
                <w:color w:val="auto"/>
              </w:rPr>
              <w:t>3,290</w:t>
            </w:r>
          </w:p>
        </w:tc>
      </w:tr>
      <w:tr>
        <w:trPr>
          <w:trHeight w:val="217"/>
        </w:trPr>
        <w:tc>
          <w:tcPr>
            <w:tcW w:w="8360" w:type="dxa"/>
            <w:vAlign w:val="bottom"/>
          </w:tcPr>
          <w:p>
            <w:pPr>
              <w:ind w:left="280"/>
              <w:spacing w:after="0"/>
              <w:rPr>
                <w:sz w:val="20"/>
                <w:szCs w:val="20"/>
                <w:color w:val="auto"/>
              </w:rPr>
            </w:pPr>
            <w:r>
              <w:rPr>
                <w:rFonts w:ascii="Arial" w:cs="Arial" w:eastAsia="Arial" w:hAnsi="Arial"/>
                <w:sz w:val="16"/>
                <w:szCs w:val="16"/>
                <w:color w:val="auto"/>
              </w:rPr>
              <w:t>CASH AND CASH EQUIVALENTS—End of period</w:t>
            </w:r>
          </w:p>
        </w:tc>
        <w:tc>
          <w:tcPr>
            <w:tcW w:w="480" w:type="dxa"/>
            <w:vAlign w:val="bottom"/>
            <w:tcBorders>
              <w:top w:val="single" w:sz="8" w:color="auto"/>
            </w:tcBorders>
          </w:tcPr>
          <w:p>
            <w:pPr>
              <w:jc w:val="right"/>
              <w:ind w:right="299"/>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13,914</w:t>
            </w:r>
          </w:p>
        </w:tc>
        <w:tc>
          <w:tcPr>
            <w:tcW w:w="100" w:type="dxa"/>
            <w:vAlign w:val="bottom"/>
          </w:tcPr>
          <w:p>
            <w:pPr>
              <w:spacing w:after="0"/>
              <w:rPr>
                <w:sz w:val="18"/>
                <w:szCs w:val="18"/>
                <w:color w:val="auto"/>
              </w:rPr>
            </w:pPr>
          </w:p>
        </w:tc>
        <w:tc>
          <w:tcPr>
            <w:tcW w:w="500" w:type="dxa"/>
            <w:vAlign w:val="bottom"/>
            <w:tcBorders>
              <w:top w:val="single" w:sz="8" w:color="auto"/>
            </w:tcBorders>
          </w:tcPr>
          <w:p>
            <w:pPr>
              <w:jc w:val="right"/>
              <w:ind w:right="319"/>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36,764</w:t>
            </w:r>
          </w:p>
        </w:tc>
      </w:tr>
      <w:tr>
        <w:trPr>
          <w:trHeight w:val="73"/>
        </w:trPr>
        <w:tc>
          <w:tcPr>
            <w:tcW w:w="8360" w:type="dxa"/>
            <w:vAlign w:val="bottom"/>
            <w:tcBorders>
              <w:bottom w:val="single" w:sz="8" w:color="BFE4FF"/>
            </w:tcBorders>
          </w:tcPr>
          <w:p>
            <w:pPr>
              <w:spacing w:after="0"/>
              <w:rPr>
                <w:sz w:val="6"/>
                <w:szCs w:val="6"/>
                <w:color w:val="auto"/>
              </w:rPr>
            </w:pPr>
          </w:p>
        </w:tc>
        <w:tc>
          <w:tcPr>
            <w:tcW w:w="480" w:type="dxa"/>
            <w:vAlign w:val="bottom"/>
            <w:tcBorders>
              <w:bottom w:val="single" w:sz="8" w:color="auto"/>
            </w:tcBorders>
          </w:tcPr>
          <w:p>
            <w:pPr>
              <w:spacing w:after="0"/>
              <w:rPr>
                <w:sz w:val="6"/>
                <w:szCs w:val="6"/>
                <w:color w:val="auto"/>
              </w:rPr>
            </w:pPr>
          </w:p>
        </w:tc>
        <w:tc>
          <w:tcPr>
            <w:tcW w:w="1020" w:type="dxa"/>
            <w:vAlign w:val="bottom"/>
            <w:tcBorders>
              <w:bottom w:val="single" w:sz="8" w:color="auto"/>
            </w:tcBorders>
          </w:tcPr>
          <w:p>
            <w:pPr>
              <w:spacing w:after="0"/>
              <w:rPr>
                <w:sz w:val="6"/>
                <w:szCs w:val="6"/>
                <w:color w:val="auto"/>
              </w:rPr>
            </w:pPr>
          </w:p>
        </w:tc>
        <w:tc>
          <w:tcPr>
            <w:tcW w:w="100" w:type="dxa"/>
            <w:vAlign w:val="bottom"/>
            <w:tcBorders>
              <w:bottom w:val="single" w:sz="8" w:color="BFE4FF"/>
            </w:tcBorders>
          </w:tcPr>
          <w:p>
            <w:pPr>
              <w:spacing w:after="0"/>
              <w:rPr>
                <w:sz w:val="6"/>
                <w:szCs w:val="6"/>
                <w:color w:val="auto"/>
              </w:rPr>
            </w:pPr>
          </w:p>
        </w:tc>
        <w:tc>
          <w:tcPr>
            <w:tcW w:w="500" w:type="dxa"/>
            <w:vAlign w:val="bottom"/>
            <w:tcBorders>
              <w:bottom w:val="single" w:sz="8" w:color="auto"/>
            </w:tcBorders>
          </w:tcPr>
          <w:p>
            <w:pPr>
              <w:spacing w:after="0"/>
              <w:rPr>
                <w:sz w:val="6"/>
                <w:szCs w:val="6"/>
                <w:color w:val="auto"/>
              </w:rPr>
            </w:pPr>
          </w:p>
        </w:tc>
        <w:tc>
          <w:tcPr>
            <w:tcW w:w="960" w:type="dxa"/>
            <w:vAlign w:val="bottom"/>
            <w:tcBorders>
              <w:bottom w:val="single" w:sz="8" w:color="auto"/>
            </w:tcBorders>
          </w:tcPr>
          <w:p>
            <w:pPr>
              <w:spacing w:after="0"/>
              <w:rPr>
                <w:sz w:val="6"/>
                <w:szCs w:val="6"/>
                <w:color w:val="auto"/>
              </w:rPr>
            </w:pPr>
          </w:p>
        </w:tc>
      </w:tr>
      <w:tr>
        <w:trPr>
          <w:trHeight w:val="177"/>
        </w:trPr>
        <w:tc>
          <w:tcPr>
            <w:tcW w:w="8360" w:type="dxa"/>
            <w:vAlign w:val="bottom"/>
            <w:shd w:val="clear" w:color="auto" w:fill="BFE4FF"/>
          </w:tcPr>
          <w:p>
            <w:pPr>
              <w:ind w:left="40"/>
              <w:spacing w:after="0" w:line="177" w:lineRule="exact"/>
              <w:rPr>
                <w:sz w:val="20"/>
                <w:szCs w:val="20"/>
                <w:color w:val="auto"/>
              </w:rPr>
            </w:pPr>
            <w:r>
              <w:rPr>
                <w:rFonts w:ascii="Arial" w:cs="Arial" w:eastAsia="Arial" w:hAnsi="Arial"/>
                <w:sz w:val="16"/>
                <w:szCs w:val="16"/>
                <w:b w:val="1"/>
                <w:bCs w:val="1"/>
                <w:color w:val="auto"/>
              </w:rPr>
              <w:t>NONCASH INVESTING AND FINANCING ACTIVITIES:</w:t>
            </w:r>
          </w:p>
        </w:tc>
        <w:tc>
          <w:tcPr>
            <w:tcW w:w="480" w:type="dxa"/>
            <w:vAlign w:val="bottom"/>
            <w:shd w:val="clear" w:color="auto" w:fill="BFE4FF"/>
          </w:tcPr>
          <w:p>
            <w:pPr>
              <w:spacing w:after="0"/>
              <w:rPr>
                <w:sz w:val="15"/>
                <w:szCs w:val="15"/>
                <w:color w:val="auto"/>
              </w:rPr>
            </w:pPr>
          </w:p>
        </w:tc>
        <w:tc>
          <w:tcPr>
            <w:tcW w:w="1020" w:type="dxa"/>
            <w:vAlign w:val="bottom"/>
            <w:shd w:val="clear" w:color="auto" w:fill="BFE4FF"/>
          </w:tcPr>
          <w:p>
            <w:pPr>
              <w:spacing w:after="0"/>
              <w:rPr>
                <w:sz w:val="15"/>
                <w:szCs w:val="15"/>
                <w:color w:val="auto"/>
              </w:rPr>
            </w:pPr>
          </w:p>
        </w:tc>
        <w:tc>
          <w:tcPr>
            <w:tcW w:w="100" w:type="dxa"/>
            <w:vAlign w:val="bottom"/>
            <w:shd w:val="clear" w:color="auto" w:fill="BFE4FF"/>
          </w:tcPr>
          <w:p>
            <w:pPr>
              <w:spacing w:after="0"/>
              <w:rPr>
                <w:sz w:val="15"/>
                <w:szCs w:val="15"/>
                <w:color w:val="auto"/>
              </w:rPr>
            </w:pPr>
          </w:p>
        </w:tc>
        <w:tc>
          <w:tcPr>
            <w:tcW w:w="500" w:type="dxa"/>
            <w:vAlign w:val="bottom"/>
            <w:shd w:val="clear" w:color="auto" w:fill="BFE4FF"/>
          </w:tcPr>
          <w:p>
            <w:pPr>
              <w:spacing w:after="0"/>
              <w:rPr>
                <w:sz w:val="15"/>
                <w:szCs w:val="15"/>
                <w:color w:val="auto"/>
              </w:rPr>
            </w:pPr>
          </w:p>
        </w:tc>
        <w:tc>
          <w:tcPr>
            <w:tcW w:w="960" w:type="dxa"/>
            <w:vAlign w:val="bottom"/>
            <w:shd w:val="clear" w:color="auto" w:fill="BFE4FF"/>
          </w:tcPr>
          <w:p>
            <w:pPr>
              <w:spacing w:after="0"/>
              <w:rPr>
                <w:sz w:val="15"/>
                <w:szCs w:val="15"/>
                <w:color w:val="auto"/>
              </w:rPr>
            </w:pPr>
          </w:p>
        </w:tc>
      </w:tr>
      <w:tr>
        <w:trPr>
          <w:trHeight w:val="74"/>
        </w:trPr>
        <w:tc>
          <w:tcPr>
            <w:tcW w:w="8360" w:type="dxa"/>
            <w:vAlign w:val="bottom"/>
            <w:shd w:val="clear" w:color="auto" w:fill="BFE4FF"/>
          </w:tcPr>
          <w:p>
            <w:pPr>
              <w:spacing w:after="0"/>
              <w:rPr>
                <w:sz w:val="6"/>
                <w:szCs w:val="6"/>
                <w:color w:val="auto"/>
              </w:rPr>
            </w:pPr>
          </w:p>
        </w:tc>
        <w:tc>
          <w:tcPr>
            <w:tcW w:w="480" w:type="dxa"/>
            <w:vAlign w:val="bottom"/>
            <w:shd w:val="clear" w:color="auto" w:fill="BFE4FF"/>
          </w:tcPr>
          <w:p>
            <w:pPr>
              <w:spacing w:after="0"/>
              <w:rPr>
                <w:sz w:val="6"/>
                <w:szCs w:val="6"/>
                <w:color w:val="auto"/>
              </w:rPr>
            </w:pPr>
          </w:p>
        </w:tc>
        <w:tc>
          <w:tcPr>
            <w:tcW w:w="1020" w:type="dxa"/>
            <w:vAlign w:val="bottom"/>
            <w:shd w:val="clear" w:color="auto" w:fill="BFE4FF"/>
          </w:tcPr>
          <w:p>
            <w:pPr>
              <w:spacing w:after="0"/>
              <w:rPr>
                <w:sz w:val="6"/>
                <w:szCs w:val="6"/>
                <w:color w:val="auto"/>
              </w:rPr>
            </w:pPr>
          </w:p>
        </w:tc>
        <w:tc>
          <w:tcPr>
            <w:tcW w:w="100" w:type="dxa"/>
            <w:vAlign w:val="bottom"/>
            <w:shd w:val="clear" w:color="auto" w:fill="BFE4FF"/>
          </w:tcPr>
          <w:p>
            <w:pPr>
              <w:spacing w:after="0"/>
              <w:rPr>
                <w:sz w:val="6"/>
                <w:szCs w:val="6"/>
                <w:color w:val="auto"/>
              </w:rPr>
            </w:pPr>
          </w:p>
        </w:tc>
        <w:tc>
          <w:tcPr>
            <w:tcW w:w="500" w:type="dxa"/>
            <w:vAlign w:val="bottom"/>
            <w:shd w:val="clear" w:color="auto" w:fill="BFE4FF"/>
          </w:tcPr>
          <w:p>
            <w:pPr>
              <w:spacing w:after="0"/>
              <w:rPr>
                <w:sz w:val="6"/>
                <w:szCs w:val="6"/>
                <w:color w:val="auto"/>
              </w:rPr>
            </w:pPr>
          </w:p>
        </w:tc>
        <w:tc>
          <w:tcPr>
            <w:tcW w:w="960" w:type="dxa"/>
            <w:vAlign w:val="bottom"/>
            <w:shd w:val="clear" w:color="auto" w:fill="BFE4FF"/>
          </w:tcPr>
          <w:p>
            <w:pPr>
              <w:spacing w:after="0"/>
              <w:rPr>
                <w:sz w:val="6"/>
                <w:szCs w:val="6"/>
                <w:color w:val="auto"/>
              </w:rPr>
            </w:pPr>
          </w:p>
        </w:tc>
      </w:tr>
      <w:tr>
        <w:trPr>
          <w:trHeight w:val="237"/>
        </w:trPr>
        <w:tc>
          <w:tcPr>
            <w:tcW w:w="8360" w:type="dxa"/>
            <w:vAlign w:val="bottom"/>
          </w:tcPr>
          <w:p>
            <w:pPr>
              <w:ind w:left="280"/>
              <w:spacing w:after="0"/>
              <w:rPr>
                <w:sz w:val="20"/>
                <w:szCs w:val="20"/>
                <w:color w:val="auto"/>
              </w:rPr>
            </w:pPr>
            <w:r>
              <w:rPr>
                <w:rFonts w:ascii="Arial" w:cs="Arial" w:eastAsia="Arial" w:hAnsi="Arial"/>
                <w:sz w:val="16"/>
                <w:szCs w:val="16"/>
                <w:color w:val="auto"/>
              </w:rPr>
              <w:t>Purchase of property and equipment funded through accounts payable and accrued liabilities</w:t>
            </w:r>
          </w:p>
        </w:tc>
        <w:tc>
          <w:tcPr>
            <w:tcW w:w="480" w:type="dxa"/>
            <w:vAlign w:val="bottom"/>
          </w:tcPr>
          <w:p>
            <w:pPr>
              <w:jc w:val="right"/>
              <w:ind w:right="29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560</w:t>
            </w:r>
          </w:p>
        </w:tc>
        <w:tc>
          <w:tcPr>
            <w:tcW w:w="100" w:type="dxa"/>
            <w:vAlign w:val="bottom"/>
          </w:tcPr>
          <w:p>
            <w:pPr>
              <w:spacing w:after="0"/>
              <w:rPr>
                <w:sz w:val="20"/>
                <w:szCs w:val="20"/>
                <w:color w:val="auto"/>
              </w:rPr>
            </w:pPr>
          </w:p>
        </w:tc>
        <w:tc>
          <w:tcPr>
            <w:tcW w:w="500" w:type="dxa"/>
            <w:vAlign w:val="bottom"/>
          </w:tcPr>
          <w:p>
            <w:pPr>
              <w:jc w:val="right"/>
              <w:ind w:right="319"/>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483</w:t>
            </w:r>
          </w:p>
        </w:tc>
      </w:tr>
      <w:tr>
        <w:trPr>
          <w:trHeight w:val="33"/>
        </w:trPr>
        <w:tc>
          <w:tcPr>
            <w:tcW w:w="836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37"/>
        </w:trPr>
        <w:tc>
          <w:tcPr>
            <w:tcW w:w="8360" w:type="dxa"/>
            <w:vAlign w:val="bottom"/>
            <w:shd w:val="clear" w:color="auto" w:fill="BFE4FF"/>
          </w:tcPr>
          <w:p>
            <w:pPr>
              <w:ind w:left="280"/>
              <w:spacing w:after="0"/>
              <w:rPr>
                <w:sz w:val="20"/>
                <w:szCs w:val="20"/>
                <w:color w:val="auto"/>
              </w:rPr>
            </w:pPr>
            <w:r>
              <w:rPr>
                <w:rFonts w:ascii="Arial" w:cs="Arial" w:eastAsia="Arial" w:hAnsi="Arial"/>
                <w:sz w:val="16"/>
                <w:szCs w:val="16"/>
                <w:color w:val="auto"/>
              </w:rPr>
              <w:t>Deferred issuance costs not yet paid</w:t>
            </w:r>
          </w:p>
        </w:tc>
        <w:tc>
          <w:tcPr>
            <w:tcW w:w="480" w:type="dxa"/>
            <w:vAlign w:val="bottom"/>
            <w:shd w:val="clear" w:color="auto" w:fill="BFE4FF"/>
          </w:tcPr>
          <w:p>
            <w:pPr>
              <w:jc w:val="right"/>
              <w:ind w:right="299"/>
              <w:spacing w:after="0"/>
              <w:rPr>
                <w:sz w:val="20"/>
                <w:szCs w:val="20"/>
                <w:color w:val="auto"/>
              </w:rPr>
            </w:pPr>
            <w:r>
              <w:rPr>
                <w:rFonts w:ascii="Arial" w:cs="Arial" w:eastAsia="Arial" w:hAnsi="Arial"/>
                <w:sz w:val="16"/>
                <w:szCs w:val="16"/>
                <w:color w:val="auto"/>
                <w:w w:val="89"/>
              </w:rPr>
              <w:t>$</w:t>
            </w:r>
          </w:p>
        </w:tc>
        <w:tc>
          <w:tcPr>
            <w:tcW w:w="1120" w:type="dxa"/>
            <w:vAlign w:val="bottom"/>
            <w:gridSpan w:val="2"/>
            <w:shd w:val="clear" w:color="auto" w:fill="BFE4FF"/>
          </w:tcPr>
          <w:p>
            <w:pPr>
              <w:jc w:val="right"/>
              <w:ind w:right="220"/>
              <w:spacing w:after="0"/>
              <w:rPr>
                <w:sz w:val="20"/>
                <w:szCs w:val="20"/>
                <w:color w:val="auto"/>
              </w:rPr>
            </w:pPr>
            <w:r>
              <w:rPr>
                <w:rFonts w:ascii="Arial" w:cs="Arial" w:eastAsia="Arial" w:hAnsi="Arial"/>
                <w:sz w:val="16"/>
                <w:szCs w:val="16"/>
                <w:color w:val="auto"/>
              </w:rPr>
              <w:t>—</w:t>
            </w:r>
          </w:p>
        </w:tc>
        <w:tc>
          <w:tcPr>
            <w:tcW w:w="500" w:type="dxa"/>
            <w:vAlign w:val="bottom"/>
            <w:shd w:val="clear" w:color="auto" w:fill="BFE4FF"/>
          </w:tcPr>
          <w:p>
            <w:pPr>
              <w:jc w:val="right"/>
              <w:ind w:right="319"/>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BFE4FF"/>
          </w:tcPr>
          <w:p>
            <w:pPr>
              <w:jc w:val="right"/>
              <w:ind w:right="19"/>
              <w:spacing w:after="0"/>
              <w:rPr>
                <w:sz w:val="20"/>
                <w:szCs w:val="20"/>
                <w:color w:val="auto"/>
              </w:rPr>
            </w:pPr>
            <w:r>
              <w:rPr>
                <w:rFonts w:ascii="Arial" w:cs="Arial" w:eastAsia="Arial" w:hAnsi="Arial"/>
                <w:sz w:val="16"/>
                <w:szCs w:val="16"/>
                <w:color w:val="auto"/>
              </w:rPr>
              <w:t>620</w:t>
            </w:r>
          </w:p>
        </w:tc>
      </w:tr>
      <w:tr>
        <w:trPr>
          <w:trHeight w:val="33"/>
        </w:trPr>
        <w:tc>
          <w:tcPr>
            <w:tcW w:w="8360" w:type="dxa"/>
            <w:vAlign w:val="bottom"/>
            <w:shd w:val="clear" w:color="auto" w:fill="BFE4FF"/>
          </w:tcPr>
          <w:p>
            <w:pPr>
              <w:spacing w:after="0"/>
              <w:rPr>
                <w:sz w:val="2"/>
                <w:szCs w:val="2"/>
                <w:color w:val="auto"/>
              </w:rPr>
            </w:pPr>
          </w:p>
        </w:tc>
        <w:tc>
          <w:tcPr>
            <w:tcW w:w="480" w:type="dxa"/>
            <w:vAlign w:val="bottom"/>
            <w:shd w:val="clear" w:color="auto" w:fill="BFE4FF"/>
          </w:tcPr>
          <w:p>
            <w:pPr>
              <w:spacing w:after="0"/>
              <w:rPr>
                <w:sz w:val="2"/>
                <w:szCs w:val="2"/>
                <w:color w:val="auto"/>
              </w:rPr>
            </w:pPr>
          </w:p>
        </w:tc>
        <w:tc>
          <w:tcPr>
            <w:tcW w:w="1020" w:type="dxa"/>
            <w:vAlign w:val="bottom"/>
            <w:shd w:val="clear" w:color="auto" w:fill="BFE4FF"/>
          </w:tcPr>
          <w:p>
            <w:pPr>
              <w:spacing w:after="0"/>
              <w:rPr>
                <w:sz w:val="2"/>
                <w:szCs w:val="2"/>
                <w:color w:val="auto"/>
              </w:rPr>
            </w:pPr>
          </w:p>
        </w:tc>
        <w:tc>
          <w:tcPr>
            <w:tcW w:w="100" w:type="dxa"/>
            <w:vAlign w:val="bottom"/>
            <w:shd w:val="clear" w:color="auto" w:fill="BFE4FF"/>
          </w:tcPr>
          <w:p>
            <w:pPr>
              <w:spacing w:after="0"/>
              <w:rPr>
                <w:sz w:val="2"/>
                <w:szCs w:val="2"/>
                <w:color w:val="auto"/>
              </w:rPr>
            </w:pPr>
          </w:p>
        </w:tc>
        <w:tc>
          <w:tcPr>
            <w:tcW w:w="500" w:type="dxa"/>
            <w:vAlign w:val="bottom"/>
            <w:shd w:val="clear" w:color="auto" w:fill="BFE4FF"/>
          </w:tcPr>
          <w:p>
            <w:pPr>
              <w:spacing w:after="0"/>
              <w:rPr>
                <w:sz w:val="2"/>
                <w:szCs w:val="2"/>
                <w:color w:val="auto"/>
              </w:rPr>
            </w:pPr>
          </w:p>
        </w:tc>
        <w:tc>
          <w:tcPr>
            <w:tcW w:w="960" w:type="dxa"/>
            <w:vAlign w:val="bottom"/>
            <w:shd w:val="clear" w:color="auto" w:fill="BFE4FF"/>
          </w:tcPr>
          <w:p>
            <w:pPr>
              <w:spacing w:after="0"/>
              <w:rPr>
                <w:sz w:val="2"/>
                <w:szCs w:val="2"/>
                <w:color w:val="auto"/>
              </w:rPr>
            </w:pPr>
          </w:p>
        </w:tc>
      </w:tr>
    </w:tbl>
    <w:p>
      <w:pPr>
        <w:spacing w:after="0" w:line="40"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to the unaudited condensed consolidated financial statements</w:t>
      </w:r>
    </w:p>
    <w:p>
      <w:pPr>
        <w:sectPr>
          <w:pgSz w:w="11900" w:h="16838" w:orient="portrait"/>
          <w:cols w:equalWidth="0" w:num="1">
            <w:col w:w="11420"/>
          </w:cols>
          <w:pgMar w:left="240" w:top="125" w:right="239" w:bottom="1440" w:gutter="0" w:footer="0" w:header="0"/>
          <w:type w:val="continuous"/>
        </w:sect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w:t>
      </w:r>
    </w:p>
    <w:p>
      <w:pPr>
        <w:sectPr>
          <w:pgSz w:w="11900" w:h="16838" w:orient="portrait"/>
          <w:cols w:equalWidth="0" w:num="1">
            <w:col w:w="11420"/>
          </w:cols>
          <w:pgMar w:left="240" w:top="125" w:right="239" w:bottom="1440" w:gutter="0" w:footer="0" w:header="0"/>
          <w:type w:val="continuous"/>
        </w:sectPr>
      </w:pPr>
    </w:p>
    <w:bookmarkStart w:id="6" w:name="page7"/>
    <w:bookmarkEnd w:id="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Organization and Description of Business</w:t>
      </w:r>
    </w:p>
    <w:p>
      <w:pPr>
        <w:spacing w:after="0" w:line="175" w:lineRule="exact"/>
        <w:rPr>
          <w:sz w:val="20"/>
          <w:szCs w:val="20"/>
          <w:color w:val="auto"/>
        </w:rPr>
      </w:pPr>
    </w:p>
    <w:p>
      <w:pPr>
        <w:ind w:right="100" w:firstLine="324"/>
        <w:spacing w:after="0" w:line="279" w:lineRule="auto"/>
        <w:rPr>
          <w:sz w:val="20"/>
          <w:szCs w:val="20"/>
          <w:color w:val="auto"/>
        </w:rPr>
      </w:pPr>
      <w:r>
        <w:rPr>
          <w:rFonts w:ascii="Arial" w:cs="Arial" w:eastAsia="Arial" w:hAnsi="Arial"/>
          <w:sz w:val="17"/>
          <w:szCs w:val="17"/>
          <w:color w:val="auto"/>
        </w:rPr>
        <w:t>Penumbra, Inc. (the “Company”) is a global interventional therapies company that designs, develops, manufactures and markets innovative medical devices. The Company has a broad portfolio of products that addresses challenging medical conditions and significant clinical needs across two major markets, neuro and peripheral vascular. The conditions that the Company’s products address include, among others, ischemic stroke, hemorrhagic stroke and various peripheral vascular conditions that can be treated through thrombectomy and embolization procedures.</w:t>
      </w:r>
    </w:p>
    <w:p>
      <w:pPr>
        <w:spacing w:after="0" w:line="113" w:lineRule="exact"/>
        <w:rPr>
          <w:sz w:val="20"/>
          <w:szCs w:val="20"/>
          <w:color w:val="auto"/>
        </w:rPr>
      </w:pPr>
    </w:p>
    <w:p>
      <w:pPr>
        <w:ind w:right="7840" w:firstLine="8"/>
        <w:spacing w:after="0" w:line="495" w:lineRule="auto"/>
        <w:tabs>
          <w:tab w:leader="none" w:pos="180" w:val="left"/>
        </w:tabs>
        <w:numPr>
          <w:ilvl w:val="0"/>
          <w:numId w:val="3"/>
        </w:numPr>
        <w:rPr>
          <w:rFonts w:ascii="Arial" w:cs="Arial" w:eastAsia="Arial" w:hAnsi="Arial"/>
          <w:sz w:val="16"/>
          <w:szCs w:val="16"/>
          <w:b w:val="1"/>
          <w:bCs w:val="1"/>
          <w:color w:val="auto"/>
        </w:rPr>
      </w:pPr>
      <w:r>
        <w:rPr>
          <w:rFonts w:ascii="Arial" w:cs="Arial" w:eastAsia="Arial" w:hAnsi="Arial"/>
          <w:sz w:val="16"/>
          <w:szCs w:val="16"/>
          <w:b w:val="1"/>
          <w:bCs w:val="1"/>
          <w:color w:val="auto"/>
        </w:rPr>
        <w:t>Summary of Significant Accounting Policies Basis of Presentation and Consolidation</w:t>
      </w:r>
    </w:p>
    <w:p>
      <w:pPr>
        <w:spacing w:after="0" w:line="1" w:lineRule="exact"/>
        <w:rPr>
          <w:sz w:val="20"/>
          <w:szCs w:val="20"/>
          <w:color w:val="auto"/>
        </w:rPr>
      </w:pPr>
    </w:p>
    <w:p>
      <w:pPr>
        <w:ind w:right="100" w:firstLine="324"/>
        <w:spacing w:after="0" w:line="291" w:lineRule="auto"/>
        <w:rPr>
          <w:sz w:val="20"/>
          <w:szCs w:val="20"/>
          <w:color w:val="auto"/>
        </w:rPr>
      </w:pPr>
      <w:r>
        <w:rPr>
          <w:rFonts w:ascii="Arial" w:cs="Arial" w:eastAsia="Arial" w:hAnsi="Arial"/>
          <w:sz w:val="16"/>
          <w:szCs w:val="16"/>
          <w:color w:val="auto"/>
        </w:rPr>
        <w:t>The accompanying condensed consolidated balance sheet as of June 30, 2016, the condensed consolidated statements of operations and comprehensive income (loss) for the three and six months ended June 30, 2016 and 2015, and the condensed consolidated statements of cash flows for the six months ended June 30, 2016 and 2015 are unaudited. The unaudited condensed consolidated financial statements included herein have been prepared by the Company in accordance with accounting principles generally accepted in the United States of America (“U.S. GAAP”) and the applicable rules and regulations of the Securities and Exchange Commission (the “SEC”) for interim financial information. Accordingly, they do not include all of the information and notes required by U.S. GAAP for complete financial statements. The condensed consolidated balance sheet as of December 31, 2015 was derived from the audited financial statements as of that date, but does not include all of the information and footnotes required by U.S. GAAP for complete financial statements.</w:t>
      </w:r>
    </w:p>
    <w:p>
      <w:pPr>
        <w:spacing w:after="0" w:line="113" w:lineRule="exact"/>
        <w:rPr>
          <w:sz w:val="20"/>
          <w:szCs w:val="20"/>
          <w:color w:val="auto"/>
        </w:rPr>
      </w:pPr>
    </w:p>
    <w:p>
      <w:pPr>
        <w:ind w:firstLine="366"/>
        <w:spacing w:after="0" w:line="276" w:lineRule="auto"/>
        <w:rPr>
          <w:sz w:val="20"/>
          <w:szCs w:val="20"/>
          <w:color w:val="auto"/>
        </w:rPr>
      </w:pPr>
      <w:r>
        <w:rPr>
          <w:rFonts w:ascii="Arial" w:cs="Arial" w:eastAsia="Arial" w:hAnsi="Arial"/>
          <w:sz w:val="17"/>
          <w:szCs w:val="17"/>
          <w:color w:val="auto"/>
        </w:rPr>
        <w:t>The unaudited condensed consolidated financial statements have been prepared on the same basis as the audited consolidated financial statements and, in the opinion of management, reflect all adjustments of a normal recurring nature considered necessary to state fairly the Company’s financial position as of June 30, 2016, the results of its operations for the three and six months ended June 30, 2016 and 2015, and the cash flows for the six months ended June 30, 2016 and 2015. The results for the three and six months ended June 30, 2016 are not necessarily indicative of the results that may be expected for the year ending December 31, 2016 or for any other future annual or interim period.</w:t>
      </w:r>
    </w:p>
    <w:p>
      <w:pPr>
        <w:spacing w:after="0" w:line="119"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The information included in this Quarterly Report on Form 10-Q should be read in conjunction with the audited consolidated financial statements and notes thereto for the year ended December 31, 2015 included in the Company’s Annual Report on Form 10-K. There have been no changes to the Company’s significant accounting policies during the six months ended June 30, 2016, as compared to the significant accounting policies described in the Company’s Annual Report on Form 10-K for the fiscal year ended December 31, 2015.</w:t>
      </w:r>
    </w:p>
    <w:p>
      <w:pPr>
        <w:spacing w:after="0" w:line="133"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The condensed consolidated financial statements include the accounts of the Company and its wholly-owned subsidiaries. All intercompany accounts and transactions have been eliminated.</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175" w:lineRule="exact"/>
        <w:rPr>
          <w:sz w:val="20"/>
          <w:szCs w:val="20"/>
          <w:color w:val="auto"/>
        </w:rPr>
      </w:pPr>
    </w:p>
    <w:p>
      <w:pPr>
        <w:ind w:right="120" w:firstLine="324"/>
        <w:spacing w:after="0" w:line="272" w:lineRule="auto"/>
        <w:rPr>
          <w:sz w:val="20"/>
          <w:szCs w:val="20"/>
          <w:color w:val="auto"/>
        </w:rPr>
      </w:pPr>
      <w:r>
        <w:rPr>
          <w:rFonts w:ascii="Arial" w:cs="Arial" w:eastAsia="Arial" w:hAnsi="Arial"/>
          <w:sz w:val="17"/>
          <w:szCs w:val="17"/>
          <w:color w:val="auto"/>
        </w:rPr>
        <w:t>The preparation of financial statements in conformity with U.S. GAAP requires management to make estimates and assumptions that affect the reported amounts of assets, liabilities and equity accounts; disclosure of contingent assets and liabilities at the date of the financial statements; and the reported amounts of revenues and expenses during the reporting period. On an ongoing basis, the Company evaluates its estimates, including those related to marketable investments, provisions for doubtful accounts, sales return reserve, warranty reserves, valuation of inventories, useful lives of property and equipment, income taxes, and contingencies, among others. The Company bases its estimates on historical experience and on various other assumptions that are believed to be reasonable under the circumstances, the results of which form the basis for making judgments about the carrying values of assets and liabilities that are not readily apparent from other data. Actual results could differ from those estimates.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Segments</w:t>
      </w:r>
    </w:p>
    <w:p>
      <w:pPr>
        <w:spacing w:after="0" w:line="175" w:lineRule="exact"/>
        <w:rPr>
          <w:sz w:val="20"/>
          <w:szCs w:val="20"/>
          <w:color w:val="auto"/>
        </w:rPr>
      </w:pPr>
    </w:p>
    <w:p>
      <w:pPr>
        <w:ind w:right="80" w:firstLine="324"/>
        <w:spacing w:after="0" w:line="279" w:lineRule="auto"/>
        <w:rPr>
          <w:sz w:val="20"/>
          <w:szCs w:val="20"/>
          <w:color w:val="auto"/>
        </w:rPr>
      </w:pPr>
      <w:r>
        <w:rPr>
          <w:rFonts w:ascii="Arial" w:cs="Arial" w:eastAsia="Arial" w:hAnsi="Arial"/>
          <w:sz w:val="17"/>
          <w:szCs w:val="17"/>
          <w:color w:val="auto"/>
        </w:rPr>
        <w:t>The Company determined its operating segment on the same basis that it uses to evaluate its performance internally. The Company has one business activity: the design, development, manufacturing and marketing of innovative medical devices, and operates as one operating segment. The Company’s chief operating decision-maker, its Chief Executive Officer, reviews its operating results for the purpose of allocating resources and evaluating financial performance. The Company determines revenue by geographic area, based on the destination to which it ships its products.</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00"/>
          </w:cols>
          <w:pgMar w:left="240" w:top="125" w:right="259" w:bottom="1440" w:gutter="0" w:footer="0" w:header="0"/>
        </w:sectPr>
      </w:pPr>
    </w:p>
    <w:bookmarkStart w:id="7" w:name="page8"/>
    <w:bookmarkEnd w:id="7"/>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175" w:lineRule="exact"/>
        <w:rPr>
          <w:sz w:val="20"/>
          <w:szCs w:val="20"/>
          <w:color w:val="auto"/>
        </w:rPr>
      </w:pPr>
    </w:p>
    <w:p>
      <w:pPr>
        <w:ind w:right="20" w:firstLine="324"/>
        <w:spacing w:after="0" w:line="269" w:lineRule="auto"/>
        <w:rPr>
          <w:sz w:val="20"/>
          <w:szCs w:val="20"/>
          <w:color w:val="auto"/>
        </w:rPr>
      </w:pPr>
      <w:r>
        <w:rPr>
          <w:rFonts w:ascii="Arial" w:cs="Arial" w:eastAsia="Arial" w:hAnsi="Arial"/>
          <w:sz w:val="17"/>
          <w:szCs w:val="17"/>
          <w:color w:val="auto"/>
        </w:rPr>
        <w:t xml:space="preserve">In May 2014, the Financial Accounting Standards Board (the “FASB”) issued Accounting Standards Update (“ASU”) No. 2014-09, </w:t>
      </w:r>
      <w:r>
        <w:rPr>
          <w:rFonts w:ascii="Arial" w:cs="Arial" w:eastAsia="Arial" w:hAnsi="Arial"/>
          <w:sz w:val="17"/>
          <w:szCs w:val="17"/>
          <w:i w:val="1"/>
          <w:iCs w:val="1"/>
          <w:color w:val="auto"/>
        </w:rPr>
        <w:t>Revenue from</w:t>
      </w:r>
      <w:r>
        <w:rPr>
          <w:rFonts w:ascii="Arial" w:cs="Arial" w:eastAsia="Arial" w:hAnsi="Arial"/>
          <w:sz w:val="17"/>
          <w:szCs w:val="17"/>
          <w:color w:val="auto"/>
        </w:rPr>
        <w:t xml:space="preserve"> </w:t>
      </w:r>
      <w:r>
        <w:rPr>
          <w:rFonts w:ascii="Arial" w:cs="Arial" w:eastAsia="Arial" w:hAnsi="Arial"/>
          <w:sz w:val="17"/>
          <w:szCs w:val="17"/>
          <w:i w:val="1"/>
          <w:iCs w:val="1"/>
          <w:color w:val="auto"/>
        </w:rPr>
        <w:t>Contracts with Customers</w:t>
      </w:r>
      <w:r>
        <w:rPr>
          <w:rFonts w:ascii="Arial" w:cs="Arial" w:eastAsia="Arial" w:hAnsi="Arial"/>
          <w:sz w:val="17"/>
          <w:szCs w:val="17"/>
          <w:color w:val="auto"/>
        </w:rPr>
        <w:t>, which outlines a comprehensive new revenue recognition model designed to depict the transfer of promised goods or services to</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customers in an amount that reflects the consideration to which the entity expects to be entitled in exchange for those goods or services. In March 2016, the FASB issued ASU 2016-08, </w:t>
      </w:r>
      <w:r>
        <w:rPr>
          <w:rFonts w:ascii="Arial" w:cs="Arial" w:eastAsia="Arial" w:hAnsi="Arial"/>
          <w:sz w:val="17"/>
          <w:szCs w:val="17"/>
          <w:i w:val="1"/>
          <w:iCs w:val="1"/>
          <w:color w:val="auto"/>
        </w:rPr>
        <w:t>Revenue from Contracts with Customers</w:t>
      </w:r>
      <w:r>
        <w:rPr>
          <w:rFonts w:ascii="Arial" w:cs="Arial" w:eastAsia="Arial" w:hAnsi="Arial"/>
          <w:sz w:val="17"/>
          <w:szCs w:val="17"/>
          <w:color w:val="auto"/>
        </w:rPr>
        <w:t>—</w:t>
      </w:r>
      <w:r>
        <w:rPr>
          <w:rFonts w:ascii="Arial" w:cs="Arial" w:eastAsia="Arial" w:hAnsi="Arial"/>
          <w:sz w:val="17"/>
          <w:szCs w:val="17"/>
          <w:i w:val="1"/>
          <w:iCs w:val="1"/>
          <w:color w:val="auto"/>
        </w:rPr>
        <w:t>Principal versus Agent Considerations (Reporting Revenue Gross versus Net)</w:t>
      </w:r>
      <w:r>
        <w:rPr>
          <w:rFonts w:ascii="Arial" w:cs="Arial" w:eastAsia="Arial" w:hAnsi="Arial"/>
          <w:sz w:val="17"/>
          <w:szCs w:val="17"/>
          <w:color w:val="auto"/>
        </w:rPr>
        <w:t xml:space="preserve">, which further clarifies the implementation guidance on principal versus agent considerations contained in ASU 2014-09. In April 2016, the FASB issued ASU 2016-10, </w:t>
      </w:r>
      <w:r>
        <w:rPr>
          <w:rFonts w:ascii="Arial" w:cs="Arial" w:eastAsia="Arial" w:hAnsi="Arial"/>
          <w:sz w:val="17"/>
          <w:szCs w:val="17"/>
          <w:i w:val="1"/>
          <w:iCs w:val="1"/>
          <w:color w:val="auto"/>
        </w:rPr>
        <w:t>Revenue from Contracts with Customers</w:t>
      </w:r>
      <w:r>
        <w:rPr>
          <w:rFonts w:ascii="Arial" w:cs="Arial" w:eastAsia="Arial" w:hAnsi="Arial"/>
          <w:sz w:val="17"/>
          <w:szCs w:val="17"/>
          <w:color w:val="auto"/>
        </w:rPr>
        <w:t>—</w:t>
      </w:r>
      <w:r>
        <w:rPr>
          <w:rFonts w:ascii="Arial" w:cs="Arial" w:eastAsia="Arial" w:hAnsi="Arial"/>
          <w:sz w:val="17"/>
          <w:szCs w:val="17"/>
          <w:i w:val="1"/>
          <w:iCs w:val="1"/>
          <w:color w:val="auto"/>
        </w:rPr>
        <w:t>Identifying Performance Obligations and Licensing</w:t>
      </w:r>
      <w:r>
        <w:rPr>
          <w:rFonts w:ascii="Arial" w:cs="Arial" w:eastAsia="Arial" w:hAnsi="Arial"/>
          <w:sz w:val="17"/>
          <w:szCs w:val="17"/>
          <w:color w:val="auto"/>
        </w:rPr>
        <w:t xml:space="preserve">, which further clarifies the implementation guidance relating to identifying performance obligations and the licensing implementation guidance. In May 2016, the FASB issued ASU 2016-12, </w:t>
      </w:r>
      <w:r>
        <w:rPr>
          <w:rFonts w:ascii="Arial" w:cs="Arial" w:eastAsia="Arial" w:hAnsi="Arial"/>
          <w:sz w:val="17"/>
          <w:szCs w:val="17"/>
          <w:i w:val="1"/>
          <w:iCs w:val="1"/>
          <w:color w:val="auto"/>
        </w:rPr>
        <w:t>Revenue from</w:t>
      </w:r>
      <w:r>
        <w:rPr>
          <w:rFonts w:ascii="Arial" w:cs="Arial" w:eastAsia="Arial" w:hAnsi="Arial"/>
          <w:sz w:val="17"/>
          <w:szCs w:val="17"/>
          <w:color w:val="auto"/>
        </w:rPr>
        <w:t xml:space="preserve"> </w:t>
      </w:r>
      <w:r>
        <w:rPr>
          <w:rFonts w:ascii="Arial" w:cs="Arial" w:eastAsia="Arial" w:hAnsi="Arial"/>
          <w:sz w:val="17"/>
          <w:szCs w:val="17"/>
          <w:i w:val="1"/>
          <w:iCs w:val="1"/>
          <w:color w:val="auto"/>
        </w:rPr>
        <w:t>Contracts with Customers</w:t>
      </w:r>
      <w:r>
        <w:rPr>
          <w:rFonts w:ascii="Arial" w:cs="Arial" w:eastAsia="Arial" w:hAnsi="Arial"/>
          <w:sz w:val="17"/>
          <w:szCs w:val="17"/>
          <w:color w:val="auto"/>
        </w:rPr>
        <w:t>—</w:t>
      </w:r>
      <w:r>
        <w:rPr>
          <w:rFonts w:ascii="Arial" w:cs="Arial" w:eastAsia="Arial" w:hAnsi="Arial"/>
          <w:sz w:val="17"/>
          <w:szCs w:val="17"/>
          <w:i w:val="1"/>
          <w:iCs w:val="1"/>
          <w:color w:val="auto"/>
        </w:rPr>
        <w:t>Narrow-Scope improvements and Practical Expedients</w:t>
      </w:r>
      <w:r>
        <w:rPr>
          <w:rFonts w:ascii="Arial" w:cs="Arial" w:eastAsia="Arial" w:hAnsi="Arial"/>
          <w:sz w:val="17"/>
          <w:szCs w:val="17"/>
          <w:color w:val="auto"/>
        </w:rPr>
        <w:t>, which further clarifies the implementation on narrow scope</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improvements and practical expedients. These standards will be effective for the Company in the first quarter of 2018 pursuant to ASU No. 2015-14, </w:t>
      </w:r>
      <w:r>
        <w:rPr>
          <w:rFonts w:ascii="Arial" w:cs="Arial" w:eastAsia="Arial" w:hAnsi="Arial"/>
          <w:sz w:val="17"/>
          <w:szCs w:val="17"/>
          <w:i w:val="1"/>
          <w:iCs w:val="1"/>
          <w:color w:val="auto"/>
        </w:rPr>
        <w:t>Revenue</w:t>
      </w:r>
      <w:r>
        <w:rPr>
          <w:rFonts w:ascii="Arial" w:cs="Arial" w:eastAsia="Arial" w:hAnsi="Arial"/>
          <w:sz w:val="17"/>
          <w:szCs w:val="17"/>
          <w:color w:val="auto"/>
        </w:rPr>
        <w:t xml:space="preserve"> </w:t>
      </w:r>
      <w:r>
        <w:rPr>
          <w:rFonts w:ascii="Arial" w:cs="Arial" w:eastAsia="Arial" w:hAnsi="Arial"/>
          <w:sz w:val="17"/>
          <w:szCs w:val="17"/>
          <w:i w:val="1"/>
          <w:iCs w:val="1"/>
          <w:color w:val="auto"/>
        </w:rPr>
        <w:t>from Contracts with Customers</w:t>
      </w:r>
      <w:r>
        <w:rPr>
          <w:rFonts w:ascii="Arial" w:cs="Arial" w:eastAsia="Arial" w:hAnsi="Arial"/>
          <w:sz w:val="17"/>
          <w:szCs w:val="17"/>
          <w:color w:val="auto"/>
        </w:rPr>
        <w:t>-</w:t>
      </w:r>
      <w:r>
        <w:rPr>
          <w:rFonts w:ascii="Arial" w:cs="Arial" w:eastAsia="Arial" w:hAnsi="Arial"/>
          <w:sz w:val="17"/>
          <w:szCs w:val="17"/>
          <w:i w:val="1"/>
          <w:iCs w:val="1"/>
          <w:color w:val="auto"/>
        </w:rPr>
        <w:t>Deferral of the Effective Date</w:t>
      </w:r>
      <w:r>
        <w:rPr>
          <w:rFonts w:ascii="Arial" w:cs="Arial" w:eastAsia="Arial" w:hAnsi="Arial"/>
          <w:sz w:val="17"/>
          <w:szCs w:val="17"/>
          <w:color w:val="auto"/>
        </w:rPr>
        <w:t>, issued by the FASB in August 2015. The Company is currently evaluating the impact of</w:t>
      </w:r>
      <w:r>
        <w:rPr>
          <w:rFonts w:ascii="Arial" w:cs="Arial" w:eastAsia="Arial" w:hAnsi="Arial"/>
          <w:sz w:val="17"/>
          <w:szCs w:val="17"/>
          <w:i w:val="1"/>
          <w:iCs w:val="1"/>
          <w:color w:val="auto"/>
        </w:rPr>
        <w:t xml:space="preserve"> </w:t>
      </w:r>
      <w:r>
        <w:rPr>
          <w:rFonts w:ascii="Arial" w:cs="Arial" w:eastAsia="Arial" w:hAnsi="Arial"/>
          <w:sz w:val="17"/>
          <w:szCs w:val="17"/>
          <w:color w:val="auto"/>
        </w:rPr>
        <w:t>adopting these standards.</w:t>
      </w:r>
    </w:p>
    <w:p>
      <w:pPr>
        <w:spacing w:after="0" w:line="129" w:lineRule="exact"/>
        <w:rPr>
          <w:sz w:val="20"/>
          <w:szCs w:val="20"/>
          <w:color w:val="auto"/>
        </w:rPr>
      </w:pPr>
    </w:p>
    <w:p>
      <w:pPr>
        <w:ind w:right="120" w:firstLine="324"/>
        <w:spacing w:after="0" w:line="302" w:lineRule="auto"/>
        <w:rPr>
          <w:sz w:val="20"/>
          <w:szCs w:val="20"/>
          <w:color w:val="auto"/>
        </w:rPr>
      </w:pPr>
      <w:r>
        <w:rPr>
          <w:rFonts w:ascii="Arial" w:cs="Arial" w:eastAsia="Arial" w:hAnsi="Arial"/>
          <w:sz w:val="16"/>
          <w:szCs w:val="16"/>
          <w:color w:val="auto"/>
        </w:rPr>
        <w:t xml:space="preserve">In July 2015, the FASB issued ASU No. 2015-11, </w:t>
      </w:r>
      <w:r>
        <w:rPr>
          <w:rFonts w:ascii="Arial" w:cs="Arial" w:eastAsia="Arial" w:hAnsi="Arial"/>
          <w:sz w:val="16"/>
          <w:szCs w:val="16"/>
          <w:i w:val="1"/>
          <w:iCs w:val="1"/>
          <w:color w:val="auto"/>
        </w:rPr>
        <w:t>Simplifying the Measurement of Inventory</w:t>
      </w:r>
      <w:r>
        <w:rPr>
          <w:rFonts w:ascii="Arial" w:cs="Arial" w:eastAsia="Arial" w:hAnsi="Arial"/>
          <w:sz w:val="16"/>
          <w:szCs w:val="16"/>
          <w:color w:val="auto"/>
        </w:rPr>
        <w:t>, which requires an entity to measure most inventory at the lower of cost and net realizable value, thereby simplifying the current guidance under which an entity must measure inventory at the lower of cost or market. The accounting standard is effective prospectively for annual periods beginning after December 15, 2016, and interim periods therein. Early adoption is permitted as of the beginning of an interim or annual reporting period. The Company is currently evaluating the impact of adopting this standard.</w:t>
      </w:r>
    </w:p>
    <w:p>
      <w:pPr>
        <w:spacing w:after="0" w:line="100"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 xml:space="preserve">In January 2016, the FASB issued ASU 2016-01, </w:t>
      </w:r>
      <w:r>
        <w:rPr>
          <w:rFonts w:ascii="Arial" w:cs="Arial" w:eastAsia="Arial" w:hAnsi="Arial"/>
          <w:sz w:val="18"/>
          <w:szCs w:val="18"/>
          <w:i w:val="1"/>
          <w:iCs w:val="1"/>
          <w:color w:val="auto"/>
        </w:rPr>
        <w:t>Recognition and Measurement of Financial Assets and Financial Liabilities</w:t>
      </w:r>
      <w:r>
        <w:rPr>
          <w:rFonts w:ascii="Arial" w:cs="Arial" w:eastAsia="Arial" w:hAnsi="Arial"/>
          <w:sz w:val="18"/>
          <w:szCs w:val="18"/>
          <w:color w:val="auto"/>
        </w:rPr>
        <w:t>, which addresses certain aspects of recognition, measurement, presentation and disclosure of financial instruments. The new standard is effective for annual periods and interim periods beginning after December 15, 2017 and, upon adoption, an entity should apply the amendments by means of a cumulative-effect adjustment to the balance sheet at the beginning of the first reporting period in which the guidance is effective. Early adoption is not permitted except for the provision to record fair value changes for financial liabilities under the fair value option resulting from instrument-specific credit risk in other comprehensive income. The Company is currently evaluating the impact of adopting this standard.</w:t>
      </w:r>
    </w:p>
    <w:p>
      <w:pPr>
        <w:spacing w:after="0" w:line="139" w:lineRule="exact"/>
        <w:rPr>
          <w:sz w:val="20"/>
          <w:szCs w:val="20"/>
          <w:color w:val="auto"/>
        </w:rPr>
      </w:pPr>
    </w:p>
    <w:p>
      <w:pPr>
        <w:ind w:right="100" w:firstLine="324"/>
        <w:spacing w:after="0" w:line="291" w:lineRule="auto"/>
        <w:rPr>
          <w:sz w:val="20"/>
          <w:szCs w:val="20"/>
          <w:color w:val="auto"/>
        </w:rPr>
      </w:pPr>
      <w:r>
        <w:rPr>
          <w:rFonts w:ascii="Arial" w:cs="Arial" w:eastAsia="Arial" w:hAnsi="Arial"/>
          <w:sz w:val="16"/>
          <w:szCs w:val="16"/>
          <w:color w:val="auto"/>
        </w:rPr>
        <w:t xml:space="preserve">In February 2016, the FASB issued ASU 2016-02, </w:t>
      </w:r>
      <w:r>
        <w:rPr>
          <w:rFonts w:ascii="Arial" w:cs="Arial" w:eastAsia="Arial" w:hAnsi="Arial"/>
          <w:sz w:val="16"/>
          <w:szCs w:val="16"/>
          <w:i w:val="1"/>
          <w:iCs w:val="1"/>
          <w:color w:val="auto"/>
        </w:rPr>
        <w:t>Leases</w:t>
      </w:r>
      <w:r>
        <w:rPr>
          <w:rFonts w:ascii="Arial" w:cs="Arial" w:eastAsia="Arial" w:hAnsi="Arial"/>
          <w:sz w:val="16"/>
          <w:szCs w:val="16"/>
          <w:color w:val="auto"/>
        </w:rPr>
        <w:t>, which amends the existing accounting standards for leases. Under the new guidance, a lessee will be required to recognize a lease liability and right-of-use asset for all leases with terms in excess of twelve months. The new guidance also modifies the classification criteria and accounting for sales-type and direct financing leases, and requires additional disclosures to enable users of financial statements to understand the amount, timing, and uncertainty of cash flows arising from leases. Consistent with current guidance, a lessee’s recognition, measurement, and presentation of expenses and cash flows arising from a lease will continue to depend primarily on its classification. The accounting standard is effective for fiscal years beginning after December 15, 2018, including interim periods within those fiscal years, and must be applied using a modified retrospective approach. Early adoption is permitted. The Company is currently evaluating the impact of adopting this standard.</w:t>
      </w:r>
    </w:p>
    <w:p>
      <w:pPr>
        <w:spacing w:after="0" w:line="113"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 xml:space="preserve">In March 2016, the FASB issued ASU No. 2016-09, </w:t>
      </w:r>
      <w:r>
        <w:rPr>
          <w:rFonts w:ascii="Arial" w:cs="Arial" w:eastAsia="Arial" w:hAnsi="Arial"/>
          <w:sz w:val="18"/>
          <w:szCs w:val="18"/>
          <w:i w:val="1"/>
          <w:iCs w:val="1"/>
          <w:color w:val="auto"/>
        </w:rPr>
        <w:t>Stock Compensation</w:t>
      </w:r>
      <w:r>
        <w:rPr>
          <w:rFonts w:ascii="Arial" w:cs="Arial" w:eastAsia="Arial" w:hAnsi="Arial"/>
          <w:sz w:val="18"/>
          <w:szCs w:val="18"/>
          <w:color w:val="auto"/>
        </w:rPr>
        <w:t>—</w:t>
      </w:r>
      <w:r>
        <w:rPr>
          <w:rFonts w:ascii="Arial" w:cs="Arial" w:eastAsia="Arial" w:hAnsi="Arial"/>
          <w:sz w:val="18"/>
          <w:szCs w:val="18"/>
          <w:i w:val="1"/>
          <w:iCs w:val="1"/>
          <w:color w:val="auto"/>
        </w:rPr>
        <w:t>Improvements to Employee Share-Based Payment Accounting</w:t>
      </w:r>
      <w:r>
        <w:rPr>
          <w:rFonts w:ascii="Arial" w:cs="Arial" w:eastAsia="Arial" w:hAnsi="Arial"/>
          <w:sz w:val="18"/>
          <w:szCs w:val="18"/>
          <w:color w:val="auto"/>
        </w:rPr>
        <w:t>, which simplifies several aspects of the accounting for share-based payment transactions, including the income tax consequences, classification of awards as either equity or liabilities, and classification on the statement of cash flows. The accounting standard is effective for annual periods beginning after December 15, 2016, including interim periods within those annual periods. Early adoption is permitted in any interim or annual period. The Company is currently evaluating the impact of adopting this standard.</w:t>
      </w:r>
    </w:p>
    <w:p>
      <w:pPr>
        <w:spacing w:after="0" w:line="134"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 xml:space="preserve">In June 2016, the FASB issued ASU No. 2016-13, </w:t>
      </w:r>
      <w:r>
        <w:rPr>
          <w:rFonts w:ascii="Arial" w:cs="Arial" w:eastAsia="Arial" w:hAnsi="Arial"/>
          <w:sz w:val="18"/>
          <w:szCs w:val="18"/>
          <w:i w:val="1"/>
          <w:iCs w:val="1"/>
          <w:color w:val="auto"/>
        </w:rPr>
        <w:t>Financial Instruments-Credit Losses</w:t>
      </w:r>
      <w:r>
        <w:rPr>
          <w:rFonts w:ascii="Arial" w:cs="Arial" w:eastAsia="Arial" w:hAnsi="Arial"/>
          <w:sz w:val="18"/>
          <w:szCs w:val="18"/>
          <w:color w:val="auto"/>
        </w:rPr>
        <w:t>. The standard changes how entities will measure credit losses for most financial assets and certain other instruments that are not measured at fair value through net income. The Company will recognize an allowance for credit losses on available-for-sale securities rather than deductions in amortized cost. The standard is effective for fiscal years and interim periods beginning after December 15, 2019. Early adoption is permitted for all periods beginning after December 15, 2018. The Company is currently evaluating the impact of adopting this standard.</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121" w:right="239" w:bottom="1440" w:gutter="0" w:footer="0" w:header="0"/>
        </w:sectPr>
      </w:pPr>
    </w:p>
    <w:bookmarkStart w:id="8" w:name="page9"/>
    <w:bookmarkEnd w:id="8"/>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Fair Value of Financial Instruments</w:t>
      </w:r>
    </w:p>
    <w:p>
      <w:pPr>
        <w:spacing w:after="0" w:line="175" w:lineRule="exact"/>
        <w:rPr>
          <w:sz w:val="20"/>
          <w:szCs w:val="20"/>
          <w:color w:val="auto"/>
        </w:rPr>
      </w:pPr>
    </w:p>
    <w:p>
      <w:pPr>
        <w:ind w:right="180" w:firstLine="324"/>
        <w:spacing w:after="0" w:line="264" w:lineRule="auto"/>
        <w:rPr>
          <w:sz w:val="20"/>
          <w:szCs w:val="20"/>
          <w:color w:val="auto"/>
        </w:rPr>
      </w:pPr>
      <w:r>
        <w:rPr>
          <w:rFonts w:ascii="Arial" w:cs="Arial" w:eastAsia="Arial" w:hAnsi="Arial"/>
          <w:sz w:val="18"/>
          <w:szCs w:val="18"/>
          <w:color w:val="auto"/>
        </w:rPr>
        <w:t>Fair value is defined as the price that would be received to sell an asset or paid to transfer a liability (an exit price) in an orderly transaction between market participants at the measurement date. The accounting guidance establishes a three-tiered hierarchy, which prioritizes the inputs used in the valuation methodologies in measuring fair value:</w:t>
      </w:r>
    </w:p>
    <w:p>
      <w:pPr>
        <w:spacing w:after="0" w:line="12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Level 1 - Quoted prices in active markets for identical assets or liabilities.</w:t>
      </w:r>
    </w:p>
    <w:p>
      <w:pPr>
        <w:spacing w:after="0" w:line="171"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Level 2 - Inputs other than Level 1 that are observable, either directly or indirectly, such as quoted prices in markets that are not active; or other inputs that are observable or can be corroborated by observable market data for substantially the full term of the assets or liabilities.</w:t>
      </w:r>
    </w:p>
    <w:p>
      <w:pPr>
        <w:spacing w:after="0" w:line="116" w:lineRule="exact"/>
        <w:rPr>
          <w:sz w:val="20"/>
          <w:szCs w:val="20"/>
          <w:color w:val="auto"/>
        </w:rPr>
      </w:pPr>
    </w:p>
    <w:p>
      <w:pPr>
        <w:ind w:left="340"/>
        <w:spacing w:after="0"/>
        <w:rPr>
          <w:sz w:val="20"/>
          <w:szCs w:val="20"/>
          <w:color w:val="auto"/>
        </w:rPr>
      </w:pPr>
      <w:r>
        <w:rPr>
          <w:rFonts w:ascii="Arial" w:cs="Arial" w:eastAsia="Arial" w:hAnsi="Arial"/>
          <w:sz w:val="17"/>
          <w:szCs w:val="17"/>
          <w:color w:val="auto"/>
        </w:rPr>
        <w:t>Level 3 - Unobservable inputs that are supported by little or no market activity and that are significant to the fair value of the assets or liabilities.</w:t>
      </w:r>
    </w:p>
    <w:p>
      <w:pPr>
        <w:spacing w:after="0" w:line="183" w:lineRule="exact"/>
        <w:rPr>
          <w:sz w:val="20"/>
          <w:szCs w:val="20"/>
          <w:color w:val="auto"/>
        </w:rPr>
      </w:pPr>
    </w:p>
    <w:p>
      <w:pPr>
        <w:ind w:right="620" w:firstLine="324"/>
        <w:spacing w:after="0" w:line="277" w:lineRule="auto"/>
        <w:rPr>
          <w:sz w:val="20"/>
          <w:szCs w:val="20"/>
          <w:color w:val="auto"/>
        </w:rPr>
      </w:pPr>
      <w:r>
        <w:rPr>
          <w:rFonts w:ascii="Arial" w:cs="Arial" w:eastAsia="Arial" w:hAnsi="Arial"/>
          <w:sz w:val="18"/>
          <w:szCs w:val="18"/>
          <w:color w:val="auto"/>
        </w:rPr>
        <w:t>The categorization of a financial instrument within the valuation hierarchy is based on the lowest level of input that is significant to the fair value measurement.</w:t>
      </w:r>
    </w:p>
    <w:p>
      <w:pPr>
        <w:spacing w:after="0" w:line="116"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The Company classifies its cash equivalents and marketable investments within Level 1 and Level 2, as it uses quoted market prices or alternative pricing sources and models utilizing market observable inputs.</w:t>
      </w:r>
    </w:p>
    <w:p>
      <w:pPr>
        <w:spacing w:after="0" w:line="116" w:lineRule="exact"/>
        <w:rPr>
          <w:sz w:val="20"/>
          <w:szCs w:val="20"/>
          <w:color w:val="auto"/>
        </w:rPr>
      </w:pPr>
    </w:p>
    <w:p>
      <w:pPr>
        <w:ind w:right="120" w:firstLine="324"/>
        <w:spacing w:after="0" w:line="277" w:lineRule="auto"/>
        <w:rPr>
          <w:sz w:val="20"/>
          <w:szCs w:val="20"/>
          <w:color w:val="auto"/>
        </w:rPr>
      </w:pPr>
      <w:r>
        <w:rPr>
          <w:rFonts w:ascii="Arial" w:cs="Arial" w:eastAsia="Arial" w:hAnsi="Arial"/>
          <w:sz w:val="18"/>
          <w:szCs w:val="18"/>
          <w:color w:val="auto"/>
        </w:rPr>
        <w:t>The Company determined the fair value of its Level 1 financial instruments, which are traded in active markets, using quoted market prices for identical instruments.</w:t>
      </w:r>
    </w:p>
    <w:p>
      <w:pPr>
        <w:spacing w:after="0" w:line="116" w:lineRule="exact"/>
        <w:rPr>
          <w:sz w:val="20"/>
          <w:szCs w:val="20"/>
          <w:color w:val="auto"/>
        </w:rPr>
      </w:pPr>
    </w:p>
    <w:p>
      <w:pPr>
        <w:ind w:right="40" w:firstLine="324"/>
        <w:spacing w:after="0" w:line="291" w:lineRule="auto"/>
        <w:rPr>
          <w:sz w:val="20"/>
          <w:szCs w:val="20"/>
          <w:color w:val="auto"/>
        </w:rPr>
      </w:pPr>
      <w:r>
        <w:rPr>
          <w:rFonts w:ascii="Arial" w:cs="Arial" w:eastAsia="Arial" w:hAnsi="Arial"/>
          <w:sz w:val="16"/>
          <w:szCs w:val="16"/>
          <w:color w:val="auto"/>
        </w:rPr>
        <w:t>Marketable investments classified within Level 2 of the fair value hierarchy are valued based on other observable inputs, including broker or dealer quotations or alternative pricing sources. When quoted prices in active markets for identical assets or liabilities are not available, the Company relies on non-binding quotes from its investment managers, which are based on proprietary valuation models of independent pricing services. These models generally use inputs such as observable market data, quoted market prices for similar instruments, historical pricing trends of a security relative to its peers and internal assumptions of the independent pricing services. To validate the fair value determination provided by its investment managers, the Company reviews the pricing movement in the context of overall market trends and trading information from its investment managers. In addition, the Company assesses the inputs and methods used in determining the fair value in order to determine the classification of securities in the fair value hierarchy.</w:t>
      </w:r>
    </w:p>
    <w:p>
      <w:pPr>
        <w:spacing w:after="0" w:line="11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Company did not own any Level 3 financial assets or liabilities as of June 30, 2016 or December 31, 2015.</w:t>
      </w:r>
    </w:p>
    <w:p>
      <w:pPr>
        <w:spacing w:after="0" w:line="171" w:lineRule="exact"/>
        <w:rPr>
          <w:sz w:val="20"/>
          <w:szCs w:val="20"/>
          <w:color w:val="auto"/>
        </w:rPr>
      </w:pPr>
    </w:p>
    <w:p>
      <w:pPr>
        <w:ind w:right="220" w:firstLine="324"/>
        <w:spacing w:after="0" w:line="277" w:lineRule="auto"/>
        <w:rPr>
          <w:sz w:val="20"/>
          <w:szCs w:val="20"/>
          <w:color w:val="auto"/>
        </w:rPr>
      </w:pPr>
      <w:r>
        <w:rPr>
          <w:rFonts w:ascii="Arial" w:cs="Arial" w:eastAsia="Arial" w:hAnsi="Arial"/>
          <w:sz w:val="18"/>
          <w:szCs w:val="18"/>
          <w:color w:val="auto"/>
        </w:rPr>
        <w:t>During the three and six months ended June 30, 2016 and 2015, the Company did not record impairment charges related to its marketable investments, and the Company did not have any transfers between Level 1, Level 2 or Level 3 of the fair value hierarchy.</w:t>
      </w:r>
    </w:p>
    <w:p>
      <w:pPr>
        <w:spacing w:after="0" w:line="116" w:lineRule="exact"/>
        <w:rPr>
          <w:sz w:val="20"/>
          <w:szCs w:val="20"/>
          <w:color w:val="auto"/>
        </w:rPr>
      </w:pPr>
    </w:p>
    <w:p>
      <w:pPr>
        <w:jc w:val="center"/>
        <w:ind w:right="-259"/>
        <w:spacing w:after="0"/>
        <w:rPr>
          <w:sz w:val="20"/>
          <w:szCs w:val="20"/>
          <w:color w:val="auto"/>
        </w:rPr>
      </w:pPr>
      <w:r>
        <w:rPr>
          <w:rFonts w:ascii="Arial" w:cs="Arial" w:eastAsia="Arial" w:hAnsi="Arial"/>
          <w:sz w:val="16"/>
          <w:szCs w:val="16"/>
          <w:color w:val="auto"/>
        </w:rPr>
        <w:t>The Company did not have any financial assets and liabilities measured at fair value on a non-recurring basis as of June 30, 2016 or December 31, 2015.</w:t>
      </w:r>
    </w:p>
    <w:p>
      <w:pPr>
        <w:spacing w:after="0" w:line="2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00"/>
          </w:cols>
          <w:pgMar w:left="240" w:top="121" w:right="259" w:bottom="1440" w:gutter="0" w:footer="0" w:header="0"/>
        </w:sectPr>
      </w:pPr>
    </w:p>
    <w:bookmarkStart w:id="9" w:name="page10"/>
    <w:bookmarkEnd w:id="9"/>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following table sets forth the Company’s financial assets and liabilities measured at fair value by level within the fair value hierarchy (in thousands):</w:t>
      </w:r>
    </w:p>
    <w:p>
      <w:pPr>
        <w:spacing w:after="0" w:line="25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180" w:type="dxa"/>
            <w:vAlign w:val="bottom"/>
            <w:tcBorders>
              <w:bottom w:val="single" w:sz="8" w:color="auto"/>
            </w:tcBorders>
            <w:gridSpan w:val="3"/>
          </w:tcPr>
          <w:p>
            <w:pPr>
              <w:jc w:val="right"/>
              <w:ind w:right="376"/>
              <w:spacing w:after="0"/>
              <w:rPr>
                <w:sz w:val="20"/>
                <w:szCs w:val="20"/>
                <w:color w:val="auto"/>
              </w:rPr>
            </w:pPr>
            <w:r>
              <w:rPr>
                <w:rFonts w:ascii="Arial" w:cs="Arial" w:eastAsia="Arial" w:hAnsi="Arial"/>
                <w:sz w:val="14"/>
                <w:szCs w:val="14"/>
                <w:b w:val="1"/>
                <w:bCs w:val="1"/>
                <w:color w:val="auto"/>
              </w:rPr>
              <w:t>As of June 30, 2016</w:t>
            </w:r>
          </w:p>
        </w:tc>
        <w:tc>
          <w:tcPr>
            <w:tcW w:w="3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56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2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1</w:t>
            </w:r>
          </w:p>
        </w:tc>
        <w:tc>
          <w:tcPr>
            <w:tcW w:w="280" w:type="dxa"/>
            <w:vAlign w:val="bottom"/>
          </w:tcPr>
          <w:p>
            <w:pPr>
              <w:spacing w:after="0"/>
              <w:rPr>
                <w:sz w:val="22"/>
                <w:szCs w:val="22"/>
                <w:color w:val="auto"/>
              </w:rPr>
            </w:pPr>
          </w:p>
        </w:tc>
        <w:tc>
          <w:tcPr>
            <w:tcW w:w="118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2</w:t>
            </w:r>
          </w:p>
        </w:tc>
        <w:tc>
          <w:tcPr>
            <w:tcW w:w="1000" w:type="dxa"/>
            <w:vAlign w:val="bottom"/>
          </w:tcPr>
          <w:p>
            <w:pPr>
              <w:jc w:val="right"/>
              <w:ind w:right="16"/>
              <w:spacing w:after="0"/>
              <w:rPr>
                <w:sz w:val="20"/>
                <w:szCs w:val="20"/>
                <w:color w:val="auto"/>
              </w:rPr>
            </w:pPr>
            <w:r>
              <w:rPr>
                <w:rFonts w:ascii="Arial" w:cs="Arial" w:eastAsia="Arial" w:hAnsi="Arial"/>
                <w:sz w:val="14"/>
                <w:szCs w:val="14"/>
                <w:b w:val="1"/>
                <w:bCs w:val="1"/>
                <w:color w:val="auto"/>
              </w:rPr>
              <w:t>Level 3</w:t>
            </w:r>
          </w:p>
        </w:tc>
        <w:tc>
          <w:tcPr>
            <w:tcW w:w="3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20" w:type="dxa"/>
            <w:vAlign w:val="bottom"/>
          </w:tcPr>
          <w:p>
            <w:pPr>
              <w:jc w:val="right"/>
              <w:ind w:right="272"/>
              <w:spacing w:after="0"/>
              <w:rPr>
                <w:sz w:val="20"/>
                <w:szCs w:val="20"/>
                <w:color w:val="auto"/>
              </w:rPr>
            </w:pPr>
            <w:r>
              <w:rPr>
                <w:rFonts w:ascii="Arial" w:cs="Arial" w:eastAsia="Arial" w:hAnsi="Arial"/>
                <w:sz w:val="14"/>
                <w:szCs w:val="14"/>
                <w:b w:val="1"/>
                <w:bCs w:val="1"/>
                <w:color w:val="auto"/>
              </w:rPr>
              <w:t>Fair Value</w:t>
            </w:r>
          </w:p>
        </w:tc>
      </w:tr>
      <w:tr>
        <w:trPr>
          <w:trHeight w:val="250"/>
        </w:trPr>
        <w:tc>
          <w:tcPr>
            <w:tcW w:w="56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Financial Assets</w:t>
            </w: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b w:val="1"/>
                <w:bCs w:val="1"/>
                <w:color w:val="auto"/>
              </w:rPr>
              <w:t>Cash equivalents:</w:t>
            </w:r>
          </w:p>
        </w:tc>
        <w:tc>
          <w:tcPr>
            <w:tcW w:w="2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Money market funds</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279</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CCEEFF"/>
            </w:tcBorders>
            <w:shd w:val="clear" w:color="auto" w:fill="CCEEFF"/>
          </w:tcPr>
          <w:p>
            <w:pPr>
              <w:jc w:val="right"/>
              <w:ind w:right="796"/>
              <w:spacing w:after="0"/>
              <w:rPr>
                <w:sz w:val="20"/>
                <w:szCs w:val="20"/>
                <w:color w:val="auto"/>
              </w:rPr>
            </w:pPr>
            <w:r>
              <w:rPr>
                <w:rFonts w:ascii="Arial" w:cs="Arial" w:eastAsia="Arial" w:hAnsi="Arial"/>
                <w:sz w:val="18"/>
                <w:szCs w:val="18"/>
                <w:color w:val="auto"/>
                <w:w w:val="99"/>
              </w:rPr>
              <w:t>$</w:t>
            </w:r>
          </w:p>
        </w:tc>
        <w:tc>
          <w:tcPr>
            <w:tcW w:w="48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279</w:t>
            </w: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b w:val="1"/>
                <w:bCs w:val="1"/>
                <w:color w:val="auto"/>
              </w:rPr>
              <w:t>Marketable investments:</w:t>
            </w:r>
          </w:p>
        </w:tc>
        <w:tc>
          <w:tcPr>
            <w:tcW w:w="2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Commercial paper</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10,134</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10,134</w:t>
            </w: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U.S. Treasury</w:t>
            </w:r>
          </w:p>
        </w:tc>
        <w:tc>
          <w:tcPr>
            <w:tcW w:w="28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15,512</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4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15,512</w:t>
            </w: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U.S. agency securities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13,521</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13,521</w:t>
            </w: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U.S. states and municipalities</w:t>
            </w:r>
          </w:p>
        </w:tc>
        <w:tc>
          <w:tcPr>
            <w:tcW w:w="28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34"/>
              <w:spacing w:after="0"/>
              <w:rPr>
                <w:sz w:val="20"/>
                <w:szCs w:val="20"/>
                <w:color w:val="auto"/>
              </w:rPr>
            </w:pPr>
            <w:r>
              <w:rPr>
                <w:rFonts w:ascii="Arial" w:cs="Arial" w:eastAsia="Arial" w:hAnsi="Arial"/>
                <w:sz w:val="18"/>
                <w:szCs w:val="18"/>
                <w:color w:val="auto"/>
              </w:rPr>
              <w:t>15,938</w:t>
            </w:r>
          </w:p>
        </w:tc>
        <w:tc>
          <w:tcPr>
            <w:tcW w:w="1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4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15,938</w:t>
            </w: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Corporate bonds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65,081</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65,081</w:t>
            </w: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Non-U.S. government debt securities</w:t>
            </w:r>
          </w:p>
        </w:tc>
        <w:tc>
          <w:tcPr>
            <w:tcW w:w="28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34"/>
              <w:spacing w:after="0"/>
              <w:rPr>
                <w:sz w:val="20"/>
                <w:szCs w:val="20"/>
                <w:color w:val="auto"/>
              </w:rPr>
            </w:pPr>
            <w:r>
              <w:rPr>
                <w:rFonts w:ascii="Arial" w:cs="Arial" w:eastAsia="Arial" w:hAnsi="Arial"/>
                <w:sz w:val="18"/>
                <w:szCs w:val="18"/>
                <w:color w:val="auto"/>
              </w:rPr>
              <w:t>5,763</w:t>
            </w:r>
          </w:p>
        </w:tc>
        <w:tc>
          <w:tcPr>
            <w:tcW w:w="1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4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5,763</w:t>
            </w:r>
          </w:p>
        </w:tc>
      </w:tr>
      <w:tr>
        <w:trPr>
          <w:trHeight w:val="27"/>
        </w:trPr>
        <w:tc>
          <w:tcPr>
            <w:tcW w:w="56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562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Total</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15,791</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110,437</w:t>
            </w:r>
          </w:p>
        </w:tc>
        <w:tc>
          <w:tcPr>
            <w:tcW w:w="1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ind w:right="796"/>
              <w:spacing w:after="0"/>
              <w:rPr>
                <w:sz w:val="20"/>
                <w:szCs w:val="20"/>
                <w:color w:val="auto"/>
              </w:rPr>
            </w:pPr>
            <w:r>
              <w:rPr>
                <w:rFonts w:ascii="Arial" w:cs="Arial" w:eastAsia="Arial" w:hAnsi="Arial"/>
                <w:sz w:val="18"/>
                <w:szCs w:val="18"/>
                <w:color w:val="auto"/>
                <w:w w:val="99"/>
              </w:rPr>
              <w:t>$</w:t>
            </w:r>
          </w:p>
        </w:tc>
        <w:tc>
          <w:tcPr>
            <w:tcW w:w="48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126,228</w:t>
            </w:r>
          </w:p>
        </w:tc>
      </w:tr>
      <w:tr>
        <w:trPr>
          <w:trHeight w:val="20"/>
        </w:trPr>
        <w:tc>
          <w:tcPr>
            <w:tcW w:w="56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r>
        <w:trPr>
          <w:trHeight w:val="542"/>
        </w:trPr>
        <w:tc>
          <w:tcPr>
            <w:tcW w:w="562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180" w:type="dxa"/>
            <w:vAlign w:val="bottom"/>
            <w:tcBorders>
              <w:bottom w:val="single" w:sz="8" w:color="auto"/>
            </w:tcBorders>
            <w:gridSpan w:val="3"/>
          </w:tcPr>
          <w:p>
            <w:pPr>
              <w:jc w:val="right"/>
              <w:ind w:right="216"/>
              <w:spacing w:after="0"/>
              <w:rPr>
                <w:sz w:val="20"/>
                <w:szCs w:val="20"/>
                <w:color w:val="auto"/>
              </w:rPr>
            </w:pPr>
            <w:r>
              <w:rPr>
                <w:rFonts w:ascii="Arial" w:cs="Arial" w:eastAsia="Arial" w:hAnsi="Arial"/>
                <w:sz w:val="14"/>
                <w:szCs w:val="14"/>
                <w:b w:val="1"/>
                <w:bCs w:val="1"/>
                <w:color w:val="auto"/>
              </w:rPr>
              <w:t>As of December 31, 2015</w:t>
            </w:r>
          </w:p>
        </w:tc>
        <w:tc>
          <w:tcPr>
            <w:tcW w:w="3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r>
      <w:tr>
        <w:trPr>
          <w:trHeight w:val="264"/>
        </w:trPr>
        <w:tc>
          <w:tcPr>
            <w:tcW w:w="56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2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1</w:t>
            </w:r>
          </w:p>
        </w:tc>
        <w:tc>
          <w:tcPr>
            <w:tcW w:w="280" w:type="dxa"/>
            <w:vAlign w:val="bottom"/>
          </w:tcPr>
          <w:p>
            <w:pPr>
              <w:spacing w:after="0"/>
              <w:rPr>
                <w:sz w:val="22"/>
                <w:szCs w:val="22"/>
                <w:color w:val="auto"/>
              </w:rPr>
            </w:pPr>
          </w:p>
        </w:tc>
        <w:tc>
          <w:tcPr>
            <w:tcW w:w="118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2</w:t>
            </w:r>
          </w:p>
        </w:tc>
        <w:tc>
          <w:tcPr>
            <w:tcW w:w="1000" w:type="dxa"/>
            <w:vAlign w:val="bottom"/>
          </w:tcPr>
          <w:p>
            <w:pPr>
              <w:jc w:val="right"/>
              <w:ind w:right="16"/>
              <w:spacing w:after="0"/>
              <w:rPr>
                <w:sz w:val="20"/>
                <w:szCs w:val="20"/>
                <w:color w:val="auto"/>
              </w:rPr>
            </w:pPr>
            <w:r>
              <w:rPr>
                <w:rFonts w:ascii="Arial" w:cs="Arial" w:eastAsia="Arial" w:hAnsi="Arial"/>
                <w:sz w:val="14"/>
                <w:szCs w:val="14"/>
                <w:b w:val="1"/>
                <w:bCs w:val="1"/>
                <w:color w:val="auto"/>
              </w:rPr>
              <w:t>Level 3</w:t>
            </w:r>
          </w:p>
        </w:tc>
        <w:tc>
          <w:tcPr>
            <w:tcW w:w="3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20" w:type="dxa"/>
            <w:vAlign w:val="bottom"/>
          </w:tcPr>
          <w:p>
            <w:pPr>
              <w:jc w:val="right"/>
              <w:ind w:right="272"/>
              <w:spacing w:after="0"/>
              <w:rPr>
                <w:sz w:val="20"/>
                <w:szCs w:val="20"/>
                <w:color w:val="auto"/>
              </w:rPr>
            </w:pPr>
            <w:r>
              <w:rPr>
                <w:rFonts w:ascii="Arial" w:cs="Arial" w:eastAsia="Arial" w:hAnsi="Arial"/>
                <w:sz w:val="14"/>
                <w:szCs w:val="14"/>
                <w:b w:val="1"/>
                <w:bCs w:val="1"/>
                <w:color w:val="auto"/>
              </w:rPr>
              <w:t>Fair Value</w:t>
            </w:r>
          </w:p>
        </w:tc>
      </w:tr>
      <w:tr>
        <w:trPr>
          <w:trHeight w:val="250"/>
        </w:trPr>
        <w:tc>
          <w:tcPr>
            <w:tcW w:w="56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Financial Assets</w:t>
            </w: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b w:val="1"/>
                <w:bCs w:val="1"/>
                <w:color w:val="auto"/>
              </w:rPr>
              <w:t>Cash equivalents:</w:t>
            </w:r>
          </w:p>
        </w:tc>
        <w:tc>
          <w:tcPr>
            <w:tcW w:w="2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gridSpan w:val="2"/>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48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Commercial paper</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9,850</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796"/>
              <w:spacing w:after="0"/>
              <w:rPr>
                <w:sz w:val="20"/>
                <w:szCs w:val="20"/>
                <w:color w:val="auto"/>
              </w:rPr>
            </w:pPr>
            <w:r>
              <w:rPr>
                <w:rFonts w:ascii="Arial" w:cs="Arial" w:eastAsia="Arial" w:hAnsi="Arial"/>
                <w:sz w:val="18"/>
                <w:szCs w:val="18"/>
                <w:color w:val="auto"/>
                <w:w w:val="99"/>
              </w:rPr>
              <w:t>$</w:t>
            </w:r>
          </w:p>
        </w:tc>
        <w:tc>
          <w:tcPr>
            <w:tcW w:w="48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9,850</w:t>
            </w: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Money market funds</w:t>
            </w:r>
          </w:p>
        </w:tc>
        <w:tc>
          <w:tcPr>
            <w:tcW w:w="28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252</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0" w:type="dxa"/>
            <w:vAlign w:val="bottom"/>
          </w:tcPr>
          <w:p>
            <w:pPr>
              <w:spacing w:after="0"/>
              <w:rPr>
                <w:sz w:val="21"/>
                <w:szCs w:val="21"/>
                <w:color w:val="auto"/>
              </w:rPr>
            </w:pPr>
          </w:p>
        </w:tc>
        <w:tc>
          <w:tcPr>
            <w:tcW w:w="4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252</w:t>
            </w: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Marketable investments: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Commercial paper</w:t>
            </w:r>
          </w:p>
        </w:tc>
        <w:tc>
          <w:tcPr>
            <w:tcW w:w="28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34"/>
              <w:spacing w:after="0"/>
              <w:rPr>
                <w:sz w:val="20"/>
                <w:szCs w:val="20"/>
                <w:color w:val="auto"/>
              </w:rPr>
            </w:pPr>
            <w:r>
              <w:rPr>
                <w:rFonts w:ascii="Arial" w:cs="Arial" w:eastAsia="Arial" w:hAnsi="Arial"/>
                <w:sz w:val="18"/>
                <w:szCs w:val="18"/>
                <w:color w:val="auto"/>
              </w:rPr>
              <w:t>22,332</w:t>
            </w:r>
          </w:p>
        </w:tc>
        <w:tc>
          <w:tcPr>
            <w:tcW w:w="1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4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22,332</w:t>
            </w: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1000" w:type="dxa"/>
            <w:vAlign w:val="bottom"/>
          </w:tcPr>
          <w:p>
            <w:pPr>
              <w:spacing w:after="0"/>
              <w:rPr>
                <w:sz w:val="2"/>
                <w:szCs w:val="2"/>
                <w:color w:val="auto"/>
              </w:rPr>
            </w:pPr>
          </w:p>
        </w:tc>
        <w:tc>
          <w:tcPr>
            <w:tcW w:w="48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U.S. Treasury</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15,436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15,436</w:t>
            </w: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U.S. agency securities</w:t>
            </w:r>
          </w:p>
        </w:tc>
        <w:tc>
          <w:tcPr>
            <w:tcW w:w="28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34"/>
              <w:spacing w:after="0"/>
              <w:rPr>
                <w:sz w:val="20"/>
                <w:szCs w:val="20"/>
                <w:color w:val="auto"/>
              </w:rPr>
            </w:pPr>
            <w:r>
              <w:rPr>
                <w:rFonts w:ascii="Arial" w:cs="Arial" w:eastAsia="Arial" w:hAnsi="Arial"/>
                <w:sz w:val="18"/>
                <w:szCs w:val="18"/>
                <w:color w:val="auto"/>
              </w:rPr>
              <w:t>21,464</w:t>
            </w:r>
          </w:p>
        </w:tc>
        <w:tc>
          <w:tcPr>
            <w:tcW w:w="1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4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21,464</w:t>
            </w: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gridSpan w:val="2"/>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48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U.S. states and municipalities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2,084</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2,084</w:t>
            </w: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Corporate bonds</w:t>
            </w:r>
          </w:p>
        </w:tc>
        <w:tc>
          <w:tcPr>
            <w:tcW w:w="28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34"/>
              <w:spacing w:after="0"/>
              <w:rPr>
                <w:sz w:val="20"/>
                <w:szCs w:val="20"/>
                <w:color w:val="auto"/>
              </w:rPr>
            </w:pPr>
            <w:r>
              <w:rPr>
                <w:rFonts w:ascii="Arial" w:cs="Arial" w:eastAsia="Arial" w:hAnsi="Arial"/>
                <w:sz w:val="18"/>
                <w:szCs w:val="18"/>
                <w:color w:val="auto"/>
              </w:rPr>
              <w:t>61,002</w:t>
            </w:r>
          </w:p>
        </w:tc>
        <w:tc>
          <w:tcPr>
            <w:tcW w:w="1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4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61,002</w:t>
            </w: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gridSpan w:val="2"/>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48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Non-U.S. government debt securities</w:t>
            </w:r>
          </w:p>
        </w:tc>
        <w:tc>
          <w:tcPr>
            <w:tcW w:w="2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6,939</w:t>
            </w:r>
          </w:p>
        </w:tc>
        <w:tc>
          <w:tcPr>
            <w:tcW w:w="10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6,939</w:t>
            </w:r>
          </w:p>
        </w:tc>
      </w:tr>
      <w:tr>
        <w:trPr>
          <w:trHeight w:val="237"/>
        </w:trPr>
        <w:tc>
          <w:tcPr>
            <w:tcW w:w="5620" w:type="dxa"/>
            <w:vAlign w:val="bottom"/>
          </w:tcPr>
          <w:p>
            <w:pPr>
              <w:ind w:left="720"/>
              <w:spacing w:after="0"/>
              <w:rPr>
                <w:sz w:val="20"/>
                <w:szCs w:val="20"/>
                <w:color w:val="auto"/>
              </w:rPr>
            </w:pPr>
            <w:r>
              <w:rPr>
                <w:rFonts w:ascii="Arial" w:cs="Arial" w:eastAsia="Arial" w:hAnsi="Arial"/>
                <w:sz w:val="18"/>
                <w:szCs w:val="18"/>
                <w:color w:val="auto"/>
              </w:rPr>
              <w:t>Total</w:t>
            </w:r>
          </w:p>
        </w:tc>
        <w:tc>
          <w:tcPr>
            <w:tcW w:w="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15,688</w:t>
            </w:r>
          </w:p>
        </w:tc>
        <w:tc>
          <w:tcPr>
            <w:tcW w:w="120" w:type="dxa"/>
            <w:vAlign w:val="bottom"/>
          </w:tcPr>
          <w:p>
            <w:pPr>
              <w:spacing w:after="0"/>
              <w:rPr>
                <w:sz w:val="20"/>
                <w:szCs w:val="20"/>
                <w:color w:val="auto"/>
              </w:rPr>
            </w:pPr>
          </w:p>
        </w:tc>
        <w:tc>
          <w:tcPr>
            <w:tcW w:w="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123,671</w:t>
            </w:r>
          </w:p>
        </w:tc>
        <w:tc>
          <w:tcPr>
            <w:tcW w:w="100" w:type="dxa"/>
            <w:vAlign w:val="bottom"/>
          </w:tcPr>
          <w:p>
            <w:pPr>
              <w:spacing w:after="0"/>
              <w:rPr>
                <w:sz w:val="20"/>
                <w:szCs w:val="20"/>
                <w:color w:val="auto"/>
              </w:rPr>
            </w:pPr>
          </w:p>
        </w:tc>
        <w:tc>
          <w:tcPr>
            <w:tcW w:w="1000" w:type="dxa"/>
            <w:vAlign w:val="bottom"/>
            <w:tcBorders>
              <w:top w:val="single" w:sz="8" w:color="auto"/>
            </w:tcBorders>
          </w:tcPr>
          <w:p>
            <w:pPr>
              <w:jc w:val="right"/>
              <w:ind w:right="796"/>
              <w:spacing w:after="0"/>
              <w:rPr>
                <w:sz w:val="20"/>
                <w:szCs w:val="20"/>
                <w:color w:val="auto"/>
              </w:rPr>
            </w:pPr>
            <w:r>
              <w:rPr>
                <w:rFonts w:ascii="Arial" w:cs="Arial" w:eastAsia="Arial" w:hAnsi="Arial"/>
                <w:sz w:val="18"/>
                <w:szCs w:val="18"/>
                <w:color w:val="auto"/>
                <w:w w:val="99"/>
              </w:rPr>
              <w:t>$</w:t>
            </w:r>
          </w:p>
        </w:tc>
        <w:tc>
          <w:tcPr>
            <w:tcW w:w="360" w:type="dxa"/>
            <w:vAlign w:val="bottom"/>
            <w:tcBorders>
              <w:top w:val="single" w:sz="8" w:color="auto"/>
            </w:tcBorders>
          </w:tcPr>
          <w:p>
            <w:pPr>
              <w:ind w:left="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139,359</w:t>
            </w:r>
          </w:p>
        </w:tc>
      </w:tr>
      <w:tr>
        <w:trPr>
          <w:trHeight w:val="27"/>
        </w:trPr>
        <w:tc>
          <w:tcPr>
            <w:tcW w:w="56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
        </w:trPr>
        <w:tc>
          <w:tcPr>
            <w:tcW w:w="56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Balance Sheet Components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Cash Equivalents</w:t>
      </w:r>
    </w:p>
    <w:p>
      <w:pPr>
        <w:spacing w:after="0" w:line="175" w:lineRule="exact"/>
        <w:rPr>
          <w:sz w:val="20"/>
          <w:szCs w:val="20"/>
          <w:color w:val="auto"/>
        </w:rPr>
      </w:pPr>
    </w:p>
    <w:p>
      <w:pPr>
        <w:ind w:right="140" w:firstLine="324"/>
        <w:spacing w:after="0" w:line="259" w:lineRule="auto"/>
        <w:rPr>
          <w:sz w:val="20"/>
          <w:szCs w:val="20"/>
          <w:color w:val="auto"/>
        </w:rPr>
      </w:pPr>
      <w:r>
        <w:rPr>
          <w:rFonts w:ascii="Arial" w:cs="Arial" w:eastAsia="Arial" w:hAnsi="Arial"/>
          <w:sz w:val="18"/>
          <w:szCs w:val="18"/>
          <w:color w:val="auto"/>
        </w:rPr>
        <w:t>The majority of the Company’s cash is held by one financial institution in the United States in excess of federally insured limits. The Company maintained investments in money market funds that were not federally insured during the periods presented and held cash in foreign banks of approximately $2.7 million and $1.9 million at June 30, 2016 and December 31, 2015, respectively, that were not federally insured. The Company has not experienced any losses on its deposits of cash and cash equivalents.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Accounts Receivable, Net</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Company’s allowance for doubtful accounts comprised of the following (in thousands):</w:t>
      </w:r>
    </w:p>
    <w:p>
      <w:pPr>
        <w:spacing w:after="0" w:line="150"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832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Allowance for Doubtful Accounts</w:t>
            </w:r>
          </w:p>
        </w:tc>
        <w:tc>
          <w:tcPr>
            <w:tcW w:w="1040" w:type="dxa"/>
            <w:vAlign w:val="bottom"/>
          </w:tcPr>
          <w:p>
            <w:pPr>
              <w:jc w:val="right"/>
              <w:spacing w:after="0"/>
              <w:rPr>
                <w:sz w:val="20"/>
                <w:szCs w:val="20"/>
                <w:color w:val="auto"/>
              </w:rPr>
            </w:pPr>
            <w:r>
              <w:rPr>
                <w:rFonts w:ascii="Arial" w:cs="Arial" w:eastAsia="Arial" w:hAnsi="Arial"/>
                <w:sz w:val="14"/>
                <w:szCs w:val="14"/>
                <w:b w:val="1"/>
                <w:bCs w:val="1"/>
                <w:color w:val="auto"/>
              </w:rPr>
              <w:t>June 30,</w:t>
            </w:r>
          </w:p>
        </w:tc>
        <w:tc>
          <w:tcPr>
            <w:tcW w:w="4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60" w:type="dxa"/>
            <w:vAlign w:val="bottom"/>
          </w:tcPr>
          <w:p>
            <w:pPr>
              <w:jc w:val="right"/>
              <w:ind w:right="236"/>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92"/>
        </w:trPr>
        <w:tc>
          <w:tcPr>
            <w:tcW w:w="8320" w:type="dxa"/>
            <w:vAlign w:val="bottom"/>
            <w:tcBorders>
              <w:bottom w:val="single" w:sz="8" w:color="CCEEFF"/>
            </w:tcBorders>
            <w:vMerge w:val="continue"/>
          </w:tcPr>
          <w:p>
            <w:pPr>
              <w:spacing w:after="0"/>
              <w:rPr>
                <w:sz w:val="16"/>
                <w:szCs w:val="16"/>
                <w:color w:val="auto"/>
              </w:rPr>
            </w:pPr>
          </w:p>
        </w:tc>
        <w:tc>
          <w:tcPr>
            <w:tcW w:w="1040" w:type="dxa"/>
            <w:vAlign w:val="bottom"/>
            <w:tcBorders>
              <w:bottom w:val="single" w:sz="8" w:color="auto"/>
            </w:tcBorders>
          </w:tcPr>
          <w:p>
            <w:pPr>
              <w:jc w:val="right"/>
              <w:ind w:right="79"/>
              <w:spacing w:after="0"/>
              <w:rPr>
                <w:sz w:val="20"/>
                <w:szCs w:val="20"/>
                <w:color w:val="auto"/>
              </w:rPr>
            </w:pPr>
            <w:r>
              <w:rPr>
                <w:rFonts w:ascii="Arial" w:cs="Arial" w:eastAsia="Arial" w:hAnsi="Arial"/>
                <w:sz w:val="14"/>
                <w:szCs w:val="14"/>
                <w:b w:val="1"/>
                <w:bCs w:val="1"/>
                <w:color w:val="auto"/>
              </w:rPr>
              <w:t>2016</w:t>
            </w:r>
          </w:p>
        </w:tc>
        <w:tc>
          <w:tcPr>
            <w:tcW w:w="4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496"/>
              <w:spacing w:after="0"/>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250"/>
        </w:trPr>
        <w:tc>
          <w:tcPr>
            <w:tcW w:w="8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at the beginning of the period</w:t>
            </w:r>
          </w:p>
        </w:tc>
        <w:tc>
          <w:tcPr>
            <w:tcW w:w="1040" w:type="dxa"/>
            <w:vAlign w:val="bottom"/>
            <w:tcBorders>
              <w:bottom w:val="single" w:sz="8" w:color="CCEEFF"/>
            </w:tcBorders>
            <w:shd w:val="clear" w:color="auto" w:fill="CCEEFF"/>
          </w:tcPr>
          <w:p>
            <w:pPr>
              <w:jc w:val="right"/>
              <w:ind w:right="839"/>
              <w:spacing w:after="0"/>
              <w:rPr>
                <w:sz w:val="20"/>
                <w:szCs w:val="20"/>
                <w:color w:val="auto"/>
              </w:rPr>
            </w:pPr>
            <w:r>
              <w:rPr>
                <w:rFonts w:ascii="Arial" w:cs="Arial" w:eastAsia="Arial" w:hAnsi="Arial"/>
                <w:sz w:val="18"/>
                <w:szCs w:val="18"/>
                <w:color w:val="auto"/>
                <w:w w:val="99"/>
              </w:rPr>
              <w:t>$</w:t>
            </w:r>
          </w:p>
        </w:tc>
        <w:tc>
          <w:tcPr>
            <w:tcW w:w="4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602</w:t>
            </w:r>
          </w:p>
        </w:tc>
        <w:tc>
          <w:tcPr>
            <w:tcW w:w="0" w:type="dxa"/>
            <w:vAlign w:val="bottom"/>
          </w:tcPr>
          <w:p>
            <w:pPr>
              <w:spacing w:after="0"/>
              <w:rPr>
                <w:sz w:val="1"/>
                <w:szCs w:val="1"/>
                <w:color w:val="auto"/>
              </w:rPr>
            </w:pPr>
          </w:p>
        </w:tc>
      </w:tr>
      <w:tr>
        <w:trPr>
          <w:trHeight w:val="243"/>
        </w:trPr>
        <w:tc>
          <w:tcPr>
            <w:tcW w:w="8320" w:type="dxa"/>
            <w:vAlign w:val="bottom"/>
          </w:tcPr>
          <w:p>
            <w:pPr>
              <w:ind w:left="20"/>
              <w:spacing w:after="0"/>
              <w:rPr>
                <w:sz w:val="20"/>
                <w:szCs w:val="20"/>
                <w:color w:val="auto"/>
              </w:rPr>
            </w:pPr>
            <w:r>
              <w:rPr>
                <w:rFonts w:ascii="Arial" w:cs="Arial" w:eastAsia="Arial" w:hAnsi="Arial"/>
                <w:sz w:val="18"/>
                <w:szCs w:val="18"/>
                <w:color w:val="auto"/>
              </w:rPr>
              <w:t>Charged to costs and expenses</w:t>
            </w:r>
          </w:p>
        </w:tc>
        <w:tc>
          <w:tcPr>
            <w:tcW w:w="1040" w:type="dxa"/>
            <w:vAlign w:val="bottom"/>
          </w:tcPr>
          <w:p>
            <w:pPr>
              <w:spacing w:after="0"/>
              <w:rPr>
                <w:sz w:val="21"/>
                <w:szCs w:val="21"/>
                <w:color w:val="auto"/>
              </w:rPr>
            </w:pPr>
          </w:p>
        </w:tc>
        <w:tc>
          <w:tcPr>
            <w:tcW w:w="440" w:type="dxa"/>
            <w:vAlign w:val="bottom"/>
          </w:tcPr>
          <w:p>
            <w:pPr>
              <w:jc w:val="right"/>
              <w:ind w:right="10"/>
              <w:spacing w:after="0"/>
              <w:rPr>
                <w:sz w:val="20"/>
                <w:szCs w:val="20"/>
                <w:color w:val="auto"/>
              </w:rPr>
            </w:pPr>
            <w:r>
              <w:rPr>
                <w:rFonts w:ascii="Arial" w:cs="Arial" w:eastAsia="Arial" w:hAnsi="Arial"/>
                <w:sz w:val="18"/>
                <w:szCs w:val="18"/>
                <w:color w:val="auto"/>
              </w:rPr>
              <w:t>72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Deductions</w:t>
            </w:r>
          </w:p>
        </w:tc>
        <w:tc>
          <w:tcPr>
            <w:tcW w:w="104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8320" w:type="dxa"/>
            <w:vAlign w:val="bottom"/>
          </w:tcPr>
          <w:p>
            <w:pPr>
              <w:ind w:left="20"/>
              <w:spacing w:after="0"/>
              <w:rPr>
                <w:sz w:val="20"/>
                <w:szCs w:val="20"/>
                <w:color w:val="auto"/>
              </w:rPr>
            </w:pPr>
            <w:r>
              <w:rPr>
                <w:rFonts w:ascii="Arial" w:cs="Arial" w:eastAsia="Arial" w:hAnsi="Arial"/>
                <w:sz w:val="18"/>
                <w:szCs w:val="18"/>
                <w:color w:val="auto"/>
              </w:rPr>
              <w:t>Balance at the end of the period</w:t>
            </w:r>
          </w:p>
        </w:tc>
        <w:tc>
          <w:tcPr>
            <w:tcW w:w="1040" w:type="dxa"/>
            <w:vAlign w:val="bottom"/>
            <w:tcBorders>
              <w:top w:val="single" w:sz="8" w:color="auto"/>
              <w:bottom w:val="single" w:sz="8" w:color="auto"/>
            </w:tcBorders>
          </w:tcPr>
          <w:p>
            <w:pPr>
              <w:jc w:val="right"/>
              <w:ind w:right="839"/>
              <w:spacing w:after="0"/>
              <w:rPr>
                <w:sz w:val="20"/>
                <w:szCs w:val="20"/>
                <w:color w:val="auto"/>
              </w:rPr>
            </w:pPr>
            <w:r>
              <w:rPr>
                <w:rFonts w:ascii="Arial" w:cs="Arial" w:eastAsia="Arial" w:hAnsi="Arial"/>
                <w:sz w:val="18"/>
                <w:szCs w:val="18"/>
                <w:color w:val="auto"/>
                <w:w w:val="99"/>
              </w:rPr>
              <w:t>$</w:t>
            </w:r>
          </w:p>
        </w:tc>
        <w:tc>
          <w:tcPr>
            <w:tcW w:w="4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661</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8"/>
                <w:szCs w:val="18"/>
                <w:color w:val="auto"/>
              </w:rPr>
              <w:t>589</w:t>
            </w:r>
          </w:p>
        </w:tc>
        <w:tc>
          <w:tcPr>
            <w:tcW w:w="0" w:type="dxa"/>
            <w:vAlign w:val="bottom"/>
          </w:tcPr>
          <w:p>
            <w:pPr>
              <w:spacing w:after="0"/>
              <w:rPr>
                <w:sz w:val="1"/>
                <w:szCs w:val="1"/>
                <w:color w:val="auto"/>
              </w:rPr>
            </w:pPr>
          </w:p>
        </w:tc>
      </w:tr>
      <w:tr>
        <w:trPr>
          <w:trHeight w:val="20"/>
        </w:trPr>
        <w:tc>
          <w:tcPr>
            <w:tcW w:w="83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1" w:right="239" w:bottom="1440" w:gutter="0" w:footer="0" w:header="0"/>
        </w:sectPr>
      </w:pPr>
    </w:p>
    <w:p>
      <w:pPr>
        <w:spacing w:after="0" w:line="2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w:t>
      </w:r>
    </w:p>
    <w:p>
      <w:pPr>
        <w:sectPr>
          <w:pgSz w:w="11900" w:h="16838" w:orient="portrait"/>
          <w:cols w:equalWidth="0" w:num="1">
            <w:col w:w="11420"/>
          </w:cols>
          <w:pgMar w:left="240" w:top="121" w:right="239" w:bottom="1440" w:gutter="0" w:footer="0" w:header="0"/>
          <w:type w:val="continuous"/>
        </w:sectPr>
      </w:pPr>
    </w:p>
    <w:bookmarkStart w:id="10" w:name="page11"/>
    <w:bookmarkEnd w:id="10"/>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right="520" w:firstLine="324"/>
        <w:spacing w:after="0" w:line="308" w:lineRule="auto"/>
        <w:rPr>
          <w:sz w:val="20"/>
          <w:szCs w:val="20"/>
          <w:color w:val="auto"/>
        </w:rPr>
      </w:pPr>
      <w:r>
        <w:rPr>
          <w:rFonts w:ascii="Arial" w:cs="Arial" w:eastAsia="Arial" w:hAnsi="Arial"/>
          <w:sz w:val="17"/>
          <w:szCs w:val="17"/>
          <w:color w:val="auto"/>
        </w:rPr>
        <w:t>One customer (a distributor) accounted for 10% of the Company’s revenue for each of the three and six months ended June 30, 2016 and 2015. No customer accounted for greater than 10% of the Company’s accounts receivable balance as of June 30, 2016 or December 31, 2015.</w:t>
      </w:r>
    </w:p>
    <w:p>
      <w:pPr>
        <w:spacing w:after="0" w:line="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Prepaid Expenses and Other Current Assets</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Company’s prepaid expenses and other current assets as of June 30, 2016 and December 31, 2015 were comprised of the following (in thousands):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300" w:type="dxa"/>
            <w:vAlign w:val="bottom"/>
            <w:gridSpan w:val="2"/>
          </w:tcPr>
          <w:p>
            <w:pPr>
              <w:ind w:left="180"/>
              <w:spacing w:after="0"/>
              <w:rPr>
                <w:sz w:val="20"/>
                <w:szCs w:val="20"/>
                <w:color w:val="auto"/>
              </w:rPr>
            </w:pPr>
            <w:r>
              <w:rPr>
                <w:rFonts w:ascii="Arial" w:cs="Arial" w:eastAsia="Arial" w:hAnsi="Arial"/>
                <w:sz w:val="14"/>
                <w:szCs w:val="14"/>
                <w:b w:val="1"/>
                <w:bCs w:val="1"/>
                <w:color w:val="auto"/>
              </w:rPr>
              <w:t>June 30,</w:t>
            </w:r>
          </w:p>
        </w:tc>
        <w:tc>
          <w:tcPr>
            <w:tcW w:w="200" w:type="dxa"/>
            <w:vAlign w:val="bottom"/>
          </w:tcPr>
          <w:p>
            <w:pPr>
              <w:spacing w:after="0"/>
              <w:rPr>
                <w:sz w:val="14"/>
                <w:szCs w:val="14"/>
                <w:color w:val="auto"/>
              </w:rPr>
            </w:pPr>
          </w:p>
        </w:tc>
        <w:tc>
          <w:tcPr>
            <w:tcW w:w="1280" w:type="dxa"/>
            <w:vAlign w:val="bottom"/>
          </w:tcPr>
          <w:p>
            <w:pPr>
              <w:jc w:val="right"/>
              <w:ind w:right="255"/>
              <w:spacing w:after="0"/>
              <w:rPr>
                <w:sz w:val="20"/>
                <w:szCs w:val="20"/>
                <w:color w:val="auto"/>
              </w:rPr>
            </w:pPr>
            <w:r>
              <w:rPr>
                <w:rFonts w:ascii="Arial" w:cs="Arial" w:eastAsia="Arial" w:hAnsi="Arial"/>
                <w:sz w:val="14"/>
                <w:szCs w:val="14"/>
                <w:b w:val="1"/>
                <w:bCs w:val="1"/>
                <w:color w:val="auto"/>
              </w:rPr>
              <w:t>December 31,</w:t>
            </w:r>
          </w:p>
        </w:tc>
      </w:tr>
      <w:tr>
        <w:trPr>
          <w:trHeight w:val="192"/>
        </w:trPr>
        <w:tc>
          <w:tcPr>
            <w:tcW w:w="832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2015</w:t>
            </w:r>
          </w:p>
        </w:tc>
      </w:tr>
      <w:tr>
        <w:trPr>
          <w:trHeight w:val="250"/>
        </w:trPr>
        <w:tc>
          <w:tcPr>
            <w:tcW w:w="8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Prepaid Tax</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6,892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2,736</w:t>
            </w:r>
          </w:p>
        </w:tc>
      </w:tr>
      <w:tr>
        <w:trPr>
          <w:trHeight w:val="243"/>
        </w:trPr>
        <w:tc>
          <w:tcPr>
            <w:tcW w:w="8320" w:type="dxa"/>
            <w:vAlign w:val="bottom"/>
          </w:tcPr>
          <w:p>
            <w:pPr>
              <w:ind w:left="40"/>
              <w:spacing w:after="0"/>
              <w:rPr>
                <w:sz w:val="20"/>
                <w:szCs w:val="20"/>
                <w:color w:val="auto"/>
              </w:rPr>
            </w:pPr>
            <w:r>
              <w:rPr>
                <w:rFonts w:ascii="Arial" w:cs="Arial" w:eastAsia="Arial" w:hAnsi="Arial"/>
                <w:sz w:val="18"/>
                <w:szCs w:val="18"/>
                <w:color w:val="auto"/>
              </w:rPr>
              <w:t>Prepaid expenses</w:t>
            </w:r>
          </w:p>
        </w:tc>
        <w:tc>
          <w:tcPr>
            <w:tcW w:w="300" w:type="dxa"/>
            <w:vAlign w:val="bottom"/>
          </w:tcPr>
          <w:p>
            <w:pPr>
              <w:spacing w:after="0"/>
              <w:rPr>
                <w:sz w:val="21"/>
                <w:szCs w:val="21"/>
                <w:color w:val="auto"/>
              </w:rPr>
            </w:pPr>
          </w:p>
        </w:tc>
        <w:tc>
          <w:tcPr>
            <w:tcW w:w="1200" w:type="dxa"/>
            <w:vAlign w:val="bottom"/>
          </w:tcPr>
          <w:p>
            <w:pPr>
              <w:jc w:val="right"/>
              <w:ind w:right="35"/>
              <w:spacing w:after="0"/>
              <w:rPr>
                <w:sz w:val="20"/>
                <w:szCs w:val="20"/>
                <w:color w:val="auto"/>
              </w:rPr>
            </w:pPr>
            <w:r>
              <w:rPr>
                <w:rFonts w:ascii="Arial" w:cs="Arial" w:eastAsia="Arial" w:hAnsi="Arial"/>
                <w:sz w:val="18"/>
                <w:szCs w:val="18"/>
                <w:color w:val="auto"/>
              </w:rPr>
              <w:t>4,753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35"/>
              <w:spacing w:after="0"/>
              <w:rPr>
                <w:sz w:val="20"/>
                <w:szCs w:val="20"/>
                <w:color w:val="auto"/>
              </w:rPr>
            </w:pPr>
            <w:r>
              <w:rPr>
                <w:rFonts w:ascii="Arial" w:cs="Arial" w:eastAsia="Arial" w:hAnsi="Arial"/>
                <w:sz w:val="18"/>
                <w:szCs w:val="18"/>
                <w:color w:val="auto"/>
              </w:rPr>
              <w:t>4,706</w:t>
            </w:r>
          </w:p>
        </w:tc>
      </w:tr>
      <w:tr>
        <w:trPr>
          <w:trHeight w:val="27"/>
        </w:trPr>
        <w:tc>
          <w:tcPr>
            <w:tcW w:w="83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 receivable</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3,273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606</w:t>
            </w:r>
          </w:p>
        </w:tc>
      </w:tr>
      <w:tr>
        <w:trPr>
          <w:trHeight w:val="243"/>
        </w:trPr>
        <w:tc>
          <w:tcPr>
            <w:tcW w:w="8320" w:type="dxa"/>
            <w:vAlign w:val="bottom"/>
          </w:tcPr>
          <w:p>
            <w:pPr>
              <w:ind w:left="40"/>
              <w:spacing w:after="0"/>
              <w:rPr>
                <w:sz w:val="20"/>
                <w:szCs w:val="20"/>
                <w:color w:val="auto"/>
              </w:rPr>
            </w:pPr>
            <w:r>
              <w:rPr>
                <w:rFonts w:ascii="Arial" w:cs="Arial" w:eastAsia="Arial" w:hAnsi="Arial"/>
                <w:sz w:val="18"/>
                <w:szCs w:val="18"/>
                <w:color w:val="auto"/>
              </w:rPr>
              <w:t>Other current assets</w:t>
            </w:r>
          </w:p>
        </w:tc>
        <w:tc>
          <w:tcPr>
            <w:tcW w:w="300" w:type="dxa"/>
            <w:vAlign w:val="bottom"/>
          </w:tcPr>
          <w:p>
            <w:pPr>
              <w:spacing w:after="0"/>
              <w:rPr>
                <w:sz w:val="21"/>
                <w:szCs w:val="21"/>
                <w:color w:val="auto"/>
              </w:rPr>
            </w:pPr>
          </w:p>
        </w:tc>
        <w:tc>
          <w:tcPr>
            <w:tcW w:w="1200" w:type="dxa"/>
            <w:vAlign w:val="bottom"/>
          </w:tcPr>
          <w:p>
            <w:pPr>
              <w:jc w:val="right"/>
              <w:ind w:right="35"/>
              <w:spacing w:after="0"/>
              <w:rPr>
                <w:sz w:val="20"/>
                <w:szCs w:val="20"/>
                <w:color w:val="auto"/>
              </w:rPr>
            </w:pPr>
            <w:r>
              <w:rPr>
                <w:rFonts w:ascii="Arial" w:cs="Arial" w:eastAsia="Arial" w:hAnsi="Arial"/>
                <w:sz w:val="18"/>
                <w:szCs w:val="18"/>
                <w:color w:val="auto"/>
              </w:rPr>
              <w:t>2,488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35"/>
              <w:spacing w:after="0"/>
              <w:rPr>
                <w:sz w:val="20"/>
                <w:szCs w:val="20"/>
                <w:color w:val="auto"/>
              </w:rPr>
            </w:pPr>
            <w:r>
              <w:rPr>
                <w:rFonts w:ascii="Arial" w:cs="Arial" w:eastAsia="Arial" w:hAnsi="Arial"/>
                <w:sz w:val="18"/>
                <w:szCs w:val="18"/>
                <w:color w:val="auto"/>
              </w:rPr>
              <w:t>1,304</w:t>
            </w:r>
          </w:p>
        </w:tc>
      </w:tr>
      <w:tr>
        <w:trPr>
          <w:trHeight w:val="27"/>
        </w:trPr>
        <w:tc>
          <w:tcPr>
            <w:tcW w:w="83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69"/>
        </w:trPr>
        <w:tc>
          <w:tcPr>
            <w:tcW w:w="8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Prepaid expenses and other current assets</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17,406</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9,352</w:t>
            </w:r>
          </w:p>
        </w:tc>
      </w:tr>
      <w:tr>
        <w:trPr>
          <w:trHeight w:val="20"/>
        </w:trPr>
        <w:tc>
          <w:tcPr>
            <w:tcW w:w="83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r>
    </w:tbl>
    <w:p>
      <w:pPr>
        <w:spacing w:after="0" w:line="103"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Marketable Investments</w:t>
      </w:r>
    </w:p>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Company’s marketable investments as of June 30, 2016 and December 31, 2015 were as follows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5"/>
          </w:tcPr>
          <w:p>
            <w:pPr>
              <w:jc w:val="center"/>
              <w:ind w:right="340"/>
              <w:spacing w:after="0"/>
              <w:rPr>
                <w:sz w:val="20"/>
                <w:szCs w:val="20"/>
                <w:color w:val="auto"/>
              </w:rPr>
            </w:pPr>
            <w:r>
              <w:rPr>
                <w:rFonts w:ascii="Arial" w:cs="Arial" w:eastAsia="Arial" w:hAnsi="Arial"/>
                <w:sz w:val="14"/>
                <w:szCs w:val="14"/>
                <w:b w:val="1"/>
                <w:bCs w:val="1"/>
                <w:color w:val="auto"/>
                <w:w w:val="90"/>
              </w:rPr>
              <w:t>June 30, 2016</w:t>
            </w: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6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4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88"/>
              </w:rPr>
              <w:t>Gross</w:t>
            </w:r>
          </w:p>
        </w:tc>
        <w:tc>
          <w:tcPr>
            <w:tcW w:w="240" w:type="dxa"/>
            <w:vAlign w:val="bottom"/>
          </w:tcPr>
          <w:p>
            <w:pPr>
              <w:spacing w:after="0"/>
              <w:rPr>
                <w:sz w:val="13"/>
                <w:szCs w:val="13"/>
                <w:color w:val="auto"/>
              </w:rPr>
            </w:pPr>
          </w:p>
        </w:tc>
        <w:tc>
          <w:tcPr>
            <w:tcW w:w="1240" w:type="dxa"/>
            <w:vAlign w:val="bottom"/>
            <w:gridSpan w:val="2"/>
          </w:tcPr>
          <w:p>
            <w:pPr>
              <w:jc w:val="center"/>
              <w:ind w:right="360"/>
              <w:spacing w:after="0" w:line="153" w:lineRule="exact"/>
              <w:rPr>
                <w:sz w:val="20"/>
                <w:szCs w:val="20"/>
                <w:color w:val="auto"/>
              </w:rPr>
            </w:pPr>
            <w:r>
              <w:rPr>
                <w:rFonts w:ascii="Arial" w:cs="Arial" w:eastAsia="Arial" w:hAnsi="Arial"/>
                <w:sz w:val="14"/>
                <w:szCs w:val="14"/>
                <w:b w:val="1"/>
                <w:bCs w:val="1"/>
                <w:color w:val="auto"/>
                <w:w w:val="88"/>
              </w:rPr>
              <w:t>Gross</w:t>
            </w:r>
          </w:p>
        </w:tc>
        <w:tc>
          <w:tcPr>
            <w:tcW w:w="2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56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20" w:type="dxa"/>
            <w:vAlign w:val="bottom"/>
            <w:vMerge w:val="restart"/>
          </w:tcPr>
          <w:p>
            <w:pPr>
              <w:jc w:val="right"/>
              <w:ind w:right="472"/>
              <w:spacing w:after="0"/>
              <w:rPr>
                <w:sz w:val="20"/>
                <w:szCs w:val="20"/>
                <w:color w:val="auto"/>
              </w:rPr>
            </w:pPr>
            <w:r>
              <w:rPr>
                <w:rFonts w:ascii="Arial" w:cs="Arial" w:eastAsia="Arial" w:hAnsi="Arial"/>
                <w:sz w:val="14"/>
                <w:szCs w:val="14"/>
                <w:b w:val="1"/>
                <w:bCs w:val="1"/>
                <w:color w:val="auto"/>
              </w:rPr>
              <w:t>Cost</w:t>
            </w:r>
          </w:p>
        </w:tc>
        <w:tc>
          <w:tcPr>
            <w:tcW w:w="120" w:type="dxa"/>
            <w:vAlign w:val="bottom"/>
            <w:vMerge w:val="restart"/>
          </w:tcPr>
          <w:p>
            <w:pPr>
              <w:spacing w:after="0"/>
              <w:rPr>
                <w:sz w:val="12"/>
                <w:szCs w:val="12"/>
                <w:color w:val="auto"/>
              </w:rPr>
            </w:pPr>
          </w:p>
        </w:tc>
        <w:tc>
          <w:tcPr>
            <w:tcW w:w="220" w:type="dxa"/>
            <w:vAlign w:val="bottom"/>
          </w:tcPr>
          <w:p>
            <w:pPr>
              <w:spacing w:after="0"/>
              <w:rPr>
                <w:sz w:val="12"/>
                <w:szCs w:val="12"/>
                <w:color w:val="auto"/>
              </w:rPr>
            </w:pPr>
          </w:p>
        </w:tc>
        <w:tc>
          <w:tcPr>
            <w:tcW w:w="12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3"/>
              </w:rPr>
              <w:t>Unrealized</w:t>
            </w:r>
          </w:p>
        </w:tc>
        <w:tc>
          <w:tcPr>
            <w:tcW w:w="240" w:type="dxa"/>
            <w:vAlign w:val="bottom"/>
          </w:tcPr>
          <w:p>
            <w:pPr>
              <w:spacing w:after="0"/>
              <w:rPr>
                <w:sz w:val="12"/>
                <w:szCs w:val="12"/>
                <w:color w:val="auto"/>
              </w:rPr>
            </w:pPr>
          </w:p>
        </w:tc>
        <w:tc>
          <w:tcPr>
            <w:tcW w:w="12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3"/>
              </w:rPr>
              <w:t>Unrealized</w:t>
            </w:r>
          </w:p>
        </w:tc>
        <w:tc>
          <w:tcPr>
            <w:tcW w:w="240" w:type="dxa"/>
            <w:vAlign w:val="bottom"/>
          </w:tcPr>
          <w:p>
            <w:pPr>
              <w:spacing w:after="0"/>
              <w:rPr>
                <w:sz w:val="12"/>
                <w:szCs w:val="12"/>
                <w:color w:val="auto"/>
              </w:rPr>
            </w:pPr>
          </w:p>
        </w:tc>
        <w:tc>
          <w:tcPr>
            <w:tcW w:w="1120" w:type="dxa"/>
            <w:vAlign w:val="bottom"/>
            <w:vMerge w:val="restart"/>
          </w:tcPr>
          <w:p>
            <w:pPr>
              <w:jc w:val="right"/>
              <w:ind w:right="272"/>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562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center"/>
              <w:ind w:right="137"/>
              <w:spacing w:after="0"/>
              <w:rPr>
                <w:sz w:val="20"/>
                <w:szCs w:val="20"/>
                <w:color w:val="auto"/>
              </w:rPr>
            </w:pPr>
            <w:r>
              <w:rPr>
                <w:rFonts w:ascii="Arial" w:cs="Arial" w:eastAsia="Arial" w:hAnsi="Arial"/>
                <w:sz w:val="14"/>
                <w:szCs w:val="14"/>
                <w:b w:val="1"/>
                <w:bCs w:val="1"/>
                <w:color w:val="auto"/>
                <w:w w:val="92"/>
              </w:rPr>
              <w:t>Gains</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55"/>
              <w:spacing w:after="0"/>
              <w:rPr>
                <w:sz w:val="20"/>
                <w:szCs w:val="20"/>
                <w:color w:val="auto"/>
              </w:rPr>
            </w:pPr>
            <w:r>
              <w:rPr>
                <w:rFonts w:ascii="Arial" w:cs="Arial" w:eastAsia="Arial" w:hAnsi="Arial"/>
                <w:sz w:val="14"/>
                <w:szCs w:val="14"/>
                <w:b w:val="1"/>
                <w:bCs w:val="1"/>
                <w:color w:val="auto"/>
                <w:w w:val="82"/>
              </w:rPr>
              <w:t>Losses</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Commercial paper</w:t>
            </w:r>
          </w:p>
        </w:tc>
        <w:tc>
          <w:tcPr>
            <w:tcW w:w="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10,128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10,134</w:t>
            </w:r>
          </w:p>
        </w:tc>
        <w:tc>
          <w:tcPr>
            <w:tcW w:w="0" w:type="dxa"/>
            <w:vAlign w:val="bottom"/>
          </w:tcPr>
          <w:p>
            <w:pPr>
              <w:spacing w:after="0"/>
              <w:rPr>
                <w:sz w:val="1"/>
                <w:szCs w:val="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U.S. Treasury</w:t>
            </w:r>
          </w:p>
        </w:tc>
        <w:tc>
          <w:tcPr>
            <w:tcW w:w="360" w:type="dxa"/>
            <w:vAlign w:val="bottom"/>
          </w:tcPr>
          <w:p>
            <w:pPr>
              <w:spacing w:after="0"/>
              <w:rPr>
                <w:sz w:val="21"/>
                <w:szCs w:val="21"/>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15,478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ind w:right="37"/>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15,512</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 agency securities</w:t>
            </w:r>
          </w:p>
        </w:tc>
        <w:tc>
          <w:tcPr>
            <w:tcW w:w="3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13,487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34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13,521</w:t>
            </w:r>
          </w:p>
        </w:tc>
        <w:tc>
          <w:tcPr>
            <w:tcW w:w="0" w:type="dxa"/>
            <w:vAlign w:val="bottom"/>
          </w:tcPr>
          <w:p>
            <w:pPr>
              <w:spacing w:after="0"/>
              <w:rPr>
                <w:sz w:val="1"/>
                <w:szCs w:val="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U.S. states and municipalities</w:t>
            </w:r>
          </w:p>
        </w:tc>
        <w:tc>
          <w:tcPr>
            <w:tcW w:w="360" w:type="dxa"/>
            <w:vAlign w:val="bottom"/>
          </w:tcPr>
          <w:p>
            <w:pPr>
              <w:spacing w:after="0"/>
              <w:rPr>
                <w:sz w:val="21"/>
                <w:szCs w:val="21"/>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15,927</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ind w:right="37"/>
              <w:spacing w:after="0"/>
              <w:rPr>
                <w:sz w:val="20"/>
                <w:szCs w:val="20"/>
                <w:color w:val="auto"/>
              </w:rPr>
            </w:pPr>
            <w:r>
              <w:rPr>
                <w:rFonts w:ascii="Arial" w:cs="Arial" w:eastAsia="Arial" w:hAnsi="Arial"/>
                <w:sz w:val="18"/>
                <w:szCs w:val="18"/>
                <w:color w:val="auto"/>
              </w:rPr>
              <w:t>11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15,938</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Corporate bonds</w:t>
            </w:r>
          </w:p>
        </w:tc>
        <w:tc>
          <w:tcPr>
            <w:tcW w:w="3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64,847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236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65,081</w:t>
            </w:r>
          </w:p>
        </w:tc>
        <w:tc>
          <w:tcPr>
            <w:tcW w:w="0" w:type="dxa"/>
            <w:vAlign w:val="bottom"/>
          </w:tcPr>
          <w:p>
            <w:pPr>
              <w:spacing w:after="0"/>
              <w:rPr>
                <w:sz w:val="1"/>
                <w:szCs w:val="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Non-U.S. government debt securities</w:t>
            </w:r>
          </w:p>
        </w:tc>
        <w:tc>
          <w:tcPr>
            <w:tcW w:w="360" w:type="dxa"/>
            <w:vAlign w:val="bottom"/>
          </w:tcPr>
          <w:p>
            <w:pPr>
              <w:spacing w:after="0"/>
              <w:rPr>
                <w:sz w:val="21"/>
                <w:szCs w:val="21"/>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5,762</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ind w:right="37"/>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5,763</w:t>
            </w:r>
          </w:p>
        </w:tc>
        <w:tc>
          <w:tcPr>
            <w:tcW w:w="0" w:type="dxa"/>
            <w:vAlign w:val="bottom"/>
          </w:tcPr>
          <w:p>
            <w:pPr>
              <w:spacing w:after="0"/>
              <w:rPr>
                <w:sz w:val="1"/>
                <w:szCs w:val="1"/>
                <w:color w:val="auto"/>
              </w:rPr>
            </w:pPr>
          </w:p>
        </w:tc>
      </w:tr>
      <w:tr>
        <w:trPr>
          <w:trHeight w:val="27"/>
        </w:trPr>
        <w:tc>
          <w:tcPr>
            <w:tcW w:w="56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125,629</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326</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125,949</w:t>
            </w:r>
          </w:p>
        </w:tc>
        <w:tc>
          <w:tcPr>
            <w:tcW w:w="0" w:type="dxa"/>
            <w:vAlign w:val="bottom"/>
          </w:tcPr>
          <w:p>
            <w:pPr>
              <w:spacing w:after="0"/>
              <w:rPr>
                <w:sz w:val="1"/>
                <w:szCs w:val="1"/>
                <w:color w:val="auto"/>
              </w:rPr>
            </w:pPr>
          </w:p>
        </w:tc>
      </w:tr>
      <w:tr>
        <w:trPr>
          <w:trHeight w:val="20"/>
        </w:trPr>
        <w:tc>
          <w:tcPr>
            <w:tcW w:w="56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0"/>
        </w:trPr>
        <w:tc>
          <w:tcPr>
            <w:tcW w:w="562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gridSpan w:val="5"/>
          </w:tcPr>
          <w:p>
            <w:pPr>
              <w:jc w:val="center"/>
              <w:ind w:right="340"/>
              <w:spacing w:after="0"/>
              <w:rPr>
                <w:sz w:val="20"/>
                <w:szCs w:val="20"/>
                <w:color w:val="auto"/>
              </w:rPr>
            </w:pPr>
            <w:r>
              <w:rPr>
                <w:rFonts w:ascii="Arial" w:cs="Arial" w:eastAsia="Arial" w:hAnsi="Arial"/>
                <w:sz w:val="14"/>
                <w:szCs w:val="14"/>
                <w:b w:val="1"/>
                <w:bCs w:val="1"/>
                <w:color w:val="auto"/>
                <w:w w:val="93"/>
              </w:rPr>
              <w:t>December 31, 2015</w:t>
            </w:r>
          </w:p>
        </w:tc>
        <w:tc>
          <w:tcPr>
            <w:tcW w:w="2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56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4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88"/>
              </w:rPr>
              <w:t>Gross</w:t>
            </w:r>
          </w:p>
        </w:tc>
        <w:tc>
          <w:tcPr>
            <w:tcW w:w="240" w:type="dxa"/>
            <w:vAlign w:val="bottom"/>
          </w:tcPr>
          <w:p>
            <w:pPr>
              <w:spacing w:after="0"/>
              <w:rPr>
                <w:sz w:val="13"/>
                <w:szCs w:val="13"/>
                <w:color w:val="auto"/>
              </w:rPr>
            </w:pPr>
          </w:p>
        </w:tc>
        <w:tc>
          <w:tcPr>
            <w:tcW w:w="1240" w:type="dxa"/>
            <w:vAlign w:val="bottom"/>
            <w:gridSpan w:val="2"/>
          </w:tcPr>
          <w:p>
            <w:pPr>
              <w:jc w:val="center"/>
              <w:ind w:right="360"/>
              <w:spacing w:after="0" w:line="153" w:lineRule="exact"/>
              <w:rPr>
                <w:sz w:val="20"/>
                <w:szCs w:val="20"/>
                <w:color w:val="auto"/>
              </w:rPr>
            </w:pPr>
            <w:r>
              <w:rPr>
                <w:rFonts w:ascii="Arial" w:cs="Arial" w:eastAsia="Arial" w:hAnsi="Arial"/>
                <w:sz w:val="14"/>
                <w:szCs w:val="14"/>
                <w:b w:val="1"/>
                <w:bCs w:val="1"/>
                <w:color w:val="auto"/>
                <w:w w:val="88"/>
              </w:rPr>
              <w:t>Gross</w:t>
            </w:r>
          </w:p>
        </w:tc>
        <w:tc>
          <w:tcPr>
            <w:tcW w:w="2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56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140" w:type="dxa"/>
            <w:vAlign w:val="bottom"/>
            <w:gridSpan w:val="2"/>
            <w:vMerge w:val="restart"/>
          </w:tcPr>
          <w:p>
            <w:pPr>
              <w:jc w:val="right"/>
              <w:ind w:right="680"/>
              <w:spacing w:after="0"/>
              <w:rPr>
                <w:sz w:val="20"/>
                <w:szCs w:val="20"/>
                <w:color w:val="auto"/>
              </w:rPr>
            </w:pPr>
            <w:r>
              <w:rPr>
                <w:rFonts w:ascii="Arial" w:cs="Arial" w:eastAsia="Arial" w:hAnsi="Arial"/>
                <w:sz w:val="14"/>
                <w:szCs w:val="14"/>
                <w:b w:val="1"/>
                <w:bCs w:val="1"/>
                <w:color w:val="auto"/>
              </w:rPr>
              <w:t>Cost</w:t>
            </w:r>
          </w:p>
        </w:tc>
        <w:tc>
          <w:tcPr>
            <w:tcW w:w="220" w:type="dxa"/>
            <w:vAlign w:val="bottom"/>
          </w:tcPr>
          <w:p>
            <w:pPr>
              <w:spacing w:after="0"/>
              <w:rPr>
                <w:sz w:val="12"/>
                <w:szCs w:val="12"/>
                <w:color w:val="auto"/>
              </w:rPr>
            </w:pPr>
          </w:p>
        </w:tc>
        <w:tc>
          <w:tcPr>
            <w:tcW w:w="12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3"/>
              </w:rPr>
              <w:t>Unrealized</w:t>
            </w:r>
          </w:p>
        </w:tc>
        <w:tc>
          <w:tcPr>
            <w:tcW w:w="240" w:type="dxa"/>
            <w:vAlign w:val="bottom"/>
          </w:tcPr>
          <w:p>
            <w:pPr>
              <w:spacing w:after="0"/>
              <w:rPr>
                <w:sz w:val="12"/>
                <w:szCs w:val="12"/>
                <w:color w:val="auto"/>
              </w:rPr>
            </w:pPr>
          </w:p>
        </w:tc>
        <w:tc>
          <w:tcPr>
            <w:tcW w:w="12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3"/>
              </w:rPr>
              <w:t>Unrealized</w:t>
            </w:r>
          </w:p>
        </w:tc>
        <w:tc>
          <w:tcPr>
            <w:tcW w:w="240" w:type="dxa"/>
            <w:vAlign w:val="bottom"/>
          </w:tcPr>
          <w:p>
            <w:pPr>
              <w:spacing w:after="0"/>
              <w:rPr>
                <w:sz w:val="12"/>
                <w:szCs w:val="12"/>
                <w:color w:val="auto"/>
              </w:rPr>
            </w:pPr>
          </w:p>
        </w:tc>
        <w:tc>
          <w:tcPr>
            <w:tcW w:w="1120" w:type="dxa"/>
            <w:vAlign w:val="bottom"/>
            <w:vMerge w:val="restart"/>
          </w:tcPr>
          <w:p>
            <w:pPr>
              <w:jc w:val="right"/>
              <w:ind w:right="272"/>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56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140" w:type="dxa"/>
            <w:vAlign w:val="bottom"/>
            <w:gridSpan w:val="2"/>
            <w:vMerge w:val="continue"/>
          </w:tcPr>
          <w:p>
            <w:pPr>
              <w:spacing w:after="0"/>
              <w:rPr>
                <w:sz w:val="16"/>
                <w:szCs w:val="16"/>
                <w:color w:val="auto"/>
              </w:rPr>
            </w:pPr>
          </w:p>
        </w:tc>
        <w:tc>
          <w:tcPr>
            <w:tcW w:w="220" w:type="dxa"/>
            <w:vAlign w:val="bottom"/>
          </w:tcPr>
          <w:p>
            <w:pPr>
              <w:spacing w:after="0"/>
              <w:rPr>
                <w:sz w:val="16"/>
                <w:szCs w:val="16"/>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2"/>
              </w:rPr>
              <w:t>Gains</w:t>
            </w:r>
          </w:p>
        </w:tc>
        <w:tc>
          <w:tcPr>
            <w:tcW w:w="240" w:type="dxa"/>
            <w:vAlign w:val="bottom"/>
          </w:tcPr>
          <w:p>
            <w:pPr>
              <w:spacing w:after="0"/>
              <w:rPr>
                <w:sz w:val="16"/>
                <w:szCs w:val="16"/>
                <w:color w:val="auto"/>
              </w:rPr>
            </w:pPr>
          </w:p>
        </w:tc>
        <w:tc>
          <w:tcPr>
            <w:tcW w:w="12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2"/>
              </w:rPr>
              <w:t>Losses</w:t>
            </w:r>
          </w:p>
        </w:tc>
        <w:tc>
          <w:tcPr>
            <w:tcW w:w="240" w:type="dxa"/>
            <w:vAlign w:val="bottom"/>
          </w:tcPr>
          <w:p>
            <w:pPr>
              <w:spacing w:after="0"/>
              <w:rPr>
                <w:sz w:val="16"/>
                <w:szCs w:val="16"/>
                <w:color w:val="auto"/>
              </w:rPr>
            </w:pPr>
          </w:p>
        </w:tc>
        <w:tc>
          <w:tcPr>
            <w:tcW w:w="11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6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Commercial paper</w:t>
            </w:r>
          </w:p>
        </w:tc>
        <w:tc>
          <w:tcPr>
            <w:tcW w:w="36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2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22,328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22,332</w:t>
            </w:r>
          </w:p>
        </w:tc>
        <w:tc>
          <w:tcPr>
            <w:tcW w:w="0" w:type="dxa"/>
            <w:vAlign w:val="bottom"/>
          </w:tcPr>
          <w:p>
            <w:pPr>
              <w:spacing w:after="0"/>
              <w:rPr>
                <w:sz w:val="1"/>
                <w:szCs w:val="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U.S. Treasury</w:t>
            </w:r>
          </w:p>
        </w:tc>
        <w:tc>
          <w:tcPr>
            <w:tcW w:w="360" w:type="dxa"/>
            <w:vAlign w:val="bottom"/>
          </w:tcPr>
          <w:p>
            <w:pPr>
              <w:spacing w:after="0"/>
              <w:rPr>
                <w:sz w:val="21"/>
                <w:szCs w:val="21"/>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15,459</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ind w:right="37"/>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15,436</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 agency securities</w:t>
            </w:r>
          </w:p>
        </w:tc>
        <w:tc>
          <w:tcPr>
            <w:tcW w:w="3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21,497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21,464</w:t>
            </w:r>
          </w:p>
        </w:tc>
        <w:tc>
          <w:tcPr>
            <w:tcW w:w="0" w:type="dxa"/>
            <w:vAlign w:val="bottom"/>
          </w:tcPr>
          <w:p>
            <w:pPr>
              <w:spacing w:after="0"/>
              <w:rPr>
                <w:sz w:val="1"/>
                <w:szCs w:val="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U.S. states and municipalities</w:t>
            </w:r>
          </w:p>
        </w:tc>
        <w:tc>
          <w:tcPr>
            <w:tcW w:w="360" w:type="dxa"/>
            <w:vAlign w:val="bottom"/>
          </w:tcPr>
          <w:p>
            <w:pPr>
              <w:spacing w:after="0"/>
              <w:rPr>
                <w:sz w:val="21"/>
                <w:szCs w:val="21"/>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2,086</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2,084</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Corporate bonds</w:t>
            </w:r>
          </w:p>
        </w:tc>
        <w:tc>
          <w:tcPr>
            <w:tcW w:w="3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61,188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(189)</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61,002</w:t>
            </w:r>
          </w:p>
        </w:tc>
        <w:tc>
          <w:tcPr>
            <w:tcW w:w="0" w:type="dxa"/>
            <w:vAlign w:val="bottom"/>
          </w:tcPr>
          <w:p>
            <w:pPr>
              <w:spacing w:after="0"/>
              <w:rPr>
                <w:sz w:val="1"/>
                <w:szCs w:val="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Non-U.S. government debt securities</w:t>
            </w:r>
          </w:p>
        </w:tc>
        <w:tc>
          <w:tcPr>
            <w:tcW w:w="360" w:type="dxa"/>
            <w:vAlign w:val="bottom"/>
          </w:tcPr>
          <w:p>
            <w:pPr>
              <w:spacing w:after="0"/>
              <w:rPr>
                <w:sz w:val="21"/>
                <w:szCs w:val="21"/>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6,954</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ind w:right="37"/>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(16)</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6,939</w:t>
            </w:r>
          </w:p>
        </w:tc>
        <w:tc>
          <w:tcPr>
            <w:tcW w:w="0" w:type="dxa"/>
            <w:vAlign w:val="bottom"/>
          </w:tcPr>
          <w:p>
            <w:pPr>
              <w:spacing w:after="0"/>
              <w:rPr>
                <w:sz w:val="1"/>
                <w:szCs w:val="1"/>
                <w:color w:val="auto"/>
              </w:rPr>
            </w:pPr>
          </w:p>
        </w:tc>
      </w:tr>
      <w:tr>
        <w:trPr>
          <w:trHeight w:val="27"/>
        </w:trPr>
        <w:tc>
          <w:tcPr>
            <w:tcW w:w="56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129,512</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14</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(269)</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129,257</w:t>
            </w:r>
          </w:p>
        </w:tc>
        <w:tc>
          <w:tcPr>
            <w:tcW w:w="0" w:type="dxa"/>
            <w:vAlign w:val="bottom"/>
          </w:tcPr>
          <w:p>
            <w:pPr>
              <w:spacing w:after="0"/>
              <w:rPr>
                <w:sz w:val="1"/>
                <w:szCs w:val="1"/>
                <w:color w:val="auto"/>
              </w:rPr>
            </w:pPr>
          </w:p>
        </w:tc>
      </w:tr>
      <w:tr>
        <w:trPr>
          <w:trHeight w:val="20"/>
        </w:trPr>
        <w:tc>
          <w:tcPr>
            <w:tcW w:w="56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5620" w:type="dxa"/>
            <w:vAlign w:val="bottom"/>
          </w:tcPr>
          <w:p>
            <w:pPr>
              <w:spacing w:after="0"/>
              <w:rPr>
                <w:sz w:val="24"/>
                <w:szCs w:val="24"/>
                <w:color w:val="auto"/>
              </w:rPr>
            </w:pPr>
          </w:p>
        </w:tc>
        <w:tc>
          <w:tcPr>
            <w:tcW w:w="360" w:type="dxa"/>
            <w:vAlign w:val="bottom"/>
          </w:tcPr>
          <w:p>
            <w:pPr>
              <w:spacing w:after="0"/>
              <w:rPr>
                <w:sz w:val="20"/>
                <w:szCs w:val="20"/>
                <w:color w:val="auto"/>
              </w:rPr>
            </w:pPr>
            <w:r>
              <w:rPr>
                <w:rFonts w:ascii="Arial" w:cs="Arial" w:eastAsia="Arial" w:hAnsi="Arial"/>
                <w:sz w:val="18"/>
                <w:szCs w:val="18"/>
                <w:color w:val="auto"/>
              </w:rPr>
              <w:t>10</w:t>
            </w: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1440" w:gutter="0" w:footer="0" w:header="0"/>
        </w:sectPr>
      </w:pPr>
    </w:p>
    <w:bookmarkStart w:id="11" w:name="page12"/>
    <w:bookmarkEnd w:id="11"/>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The following tables present the gross unrealized losses and the fair value for those marketable investments that were in an unrealized loss position for less than twelve months as of June 30, 2016 and December 31, 2015 (in thousands):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6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800" w:type="dxa"/>
            <w:vAlign w:val="bottom"/>
            <w:tcBorders>
              <w:bottom w:val="single" w:sz="8" w:color="auto"/>
            </w:tcBorders>
            <w:gridSpan w:val="4"/>
          </w:tcPr>
          <w:p>
            <w:pPr>
              <w:jc w:val="right"/>
              <w:ind w:right="1015"/>
              <w:spacing w:after="0"/>
              <w:rPr>
                <w:sz w:val="20"/>
                <w:szCs w:val="20"/>
                <w:color w:val="auto"/>
              </w:rPr>
            </w:pPr>
            <w:r>
              <w:rPr>
                <w:rFonts w:ascii="Arial" w:cs="Arial" w:eastAsia="Arial" w:hAnsi="Arial"/>
                <w:sz w:val="14"/>
                <w:szCs w:val="14"/>
                <w:b w:val="1"/>
                <w:bCs w:val="1"/>
                <w:color w:val="auto"/>
              </w:rPr>
              <w:t>June 30, 2016</w:t>
            </w:r>
          </w:p>
        </w:tc>
        <w:tc>
          <w:tcPr>
            <w:tcW w:w="0" w:type="dxa"/>
            <w:vAlign w:val="bottom"/>
          </w:tcPr>
          <w:p>
            <w:pPr>
              <w:spacing w:after="0"/>
              <w:rPr>
                <w:sz w:val="1"/>
                <w:szCs w:val="1"/>
                <w:color w:val="auto"/>
              </w:rPr>
            </w:pPr>
          </w:p>
        </w:tc>
      </w:tr>
      <w:tr>
        <w:trPr>
          <w:trHeight w:val="152"/>
        </w:trPr>
        <w:tc>
          <w:tcPr>
            <w:tcW w:w="83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32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Fair Value</w:t>
            </w:r>
          </w:p>
        </w:tc>
        <w:tc>
          <w:tcPr>
            <w:tcW w:w="160" w:type="dxa"/>
            <w:vAlign w:val="bottom"/>
          </w:tcPr>
          <w:p>
            <w:pPr>
              <w:spacing w:after="0"/>
              <w:rPr>
                <w:sz w:val="13"/>
                <w:szCs w:val="13"/>
                <w:color w:val="auto"/>
              </w:rPr>
            </w:pPr>
          </w:p>
        </w:tc>
        <w:tc>
          <w:tcPr>
            <w:tcW w:w="1320" w:type="dxa"/>
            <w:vAlign w:val="bottom"/>
          </w:tcPr>
          <w:p>
            <w:pPr>
              <w:jc w:val="center"/>
              <w:ind w:right="55"/>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0" w:type="dxa"/>
            <w:vAlign w:val="bottom"/>
          </w:tcPr>
          <w:p>
            <w:pPr>
              <w:spacing w:after="0"/>
              <w:rPr>
                <w:sz w:val="1"/>
                <w:szCs w:val="1"/>
                <w:color w:val="auto"/>
              </w:rPr>
            </w:pPr>
          </w:p>
        </w:tc>
      </w:tr>
      <w:tr>
        <w:trPr>
          <w:trHeight w:val="192"/>
        </w:trPr>
        <w:tc>
          <w:tcPr>
            <w:tcW w:w="83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32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320" w:type="dxa"/>
            <w:vAlign w:val="bottom"/>
          </w:tcPr>
          <w:p>
            <w:pPr>
              <w:jc w:val="center"/>
              <w:ind w:right="75"/>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250"/>
        </w:trPr>
        <w:tc>
          <w:tcPr>
            <w:tcW w:w="83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 States and Municipalities</w:t>
            </w: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2,022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32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Corporate bonds</w:t>
            </w:r>
          </w:p>
        </w:tc>
        <w:tc>
          <w:tcPr>
            <w:tcW w:w="260" w:type="dxa"/>
            <w:vAlign w:val="bottom"/>
          </w:tcPr>
          <w:p>
            <w:pPr>
              <w:spacing w:after="0"/>
              <w:rPr>
                <w:sz w:val="21"/>
                <w:szCs w:val="21"/>
                <w:color w:val="auto"/>
              </w:rPr>
            </w:pPr>
          </w:p>
        </w:tc>
        <w:tc>
          <w:tcPr>
            <w:tcW w:w="1220" w:type="dxa"/>
            <w:vAlign w:val="bottom"/>
          </w:tcPr>
          <w:p>
            <w:pPr>
              <w:jc w:val="right"/>
              <w:ind w:right="15"/>
              <w:spacing w:after="0"/>
              <w:rPr>
                <w:sz w:val="20"/>
                <w:szCs w:val="20"/>
                <w:color w:val="auto"/>
              </w:rPr>
            </w:pPr>
            <w:r>
              <w:rPr>
                <w:rFonts w:ascii="Arial" w:cs="Arial" w:eastAsia="Arial" w:hAnsi="Arial"/>
                <w:sz w:val="18"/>
                <w:szCs w:val="18"/>
                <w:color w:val="auto"/>
              </w:rPr>
              <w:t>8,174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Non-U.S. government debt securities</w:t>
            </w: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1,836</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37"/>
        </w:trPr>
        <w:tc>
          <w:tcPr>
            <w:tcW w:w="8360" w:type="dxa"/>
            <w:vAlign w:val="bottom"/>
          </w:tcPr>
          <w:p>
            <w:pPr>
              <w:ind w:left="180"/>
              <w:spacing w:after="0"/>
              <w:rPr>
                <w:sz w:val="20"/>
                <w:szCs w:val="20"/>
                <w:color w:val="auto"/>
              </w:rPr>
            </w:pPr>
            <w:r>
              <w:rPr>
                <w:rFonts w:ascii="Arial" w:cs="Arial" w:eastAsia="Arial" w:hAnsi="Arial"/>
                <w:sz w:val="18"/>
                <w:szCs w:val="18"/>
                <w:color w:val="auto"/>
              </w:rPr>
              <w:t>Total</w:t>
            </w: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15"/>
              <w:spacing w:after="0"/>
              <w:rPr>
                <w:sz w:val="20"/>
                <w:szCs w:val="20"/>
                <w:color w:val="auto"/>
              </w:rPr>
            </w:pPr>
            <w:r>
              <w:rPr>
                <w:rFonts w:ascii="Arial" w:cs="Arial" w:eastAsia="Arial" w:hAnsi="Arial"/>
                <w:sz w:val="18"/>
                <w:szCs w:val="18"/>
                <w:color w:val="auto"/>
              </w:rPr>
              <w:t>12,032</w:t>
            </w:r>
          </w:p>
        </w:tc>
        <w:tc>
          <w:tcPr>
            <w:tcW w:w="10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83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Borders>
              <w:bottom w:val="single" w:sz="8" w:color="auto"/>
            </w:tcBorders>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2"/>
        </w:trPr>
        <w:tc>
          <w:tcPr>
            <w:tcW w:w="83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800" w:type="dxa"/>
            <w:vAlign w:val="bottom"/>
            <w:tcBorders>
              <w:bottom w:val="single" w:sz="8" w:color="auto"/>
            </w:tcBorders>
            <w:gridSpan w:val="4"/>
          </w:tcPr>
          <w:p>
            <w:pPr>
              <w:jc w:val="right"/>
              <w:ind w:right="855"/>
              <w:spacing w:after="0"/>
              <w:rPr>
                <w:sz w:val="20"/>
                <w:szCs w:val="20"/>
                <w:color w:val="auto"/>
              </w:rPr>
            </w:pPr>
            <w:r>
              <w:rPr>
                <w:rFonts w:ascii="Arial" w:cs="Arial" w:eastAsia="Arial" w:hAnsi="Arial"/>
                <w:sz w:val="14"/>
                <w:szCs w:val="14"/>
                <w:b w:val="1"/>
                <w:bCs w:val="1"/>
                <w:color w:val="auto"/>
              </w:rPr>
              <w:t>December 31, 2015</w:t>
            </w:r>
          </w:p>
        </w:tc>
        <w:tc>
          <w:tcPr>
            <w:tcW w:w="0" w:type="dxa"/>
            <w:vAlign w:val="bottom"/>
          </w:tcPr>
          <w:p>
            <w:pPr>
              <w:spacing w:after="0"/>
              <w:rPr>
                <w:sz w:val="1"/>
                <w:szCs w:val="1"/>
                <w:color w:val="auto"/>
              </w:rPr>
            </w:pPr>
          </w:p>
        </w:tc>
      </w:tr>
      <w:tr>
        <w:trPr>
          <w:trHeight w:val="152"/>
        </w:trPr>
        <w:tc>
          <w:tcPr>
            <w:tcW w:w="83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32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Fair Value</w:t>
            </w:r>
          </w:p>
        </w:tc>
        <w:tc>
          <w:tcPr>
            <w:tcW w:w="160" w:type="dxa"/>
            <w:vAlign w:val="bottom"/>
          </w:tcPr>
          <w:p>
            <w:pPr>
              <w:spacing w:after="0"/>
              <w:rPr>
                <w:sz w:val="13"/>
                <w:szCs w:val="13"/>
                <w:color w:val="auto"/>
              </w:rPr>
            </w:pPr>
          </w:p>
        </w:tc>
        <w:tc>
          <w:tcPr>
            <w:tcW w:w="1320" w:type="dxa"/>
            <w:vAlign w:val="bottom"/>
          </w:tcPr>
          <w:p>
            <w:pPr>
              <w:jc w:val="center"/>
              <w:ind w:right="55"/>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0" w:type="dxa"/>
            <w:vAlign w:val="bottom"/>
          </w:tcPr>
          <w:p>
            <w:pPr>
              <w:spacing w:after="0"/>
              <w:rPr>
                <w:sz w:val="1"/>
                <w:szCs w:val="1"/>
                <w:color w:val="auto"/>
              </w:rPr>
            </w:pPr>
          </w:p>
        </w:tc>
      </w:tr>
      <w:tr>
        <w:trPr>
          <w:trHeight w:val="192"/>
        </w:trPr>
        <w:tc>
          <w:tcPr>
            <w:tcW w:w="83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32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320" w:type="dxa"/>
            <w:vAlign w:val="bottom"/>
          </w:tcPr>
          <w:p>
            <w:pPr>
              <w:jc w:val="center"/>
              <w:ind w:right="75"/>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250"/>
        </w:trPr>
        <w:tc>
          <w:tcPr>
            <w:tcW w:w="83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Commercial paper</w:t>
            </w: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4,746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U.S. Treasury</w:t>
            </w:r>
          </w:p>
        </w:tc>
        <w:tc>
          <w:tcPr>
            <w:tcW w:w="260" w:type="dxa"/>
            <w:vAlign w:val="bottom"/>
          </w:tcPr>
          <w:p>
            <w:pPr>
              <w:spacing w:after="0"/>
              <w:rPr>
                <w:sz w:val="21"/>
                <w:szCs w:val="21"/>
                <w:color w:val="auto"/>
              </w:rPr>
            </w:pPr>
          </w:p>
        </w:tc>
        <w:tc>
          <w:tcPr>
            <w:tcW w:w="1220" w:type="dxa"/>
            <w:vAlign w:val="bottom"/>
          </w:tcPr>
          <w:p>
            <w:pPr>
              <w:jc w:val="right"/>
              <w:ind w:right="15"/>
              <w:spacing w:after="0"/>
              <w:rPr>
                <w:sz w:val="20"/>
                <w:szCs w:val="20"/>
                <w:color w:val="auto"/>
              </w:rPr>
            </w:pPr>
            <w:r>
              <w:rPr>
                <w:rFonts w:ascii="Arial" w:cs="Arial" w:eastAsia="Arial" w:hAnsi="Arial"/>
                <w:sz w:val="18"/>
                <w:szCs w:val="18"/>
                <w:color w:val="auto"/>
              </w:rPr>
              <w:t>12,453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 agency securities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13,475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U.S. states and municipalities</w:t>
            </w:r>
          </w:p>
        </w:tc>
        <w:tc>
          <w:tcPr>
            <w:tcW w:w="260" w:type="dxa"/>
            <w:vAlign w:val="bottom"/>
          </w:tcPr>
          <w:p>
            <w:pPr>
              <w:spacing w:after="0"/>
              <w:rPr>
                <w:sz w:val="21"/>
                <w:szCs w:val="21"/>
                <w:color w:val="auto"/>
              </w:rPr>
            </w:pPr>
          </w:p>
        </w:tc>
        <w:tc>
          <w:tcPr>
            <w:tcW w:w="1220" w:type="dxa"/>
            <w:vAlign w:val="bottom"/>
          </w:tcPr>
          <w:p>
            <w:pPr>
              <w:jc w:val="right"/>
              <w:ind w:right="15"/>
              <w:spacing w:after="0"/>
              <w:rPr>
                <w:sz w:val="20"/>
                <w:szCs w:val="20"/>
                <w:color w:val="auto"/>
              </w:rPr>
            </w:pPr>
            <w:r>
              <w:rPr>
                <w:rFonts w:ascii="Arial" w:cs="Arial" w:eastAsia="Arial" w:hAnsi="Arial"/>
                <w:sz w:val="18"/>
                <w:szCs w:val="18"/>
                <w:color w:val="auto"/>
              </w:rPr>
              <w:t>2,084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Corporate bonds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59,163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(189)</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Non-U.S. government debt securities</w:t>
            </w:r>
          </w:p>
        </w:tc>
        <w:tc>
          <w:tcPr>
            <w:tcW w:w="260" w:type="dxa"/>
            <w:vAlign w:val="bottom"/>
          </w:tcPr>
          <w:p>
            <w:pPr>
              <w:spacing w:after="0"/>
              <w:rPr>
                <w:sz w:val="21"/>
                <w:szCs w:val="21"/>
                <w:color w:val="auto"/>
              </w:rPr>
            </w:pPr>
          </w:p>
        </w:tc>
        <w:tc>
          <w:tcPr>
            <w:tcW w:w="1220" w:type="dxa"/>
            <w:vAlign w:val="bottom"/>
          </w:tcPr>
          <w:p>
            <w:pPr>
              <w:jc w:val="right"/>
              <w:ind w:right="15"/>
              <w:spacing w:after="0"/>
              <w:rPr>
                <w:sz w:val="20"/>
                <w:szCs w:val="20"/>
                <w:color w:val="auto"/>
              </w:rPr>
            </w:pPr>
            <w:r>
              <w:rPr>
                <w:rFonts w:ascii="Arial" w:cs="Arial" w:eastAsia="Arial" w:hAnsi="Arial"/>
                <w:sz w:val="18"/>
                <w:szCs w:val="18"/>
                <w:color w:val="auto"/>
              </w:rPr>
              <w:t>5,881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97,802</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(269)</w:t>
            </w:r>
          </w:p>
        </w:tc>
        <w:tc>
          <w:tcPr>
            <w:tcW w:w="0" w:type="dxa"/>
            <w:vAlign w:val="bottom"/>
          </w:tcPr>
          <w:p>
            <w:pPr>
              <w:spacing w:after="0"/>
              <w:rPr>
                <w:sz w:val="1"/>
                <w:szCs w:val="1"/>
                <w:color w:val="auto"/>
              </w:rPr>
            </w:pPr>
          </w:p>
        </w:tc>
      </w:tr>
      <w:tr>
        <w:trPr>
          <w:trHeight w:val="20"/>
        </w:trPr>
        <w:tc>
          <w:tcPr>
            <w:tcW w:w="836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June 30, 2016 and December 31, 2015, there were no securities that had been in a loss position for more than twelve months.</w:t>
      </w:r>
    </w:p>
    <w:p>
      <w:pPr>
        <w:spacing w:after="0" w:line="17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contractual maturities of the Company’s marketable investments as of June 30, 2016 and December 31, 2015 were as follows (in thousands):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300" w:type="dxa"/>
            <w:vAlign w:val="bottom"/>
            <w:gridSpan w:val="2"/>
          </w:tcPr>
          <w:p>
            <w:pPr>
              <w:ind w:left="180"/>
              <w:spacing w:after="0"/>
              <w:rPr>
                <w:sz w:val="20"/>
                <w:szCs w:val="20"/>
                <w:color w:val="auto"/>
              </w:rPr>
            </w:pPr>
            <w:r>
              <w:rPr>
                <w:rFonts w:ascii="Arial" w:cs="Arial" w:eastAsia="Arial" w:hAnsi="Arial"/>
                <w:sz w:val="14"/>
                <w:szCs w:val="14"/>
                <w:b w:val="1"/>
                <w:bCs w:val="1"/>
                <w:color w:val="auto"/>
              </w:rPr>
              <w:t>June 30,</w:t>
            </w:r>
          </w:p>
        </w:tc>
        <w:tc>
          <w:tcPr>
            <w:tcW w:w="140" w:type="dxa"/>
            <w:vAlign w:val="bottom"/>
          </w:tcPr>
          <w:p>
            <w:pPr>
              <w:spacing w:after="0"/>
              <w:rPr>
                <w:sz w:val="14"/>
                <w:szCs w:val="14"/>
                <w:color w:val="auto"/>
              </w:rPr>
            </w:pPr>
          </w:p>
        </w:tc>
        <w:tc>
          <w:tcPr>
            <w:tcW w:w="1340" w:type="dxa"/>
            <w:vAlign w:val="bottom"/>
            <w:vMerge w:val="restart"/>
          </w:tcPr>
          <w:p>
            <w:pPr>
              <w:jc w:val="right"/>
              <w:ind w:right="74"/>
              <w:spacing w:after="0"/>
              <w:rPr>
                <w:sz w:val="20"/>
                <w:szCs w:val="20"/>
                <w:color w:val="auto"/>
              </w:rPr>
            </w:pPr>
            <w:r>
              <w:rPr>
                <w:rFonts w:ascii="Arial" w:cs="Arial" w:eastAsia="Arial" w:hAnsi="Arial"/>
                <w:sz w:val="14"/>
                <w:szCs w:val="14"/>
                <w:b w:val="1"/>
                <w:bCs w:val="1"/>
                <w:color w:val="auto"/>
                <w:w w:val="91"/>
              </w:rPr>
              <w:t>December 31, 2015</w:t>
            </w:r>
          </w:p>
        </w:tc>
        <w:tc>
          <w:tcPr>
            <w:tcW w:w="0" w:type="dxa"/>
            <w:vAlign w:val="bottom"/>
          </w:tcPr>
          <w:p>
            <w:pPr>
              <w:spacing w:after="0"/>
              <w:rPr>
                <w:sz w:val="1"/>
                <w:szCs w:val="1"/>
                <w:color w:val="auto"/>
              </w:rPr>
            </w:pPr>
          </w:p>
        </w:tc>
      </w:tr>
      <w:tr>
        <w:trPr>
          <w:trHeight w:val="192"/>
        </w:trPr>
        <w:tc>
          <w:tcPr>
            <w:tcW w:w="83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19"/>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834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2780" w:type="dxa"/>
            <w:vAlign w:val="bottom"/>
            <w:tcBorders>
              <w:bottom w:val="single" w:sz="8" w:color="auto"/>
            </w:tcBorders>
            <w:gridSpan w:val="4"/>
          </w:tcPr>
          <w:p>
            <w:pPr>
              <w:jc w:val="right"/>
              <w:ind w:right="1114"/>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Due in one year</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105,284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62,983</w:t>
            </w:r>
          </w:p>
        </w:tc>
        <w:tc>
          <w:tcPr>
            <w:tcW w:w="0" w:type="dxa"/>
            <w:vAlign w:val="bottom"/>
          </w:tcPr>
          <w:p>
            <w:pPr>
              <w:spacing w:after="0"/>
              <w:rPr>
                <w:sz w:val="1"/>
                <w:szCs w:val="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Due in one to five years</w:t>
            </w:r>
          </w:p>
        </w:tc>
        <w:tc>
          <w:tcPr>
            <w:tcW w:w="300" w:type="dxa"/>
            <w:vAlign w:val="bottom"/>
          </w:tcPr>
          <w:p>
            <w:pPr>
              <w:spacing w:after="0"/>
              <w:rPr>
                <w:sz w:val="21"/>
                <w:szCs w:val="21"/>
                <w:color w:val="auto"/>
              </w:rPr>
            </w:pPr>
          </w:p>
        </w:tc>
        <w:tc>
          <w:tcPr>
            <w:tcW w:w="1200" w:type="dxa"/>
            <w:vAlign w:val="bottom"/>
          </w:tcPr>
          <w:p>
            <w:pPr>
              <w:jc w:val="right"/>
              <w:ind w:right="19"/>
              <w:spacing w:after="0"/>
              <w:rPr>
                <w:sz w:val="20"/>
                <w:szCs w:val="20"/>
                <w:color w:val="auto"/>
              </w:rPr>
            </w:pPr>
            <w:r>
              <w:rPr>
                <w:rFonts w:ascii="Arial" w:cs="Arial" w:eastAsia="Arial" w:hAnsi="Arial"/>
                <w:sz w:val="18"/>
                <w:szCs w:val="18"/>
                <w:color w:val="auto"/>
              </w:rPr>
              <w:t>20,665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4"/>
              <w:spacing w:after="0"/>
              <w:rPr>
                <w:sz w:val="20"/>
                <w:szCs w:val="20"/>
                <w:color w:val="auto"/>
              </w:rPr>
            </w:pPr>
            <w:r>
              <w:rPr>
                <w:rFonts w:ascii="Arial" w:cs="Arial" w:eastAsia="Arial" w:hAnsi="Arial"/>
                <w:sz w:val="18"/>
                <w:szCs w:val="18"/>
                <w:color w:val="auto"/>
              </w:rPr>
              <w:t>66,274</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125,949</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129,257</w:t>
            </w:r>
          </w:p>
        </w:tc>
        <w:tc>
          <w:tcPr>
            <w:tcW w:w="0" w:type="dxa"/>
            <w:vAlign w:val="bottom"/>
          </w:tcPr>
          <w:p>
            <w:pPr>
              <w:spacing w:after="0"/>
              <w:rPr>
                <w:sz w:val="1"/>
                <w:szCs w:val="1"/>
                <w:color w:val="auto"/>
              </w:rPr>
            </w:pPr>
          </w:p>
        </w:tc>
      </w:tr>
      <w:tr>
        <w:trPr>
          <w:trHeight w:val="20"/>
        </w:trPr>
        <w:tc>
          <w:tcPr>
            <w:tcW w:w="83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Inventories</w:t>
      </w:r>
    </w:p>
    <w:p>
      <w:pPr>
        <w:spacing w:after="0" w:line="175" w:lineRule="exact"/>
        <w:rPr>
          <w:sz w:val="20"/>
          <w:szCs w:val="20"/>
          <w:color w:val="auto"/>
        </w:rPr>
      </w:pPr>
    </w:p>
    <w:p>
      <w:pPr>
        <w:ind w:right="40" w:firstLine="324"/>
        <w:spacing w:after="0" w:line="342" w:lineRule="auto"/>
        <w:rPr>
          <w:sz w:val="20"/>
          <w:szCs w:val="20"/>
          <w:color w:val="auto"/>
        </w:rPr>
      </w:pPr>
      <w:r>
        <w:rPr>
          <w:rFonts w:ascii="Arial" w:cs="Arial" w:eastAsia="Arial" w:hAnsi="Arial"/>
          <w:sz w:val="16"/>
          <w:szCs w:val="16"/>
          <w:color w:val="auto"/>
        </w:rPr>
        <w:t>Inventories are stated at the lower of cost (determined under the first-in first-out method) or market. Inventory quantities are reviewed in consideration of actual loss experience, projected future demand and remaining shelf life to record a provision for excess and obsolete inventory when appropriate.</w:t>
      </w:r>
    </w:p>
    <w:p>
      <w:pPr>
        <w:spacing w:after="0" w:line="70"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components of inventories as of June 30, 2016 and December 31, 2015 consisted of the following (in thousands):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420" w:type="dxa"/>
            <w:vAlign w:val="bottom"/>
          </w:tcPr>
          <w:p>
            <w:pPr>
              <w:spacing w:after="0"/>
              <w:rPr>
                <w:sz w:val="14"/>
                <w:szCs w:val="14"/>
                <w:color w:val="auto"/>
              </w:rPr>
            </w:pPr>
          </w:p>
        </w:tc>
        <w:tc>
          <w:tcPr>
            <w:tcW w:w="49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00" w:type="dxa"/>
            <w:vAlign w:val="bottom"/>
            <w:gridSpan w:val="2"/>
          </w:tcPr>
          <w:p>
            <w:pPr>
              <w:ind w:left="180"/>
              <w:spacing w:after="0"/>
              <w:rPr>
                <w:sz w:val="20"/>
                <w:szCs w:val="20"/>
                <w:color w:val="auto"/>
              </w:rPr>
            </w:pPr>
            <w:r>
              <w:rPr>
                <w:rFonts w:ascii="Arial" w:cs="Arial" w:eastAsia="Arial" w:hAnsi="Arial"/>
                <w:sz w:val="14"/>
                <w:szCs w:val="14"/>
                <w:b w:val="1"/>
                <w:bCs w:val="1"/>
                <w:color w:val="auto"/>
              </w:rPr>
              <w:t>June 30,</w:t>
            </w:r>
          </w:p>
        </w:tc>
        <w:tc>
          <w:tcPr>
            <w:tcW w:w="220" w:type="dxa"/>
            <w:vAlign w:val="bottom"/>
          </w:tcPr>
          <w:p>
            <w:pPr>
              <w:spacing w:after="0"/>
              <w:rPr>
                <w:sz w:val="14"/>
                <w:szCs w:val="14"/>
                <w:color w:val="auto"/>
              </w:rPr>
            </w:pPr>
          </w:p>
        </w:tc>
        <w:tc>
          <w:tcPr>
            <w:tcW w:w="1260" w:type="dxa"/>
            <w:vAlign w:val="bottom"/>
          </w:tcPr>
          <w:p>
            <w:pPr>
              <w:jc w:val="right"/>
              <w:ind w:right="256"/>
              <w:spacing w:after="0"/>
              <w:rPr>
                <w:sz w:val="20"/>
                <w:szCs w:val="20"/>
                <w:color w:val="auto"/>
              </w:rPr>
            </w:pPr>
            <w:r>
              <w:rPr>
                <w:rFonts w:ascii="Arial" w:cs="Arial" w:eastAsia="Arial" w:hAnsi="Arial"/>
                <w:sz w:val="14"/>
                <w:szCs w:val="14"/>
                <w:b w:val="1"/>
                <w:bCs w:val="1"/>
                <w:color w:val="auto"/>
                <w:w w:val="98"/>
              </w:rPr>
              <w:t>December 31,</w:t>
            </w:r>
          </w:p>
        </w:tc>
        <w:tc>
          <w:tcPr>
            <w:tcW w:w="0" w:type="dxa"/>
            <w:vAlign w:val="bottom"/>
          </w:tcPr>
          <w:p>
            <w:pPr>
              <w:spacing w:after="0"/>
              <w:rPr>
                <w:sz w:val="1"/>
                <w:szCs w:val="1"/>
                <w:color w:val="auto"/>
              </w:rPr>
            </w:pPr>
          </w:p>
        </w:tc>
      </w:tr>
      <w:tr>
        <w:trPr>
          <w:trHeight w:val="192"/>
        </w:trPr>
        <w:tc>
          <w:tcPr>
            <w:tcW w:w="3420" w:type="dxa"/>
            <w:vAlign w:val="bottom"/>
            <w:tcBorders>
              <w:bottom w:val="single" w:sz="8" w:color="CCEEFF"/>
            </w:tcBorders>
          </w:tcPr>
          <w:p>
            <w:pPr>
              <w:spacing w:after="0"/>
              <w:rPr>
                <w:sz w:val="16"/>
                <w:szCs w:val="16"/>
                <w:color w:val="auto"/>
              </w:rPr>
            </w:pPr>
          </w:p>
        </w:tc>
        <w:tc>
          <w:tcPr>
            <w:tcW w:w="494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250"/>
        </w:trPr>
        <w:tc>
          <w:tcPr>
            <w:tcW w:w="3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Raw materials</w:t>
            </w:r>
          </w:p>
        </w:tc>
        <w:tc>
          <w:tcPr>
            <w:tcW w:w="5220" w:type="dxa"/>
            <w:vAlign w:val="bottom"/>
            <w:tcBorders>
              <w:bottom w:val="single" w:sz="8" w:color="CCEEFF"/>
            </w:tcBorders>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10,560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9,176</w:t>
            </w:r>
          </w:p>
        </w:tc>
        <w:tc>
          <w:tcPr>
            <w:tcW w:w="0" w:type="dxa"/>
            <w:vAlign w:val="bottom"/>
          </w:tcPr>
          <w:p>
            <w:pPr>
              <w:spacing w:after="0"/>
              <w:rPr>
                <w:sz w:val="1"/>
                <w:szCs w:val="1"/>
                <w:color w:val="auto"/>
              </w:rPr>
            </w:pPr>
          </w:p>
        </w:tc>
      </w:tr>
      <w:tr>
        <w:trPr>
          <w:trHeight w:val="243"/>
        </w:trPr>
        <w:tc>
          <w:tcPr>
            <w:tcW w:w="3420" w:type="dxa"/>
            <w:vAlign w:val="bottom"/>
          </w:tcPr>
          <w:p>
            <w:pPr>
              <w:ind w:left="40"/>
              <w:spacing w:after="0"/>
              <w:rPr>
                <w:sz w:val="20"/>
                <w:szCs w:val="20"/>
                <w:color w:val="auto"/>
              </w:rPr>
            </w:pPr>
            <w:r>
              <w:rPr>
                <w:rFonts w:ascii="Arial" w:cs="Arial" w:eastAsia="Arial" w:hAnsi="Arial"/>
                <w:sz w:val="18"/>
                <w:szCs w:val="18"/>
                <w:color w:val="auto"/>
              </w:rPr>
              <w:t>Work in process</w:t>
            </w:r>
          </w:p>
        </w:tc>
        <w:tc>
          <w:tcPr>
            <w:tcW w:w="49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6"/>
              <w:spacing w:after="0"/>
              <w:rPr>
                <w:sz w:val="20"/>
                <w:szCs w:val="20"/>
                <w:color w:val="auto"/>
              </w:rPr>
            </w:pPr>
            <w:r>
              <w:rPr>
                <w:rFonts w:ascii="Arial" w:cs="Arial" w:eastAsia="Arial" w:hAnsi="Arial"/>
                <w:sz w:val="18"/>
                <w:szCs w:val="18"/>
                <w:color w:val="auto"/>
              </w:rPr>
              <w:t>3,175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6"/>
              <w:spacing w:after="0"/>
              <w:rPr>
                <w:sz w:val="20"/>
                <w:szCs w:val="20"/>
                <w:color w:val="auto"/>
              </w:rPr>
            </w:pPr>
            <w:r>
              <w:rPr>
                <w:rFonts w:ascii="Arial" w:cs="Arial" w:eastAsia="Arial" w:hAnsi="Arial"/>
                <w:sz w:val="18"/>
                <w:szCs w:val="18"/>
                <w:color w:val="auto"/>
              </w:rPr>
              <w:t>2,746</w:t>
            </w:r>
          </w:p>
        </w:tc>
        <w:tc>
          <w:tcPr>
            <w:tcW w:w="0" w:type="dxa"/>
            <w:vAlign w:val="bottom"/>
          </w:tcPr>
          <w:p>
            <w:pPr>
              <w:spacing w:after="0"/>
              <w:rPr>
                <w:sz w:val="1"/>
                <w:szCs w:val="1"/>
                <w:color w:val="auto"/>
              </w:rPr>
            </w:pPr>
          </w:p>
        </w:tc>
      </w:tr>
      <w:tr>
        <w:trPr>
          <w:trHeight w:val="27"/>
        </w:trPr>
        <w:tc>
          <w:tcPr>
            <w:tcW w:w="3420" w:type="dxa"/>
            <w:vAlign w:val="bottom"/>
          </w:tcPr>
          <w:p>
            <w:pPr>
              <w:spacing w:after="0"/>
              <w:rPr>
                <w:sz w:val="2"/>
                <w:szCs w:val="2"/>
                <w:color w:val="auto"/>
              </w:rPr>
            </w:pPr>
          </w:p>
        </w:tc>
        <w:tc>
          <w:tcPr>
            <w:tcW w:w="49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Finished goods</w:t>
            </w:r>
          </w:p>
        </w:tc>
        <w:tc>
          <w:tcPr>
            <w:tcW w:w="494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54,671</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44,839</w:t>
            </w:r>
          </w:p>
        </w:tc>
        <w:tc>
          <w:tcPr>
            <w:tcW w:w="0" w:type="dxa"/>
            <w:vAlign w:val="bottom"/>
          </w:tcPr>
          <w:p>
            <w:pPr>
              <w:spacing w:after="0"/>
              <w:rPr>
                <w:sz w:val="1"/>
                <w:szCs w:val="1"/>
                <w:color w:val="auto"/>
              </w:rPr>
            </w:pPr>
          </w:p>
        </w:tc>
      </w:tr>
      <w:tr>
        <w:trPr>
          <w:trHeight w:val="237"/>
        </w:trPr>
        <w:tc>
          <w:tcPr>
            <w:tcW w:w="3420" w:type="dxa"/>
            <w:vAlign w:val="bottom"/>
          </w:tcPr>
          <w:p>
            <w:pPr>
              <w:ind w:left="180"/>
              <w:spacing w:after="0"/>
              <w:rPr>
                <w:sz w:val="20"/>
                <w:szCs w:val="20"/>
                <w:color w:val="auto"/>
              </w:rPr>
            </w:pPr>
            <w:r>
              <w:rPr>
                <w:rFonts w:ascii="Arial" w:cs="Arial" w:eastAsia="Arial" w:hAnsi="Arial"/>
                <w:sz w:val="18"/>
                <w:szCs w:val="18"/>
                <w:color w:val="auto"/>
              </w:rPr>
              <w:t>Inventories</w:t>
            </w:r>
          </w:p>
        </w:tc>
        <w:tc>
          <w:tcPr>
            <w:tcW w:w="494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68,406</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56,761</w:t>
            </w:r>
          </w:p>
        </w:tc>
        <w:tc>
          <w:tcPr>
            <w:tcW w:w="0" w:type="dxa"/>
            <w:vAlign w:val="bottom"/>
          </w:tcPr>
          <w:p>
            <w:pPr>
              <w:spacing w:after="0"/>
              <w:rPr>
                <w:sz w:val="1"/>
                <w:szCs w:val="1"/>
                <w:color w:val="auto"/>
              </w:rPr>
            </w:pPr>
          </w:p>
        </w:tc>
      </w:tr>
      <w:tr>
        <w:trPr>
          <w:trHeight w:val="27"/>
        </w:trPr>
        <w:tc>
          <w:tcPr>
            <w:tcW w:w="3420" w:type="dxa"/>
            <w:vAlign w:val="bottom"/>
          </w:tcPr>
          <w:p>
            <w:pPr>
              <w:spacing w:after="0"/>
              <w:rPr>
                <w:sz w:val="2"/>
                <w:szCs w:val="2"/>
                <w:color w:val="auto"/>
              </w:rPr>
            </w:pPr>
          </w:p>
        </w:tc>
        <w:tc>
          <w:tcPr>
            <w:tcW w:w="4940" w:type="dxa"/>
            <w:vAlign w:val="bottom"/>
            <w:vMerge w:val="restart"/>
          </w:tcPr>
          <w:p>
            <w:pPr>
              <w:jc w:val="right"/>
              <w:ind w:right="2470"/>
              <w:spacing w:after="0"/>
              <w:rPr>
                <w:sz w:val="20"/>
                <w:szCs w:val="20"/>
                <w:color w:val="auto"/>
              </w:rPr>
            </w:pPr>
            <w:r>
              <w:rPr>
                <w:rFonts w:ascii="Arial" w:cs="Arial" w:eastAsia="Arial" w:hAnsi="Arial"/>
                <w:sz w:val="18"/>
                <w:szCs w:val="18"/>
                <w:color w:val="auto"/>
              </w:rPr>
              <w:t>11</w:t>
            </w: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420" w:type="dxa"/>
            <w:vAlign w:val="bottom"/>
          </w:tcPr>
          <w:p>
            <w:pPr>
              <w:spacing w:after="0" w:line="20" w:lineRule="exact"/>
              <w:rPr>
                <w:sz w:val="1"/>
                <w:szCs w:val="1"/>
                <w:color w:val="auto"/>
              </w:rPr>
            </w:pPr>
          </w:p>
        </w:tc>
        <w:tc>
          <w:tcPr>
            <w:tcW w:w="4940" w:type="dxa"/>
            <w:vAlign w:val="bottom"/>
            <w:vMerge w:val="continue"/>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3420" w:type="dxa"/>
            <w:vAlign w:val="bottom"/>
          </w:tcPr>
          <w:p>
            <w:pPr>
              <w:spacing w:after="0"/>
              <w:rPr>
                <w:sz w:val="24"/>
                <w:szCs w:val="24"/>
                <w:color w:val="auto"/>
              </w:rPr>
            </w:pPr>
          </w:p>
        </w:tc>
        <w:tc>
          <w:tcPr>
            <w:tcW w:w="494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1440" w:gutter="0" w:footer="0" w:header="0"/>
        </w:sectPr>
      </w:pPr>
    </w:p>
    <w:bookmarkStart w:id="12" w:name="page13"/>
    <w:bookmarkEnd w:id="12"/>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Property and Equipment, Net</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Property and equipment, net as of June 30, 2016 and December 31, 2015 consisted of the following (in thousands):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00" w:type="dxa"/>
            <w:vAlign w:val="bottom"/>
            <w:gridSpan w:val="2"/>
          </w:tcPr>
          <w:p>
            <w:pPr>
              <w:ind w:left="180"/>
              <w:spacing w:after="0"/>
              <w:rPr>
                <w:sz w:val="20"/>
                <w:szCs w:val="20"/>
                <w:color w:val="auto"/>
              </w:rPr>
            </w:pPr>
            <w:r>
              <w:rPr>
                <w:rFonts w:ascii="Arial" w:cs="Arial" w:eastAsia="Arial" w:hAnsi="Arial"/>
                <w:sz w:val="14"/>
                <w:szCs w:val="14"/>
                <w:b w:val="1"/>
                <w:bCs w:val="1"/>
                <w:color w:val="auto"/>
              </w:rPr>
              <w:t>June 30,</w:t>
            </w:r>
          </w:p>
        </w:tc>
        <w:tc>
          <w:tcPr>
            <w:tcW w:w="220" w:type="dxa"/>
            <w:vAlign w:val="bottom"/>
          </w:tcPr>
          <w:p>
            <w:pPr>
              <w:spacing w:after="0"/>
              <w:rPr>
                <w:sz w:val="14"/>
                <w:szCs w:val="14"/>
                <w:color w:val="auto"/>
              </w:rPr>
            </w:pPr>
          </w:p>
        </w:tc>
        <w:tc>
          <w:tcPr>
            <w:tcW w:w="1260" w:type="dxa"/>
            <w:vAlign w:val="bottom"/>
          </w:tcPr>
          <w:p>
            <w:pPr>
              <w:jc w:val="right"/>
              <w:ind w:right="253"/>
              <w:spacing w:after="0"/>
              <w:rPr>
                <w:sz w:val="20"/>
                <w:szCs w:val="20"/>
                <w:color w:val="auto"/>
              </w:rPr>
            </w:pPr>
            <w:r>
              <w:rPr>
                <w:rFonts w:ascii="Arial" w:cs="Arial" w:eastAsia="Arial" w:hAnsi="Arial"/>
                <w:sz w:val="14"/>
                <w:szCs w:val="14"/>
                <w:b w:val="1"/>
                <w:bCs w:val="1"/>
                <w:color w:val="auto"/>
                <w:w w:val="98"/>
              </w:rPr>
              <w:t>December 31,</w:t>
            </w:r>
          </w:p>
        </w:tc>
      </w:tr>
      <w:tr>
        <w:trPr>
          <w:trHeight w:val="192"/>
        </w:trPr>
        <w:tc>
          <w:tcPr>
            <w:tcW w:w="836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2015</w:t>
            </w: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Machinery and equipment</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9,366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8,559</w:t>
            </w: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Furniture and fixtures</w:t>
            </w:r>
          </w:p>
        </w:tc>
        <w:tc>
          <w:tcPr>
            <w:tcW w:w="2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2,808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3"/>
              <w:spacing w:after="0"/>
              <w:rPr>
                <w:sz w:val="20"/>
                <w:szCs w:val="20"/>
                <w:color w:val="auto"/>
              </w:rPr>
            </w:pPr>
            <w:r>
              <w:rPr>
                <w:rFonts w:ascii="Arial" w:cs="Arial" w:eastAsia="Arial" w:hAnsi="Arial"/>
                <w:sz w:val="18"/>
                <w:szCs w:val="18"/>
                <w:color w:val="auto"/>
              </w:rPr>
              <w:t>2,091</w:t>
            </w: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Leasehold improvements</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2,360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1,564</w:t>
            </w: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Software</w:t>
            </w:r>
          </w:p>
        </w:tc>
        <w:tc>
          <w:tcPr>
            <w:tcW w:w="2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1,003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3"/>
              <w:spacing w:after="0"/>
              <w:rPr>
                <w:sz w:val="20"/>
                <w:szCs w:val="20"/>
                <w:color w:val="auto"/>
              </w:rPr>
            </w:pPr>
            <w:r>
              <w:rPr>
                <w:rFonts w:ascii="Arial" w:cs="Arial" w:eastAsia="Arial" w:hAnsi="Arial"/>
                <w:sz w:val="18"/>
                <w:szCs w:val="18"/>
                <w:color w:val="auto"/>
              </w:rPr>
              <w:t>666</w:t>
            </w: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Computers</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671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565</w:t>
            </w: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Construction in progress</w:t>
            </w:r>
          </w:p>
        </w:tc>
        <w:tc>
          <w:tcPr>
            <w:tcW w:w="2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1,857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3"/>
              <w:spacing w:after="0"/>
              <w:rPr>
                <w:sz w:val="20"/>
                <w:szCs w:val="20"/>
                <w:color w:val="auto"/>
              </w:rPr>
            </w:pPr>
            <w:r>
              <w:rPr>
                <w:rFonts w:ascii="Arial" w:cs="Arial" w:eastAsia="Arial" w:hAnsi="Arial"/>
                <w:sz w:val="18"/>
                <w:szCs w:val="18"/>
                <w:color w:val="auto"/>
              </w:rPr>
              <w:t>577</w:t>
            </w:r>
          </w:p>
        </w:tc>
      </w:tr>
      <w:tr>
        <w:trPr>
          <w:trHeight w:val="27"/>
        </w:trPr>
        <w:tc>
          <w:tcPr>
            <w:tcW w:w="83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44"/>
        </w:trPr>
        <w:tc>
          <w:tcPr>
            <w:tcW w:w="83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property and equipment</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18,065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14,022</w:t>
            </w:r>
          </w:p>
        </w:tc>
      </w:tr>
      <w:tr>
        <w:trPr>
          <w:trHeight w:val="243"/>
        </w:trPr>
        <w:tc>
          <w:tcPr>
            <w:tcW w:w="8360" w:type="dxa"/>
            <w:vAlign w:val="bottom"/>
          </w:tcPr>
          <w:p>
            <w:pPr>
              <w:ind w:left="180"/>
              <w:spacing w:after="0"/>
              <w:rPr>
                <w:sz w:val="20"/>
                <w:szCs w:val="20"/>
                <w:color w:val="auto"/>
              </w:rPr>
            </w:pPr>
            <w:r>
              <w:rPr>
                <w:rFonts w:ascii="Arial" w:cs="Arial" w:eastAsia="Arial" w:hAnsi="Arial"/>
                <w:sz w:val="18"/>
                <w:szCs w:val="18"/>
                <w:color w:val="auto"/>
              </w:rPr>
              <w:t>Less: Accumulated depreciation and amortization</w:t>
            </w:r>
          </w:p>
        </w:tc>
        <w:tc>
          <w:tcPr>
            <w:tcW w:w="2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(6,201)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(5,071)</w:t>
            </w:r>
          </w:p>
        </w:tc>
      </w:tr>
      <w:tr>
        <w:trPr>
          <w:trHeight w:val="27"/>
        </w:trPr>
        <w:tc>
          <w:tcPr>
            <w:tcW w:w="83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69"/>
        </w:trPr>
        <w:tc>
          <w:tcPr>
            <w:tcW w:w="83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Property and equipment, net</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11,864</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8,951</w:t>
            </w:r>
          </w:p>
        </w:tc>
      </w:tr>
      <w:tr>
        <w:trPr>
          <w:trHeight w:val="20"/>
        </w:trPr>
        <w:tc>
          <w:tcPr>
            <w:tcW w:w="83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right="60" w:firstLine="324"/>
        <w:spacing w:after="0" w:line="277" w:lineRule="auto"/>
        <w:rPr>
          <w:sz w:val="20"/>
          <w:szCs w:val="20"/>
          <w:color w:val="auto"/>
        </w:rPr>
      </w:pPr>
      <w:r>
        <w:rPr>
          <w:rFonts w:ascii="Arial" w:cs="Arial" w:eastAsia="Arial" w:hAnsi="Arial"/>
          <w:sz w:val="18"/>
          <w:szCs w:val="18"/>
          <w:color w:val="auto"/>
        </w:rPr>
        <w:t>Depreciation and amortization expense was $0.6 million and $0.4 million for the three months ended June 30, 2016 and 2015, respectively, and was $1.1 million and $0.7 million for the six months ended June 30, 2016 and 2015, respectively.</w:t>
      </w: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Accrued Liabilities</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shows the components of accrued liabilities as of June 30, 2016 and December 31, 2015 (in thousands):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40" w:type="dxa"/>
            <w:vAlign w:val="bottom"/>
          </w:tcPr>
          <w:p>
            <w:pPr>
              <w:spacing w:after="0"/>
              <w:rPr>
                <w:sz w:val="14"/>
                <w:szCs w:val="14"/>
                <w:color w:val="auto"/>
              </w:rPr>
            </w:pPr>
          </w:p>
        </w:tc>
        <w:tc>
          <w:tcPr>
            <w:tcW w:w="41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22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92"/>
              </w:rPr>
              <w:t>June 30,</w:t>
            </w:r>
          </w:p>
        </w:tc>
        <w:tc>
          <w:tcPr>
            <w:tcW w:w="220" w:type="dxa"/>
            <w:vAlign w:val="bottom"/>
          </w:tcPr>
          <w:p>
            <w:pPr>
              <w:spacing w:after="0"/>
              <w:rPr>
                <w:sz w:val="14"/>
                <w:szCs w:val="14"/>
                <w:color w:val="auto"/>
              </w:rPr>
            </w:pPr>
          </w:p>
        </w:tc>
        <w:tc>
          <w:tcPr>
            <w:tcW w:w="1260" w:type="dxa"/>
            <w:vAlign w:val="bottom"/>
          </w:tcPr>
          <w:p>
            <w:pPr>
              <w:jc w:val="center"/>
              <w:ind w:right="174"/>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92"/>
        </w:trPr>
        <w:tc>
          <w:tcPr>
            <w:tcW w:w="4240" w:type="dxa"/>
            <w:vAlign w:val="bottom"/>
            <w:tcBorders>
              <w:bottom w:val="single" w:sz="8" w:color="CCEEFF"/>
            </w:tcBorders>
          </w:tcPr>
          <w:p>
            <w:pPr>
              <w:spacing w:after="0"/>
              <w:rPr>
                <w:sz w:val="16"/>
                <w:szCs w:val="16"/>
                <w:color w:val="auto"/>
              </w:rPr>
            </w:pPr>
          </w:p>
        </w:tc>
        <w:tc>
          <w:tcPr>
            <w:tcW w:w="412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274"/>
              <w:spacing w:after="0"/>
              <w:rPr>
                <w:sz w:val="20"/>
                <w:szCs w:val="20"/>
                <w:color w:val="auto"/>
              </w:rPr>
            </w:pPr>
            <w:r>
              <w:rPr>
                <w:rFonts w:ascii="Arial" w:cs="Arial" w:eastAsia="Arial" w:hAnsi="Arial"/>
                <w:sz w:val="14"/>
                <w:szCs w:val="14"/>
                <w:b w:val="1"/>
                <w:bCs w:val="1"/>
                <w:color w:val="auto"/>
                <w:w w:val="89"/>
              </w:rPr>
              <w:t>2016</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center"/>
              <w:ind w:right="134"/>
              <w:spacing w:after="0"/>
              <w:rPr>
                <w:sz w:val="20"/>
                <w:szCs w:val="20"/>
                <w:color w:val="auto"/>
              </w:rPr>
            </w:pPr>
            <w:r>
              <w:rPr>
                <w:rFonts w:ascii="Arial" w:cs="Arial" w:eastAsia="Arial" w:hAnsi="Arial"/>
                <w:sz w:val="14"/>
                <w:szCs w:val="14"/>
                <w:b w:val="1"/>
                <w:bCs w:val="1"/>
                <w:color w:val="auto"/>
                <w:w w:val="89"/>
              </w:rPr>
              <w:t>2015</w:t>
            </w:r>
          </w:p>
        </w:tc>
        <w:tc>
          <w:tcPr>
            <w:tcW w:w="0" w:type="dxa"/>
            <w:vAlign w:val="bottom"/>
          </w:tcPr>
          <w:p>
            <w:pPr>
              <w:spacing w:after="0"/>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Payroll and employee-related expenses</w:t>
            </w:r>
          </w:p>
        </w:tc>
        <w:tc>
          <w:tcPr>
            <w:tcW w:w="4480" w:type="dxa"/>
            <w:vAlign w:val="bottom"/>
            <w:tcBorders>
              <w:bottom w:val="single" w:sz="8" w:color="CCEEFF"/>
            </w:tcBorders>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15,401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13,653</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Sales return reserve</w:t>
            </w:r>
          </w:p>
        </w:tc>
        <w:tc>
          <w:tcPr>
            <w:tcW w:w="4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3,040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3,247</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4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Preclinical and clinical trial cost</w:t>
            </w:r>
          </w:p>
        </w:tc>
        <w:tc>
          <w:tcPr>
            <w:tcW w:w="4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1,769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1,330</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Deferred revenue</w:t>
            </w:r>
          </w:p>
        </w:tc>
        <w:tc>
          <w:tcPr>
            <w:tcW w:w="4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411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526</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4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Product warranty</w:t>
            </w:r>
          </w:p>
        </w:tc>
        <w:tc>
          <w:tcPr>
            <w:tcW w:w="4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735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713</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Sales tax payable</w:t>
            </w:r>
          </w:p>
        </w:tc>
        <w:tc>
          <w:tcPr>
            <w:tcW w:w="4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497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531</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4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 payable</w:t>
            </w:r>
          </w:p>
        </w:tc>
        <w:tc>
          <w:tcPr>
            <w:tcW w:w="4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139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308</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Other accrued liabilities</w:t>
            </w:r>
          </w:p>
        </w:tc>
        <w:tc>
          <w:tcPr>
            <w:tcW w:w="4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6,127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5,273</w:t>
            </w:r>
          </w:p>
        </w:tc>
        <w:tc>
          <w:tcPr>
            <w:tcW w:w="0" w:type="dxa"/>
            <w:vAlign w:val="bottom"/>
          </w:tcPr>
          <w:p>
            <w:pPr>
              <w:spacing w:after="0"/>
              <w:rPr>
                <w:sz w:val="1"/>
                <w:szCs w:val="1"/>
                <w:color w:val="auto"/>
              </w:rPr>
            </w:pPr>
          </w:p>
        </w:tc>
      </w:tr>
      <w:tr>
        <w:trPr>
          <w:trHeight w:val="27"/>
        </w:trPr>
        <w:tc>
          <w:tcPr>
            <w:tcW w:w="4240" w:type="dxa"/>
            <w:vAlign w:val="bottom"/>
            <w:tcBorders>
              <w:bottom w:val="single" w:sz="8" w:color="CCEEFF"/>
            </w:tcBorders>
          </w:tcPr>
          <w:p>
            <w:pPr>
              <w:spacing w:after="0"/>
              <w:rPr>
                <w:sz w:val="2"/>
                <w:szCs w:val="2"/>
                <w:color w:val="auto"/>
              </w:rPr>
            </w:pPr>
          </w:p>
        </w:tc>
        <w:tc>
          <w:tcPr>
            <w:tcW w:w="4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2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accrued liabilities</w:t>
            </w:r>
          </w:p>
        </w:tc>
        <w:tc>
          <w:tcPr>
            <w:tcW w:w="4480" w:type="dxa"/>
            <w:vAlign w:val="bottom"/>
            <w:tcBorders>
              <w:bottom w:val="single" w:sz="8" w:color="CCEEFF"/>
            </w:tcBorders>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28,119</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25,581</w:t>
            </w:r>
          </w:p>
        </w:tc>
        <w:tc>
          <w:tcPr>
            <w:tcW w:w="0" w:type="dxa"/>
            <w:vAlign w:val="bottom"/>
          </w:tcPr>
          <w:p>
            <w:pPr>
              <w:spacing w:after="0"/>
              <w:rPr>
                <w:sz w:val="1"/>
                <w:szCs w:val="1"/>
                <w:color w:val="auto"/>
              </w:rPr>
            </w:pPr>
          </w:p>
        </w:tc>
      </w:tr>
      <w:tr>
        <w:trPr>
          <w:trHeight w:val="20"/>
        </w:trPr>
        <w:tc>
          <w:tcPr>
            <w:tcW w:w="8360" w:type="dxa"/>
            <w:vAlign w:val="bottom"/>
            <w:tcBorders>
              <w:top w:val="single" w:sz="8" w:color="CCEEFF"/>
            </w:tcBorders>
            <w:gridSpan w:val="2"/>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8720" w:type="dxa"/>
            <w:vAlign w:val="bottom"/>
            <w:gridSpan w:val="3"/>
          </w:tcPr>
          <w:p>
            <w:pPr>
              <w:ind w:left="340"/>
              <w:spacing w:after="0"/>
              <w:rPr>
                <w:sz w:val="20"/>
                <w:szCs w:val="20"/>
                <w:color w:val="auto"/>
              </w:rPr>
            </w:pPr>
            <w:r>
              <w:rPr>
                <w:rFonts w:ascii="Arial" w:cs="Arial" w:eastAsia="Arial" w:hAnsi="Arial"/>
                <w:sz w:val="18"/>
                <w:szCs w:val="18"/>
                <w:color w:val="auto"/>
                <w:w w:val="90"/>
              </w:rPr>
              <w:t>The estimated product warranty accrual as of June 30, 2016 and December 31, 2015 was as follows (in thousands):</w:t>
            </w: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4240" w:type="dxa"/>
            <w:vAlign w:val="bottom"/>
          </w:tcPr>
          <w:p>
            <w:pPr>
              <w:spacing w:after="0"/>
              <w:rPr>
                <w:sz w:val="24"/>
                <w:szCs w:val="24"/>
                <w:color w:val="auto"/>
              </w:rPr>
            </w:pPr>
          </w:p>
        </w:tc>
        <w:tc>
          <w:tcPr>
            <w:tcW w:w="4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2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92"/>
              </w:rPr>
              <w:t>June 30,</w:t>
            </w:r>
          </w:p>
        </w:tc>
        <w:tc>
          <w:tcPr>
            <w:tcW w:w="220" w:type="dxa"/>
            <w:vAlign w:val="bottom"/>
          </w:tcPr>
          <w:p>
            <w:pPr>
              <w:spacing w:after="0"/>
              <w:rPr>
                <w:sz w:val="24"/>
                <w:szCs w:val="24"/>
                <w:color w:val="auto"/>
              </w:rPr>
            </w:pPr>
          </w:p>
        </w:tc>
        <w:tc>
          <w:tcPr>
            <w:tcW w:w="1260" w:type="dxa"/>
            <w:vAlign w:val="bottom"/>
          </w:tcPr>
          <w:p>
            <w:pPr>
              <w:jc w:val="center"/>
              <w:ind w:right="174"/>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92"/>
        </w:trPr>
        <w:tc>
          <w:tcPr>
            <w:tcW w:w="4240" w:type="dxa"/>
            <w:vAlign w:val="bottom"/>
            <w:tcBorders>
              <w:bottom w:val="single" w:sz="8" w:color="CCEEFF"/>
            </w:tcBorders>
          </w:tcPr>
          <w:p>
            <w:pPr>
              <w:spacing w:after="0"/>
              <w:rPr>
                <w:sz w:val="16"/>
                <w:szCs w:val="16"/>
                <w:color w:val="auto"/>
              </w:rPr>
            </w:pPr>
          </w:p>
        </w:tc>
        <w:tc>
          <w:tcPr>
            <w:tcW w:w="412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274"/>
              <w:spacing w:after="0"/>
              <w:rPr>
                <w:sz w:val="20"/>
                <w:szCs w:val="20"/>
                <w:color w:val="auto"/>
              </w:rPr>
            </w:pPr>
            <w:r>
              <w:rPr>
                <w:rFonts w:ascii="Arial" w:cs="Arial" w:eastAsia="Arial" w:hAnsi="Arial"/>
                <w:sz w:val="14"/>
                <w:szCs w:val="14"/>
                <w:b w:val="1"/>
                <w:bCs w:val="1"/>
                <w:color w:val="auto"/>
                <w:w w:val="89"/>
              </w:rPr>
              <w:t>2016</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center"/>
              <w:ind w:right="134"/>
              <w:spacing w:after="0"/>
              <w:rPr>
                <w:sz w:val="20"/>
                <w:szCs w:val="20"/>
                <w:color w:val="auto"/>
              </w:rPr>
            </w:pPr>
            <w:r>
              <w:rPr>
                <w:rFonts w:ascii="Arial" w:cs="Arial" w:eastAsia="Arial" w:hAnsi="Arial"/>
                <w:sz w:val="14"/>
                <w:szCs w:val="14"/>
                <w:b w:val="1"/>
                <w:bCs w:val="1"/>
                <w:color w:val="auto"/>
                <w:w w:val="89"/>
              </w:rPr>
              <w:t>2015</w:t>
            </w:r>
          </w:p>
        </w:tc>
        <w:tc>
          <w:tcPr>
            <w:tcW w:w="0" w:type="dxa"/>
            <w:vAlign w:val="bottom"/>
          </w:tcPr>
          <w:p>
            <w:pPr>
              <w:spacing w:after="0"/>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the beginning of the period</w:t>
            </w:r>
          </w:p>
        </w:tc>
        <w:tc>
          <w:tcPr>
            <w:tcW w:w="4480" w:type="dxa"/>
            <w:vAlign w:val="bottom"/>
            <w:tcBorders>
              <w:bottom w:val="single" w:sz="8" w:color="CCEEFF"/>
            </w:tcBorders>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713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314</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Provision for product warranty</w:t>
            </w:r>
          </w:p>
        </w:tc>
        <w:tc>
          <w:tcPr>
            <w:tcW w:w="4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345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752</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4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Settlements of product warranty claims</w:t>
            </w:r>
          </w:p>
        </w:tc>
        <w:tc>
          <w:tcPr>
            <w:tcW w:w="4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(323)</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(353)</w:t>
            </w:r>
          </w:p>
        </w:tc>
        <w:tc>
          <w:tcPr>
            <w:tcW w:w="0" w:type="dxa"/>
            <w:vAlign w:val="bottom"/>
          </w:tcPr>
          <w:p>
            <w:pPr>
              <w:spacing w:after="0"/>
              <w:rPr>
                <w:sz w:val="1"/>
                <w:szCs w:val="1"/>
                <w:color w:val="auto"/>
              </w:rPr>
            </w:pPr>
          </w:p>
        </w:tc>
      </w:tr>
      <w:tr>
        <w:trPr>
          <w:trHeight w:val="237"/>
        </w:trPr>
        <w:tc>
          <w:tcPr>
            <w:tcW w:w="4240" w:type="dxa"/>
            <w:vAlign w:val="bottom"/>
          </w:tcPr>
          <w:p>
            <w:pPr>
              <w:ind w:left="40"/>
              <w:spacing w:after="0"/>
              <w:rPr>
                <w:sz w:val="20"/>
                <w:szCs w:val="20"/>
                <w:color w:val="auto"/>
              </w:rPr>
            </w:pPr>
            <w:r>
              <w:rPr>
                <w:rFonts w:ascii="Arial" w:cs="Arial" w:eastAsia="Arial" w:hAnsi="Arial"/>
                <w:sz w:val="18"/>
                <w:szCs w:val="18"/>
                <w:color w:val="auto"/>
              </w:rPr>
              <w:t>Balance at the end of the period</w:t>
            </w:r>
          </w:p>
        </w:tc>
        <w:tc>
          <w:tcPr>
            <w:tcW w:w="412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735</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713</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4120" w:type="dxa"/>
            <w:vAlign w:val="bottom"/>
            <w:vMerge w:val="restart"/>
          </w:tcPr>
          <w:p>
            <w:pPr>
              <w:jc w:val="right"/>
              <w:ind w:right="2470"/>
              <w:spacing w:after="0"/>
              <w:rPr>
                <w:sz w:val="20"/>
                <w:szCs w:val="20"/>
                <w:color w:val="auto"/>
              </w:rPr>
            </w:pPr>
            <w:r>
              <w:rPr>
                <w:rFonts w:ascii="Arial" w:cs="Arial" w:eastAsia="Arial" w:hAnsi="Arial"/>
                <w:sz w:val="18"/>
                <w:szCs w:val="18"/>
                <w:color w:val="auto"/>
              </w:rPr>
              <w:t>12</w:t>
            </w: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4120" w:type="dxa"/>
            <w:vAlign w:val="bottom"/>
            <w:vMerge w:val="continue"/>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4240" w:type="dxa"/>
            <w:vAlign w:val="bottom"/>
          </w:tcPr>
          <w:p>
            <w:pPr>
              <w:spacing w:after="0"/>
              <w:rPr>
                <w:sz w:val="24"/>
                <w:szCs w:val="24"/>
                <w:color w:val="auto"/>
              </w:rPr>
            </w:pPr>
          </w:p>
        </w:tc>
        <w:tc>
          <w:tcPr>
            <w:tcW w:w="4120" w:type="dxa"/>
            <w:vAlign w:val="bottom"/>
            <w:vMerge w:val="continue"/>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1440" w:gutter="0" w:footer="0" w:header="0"/>
        </w:sectPr>
      </w:pPr>
    </w:p>
    <w:bookmarkStart w:id="13" w:name="page14"/>
    <w:bookmarkEnd w:id="13"/>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396" w:lineRule="exact"/>
        <w:rPr>
          <w:sz w:val="20"/>
          <w:szCs w:val="20"/>
          <w:color w:val="auto"/>
        </w:rPr>
      </w:pPr>
    </w:p>
    <w:p>
      <w:pPr>
        <w:ind w:right="8640" w:firstLine="8"/>
        <w:spacing w:after="0" w:line="495" w:lineRule="auto"/>
        <w:tabs>
          <w:tab w:leader="none" w:pos="180" w:val="left"/>
        </w:tabs>
        <w:numPr>
          <w:ilvl w:val="0"/>
          <w:numId w:val="4"/>
        </w:numPr>
        <w:rPr>
          <w:rFonts w:ascii="Arial" w:cs="Arial" w:eastAsia="Arial" w:hAnsi="Arial"/>
          <w:sz w:val="16"/>
          <w:szCs w:val="16"/>
          <w:b w:val="1"/>
          <w:bCs w:val="1"/>
          <w:color w:val="auto"/>
        </w:rPr>
      </w:pPr>
      <w:r>
        <w:rPr>
          <w:rFonts w:ascii="Arial" w:cs="Arial" w:eastAsia="Arial" w:hAnsi="Arial"/>
          <w:sz w:val="16"/>
          <w:szCs w:val="16"/>
          <w:b w:val="1"/>
          <w:bCs w:val="1"/>
          <w:color w:val="auto"/>
        </w:rPr>
        <w:t>Commitments and Contingencies Lease Commitments</w:t>
      </w:r>
    </w:p>
    <w:p>
      <w:pPr>
        <w:spacing w:after="0" w:line="1" w:lineRule="exact"/>
        <w:rPr>
          <w:sz w:val="20"/>
          <w:szCs w:val="20"/>
          <w:color w:val="auto"/>
        </w:rPr>
      </w:pPr>
    </w:p>
    <w:p>
      <w:pPr>
        <w:ind w:right="40" w:firstLine="324"/>
        <w:spacing w:after="0" w:line="257" w:lineRule="auto"/>
        <w:rPr>
          <w:sz w:val="20"/>
          <w:szCs w:val="20"/>
          <w:color w:val="auto"/>
        </w:rPr>
      </w:pPr>
      <w:r>
        <w:rPr>
          <w:rFonts w:ascii="Arial" w:cs="Arial" w:eastAsia="Arial" w:hAnsi="Arial"/>
          <w:sz w:val="18"/>
          <w:szCs w:val="18"/>
          <w:color w:val="auto"/>
        </w:rPr>
        <w:t>The Company leases its offices and other equipment under non-cancelable operating leases that expire at various dates from 2029 to 2031. Rent expense for non-cancelable operating leases with scheduled rent increases is recognized on a straight-line basis over the lease term. Rent expense for the three months ended June 30, 2016 and 2015 was $1.3 million and $0.8 million, respectively and for the six months ended June 30, 2016 and 2015 was $2.4 million and $1.4 million, respectively. In addition, the Company's lease commitments also require it to make additional payments during the lease term for taxes, insurance and other operating expenses.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Royalty Obligations</w:t>
      </w:r>
    </w:p>
    <w:p>
      <w:pPr>
        <w:spacing w:after="0" w:line="175"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In March 2005, the Company entered into a license agreement that requires the Company to make minimum royalty payments to the licensor on a quarterly basis. As of both June 30, 2016 and December 31, 2015, the license agreement required minimum annual royalty payments of $0.1 million in equal quarterly installments. On each January 1, the quarterly calendar year minimum royalty will be adjusted to equal the prior year’s minimum royalty adjusted by a percentage equal to the percentage change in the “consumer price index for all urban consumers” for the prior calendar year as reported by the U.S. Department of Labor. Unless terminated earlier, the term of the license agreement will continue until the expiration of the last to expire patent that covers that licensed product or 2022, whichever is longer.</w:t>
      </w:r>
    </w:p>
    <w:p>
      <w:pPr>
        <w:spacing w:after="0" w:line="139"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In April 2012, the Company entered into an agreement that requires the Company to pay, on a quarterly basis, a 5% royalty on sales of products covered under applicable patents. Unless the agreement is terminated earlier, the royalty term for each applicable product will continue until the expirations of the applicable patent covering such product or 2029, whichever is longer.</w:t>
      </w:r>
    </w:p>
    <w:p>
      <w:pPr>
        <w:spacing w:after="0" w:line="127"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In November 2013, the Company entered into an agreement that requires the Company to pay, on a quarterly basis, a 3% royalty on the first $5 million in sales and a 1% royalty on sales thereafter of products covered under applicable patents. Unless the agreement is terminated earlier, the royalty for each covered product shall continue until 2030.</w:t>
      </w:r>
    </w:p>
    <w:p>
      <w:pPr>
        <w:spacing w:after="0" w:line="127" w:lineRule="exact"/>
        <w:rPr>
          <w:sz w:val="20"/>
          <w:szCs w:val="20"/>
          <w:color w:val="auto"/>
        </w:rPr>
      </w:pPr>
    </w:p>
    <w:p>
      <w:pPr>
        <w:ind w:right="220" w:firstLine="324"/>
        <w:spacing w:after="0" w:line="342" w:lineRule="auto"/>
        <w:rPr>
          <w:sz w:val="20"/>
          <w:szCs w:val="20"/>
          <w:color w:val="auto"/>
        </w:rPr>
      </w:pPr>
      <w:r>
        <w:rPr>
          <w:rFonts w:ascii="Arial" w:cs="Arial" w:eastAsia="Arial" w:hAnsi="Arial"/>
          <w:sz w:val="16"/>
          <w:szCs w:val="16"/>
          <w:color w:val="auto"/>
        </w:rPr>
        <w:t>In April 2015, the Company entered into a royalty agreement that requires the Company to pay, on a quarterly basis, a 2% royalty on sales of certain products covered by the agreement. Unless the royalty agreement is terminated earlier, the royalty term for each covered product shall continue until 2035.</w:t>
      </w:r>
    </w:p>
    <w:p>
      <w:pPr>
        <w:spacing w:after="0" w:line="70" w:lineRule="exact"/>
        <w:rPr>
          <w:sz w:val="20"/>
          <w:szCs w:val="20"/>
          <w:color w:val="auto"/>
        </w:rPr>
      </w:pPr>
    </w:p>
    <w:p>
      <w:pPr>
        <w:ind w:right="80" w:firstLine="324"/>
        <w:spacing w:after="0" w:line="277" w:lineRule="auto"/>
        <w:rPr>
          <w:sz w:val="20"/>
          <w:szCs w:val="20"/>
          <w:color w:val="auto"/>
        </w:rPr>
      </w:pPr>
      <w:r>
        <w:rPr>
          <w:rFonts w:ascii="Arial" w:cs="Arial" w:eastAsia="Arial" w:hAnsi="Arial"/>
          <w:sz w:val="18"/>
          <w:szCs w:val="18"/>
          <w:color w:val="auto"/>
        </w:rPr>
        <w:t>Royalty expense included in cost of sales for the three months ended June 30, 2016 and 2015 was $0.7 million and $0.4 million, respectively and for the six months ended June 30, 2016 and 2015 was $1.4 million and $0.8 million, respectively.</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Contingencies</w:t>
      </w:r>
    </w:p>
    <w:p>
      <w:pPr>
        <w:spacing w:after="0" w:line="175" w:lineRule="exact"/>
        <w:rPr>
          <w:sz w:val="20"/>
          <w:szCs w:val="20"/>
          <w:color w:val="auto"/>
        </w:rPr>
      </w:pPr>
    </w:p>
    <w:p>
      <w:pPr>
        <w:ind w:right="40" w:firstLine="324"/>
        <w:spacing w:after="0" w:line="308" w:lineRule="auto"/>
        <w:rPr>
          <w:sz w:val="20"/>
          <w:szCs w:val="20"/>
          <w:color w:val="auto"/>
        </w:rPr>
      </w:pPr>
      <w:r>
        <w:rPr>
          <w:rFonts w:ascii="Arial" w:cs="Arial" w:eastAsia="Arial" w:hAnsi="Arial"/>
          <w:sz w:val="17"/>
          <w:szCs w:val="17"/>
          <w:color w:val="auto"/>
        </w:rPr>
        <w:t>From time to time, the Company may have certain contingent liabilities that arise in the ordinary course of business. The Company accrues a liability for such matters when it is probable that future expenditures will be made and such expenditures can be reasonably estimated.</w:t>
      </w:r>
    </w:p>
    <w:p>
      <w:pPr>
        <w:spacing w:after="0" w:line="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Indemnification</w:t>
      </w:r>
    </w:p>
    <w:p>
      <w:pPr>
        <w:spacing w:after="0" w:line="175" w:lineRule="exact"/>
        <w:rPr>
          <w:sz w:val="20"/>
          <w:szCs w:val="20"/>
          <w:color w:val="auto"/>
        </w:rPr>
      </w:pPr>
    </w:p>
    <w:p>
      <w:pPr>
        <w:ind w:firstLine="324"/>
        <w:spacing w:after="0" w:line="297" w:lineRule="auto"/>
        <w:rPr>
          <w:sz w:val="20"/>
          <w:szCs w:val="20"/>
          <w:color w:val="auto"/>
        </w:rPr>
      </w:pPr>
      <w:r>
        <w:rPr>
          <w:rFonts w:ascii="Arial" w:cs="Arial" w:eastAsia="Arial" w:hAnsi="Arial"/>
          <w:sz w:val="16"/>
          <w:szCs w:val="16"/>
          <w:color w:val="auto"/>
        </w:rPr>
        <w:t>The Company enters into standard indemnification arrangements in the ordinary course of business. In many such arrangements, the Company agrees to indemnify, hold harmless, and reimburse the indemnified parties for losses suffered or incurred by the indemnified parties in connection with any trade secret, copyright, patent or other intellectual property infringement claim by any third-party with respect to the Company’s technology. The term of these indemnification agreements is generally perpetual. The maximum potential amount of future payments the Company could be required to make under these agreements is not determinable because it involves claims that may be made against the Company in the future, but have not yet been made.</w:t>
      </w:r>
    </w:p>
    <w:p>
      <w:pPr>
        <w:spacing w:after="0" w:line="104"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The Company has entered into indemnification agreements with its directors and officers that may require the Company to indemnify its directors and officers against liabilities that may arise by reason of their status or service as directors or officers, other than liabilities arising from willful misconduct of the individual.</w:t>
      </w:r>
    </w:p>
    <w:p>
      <w:pPr>
        <w:spacing w:after="0" w:line="12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Company has not incurred costs to defend lawsuits or settle claims related to these indemnification agreements.</w:t>
      </w:r>
    </w:p>
    <w:p>
      <w:pPr>
        <w:spacing w:after="0" w:line="17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 liability associated with any of these indemnification requirements has been recorded to date.</w:t>
      </w:r>
    </w:p>
    <w:p>
      <w:pPr>
        <w:spacing w:after="0" w:line="25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380"/>
          </w:cols>
          <w:pgMar w:left="240" w:top="121" w:right="279" w:bottom="1440" w:gutter="0" w:footer="0" w:header="0"/>
        </w:sectPr>
      </w:pPr>
    </w:p>
    <w:bookmarkStart w:id="14" w:name="page15"/>
    <w:bookmarkEnd w:id="14"/>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Litigation</w:t>
      </w:r>
    </w:p>
    <w:p>
      <w:pPr>
        <w:spacing w:after="0" w:line="175" w:lineRule="exact"/>
        <w:rPr>
          <w:sz w:val="20"/>
          <w:szCs w:val="20"/>
          <w:color w:val="auto"/>
        </w:rPr>
      </w:pPr>
    </w:p>
    <w:p>
      <w:pPr>
        <w:ind w:right="20" w:firstLine="324"/>
        <w:spacing w:after="0" w:line="253" w:lineRule="auto"/>
        <w:rPr>
          <w:sz w:val="20"/>
          <w:szCs w:val="20"/>
          <w:color w:val="auto"/>
        </w:rPr>
      </w:pPr>
      <w:r>
        <w:rPr>
          <w:rFonts w:ascii="Arial" w:cs="Arial" w:eastAsia="Arial" w:hAnsi="Arial"/>
          <w:sz w:val="18"/>
          <w:szCs w:val="18"/>
          <w:color w:val="auto"/>
        </w:rPr>
        <w:t>The Company was contacted in 2015 by the attorney for a potential product liability claimant who allegedly suffered injuries as a result of an aneurysm procedure in which the Penumbra Coil 400 was used. On February 19, 2016, a complaint for damages was filed on behalf of this claimant against the Company and the hospital involved in the procedure (</w:t>
      </w:r>
      <w:r>
        <w:rPr>
          <w:rFonts w:ascii="Arial" w:cs="Arial" w:eastAsia="Arial" w:hAnsi="Arial"/>
          <w:sz w:val="18"/>
          <w:szCs w:val="18"/>
          <w:i w:val="1"/>
          <w:iCs w:val="1"/>
          <w:color w:val="auto"/>
        </w:rPr>
        <w:t>Montgomery v. Penumbra, Inc., et al.,</w:t>
      </w:r>
      <w:r>
        <w:rPr>
          <w:rFonts w:ascii="Arial" w:cs="Arial" w:eastAsia="Arial" w:hAnsi="Arial"/>
          <w:sz w:val="18"/>
          <w:szCs w:val="18"/>
          <w:color w:val="auto"/>
        </w:rPr>
        <w:t xml:space="preserve"> Case No. 16-2-04050-1 SEA, Superior Court of the State of Washington, King County). The suit alleges liability primarily under the Washington Product Liability Act and seeks both compensatory and punitive damages without a specific damages claim. Counsel for the claimant previously indicated that he expects that a jury could award $35 million in damages were this matter to go to trial. This amount is substantially in excess of the Company’s insurance coverage. The hospital defendant had requested indemnification from the Company but was dismissed from the case in July 2016. As formal discovery has only recently commenced, the Company is unable to assess the merits of the plaintiff’s case. The Company intends to vigorously defend the litigation, as the Company believes there will be substantial questions regarding causation, liability and damages.</w:t>
      </w:r>
    </w:p>
    <w:p>
      <w:pPr>
        <w:spacing w:after="0" w:line="143" w:lineRule="exact"/>
        <w:rPr>
          <w:sz w:val="20"/>
          <w:szCs w:val="20"/>
          <w:color w:val="auto"/>
        </w:rPr>
      </w:pPr>
    </w:p>
    <w:p>
      <w:pPr>
        <w:ind w:right="120" w:firstLine="324"/>
        <w:spacing w:after="0" w:line="264" w:lineRule="auto"/>
        <w:rPr>
          <w:sz w:val="20"/>
          <w:szCs w:val="20"/>
          <w:color w:val="auto"/>
        </w:rPr>
      </w:pPr>
      <w:r>
        <w:rPr>
          <w:rFonts w:ascii="Arial" w:cs="Arial" w:eastAsia="Arial" w:hAnsi="Arial"/>
          <w:sz w:val="18"/>
          <w:szCs w:val="18"/>
          <w:color w:val="auto"/>
        </w:rPr>
        <w:t>From time to time, the Company is subject to claims and assessments in the ordinary course of business. The Company is not currently a party to any litigation matter that, individually or in the aggregate, is expected to have a material adverse effect on the Company’s business, financial condition, results of operations or cash flows.</w:t>
      </w:r>
    </w:p>
    <w:p>
      <w:pPr>
        <w:spacing w:after="0" w:line="123" w:lineRule="exact"/>
        <w:rPr>
          <w:sz w:val="20"/>
          <w:szCs w:val="20"/>
          <w:color w:val="auto"/>
        </w:rPr>
      </w:pPr>
    </w:p>
    <w:p>
      <w:pPr>
        <w:ind w:right="9120" w:firstLine="8"/>
        <w:spacing w:after="0" w:line="460" w:lineRule="auto"/>
        <w:tabs>
          <w:tab w:leader="none" w:pos="180" w:val="left"/>
        </w:tabs>
        <w:numPr>
          <w:ilvl w:val="0"/>
          <w:numId w:val="5"/>
        </w:numPr>
        <w:rPr>
          <w:rFonts w:ascii="Arial" w:cs="Arial" w:eastAsia="Arial" w:hAnsi="Arial"/>
          <w:sz w:val="16"/>
          <w:szCs w:val="16"/>
          <w:b w:val="1"/>
          <w:bCs w:val="1"/>
          <w:color w:val="auto"/>
        </w:rPr>
      </w:pPr>
      <w:r>
        <w:rPr>
          <w:rFonts w:ascii="Arial" w:cs="Arial" w:eastAsia="Arial" w:hAnsi="Arial"/>
          <w:sz w:val="16"/>
          <w:szCs w:val="16"/>
          <w:b w:val="1"/>
          <w:bCs w:val="1"/>
          <w:color w:val="auto"/>
        </w:rPr>
        <w:t>Stock-Based Compensation Stock Options</w:t>
      </w:r>
    </w:p>
    <w:p>
      <w:pPr>
        <w:spacing w:after="0" w:line="1" w:lineRule="exact"/>
        <w:rPr>
          <w:sz w:val="20"/>
          <w:szCs w:val="20"/>
          <w:color w:val="auto"/>
        </w:rPr>
      </w:pPr>
    </w:p>
    <w:p>
      <w:pPr>
        <w:ind w:right="480" w:firstLine="324"/>
        <w:spacing w:after="0" w:line="308" w:lineRule="auto"/>
        <w:rPr>
          <w:sz w:val="20"/>
          <w:szCs w:val="20"/>
          <w:color w:val="auto"/>
        </w:rPr>
      </w:pPr>
      <w:r>
        <w:rPr>
          <w:rFonts w:ascii="Arial" w:cs="Arial" w:eastAsia="Arial" w:hAnsi="Arial"/>
          <w:sz w:val="17"/>
          <w:szCs w:val="17"/>
          <w:color w:val="auto"/>
        </w:rPr>
        <w:t>Activity of stock options under the Penumbra, Inc. 2005 Stock Plan, the Penumbra, Inc. 2011 Equity Incentive Plan and the Amended and Restated Penumbra, Inc. 2014 Equity Incentive Plan (collectively “the Plans”) during the six months ended June 30, 2016 is set forth below:</w:t>
      </w:r>
    </w:p>
    <w:p>
      <w:pPr>
        <w:spacing w:after="0" w:line="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6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0" w:type="dxa"/>
            <w:vAlign w:val="bottom"/>
          </w:tcPr>
          <w:p>
            <w:pPr>
              <w:jc w:val="center"/>
              <w:ind w:right="199"/>
              <w:spacing w:after="0"/>
              <w:rPr>
                <w:sz w:val="20"/>
                <w:szCs w:val="20"/>
                <w:color w:val="auto"/>
              </w:rPr>
            </w:pPr>
            <w:r>
              <w:rPr>
                <w:rFonts w:ascii="Arial" w:cs="Arial" w:eastAsia="Arial" w:hAnsi="Arial"/>
                <w:sz w:val="14"/>
                <w:szCs w:val="14"/>
                <w:b w:val="1"/>
                <w:bCs w:val="1"/>
                <w:color w:val="auto"/>
                <w:w w:val="94"/>
              </w:rPr>
              <w:t>Weighted-</w:t>
            </w:r>
          </w:p>
        </w:tc>
        <w:tc>
          <w:tcPr>
            <w:tcW w:w="0" w:type="dxa"/>
            <w:vAlign w:val="bottom"/>
          </w:tcPr>
          <w:p>
            <w:pPr>
              <w:spacing w:after="0"/>
              <w:rPr>
                <w:sz w:val="1"/>
                <w:szCs w:val="1"/>
                <w:color w:val="auto"/>
              </w:rPr>
            </w:pPr>
          </w:p>
        </w:tc>
      </w:tr>
      <w:tr>
        <w:trPr>
          <w:trHeight w:val="149"/>
        </w:trPr>
        <w:tc>
          <w:tcPr>
            <w:tcW w:w="8360" w:type="dxa"/>
            <w:vAlign w:val="bottom"/>
          </w:tcPr>
          <w:p>
            <w:pPr>
              <w:spacing w:after="0"/>
              <w:rPr>
                <w:sz w:val="12"/>
                <w:szCs w:val="12"/>
                <w:color w:val="auto"/>
              </w:rPr>
            </w:pPr>
          </w:p>
        </w:tc>
        <w:tc>
          <w:tcPr>
            <w:tcW w:w="1480" w:type="dxa"/>
            <w:vAlign w:val="bottom"/>
            <w:vMerge w:val="restart"/>
          </w:tcPr>
          <w:p>
            <w:pPr>
              <w:jc w:val="right"/>
              <w:ind w:right="396"/>
              <w:spacing w:after="0"/>
              <w:rPr>
                <w:sz w:val="20"/>
                <w:szCs w:val="20"/>
                <w:color w:val="auto"/>
              </w:rPr>
            </w:pPr>
            <w:r>
              <w:rPr>
                <w:rFonts w:ascii="Arial" w:cs="Arial" w:eastAsia="Arial" w:hAnsi="Arial"/>
                <w:sz w:val="14"/>
                <w:szCs w:val="14"/>
                <w:b w:val="1"/>
                <w:bCs w:val="1"/>
                <w:color w:val="auto"/>
              </w:rPr>
              <w:t>Number</w:t>
            </w: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00" w:type="dxa"/>
            <w:vAlign w:val="bottom"/>
          </w:tcPr>
          <w:p>
            <w:pPr>
              <w:jc w:val="center"/>
              <w:ind w:right="179"/>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8360" w:type="dxa"/>
            <w:vAlign w:val="bottom"/>
          </w:tcPr>
          <w:p>
            <w:pPr>
              <w:spacing w:after="0"/>
              <w:rPr>
                <w:sz w:val="12"/>
                <w:szCs w:val="12"/>
                <w:color w:val="auto"/>
              </w:rPr>
            </w:pPr>
          </w:p>
        </w:tc>
        <w:tc>
          <w:tcPr>
            <w:tcW w:w="14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00" w:type="dxa"/>
            <w:vAlign w:val="bottom"/>
          </w:tcPr>
          <w:p>
            <w:pPr>
              <w:jc w:val="center"/>
              <w:ind w:right="199"/>
              <w:spacing w:after="0" w:line="149" w:lineRule="exact"/>
              <w:rPr>
                <w:sz w:val="20"/>
                <w:szCs w:val="20"/>
                <w:color w:val="auto"/>
              </w:rPr>
            </w:pPr>
            <w:r>
              <w:rPr>
                <w:rFonts w:ascii="Arial" w:cs="Arial" w:eastAsia="Arial" w:hAnsi="Arial"/>
                <w:sz w:val="14"/>
                <w:szCs w:val="14"/>
                <w:b w:val="1"/>
                <w:bCs w:val="1"/>
                <w:color w:val="auto"/>
                <w:w w:val="90"/>
              </w:rPr>
              <w:t>Exercise</w:t>
            </w:r>
          </w:p>
        </w:tc>
        <w:tc>
          <w:tcPr>
            <w:tcW w:w="0" w:type="dxa"/>
            <w:vAlign w:val="bottom"/>
          </w:tcPr>
          <w:p>
            <w:pPr>
              <w:spacing w:after="0"/>
              <w:rPr>
                <w:sz w:val="1"/>
                <w:szCs w:val="1"/>
                <w:color w:val="auto"/>
              </w:rPr>
            </w:pPr>
          </w:p>
        </w:tc>
      </w:tr>
      <w:tr>
        <w:trPr>
          <w:trHeight w:val="192"/>
        </w:trPr>
        <w:tc>
          <w:tcPr>
            <w:tcW w:w="8360" w:type="dxa"/>
            <w:vAlign w:val="bottom"/>
            <w:tcBorders>
              <w:bottom w:val="single" w:sz="8" w:color="CCEEFF"/>
            </w:tcBorders>
          </w:tcPr>
          <w:p>
            <w:pPr>
              <w:spacing w:after="0"/>
              <w:rPr>
                <w:sz w:val="16"/>
                <w:szCs w:val="16"/>
                <w:color w:val="auto"/>
              </w:rPr>
            </w:pPr>
          </w:p>
        </w:tc>
        <w:tc>
          <w:tcPr>
            <w:tcW w:w="1480" w:type="dxa"/>
            <w:vAlign w:val="bottom"/>
            <w:tcBorders>
              <w:bottom w:val="single" w:sz="8" w:color="auto"/>
            </w:tcBorders>
          </w:tcPr>
          <w:p>
            <w:pPr>
              <w:jc w:val="right"/>
              <w:ind w:right="376"/>
              <w:spacing w:after="0"/>
              <w:rPr>
                <w:sz w:val="20"/>
                <w:szCs w:val="20"/>
                <w:color w:val="auto"/>
              </w:rPr>
            </w:pPr>
            <w:r>
              <w:rPr>
                <w:rFonts w:ascii="Arial" w:cs="Arial" w:eastAsia="Arial" w:hAnsi="Arial"/>
                <w:sz w:val="14"/>
                <w:szCs w:val="14"/>
                <w:b w:val="1"/>
                <w:bCs w:val="1"/>
                <w:color w:val="auto"/>
              </w:rPr>
              <w:t>of Shares</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center"/>
              <w:ind w:right="199"/>
              <w:spacing w:after="0"/>
              <w:rPr>
                <w:sz w:val="20"/>
                <w:szCs w:val="20"/>
                <w:color w:val="auto"/>
              </w:rPr>
            </w:pPr>
            <w:r>
              <w:rPr>
                <w:rFonts w:ascii="Arial" w:cs="Arial" w:eastAsia="Arial" w:hAnsi="Arial"/>
                <w:sz w:val="14"/>
                <w:szCs w:val="14"/>
                <w:b w:val="1"/>
                <w:bCs w:val="1"/>
                <w:color w:val="auto"/>
                <w:w w:val="93"/>
              </w:rPr>
              <w:t>Price</w:t>
            </w:r>
          </w:p>
        </w:tc>
        <w:tc>
          <w:tcPr>
            <w:tcW w:w="0" w:type="dxa"/>
            <w:vAlign w:val="bottom"/>
          </w:tcPr>
          <w:p>
            <w:pPr>
              <w:spacing w:after="0"/>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2015</w:t>
            </w:r>
          </w:p>
        </w:tc>
        <w:tc>
          <w:tcPr>
            <w:tcW w:w="14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3,755,345</w:t>
            </w:r>
          </w:p>
        </w:tc>
        <w:tc>
          <w:tcPr>
            <w:tcW w:w="3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12.13</w:t>
            </w:r>
          </w:p>
        </w:tc>
        <w:tc>
          <w:tcPr>
            <w:tcW w:w="0" w:type="dxa"/>
            <w:vAlign w:val="bottom"/>
          </w:tcPr>
          <w:p>
            <w:pPr>
              <w:spacing w:after="0"/>
              <w:rPr>
                <w:sz w:val="1"/>
                <w:szCs w:val="1"/>
                <w:color w:val="auto"/>
              </w:rPr>
            </w:pPr>
          </w:p>
        </w:tc>
      </w:tr>
      <w:tr>
        <w:trPr>
          <w:trHeight w:val="243"/>
        </w:trPr>
        <w:tc>
          <w:tcPr>
            <w:tcW w:w="8360" w:type="dxa"/>
            <w:vAlign w:val="bottom"/>
          </w:tcPr>
          <w:p>
            <w:pPr>
              <w:ind w:left="180"/>
              <w:spacing w:after="0"/>
              <w:rPr>
                <w:sz w:val="20"/>
                <w:szCs w:val="20"/>
                <w:color w:val="auto"/>
              </w:rPr>
            </w:pPr>
            <w:r>
              <w:rPr>
                <w:rFonts w:ascii="Arial" w:cs="Arial" w:eastAsia="Arial" w:hAnsi="Arial"/>
                <w:sz w:val="18"/>
                <w:szCs w:val="18"/>
                <w:color w:val="auto"/>
              </w:rPr>
              <w:t>Options exercised</w:t>
            </w:r>
          </w:p>
        </w:tc>
        <w:tc>
          <w:tcPr>
            <w:tcW w:w="1480" w:type="dxa"/>
            <w:vAlign w:val="bottom"/>
          </w:tcPr>
          <w:p>
            <w:pPr>
              <w:jc w:val="right"/>
              <w:spacing w:after="0"/>
              <w:rPr>
                <w:sz w:val="20"/>
                <w:szCs w:val="20"/>
                <w:color w:val="auto"/>
              </w:rPr>
            </w:pPr>
            <w:r>
              <w:rPr>
                <w:rFonts w:ascii="Arial" w:cs="Arial" w:eastAsia="Arial" w:hAnsi="Arial"/>
                <w:sz w:val="18"/>
                <w:szCs w:val="18"/>
                <w:color w:val="auto"/>
              </w:rPr>
              <w:t>(253,555)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9"/>
              <w:spacing w:after="0"/>
              <w:rPr>
                <w:sz w:val="20"/>
                <w:szCs w:val="20"/>
                <w:color w:val="auto"/>
              </w:rPr>
            </w:pPr>
            <w:r>
              <w:rPr>
                <w:rFonts w:ascii="Arial" w:cs="Arial" w:eastAsia="Arial" w:hAnsi="Arial"/>
                <w:sz w:val="18"/>
                <w:szCs w:val="18"/>
                <w:color w:val="auto"/>
              </w:rPr>
              <w:t>5.80</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Options canceled</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(11,983)</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19.13</w:t>
            </w:r>
          </w:p>
        </w:tc>
        <w:tc>
          <w:tcPr>
            <w:tcW w:w="0" w:type="dxa"/>
            <w:vAlign w:val="bottom"/>
          </w:tcPr>
          <w:p>
            <w:pPr>
              <w:spacing w:after="0"/>
              <w:rPr>
                <w:sz w:val="1"/>
                <w:szCs w:val="1"/>
                <w:color w:val="auto"/>
              </w:rPr>
            </w:pPr>
          </w:p>
        </w:tc>
      </w:tr>
      <w:tr>
        <w:trPr>
          <w:trHeight w:val="257"/>
        </w:trPr>
        <w:tc>
          <w:tcPr>
            <w:tcW w:w="8360" w:type="dxa"/>
            <w:vAlign w:val="bottom"/>
          </w:tcPr>
          <w:p>
            <w:pPr>
              <w:ind w:left="40"/>
              <w:spacing w:after="0"/>
              <w:rPr>
                <w:sz w:val="20"/>
                <w:szCs w:val="20"/>
                <w:color w:val="auto"/>
              </w:rPr>
            </w:pPr>
            <w:r>
              <w:rPr>
                <w:rFonts w:ascii="Arial" w:cs="Arial" w:eastAsia="Arial" w:hAnsi="Arial"/>
                <w:sz w:val="18"/>
                <w:szCs w:val="18"/>
                <w:color w:val="auto"/>
              </w:rPr>
              <w:t>Balance at June 30, 2016</w:t>
            </w:r>
          </w:p>
        </w:tc>
        <w:tc>
          <w:tcPr>
            <w:tcW w:w="148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8"/>
                <w:szCs w:val="18"/>
                <w:color w:val="auto"/>
              </w:rPr>
              <w:t>3,489,807</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0" w:type="dxa"/>
            <w:vAlign w:val="bottom"/>
          </w:tcPr>
          <w:p>
            <w:pPr>
              <w:jc w:val="right"/>
              <w:ind w:right="19"/>
              <w:spacing w:after="0"/>
              <w:rPr>
                <w:sz w:val="20"/>
                <w:szCs w:val="20"/>
                <w:color w:val="auto"/>
              </w:rPr>
            </w:pPr>
            <w:r>
              <w:rPr>
                <w:rFonts w:ascii="Arial" w:cs="Arial" w:eastAsia="Arial" w:hAnsi="Arial"/>
                <w:sz w:val="18"/>
                <w:szCs w:val="18"/>
                <w:color w:val="auto"/>
              </w:rPr>
              <w:t>12.56</w:t>
            </w:r>
          </w:p>
        </w:tc>
        <w:tc>
          <w:tcPr>
            <w:tcW w:w="0" w:type="dxa"/>
            <w:vAlign w:val="bottom"/>
          </w:tcPr>
          <w:p>
            <w:pPr>
              <w:spacing w:after="0"/>
              <w:rPr>
                <w:sz w:val="1"/>
                <w:szCs w:val="1"/>
                <w:color w:val="auto"/>
              </w:rPr>
            </w:pPr>
          </w:p>
        </w:tc>
      </w:tr>
      <w:tr>
        <w:trPr>
          <w:trHeight w:val="20"/>
        </w:trPr>
        <w:tc>
          <w:tcPr>
            <w:tcW w:w="836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Restricted Stock and Restricted Stock Units</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following table summarizes the activity of unvested restricted stock and restricted stock units under the Plans during the six months ended June 30,</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2016 is set forth below:</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60" w:type="dxa"/>
            <w:vAlign w:val="bottom"/>
          </w:tcPr>
          <w:p>
            <w:pPr>
              <w:spacing w:after="0"/>
              <w:rPr>
                <w:sz w:val="14"/>
                <w:szCs w:val="14"/>
                <w:color w:val="auto"/>
              </w:rPr>
            </w:pPr>
          </w:p>
        </w:tc>
        <w:tc>
          <w:tcPr>
            <w:tcW w:w="1480" w:type="dxa"/>
            <w:vAlign w:val="bottom"/>
            <w:vMerge w:val="restart"/>
          </w:tcPr>
          <w:p>
            <w:pPr>
              <w:jc w:val="right"/>
              <w:ind w:right="395"/>
              <w:spacing w:after="0"/>
              <w:rPr>
                <w:sz w:val="20"/>
                <w:szCs w:val="20"/>
                <w:color w:val="auto"/>
              </w:rPr>
            </w:pPr>
            <w:r>
              <w:rPr>
                <w:rFonts w:ascii="Arial" w:cs="Arial" w:eastAsia="Arial" w:hAnsi="Arial"/>
                <w:sz w:val="14"/>
                <w:szCs w:val="14"/>
                <w:b w:val="1"/>
                <w:bCs w:val="1"/>
                <w:color w:val="auto"/>
              </w:rPr>
              <w:t>Number</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20" w:type="dxa"/>
            <w:vAlign w:val="bottom"/>
          </w:tcPr>
          <w:p>
            <w:pPr>
              <w:jc w:val="center"/>
              <w:ind w:right="77"/>
              <w:spacing w:after="0"/>
              <w:rPr>
                <w:sz w:val="20"/>
                <w:szCs w:val="20"/>
                <w:color w:val="auto"/>
              </w:rPr>
            </w:pPr>
            <w:r>
              <w:rPr>
                <w:rFonts w:ascii="Arial" w:cs="Arial" w:eastAsia="Arial" w:hAnsi="Arial"/>
                <w:sz w:val="14"/>
                <w:szCs w:val="14"/>
                <w:b w:val="1"/>
                <w:bCs w:val="1"/>
                <w:color w:val="auto"/>
                <w:w w:val="91"/>
              </w:rPr>
              <w:t>Weighted Average</w:t>
            </w:r>
          </w:p>
        </w:tc>
        <w:tc>
          <w:tcPr>
            <w:tcW w:w="0" w:type="dxa"/>
            <w:vAlign w:val="bottom"/>
          </w:tcPr>
          <w:p>
            <w:pPr>
              <w:spacing w:after="0"/>
              <w:rPr>
                <w:sz w:val="1"/>
                <w:szCs w:val="1"/>
                <w:color w:val="auto"/>
              </w:rPr>
            </w:pPr>
          </w:p>
        </w:tc>
      </w:tr>
      <w:tr>
        <w:trPr>
          <w:trHeight w:val="149"/>
        </w:trPr>
        <w:tc>
          <w:tcPr>
            <w:tcW w:w="8360" w:type="dxa"/>
            <w:vAlign w:val="bottom"/>
          </w:tcPr>
          <w:p>
            <w:pPr>
              <w:spacing w:after="0"/>
              <w:rPr>
                <w:sz w:val="12"/>
                <w:szCs w:val="12"/>
                <w:color w:val="auto"/>
              </w:rPr>
            </w:pPr>
          </w:p>
        </w:tc>
        <w:tc>
          <w:tcPr>
            <w:tcW w:w="14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20" w:type="dxa"/>
            <w:vAlign w:val="bottom"/>
          </w:tcPr>
          <w:p>
            <w:pPr>
              <w:jc w:val="center"/>
              <w:ind w:right="57"/>
              <w:spacing w:after="0" w:line="149" w:lineRule="exact"/>
              <w:rPr>
                <w:sz w:val="20"/>
                <w:szCs w:val="20"/>
                <w:color w:val="auto"/>
              </w:rPr>
            </w:pPr>
            <w:r>
              <w:rPr>
                <w:rFonts w:ascii="Arial" w:cs="Arial" w:eastAsia="Arial" w:hAnsi="Arial"/>
                <w:sz w:val="14"/>
                <w:szCs w:val="14"/>
                <w:b w:val="1"/>
                <w:bCs w:val="1"/>
                <w:color w:val="auto"/>
                <w:w w:val="97"/>
              </w:rPr>
              <w:t>Grant Date</w:t>
            </w:r>
          </w:p>
        </w:tc>
        <w:tc>
          <w:tcPr>
            <w:tcW w:w="0" w:type="dxa"/>
            <w:vAlign w:val="bottom"/>
          </w:tcPr>
          <w:p>
            <w:pPr>
              <w:spacing w:after="0"/>
              <w:rPr>
                <w:sz w:val="1"/>
                <w:szCs w:val="1"/>
                <w:color w:val="auto"/>
              </w:rPr>
            </w:pPr>
          </w:p>
        </w:tc>
      </w:tr>
      <w:tr>
        <w:trPr>
          <w:trHeight w:val="192"/>
        </w:trPr>
        <w:tc>
          <w:tcPr>
            <w:tcW w:w="8360" w:type="dxa"/>
            <w:vAlign w:val="bottom"/>
            <w:tcBorders>
              <w:bottom w:val="single" w:sz="8" w:color="CCEEFF"/>
            </w:tcBorders>
          </w:tcPr>
          <w:p>
            <w:pPr>
              <w:spacing w:after="0"/>
              <w:rPr>
                <w:sz w:val="16"/>
                <w:szCs w:val="16"/>
                <w:color w:val="auto"/>
              </w:rPr>
            </w:pPr>
          </w:p>
        </w:tc>
        <w:tc>
          <w:tcPr>
            <w:tcW w:w="1480" w:type="dxa"/>
            <w:vAlign w:val="bottom"/>
            <w:tcBorders>
              <w:bottom w:val="single" w:sz="8" w:color="auto"/>
            </w:tcBorders>
          </w:tcPr>
          <w:p>
            <w:pPr>
              <w:jc w:val="right"/>
              <w:ind w:right="375"/>
              <w:spacing w:after="0"/>
              <w:rPr>
                <w:sz w:val="20"/>
                <w:szCs w:val="20"/>
                <w:color w:val="auto"/>
              </w:rPr>
            </w:pPr>
            <w:r>
              <w:rPr>
                <w:rFonts w:ascii="Arial" w:cs="Arial" w:eastAsia="Arial" w:hAnsi="Arial"/>
                <w:sz w:val="14"/>
                <w:szCs w:val="14"/>
                <w:b w:val="1"/>
                <w:bCs w:val="1"/>
                <w:color w:val="auto"/>
              </w:rPr>
              <w:t>of Shares</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77"/>
              <w:spacing w:after="0"/>
              <w:rPr>
                <w:sz w:val="20"/>
                <w:szCs w:val="20"/>
                <w:color w:val="auto"/>
              </w:rPr>
            </w:pPr>
            <w:r>
              <w:rPr>
                <w:rFonts w:ascii="Arial" w:cs="Arial" w:eastAsia="Arial" w:hAnsi="Arial"/>
                <w:sz w:val="14"/>
                <w:szCs w:val="14"/>
                <w:b w:val="1"/>
                <w:bCs w:val="1"/>
                <w:color w:val="auto"/>
                <w:w w:val="95"/>
              </w:rPr>
              <w:t>Fair Value</w:t>
            </w:r>
          </w:p>
        </w:tc>
        <w:tc>
          <w:tcPr>
            <w:tcW w:w="0" w:type="dxa"/>
            <w:vAlign w:val="bottom"/>
          </w:tcPr>
          <w:p>
            <w:pPr>
              <w:spacing w:after="0"/>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Unvested at December 31, 2015</w:t>
            </w:r>
          </w:p>
        </w:tc>
        <w:tc>
          <w:tcPr>
            <w:tcW w:w="14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849,571</w:t>
            </w:r>
          </w:p>
        </w:tc>
        <w:tc>
          <w:tcPr>
            <w:tcW w:w="26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15.12</w:t>
            </w:r>
          </w:p>
        </w:tc>
        <w:tc>
          <w:tcPr>
            <w:tcW w:w="0" w:type="dxa"/>
            <w:vAlign w:val="bottom"/>
          </w:tcPr>
          <w:p>
            <w:pPr>
              <w:spacing w:after="0"/>
              <w:rPr>
                <w:sz w:val="1"/>
                <w:szCs w:val="1"/>
                <w:color w:val="auto"/>
              </w:rPr>
            </w:pPr>
          </w:p>
        </w:tc>
      </w:tr>
      <w:tr>
        <w:trPr>
          <w:trHeight w:val="243"/>
        </w:trPr>
        <w:tc>
          <w:tcPr>
            <w:tcW w:w="8360" w:type="dxa"/>
            <w:vAlign w:val="bottom"/>
          </w:tcPr>
          <w:p>
            <w:pPr>
              <w:ind w:left="380"/>
              <w:spacing w:after="0"/>
              <w:rPr>
                <w:sz w:val="20"/>
                <w:szCs w:val="20"/>
                <w:color w:val="auto"/>
              </w:rPr>
            </w:pPr>
            <w:r>
              <w:rPr>
                <w:rFonts w:ascii="Arial" w:cs="Arial" w:eastAsia="Arial" w:hAnsi="Arial"/>
                <w:sz w:val="18"/>
                <w:szCs w:val="18"/>
                <w:color w:val="auto"/>
              </w:rPr>
              <w:t>Granted</w:t>
            </w:r>
          </w:p>
        </w:tc>
        <w:tc>
          <w:tcPr>
            <w:tcW w:w="1480" w:type="dxa"/>
            <w:vAlign w:val="bottom"/>
          </w:tcPr>
          <w:p>
            <w:pPr>
              <w:jc w:val="right"/>
              <w:ind w:right="15"/>
              <w:spacing w:after="0"/>
              <w:rPr>
                <w:sz w:val="20"/>
                <w:szCs w:val="20"/>
                <w:color w:val="auto"/>
              </w:rPr>
            </w:pPr>
            <w:r>
              <w:rPr>
                <w:rFonts w:ascii="Arial" w:cs="Arial" w:eastAsia="Arial" w:hAnsi="Arial"/>
                <w:sz w:val="18"/>
                <w:szCs w:val="18"/>
                <w:color w:val="auto"/>
              </w:rPr>
              <w:t>132,800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7"/>
              <w:spacing w:after="0"/>
              <w:rPr>
                <w:sz w:val="20"/>
                <w:szCs w:val="20"/>
                <w:color w:val="auto"/>
              </w:rPr>
            </w:pPr>
            <w:r>
              <w:rPr>
                <w:rFonts w:ascii="Arial" w:cs="Arial" w:eastAsia="Arial" w:hAnsi="Arial"/>
                <w:sz w:val="18"/>
                <w:szCs w:val="18"/>
                <w:color w:val="auto"/>
              </w:rPr>
              <w:t>46.30</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Vested</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(128,675)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14.38</w:t>
            </w:r>
          </w:p>
        </w:tc>
        <w:tc>
          <w:tcPr>
            <w:tcW w:w="0" w:type="dxa"/>
            <w:vAlign w:val="bottom"/>
          </w:tcPr>
          <w:p>
            <w:pPr>
              <w:spacing w:after="0"/>
              <w:rPr>
                <w:sz w:val="1"/>
                <w:szCs w:val="1"/>
                <w:color w:val="auto"/>
              </w:rPr>
            </w:pPr>
          </w:p>
        </w:tc>
      </w:tr>
      <w:tr>
        <w:trPr>
          <w:trHeight w:val="243"/>
        </w:trPr>
        <w:tc>
          <w:tcPr>
            <w:tcW w:w="8360" w:type="dxa"/>
            <w:vAlign w:val="bottom"/>
          </w:tcPr>
          <w:p>
            <w:pPr>
              <w:ind w:left="380"/>
              <w:spacing w:after="0"/>
              <w:rPr>
                <w:sz w:val="20"/>
                <w:szCs w:val="20"/>
                <w:color w:val="auto"/>
              </w:rPr>
            </w:pPr>
            <w:r>
              <w:rPr>
                <w:rFonts w:ascii="Arial" w:cs="Arial" w:eastAsia="Arial" w:hAnsi="Arial"/>
                <w:sz w:val="18"/>
                <w:szCs w:val="18"/>
                <w:color w:val="auto"/>
              </w:rPr>
              <w:t>Canceled/Forfeited</w:t>
            </w:r>
          </w:p>
        </w:tc>
        <w:tc>
          <w:tcPr>
            <w:tcW w:w="1480" w:type="dxa"/>
            <w:vAlign w:val="bottom"/>
          </w:tcPr>
          <w:p>
            <w:pPr>
              <w:jc w:val="right"/>
              <w:spacing w:after="0"/>
              <w:rPr>
                <w:sz w:val="20"/>
                <w:szCs w:val="20"/>
                <w:color w:val="auto"/>
              </w:rPr>
            </w:pPr>
            <w:r>
              <w:rPr>
                <w:rFonts w:ascii="Arial" w:cs="Arial" w:eastAsia="Arial" w:hAnsi="Arial"/>
                <w:sz w:val="18"/>
                <w:szCs w:val="18"/>
                <w:color w:val="auto"/>
              </w:rPr>
              <w:t>(5,000)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7"/>
              <w:spacing w:after="0"/>
              <w:rPr>
                <w:sz w:val="20"/>
                <w:szCs w:val="20"/>
                <w:color w:val="auto"/>
              </w:rPr>
            </w:pPr>
            <w:r>
              <w:rPr>
                <w:rFonts w:ascii="Arial" w:cs="Arial" w:eastAsia="Arial" w:hAnsi="Arial"/>
                <w:sz w:val="18"/>
                <w:szCs w:val="18"/>
                <w:color w:val="auto"/>
              </w:rPr>
              <w:t>7.75</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32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Unvested and expected to vest at June 30, 2016</w:t>
            </w:r>
          </w:p>
        </w:tc>
        <w:tc>
          <w:tcPr>
            <w:tcW w:w="14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848,696</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20.16</w:t>
            </w:r>
          </w:p>
        </w:tc>
        <w:tc>
          <w:tcPr>
            <w:tcW w:w="0" w:type="dxa"/>
            <w:vAlign w:val="bottom"/>
          </w:tcPr>
          <w:p>
            <w:pPr>
              <w:spacing w:after="0"/>
              <w:rPr>
                <w:sz w:val="1"/>
                <w:szCs w:val="1"/>
                <w:color w:val="auto"/>
              </w:rPr>
            </w:pPr>
          </w:p>
        </w:tc>
      </w:tr>
      <w:tr>
        <w:trPr>
          <w:trHeight w:val="20"/>
        </w:trPr>
        <w:tc>
          <w:tcPr>
            <w:tcW w:w="836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 Stock Purchase Plan</w:t>
      </w:r>
    </w:p>
    <w:p>
      <w:pPr>
        <w:spacing w:after="0" w:line="175" w:lineRule="exact"/>
        <w:rPr>
          <w:sz w:val="20"/>
          <w:szCs w:val="20"/>
          <w:color w:val="auto"/>
        </w:rPr>
      </w:pPr>
    </w:p>
    <w:p>
      <w:pPr>
        <w:ind w:right="220" w:firstLine="324"/>
        <w:spacing w:after="0" w:line="277" w:lineRule="auto"/>
        <w:rPr>
          <w:sz w:val="20"/>
          <w:szCs w:val="20"/>
          <w:color w:val="auto"/>
        </w:rPr>
      </w:pPr>
      <w:r>
        <w:rPr>
          <w:rFonts w:ascii="Arial" w:cs="Arial" w:eastAsia="Arial" w:hAnsi="Arial"/>
          <w:sz w:val="18"/>
          <w:szCs w:val="18"/>
          <w:color w:val="auto"/>
        </w:rPr>
        <w:t>Under the Penumbra, Inc. Employee Stock Purchase Plan (“ESPP”), employees purchased 148,354 shares for $3.8 million during each of the three and six months ended June 30, 2016.</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121" w:right="239" w:bottom="1440" w:gutter="0" w:footer="0" w:header="0"/>
        </w:sectPr>
      </w:pPr>
    </w:p>
    <w:bookmarkStart w:id="15" w:name="page16"/>
    <w:bookmarkEnd w:id="15"/>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w:t>
      </w:r>
    </w:p>
    <w:p>
      <w:pPr>
        <w:spacing w:after="0" w:line="175" w:lineRule="exact"/>
        <w:rPr>
          <w:sz w:val="20"/>
          <w:szCs w:val="20"/>
          <w:color w:val="auto"/>
        </w:rPr>
      </w:pPr>
    </w:p>
    <w:p>
      <w:pPr>
        <w:ind w:right="20" w:firstLine="324"/>
        <w:spacing w:after="0" w:line="277" w:lineRule="auto"/>
        <w:rPr>
          <w:sz w:val="20"/>
          <w:szCs w:val="20"/>
          <w:color w:val="auto"/>
        </w:rPr>
      </w:pPr>
      <w:r>
        <w:rPr>
          <w:rFonts w:ascii="Arial" w:cs="Arial" w:eastAsia="Arial" w:hAnsi="Arial"/>
          <w:sz w:val="18"/>
          <w:szCs w:val="18"/>
          <w:color w:val="auto"/>
        </w:rPr>
        <w:t>The following table sets forth the stock-based compensation expense included in the condensed consolidated statements of operations and comprehensive income (loss) for the three and six months ended June 30, 2016 and 2015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254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Three Months Ended June 30,</w:t>
            </w:r>
          </w:p>
        </w:tc>
        <w:tc>
          <w:tcPr>
            <w:tcW w:w="5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500" w:type="dxa"/>
            <w:vAlign w:val="bottom"/>
            <w:tcBorders>
              <w:bottom w:val="single" w:sz="8" w:color="auto"/>
            </w:tcBorders>
            <w:gridSpan w:val="4"/>
          </w:tcPr>
          <w:p>
            <w:pPr>
              <w:jc w:val="right"/>
              <w:ind w:right="36"/>
              <w:spacing w:after="0"/>
              <w:rPr>
                <w:sz w:val="20"/>
                <w:szCs w:val="20"/>
                <w:color w:val="auto"/>
              </w:rPr>
            </w:pPr>
            <w:r>
              <w:rPr>
                <w:rFonts w:ascii="Arial" w:cs="Arial" w:eastAsia="Arial" w:hAnsi="Arial"/>
                <w:sz w:val="14"/>
                <w:szCs w:val="14"/>
                <w:b w:val="1"/>
                <w:bCs w:val="1"/>
                <w:color w:val="auto"/>
              </w:rPr>
              <w:t>Six Months Ended June 30,</w:t>
            </w:r>
          </w:p>
        </w:tc>
        <w:tc>
          <w:tcPr>
            <w:tcW w:w="560" w:type="dxa"/>
            <w:vAlign w:val="bottom"/>
            <w:tcBorders>
              <w:bottom w:val="single" w:sz="8" w:color="auto"/>
            </w:tcBorders>
          </w:tcPr>
          <w:p>
            <w:pPr>
              <w:spacing w:after="0"/>
              <w:rPr>
                <w:sz w:val="16"/>
                <w:szCs w:val="16"/>
                <w:color w:val="auto"/>
              </w:rPr>
            </w:pPr>
          </w:p>
        </w:tc>
      </w:tr>
      <w:tr>
        <w:trPr>
          <w:trHeight w:val="264"/>
        </w:trPr>
        <w:tc>
          <w:tcPr>
            <w:tcW w:w="516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2016</w:t>
            </w:r>
          </w:p>
        </w:tc>
        <w:tc>
          <w:tcPr>
            <w:tcW w:w="5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2015</w:t>
            </w:r>
          </w:p>
        </w:tc>
        <w:tc>
          <w:tcPr>
            <w:tcW w:w="5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2016</w:t>
            </w:r>
          </w:p>
        </w:tc>
        <w:tc>
          <w:tcPr>
            <w:tcW w:w="5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2015</w:t>
            </w:r>
          </w:p>
        </w:tc>
        <w:tc>
          <w:tcPr>
            <w:tcW w:w="560" w:type="dxa"/>
            <w:vAlign w:val="bottom"/>
            <w:tcBorders>
              <w:bottom w:val="single" w:sz="8" w:color="auto"/>
            </w:tcBorders>
          </w:tcPr>
          <w:p>
            <w:pPr>
              <w:spacing w:after="0"/>
              <w:rPr>
                <w:sz w:val="22"/>
                <w:szCs w:val="22"/>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sales</w:t>
            </w:r>
          </w:p>
        </w:tc>
        <w:tc>
          <w:tcPr>
            <w:tcW w:w="940" w:type="dxa"/>
            <w:vAlign w:val="bottom"/>
            <w:tcBorders>
              <w:bottom w:val="single" w:sz="8" w:color="CCEEFF"/>
            </w:tcBorders>
            <w:shd w:val="clear" w:color="auto" w:fill="CCEEFF"/>
          </w:tcPr>
          <w:p>
            <w:pPr>
              <w:jc w:val="right"/>
              <w:ind w:right="739"/>
              <w:spacing w:after="0"/>
              <w:rPr>
                <w:sz w:val="20"/>
                <w:szCs w:val="20"/>
                <w:color w:val="auto"/>
              </w:rPr>
            </w:pPr>
            <w:r>
              <w:rPr>
                <w:rFonts w:ascii="Arial" w:cs="Arial" w:eastAsia="Arial" w:hAnsi="Arial"/>
                <w:sz w:val="18"/>
                <w:szCs w:val="18"/>
                <w:color w:val="auto"/>
                <w:w w:val="99"/>
              </w:rPr>
              <w:t>$</w:t>
            </w:r>
          </w:p>
        </w:tc>
        <w:tc>
          <w:tcPr>
            <w:tcW w:w="5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651</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716"/>
              <w:spacing w:after="0"/>
              <w:rPr>
                <w:sz w:val="20"/>
                <w:szCs w:val="20"/>
                <w:color w:val="auto"/>
              </w:rPr>
            </w:pPr>
            <w:r>
              <w:rPr>
                <w:rFonts w:ascii="Arial" w:cs="Arial" w:eastAsia="Arial" w:hAnsi="Arial"/>
                <w:sz w:val="18"/>
                <w:szCs w:val="18"/>
                <w:color w:val="auto"/>
                <w:w w:val="99"/>
              </w:rPr>
              <w:t>$</w:t>
            </w:r>
          </w:p>
        </w:tc>
        <w:tc>
          <w:tcPr>
            <w:tcW w:w="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71</w:t>
            </w: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719"/>
              <w:spacing w:after="0"/>
              <w:rPr>
                <w:sz w:val="20"/>
                <w:szCs w:val="20"/>
                <w:color w:val="auto"/>
              </w:rPr>
            </w:pPr>
            <w:r>
              <w:rPr>
                <w:rFonts w:ascii="Arial" w:cs="Arial" w:eastAsia="Arial" w:hAnsi="Arial"/>
                <w:sz w:val="18"/>
                <w:szCs w:val="18"/>
                <w:color w:val="auto"/>
                <w:w w:val="99"/>
              </w:rPr>
              <w:t>$</w:t>
            </w:r>
          </w:p>
        </w:tc>
        <w:tc>
          <w:tcPr>
            <w:tcW w:w="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660</w:t>
            </w: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716"/>
              <w:spacing w:after="0"/>
              <w:rPr>
                <w:sz w:val="20"/>
                <w:szCs w:val="20"/>
                <w:color w:val="auto"/>
              </w:rPr>
            </w:pPr>
            <w:r>
              <w:rPr>
                <w:rFonts w:ascii="Arial" w:cs="Arial" w:eastAsia="Arial" w:hAnsi="Arial"/>
                <w:sz w:val="18"/>
                <w:szCs w:val="18"/>
                <w:color w:val="auto"/>
                <w:w w:val="99"/>
              </w:rPr>
              <w:t>$</w:t>
            </w:r>
          </w:p>
        </w:tc>
        <w:tc>
          <w:tcPr>
            <w:tcW w:w="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130</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Research and development</w:t>
            </w:r>
          </w:p>
        </w:tc>
        <w:tc>
          <w:tcPr>
            <w:tcW w:w="940" w:type="dxa"/>
            <w:vAlign w:val="bottom"/>
          </w:tcPr>
          <w:p>
            <w:pPr>
              <w:spacing w:after="0"/>
              <w:rPr>
                <w:sz w:val="21"/>
                <w:szCs w:val="21"/>
                <w:color w:val="auto"/>
              </w:rPr>
            </w:pPr>
          </w:p>
        </w:tc>
        <w:tc>
          <w:tcPr>
            <w:tcW w:w="560" w:type="dxa"/>
            <w:vAlign w:val="bottom"/>
          </w:tcPr>
          <w:p>
            <w:pPr>
              <w:jc w:val="right"/>
              <w:ind w:right="30"/>
              <w:spacing w:after="0"/>
              <w:rPr>
                <w:sz w:val="20"/>
                <w:szCs w:val="20"/>
                <w:color w:val="auto"/>
              </w:rPr>
            </w:pPr>
            <w:r>
              <w:rPr>
                <w:rFonts w:ascii="Arial" w:cs="Arial" w:eastAsia="Arial" w:hAnsi="Arial"/>
                <w:sz w:val="18"/>
                <w:szCs w:val="18"/>
                <w:color w:val="auto"/>
              </w:rPr>
              <w:t>281</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60" w:type="dxa"/>
            <w:vAlign w:val="bottom"/>
          </w:tcPr>
          <w:p>
            <w:pPr>
              <w:jc w:val="right"/>
              <w:ind w:right="10"/>
              <w:spacing w:after="0"/>
              <w:rPr>
                <w:sz w:val="20"/>
                <w:szCs w:val="20"/>
                <w:color w:val="auto"/>
              </w:rPr>
            </w:pPr>
            <w:r>
              <w:rPr>
                <w:rFonts w:ascii="Arial" w:cs="Arial" w:eastAsia="Arial" w:hAnsi="Arial"/>
                <w:sz w:val="18"/>
                <w:szCs w:val="18"/>
                <w:color w:val="auto"/>
              </w:rPr>
              <w:t>160</w:t>
            </w:r>
          </w:p>
        </w:tc>
        <w:tc>
          <w:tcPr>
            <w:tcW w:w="1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60" w:type="dxa"/>
            <w:vAlign w:val="bottom"/>
          </w:tcPr>
          <w:p>
            <w:pPr>
              <w:jc w:val="right"/>
              <w:ind w:right="10"/>
              <w:spacing w:after="0"/>
              <w:rPr>
                <w:sz w:val="20"/>
                <w:szCs w:val="20"/>
                <w:color w:val="auto"/>
              </w:rPr>
            </w:pPr>
            <w:r>
              <w:rPr>
                <w:rFonts w:ascii="Arial" w:cs="Arial" w:eastAsia="Arial" w:hAnsi="Arial"/>
                <w:sz w:val="18"/>
                <w:szCs w:val="18"/>
                <w:color w:val="auto"/>
              </w:rPr>
              <w:t>539</w:t>
            </w:r>
          </w:p>
        </w:tc>
        <w:tc>
          <w:tcPr>
            <w:tcW w:w="1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60" w:type="dxa"/>
            <w:vAlign w:val="bottom"/>
          </w:tcPr>
          <w:p>
            <w:pPr>
              <w:jc w:val="right"/>
              <w:ind w:right="10"/>
              <w:spacing w:after="0"/>
              <w:rPr>
                <w:sz w:val="20"/>
                <w:szCs w:val="20"/>
                <w:color w:val="auto"/>
              </w:rPr>
            </w:pPr>
            <w:r>
              <w:rPr>
                <w:rFonts w:ascii="Arial" w:cs="Arial" w:eastAsia="Arial" w:hAnsi="Arial"/>
                <w:sz w:val="18"/>
                <w:szCs w:val="18"/>
                <w:color w:val="auto"/>
              </w:rPr>
              <w:t>182</w:t>
            </w:r>
          </w:p>
        </w:tc>
      </w:tr>
      <w:tr>
        <w:trPr>
          <w:trHeight w:val="27"/>
        </w:trPr>
        <w:tc>
          <w:tcPr>
            <w:tcW w:w="5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56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 general and administrative</w:t>
            </w:r>
          </w:p>
        </w:tc>
        <w:tc>
          <w:tcPr>
            <w:tcW w:w="94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3"/>
              </w:rPr>
              <w:t>2,590</w:t>
            </w:r>
          </w:p>
        </w:tc>
        <w:tc>
          <w:tcPr>
            <w:tcW w:w="12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7"/>
              </w:rPr>
              <w:t>3,030</w:t>
            </w:r>
          </w:p>
        </w:tc>
        <w:tc>
          <w:tcPr>
            <w:tcW w:w="1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7"/>
              </w:rPr>
              <w:t>5,338</w:t>
            </w:r>
          </w:p>
        </w:tc>
        <w:tc>
          <w:tcPr>
            <w:tcW w:w="1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7"/>
              </w:rPr>
              <w:t>3,304</w:t>
            </w:r>
          </w:p>
        </w:tc>
      </w:tr>
      <w:tr>
        <w:trPr>
          <w:trHeight w:val="237"/>
        </w:trPr>
        <w:tc>
          <w:tcPr>
            <w:tcW w:w="5160" w:type="dxa"/>
            <w:vAlign w:val="bottom"/>
          </w:tcPr>
          <w:p>
            <w:pPr>
              <w:ind w:left="180"/>
              <w:spacing w:after="0"/>
              <w:rPr>
                <w:sz w:val="20"/>
                <w:szCs w:val="20"/>
                <w:color w:val="auto"/>
              </w:rPr>
            </w:pPr>
            <w:r>
              <w:rPr>
                <w:rFonts w:ascii="Arial" w:cs="Arial" w:eastAsia="Arial" w:hAnsi="Arial"/>
                <w:sz w:val="18"/>
                <w:szCs w:val="18"/>
                <w:color w:val="auto"/>
              </w:rPr>
              <w:t>Total</w:t>
            </w:r>
          </w:p>
        </w:tc>
        <w:tc>
          <w:tcPr>
            <w:tcW w:w="940" w:type="dxa"/>
            <w:vAlign w:val="bottom"/>
            <w:tcBorders>
              <w:top w:val="single" w:sz="8" w:color="auto"/>
            </w:tcBorders>
          </w:tcPr>
          <w:p>
            <w:pPr>
              <w:jc w:val="right"/>
              <w:ind w:right="739"/>
              <w:spacing w:after="0"/>
              <w:rPr>
                <w:sz w:val="20"/>
                <w:szCs w:val="20"/>
                <w:color w:val="auto"/>
              </w:rPr>
            </w:pPr>
            <w:r>
              <w:rPr>
                <w:rFonts w:ascii="Arial" w:cs="Arial" w:eastAsia="Arial" w:hAnsi="Arial"/>
                <w:sz w:val="18"/>
                <w:szCs w:val="18"/>
                <w:color w:val="auto"/>
                <w:w w:val="99"/>
              </w:rPr>
              <w:t>$</w:t>
            </w:r>
          </w:p>
        </w:tc>
        <w:tc>
          <w:tcPr>
            <w:tcW w:w="5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3"/>
              </w:rPr>
              <w:t>3,522</w:t>
            </w:r>
          </w:p>
        </w:tc>
        <w:tc>
          <w:tcPr>
            <w:tcW w:w="120" w:type="dxa"/>
            <w:vAlign w:val="bottom"/>
          </w:tcPr>
          <w:p>
            <w:pPr>
              <w:spacing w:after="0"/>
              <w:rPr>
                <w:sz w:val="20"/>
                <w:szCs w:val="20"/>
                <w:color w:val="auto"/>
              </w:rPr>
            </w:pPr>
          </w:p>
        </w:tc>
        <w:tc>
          <w:tcPr>
            <w:tcW w:w="920" w:type="dxa"/>
            <w:vAlign w:val="bottom"/>
            <w:tcBorders>
              <w:top w:val="single" w:sz="8" w:color="auto"/>
            </w:tcBorders>
          </w:tcPr>
          <w:p>
            <w:pPr>
              <w:jc w:val="right"/>
              <w:ind w:right="716"/>
              <w:spacing w:after="0"/>
              <w:rPr>
                <w:sz w:val="20"/>
                <w:szCs w:val="20"/>
                <w:color w:val="auto"/>
              </w:rPr>
            </w:pPr>
            <w:r>
              <w:rPr>
                <w:rFonts w:ascii="Arial" w:cs="Arial" w:eastAsia="Arial" w:hAnsi="Arial"/>
                <w:sz w:val="18"/>
                <w:szCs w:val="18"/>
                <w:color w:val="auto"/>
                <w:w w:val="99"/>
              </w:rPr>
              <w:t>$</w:t>
            </w:r>
          </w:p>
        </w:tc>
        <w:tc>
          <w:tcPr>
            <w:tcW w:w="5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7"/>
              </w:rPr>
              <w:t>3,261</w:t>
            </w:r>
          </w:p>
        </w:tc>
        <w:tc>
          <w:tcPr>
            <w:tcW w:w="100" w:type="dxa"/>
            <w:vAlign w:val="bottom"/>
          </w:tcPr>
          <w:p>
            <w:pPr>
              <w:spacing w:after="0"/>
              <w:rPr>
                <w:sz w:val="20"/>
                <w:szCs w:val="20"/>
                <w:color w:val="auto"/>
              </w:rPr>
            </w:pPr>
          </w:p>
        </w:tc>
        <w:tc>
          <w:tcPr>
            <w:tcW w:w="920" w:type="dxa"/>
            <w:vAlign w:val="bottom"/>
            <w:tcBorders>
              <w:top w:val="single" w:sz="8" w:color="auto"/>
            </w:tcBorders>
          </w:tcPr>
          <w:p>
            <w:pPr>
              <w:jc w:val="right"/>
              <w:ind w:right="719"/>
              <w:spacing w:after="0"/>
              <w:rPr>
                <w:sz w:val="20"/>
                <w:szCs w:val="20"/>
                <w:color w:val="auto"/>
              </w:rPr>
            </w:pPr>
            <w:r>
              <w:rPr>
                <w:rFonts w:ascii="Arial" w:cs="Arial" w:eastAsia="Arial" w:hAnsi="Arial"/>
                <w:sz w:val="18"/>
                <w:szCs w:val="18"/>
                <w:color w:val="auto"/>
                <w:w w:val="99"/>
              </w:rPr>
              <w:t>$</w:t>
            </w:r>
          </w:p>
        </w:tc>
        <w:tc>
          <w:tcPr>
            <w:tcW w:w="5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7"/>
              </w:rPr>
              <w:t>6,537</w:t>
            </w:r>
          </w:p>
        </w:tc>
        <w:tc>
          <w:tcPr>
            <w:tcW w:w="100" w:type="dxa"/>
            <w:vAlign w:val="bottom"/>
          </w:tcPr>
          <w:p>
            <w:pPr>
              <w:spacing w:after="0"/>
              <w:rPr>
                <w:sz w:val="20"/>
                <w:szCs w:val="20"/>
                <w:color w:val="auto"/>
              </w:rPr>
            </w:pPr>
          </w:p>
        </w:tc>
        <w:tc>
          <w:tcPr>
            <w:tcW w:w="920" w:type="dxa"/>
            <w:vAlign w:val="bottom"/>
            <w:tcBorders>
              <w:top w:val="single" w:sz="8" w:color="auto"/>
            </w:tcBorders>
          </w:tcPr>
          <w:p>
            <w:pPr>
              <w:jc w:val="right"/>
              <w:ind w:right="716"/>
              <w:spacing w:after="0"/>
              <w:rPr>
                <w:sz w:val="20"/>
                <w:szCs w:val="20"/>
                <w:color w:val="auto"/>
              </w:rPr>
            </w:pPr>
            <w:r>
              <w:rPr>
                <w:rFonts w:ascii="Arial" w:cs="Arial" w:eastAsia="Arial" w:hAnsi="Arial"/>
                <w:sz w:val="18"/>
                <w:szCs w:val="18"/>
                <w:color w:val="auto"/>
                <w:w w:val="99"/>
              </w:rPr>
              <w:t>$</w:t>
            </w:r>
          </w:p>
        </w:tc>
        <w:tc>
          <w:tcPr>
            <w:tcW w:w="5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7"/>
              </w:rPr>
              <w:t>3,616</w:t>
            </w:r>
          </w:p>
        </w:tc>
      </w:tr>
      <w:tr>
        <w:trPr>
          <w:trHeight w:val="27"/>
        </w:trPr>
        <w:tc>
          <w:tcPr>
            <w:tcW w:w="5160" w:type="dxa"/>
            <w:vAlign w:val="bottom"/>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r>
      <w:tr>
        <w:trPr>
          <w:trHeight w:val="20"/>
        </w:trPr>
        <w:tc>
          <w:tcPr>
            <w:tcW w:w="516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right="500" w:firstLine="324"/>
        <w:spacing w:after="0" w:line="277" w:lineRule="auto"/>
        <w:rPr>
          <w:sz w:val="20"/>
          <w:szCs w:val="20"/>
          <w:color w:val="auto"/>
        </w:rPr>
      </w:pPr>
      <w:r>
        <w:rPr>
          <w:rFonts w:ascii="Arial" w:cs="Arial" w:eastAsia="Arial" w:hAnsi="Arial"/>
          <w:sz w:val="18"/>
          <w:szCs w:val="18"/>
          <w:color w:val="auto"/>
        </w:rPr>
        <w:t>As of June 30, 2016, total unrecognized compensation cost was $27.6 million related to unvested share-based compensation arrangements which is expected to be recognized over a weighted average period of 2.7 years.</w:t>
      </w:r>
    </w:p>
    <w:p>
      <w:pPr>
        <w:spacing w:after="0" w:line="116" w:lineRule="exact"/>
        <w:rPr>
          <w:sz w:val="20"/>
          <w:szCs w:val="20"/>
          <w:color w:val="auto"/>
        </w:rPr>
      </w:pPr>
    </w:p>
    <w:p>
      <w:pPr>
        <w:ind w:right="700" w:firstLine="324"/>
        <w:spacing w:after="0" w:line="277" w:lineRule="auto"/>
        <w:rPr>
          <w:sz w:val="20"/>
          <w:szCs w:val="20"/>
          <w:color w:val="auto"/>
        </w:rPr>
      </w:pPr>
      <w:r>
        <w:rPr>
          <w:rFonts w:ascii="Arial" w:cs="Arial" w:eastAsia="Arial" w:hAnsi="Arial"/>
          <w:sz w:val="18"/>
          <w:szCs w:val="18"/>
          <w:color w:val="auto"/>
        </w:rPr>
        <w:t>The total stock-based compensation cost capitalized in inventory was $0.6 million and $0.3 million as of June 30, 2016 and December 31, 2015, respectively.</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Accumulated Other Comprehensive Income (Loss)</w:t>
      </w:r>
    </w:p>
    <w:p>
      <w:pPr>
        <w:spacing w:after="0" w:line="175"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Other comprehensive income (loss) consists of two components: unrealized gains or losses on the Company’s available-for-sale marketable investments, and gains or losses from foreign currency translation adjustments. Until realized and reported as a component of net income, these comprehensive income items accumulate and are included within accumulated other comprehensive income (loss). Unrealized gains and losses on the Company’s marketable investments are reclassified from accumulated other comprehensive income (loss) into earnings when realized upon sale, and are determined based on specific identification of securities sold. Gains and losses from the translation of assets and liabilities denominated in non-U.S. dollar functional currencies are included in accumulated other comprehensive income (loss).</w:t>
      </w:r>
    </w:p>
    <w:p>
      <w:pPr>
        <w:spacing w:after="0" w:line="139" w:lineRule="exact"/>
        <w:rPr>
          <w:sz w:val="20"/>
          <w:szCs w:val="20"/>
          <w:color w:val="auto"/>
        </w:rPr>
      </w:pPr>
    </w:p>
    <w:p>
      <w:pPr>
        <w:jc w:val="both"/>
        <w:ind w:right="260" w:firstLine="324"/>
        <w:spacing w:after="0" w:line="264" w:lineRule="auto"/>
        <w:rPr>
          <w:sz w:val="20"/>
          <w:szCs w:val="20"/>
          <w:color w:val="auto"/>
        </w:rPr>
      </w:pPr>
      <w:r>
        <w:rPr>
          <w:rFonts w:ascii="Arial" w:cs="Arial" w:eastAsia="Arial" w:hAnsi="Arial"/>
          <w:sz w:val="18"/>
          <w:szCs w:val="18"/>
          <w:color w:val="auto"/>
        </w:rPr>
        <w:t>The following table summarizes the changes in the accumulated balances during the three and six months ended June 30, 2016 and 2015, and includes information regarding the manner in which the reclassifications out of accumulated other comprehensive income (loss) into earnings affect the Company’s condensed consolidated statements of operations and comprehensive income (loss) (in thousands):</w:t>
      </w:r>
    </w:p>
    <w:p>
      <w:pPr>
        <w:spacing w:after="0" w:line="186"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4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800" w:type="dxa"/>
            <w:vAlign w:val="bottom"/>
            <w:tcBorders>
              <w:bottom w:val="single" w:sz="8" w:color="auto"/>
            </w:tcBorders>
            <w:gridSpan w:val="6"/>
          </w:tcPr>
          <w:p>
            <w:pPr>
              <w:jc w:val="center"/>
              <w:ind w:left="508"/>
              <w:spacing w:after="0"/>
              <w:rPr>
                <w:sz w:val="20"/>
                <w:szCs w:val="20"/>
                <w:color w:val="auto"/>
              </w:rPr>
            </w:pPr>
            <w:r>
              <w:rPr>
                <w:rFonts w:ascii="Arial" w:cs="Arial" w:eastAsia="Arial" w:hAnsi="Arial"/>
                <w:sz w:val="14"/>
                <w:szCs w:val="14"/>
                <w:b w:val="1"/>
                <w:bCs w:val="1"/>
                <w:color w:val="auto"/>
                <w:w w:val="93"/>
              </w:rPr>
              <w:t>Three Months Ended June 30, 2016</w:t>
            </w:r>
          </w:p>
        </w:tc>
        <w:tc>
          <w:tcPr>
            <w:tcW w:w="7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360" w:type="dxa"/>
            <w:vAlign w:val="bottom"/>
            <w:tcBorders>
              <w:bottom w:val="single" w:sz="8" w:color="auto"/>
            </w:tcBorders>
            <w:gridSpan w:val="7"/>
          </w:tcPr>
          <w:p>
            <w:pPr>
              <w:jc w:val="right"/>
              <w:ind w:right="568"/>
              <w:spacing w:after="0"/>
              <w:rPr>
                <w:sz w:val="20"/>
                <w:szCs w:val="20"/>
                <w:color w:val="auto"/>
              </w:rPr>
            </w:pPr>
            <w:r>
              <w:rPr>
                <w:rFonts w:ascii="Arial" w:cs="Arial" w:eastAsia="Arial" w:hAnsi="Arial"/>
                <w:sz w:val="14"/>
                <w:szCs w:val="14"/>
                <w:b w:val="1"/>
                <w:bCs w:val="1"/>
                <w:color w:val="auto"/>
              </w:rPr>
              <w:t>Three Months Ended June 30, 2015</w:t>
            </w:r>
          </w:p>
        </w:tc>
        <w:tc>
          <w:tcPr>
            <w:tcW w:w="0" w:type="dxa"/>
            <w:vAlign w:val="bottom"/>
          </w:tcPr>
          <w:p>
            <w:pPr>
              <w:spacing w:after="0"/>
              <w:rPr>
                <w:sz w:val="1"/>
                <w:szCs w:val="1"/>
                <w:color w:val="auto"/>
              </w:rPr>
            </w:pPr>
          </w:p>
        </w:tc>
      </w:tr>
      <w:tr>
        <w:trPr>
          <w:trHeight w:val="152"/>
        </w:trPr>
        <w:tc>
          <w:tcPr>
            <w:tcW w:w="4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4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rPr>
              <w:t>Marketable</w:t>
            </w:r>
          </w:p>
        </w:tc>
        <w:tc>
          <w:tcPr>
            <w:tcW w:w="140" w:type="dxa"/>
            <w:vAlign w:val="bottom"/>
          </w:tcPr>
          <w:p>
            <w:pPr>
              <w:spacing w:after="0"/>
              <w:rPr>
                <w:sz w:val="13"/>
                <w:szCs w:val="13"/>
                <w:color w:val="auto"/>
              </w:rPr>
            </w:pPr>
          </w:p>
        </w:tc>
        <w:tc>
          <w:tcPr>
            <w:tcW w:w="1120" w:type="dxa"/>
            <w:vAlign w:val="bottom"/>
            <w:gridSpan w:val="2"/>
          </w:tcPr>
          <w:p>
            <w:pPr>
              <w:ind w:left="160"/>
              <w:spacing w:after="0" w:line="153" w:lineRule="exact"/>
              <w:rPr>
                <w:sz w:val="20"/>
                <w:szCs w:val="20"/>
                <w:color w:val="auto"/>
              </w:rPr>
            </w:pPr>
            <w:r>
              <w:rPr>
                <w:rFonts w:ascii="Arial" w:cs="Arial" w:eastAsia="Arial" w:hAnsi="Arial"/>
                <w:sz w:val="14"/>
                <w:szCs w:val="14"/>
                <w:b w:val="1"/>
                <w:bCs w:val="1"/>
                <w:color w:val="auto"/>
              </w:rPr>
              <w:t>Currency</w:t>
            </w:r>
          </w:p>
        </w:tc>
        <w:tc>
          <w:tcPr>
            <w:tcW w:w="4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rPr>
              <w:t>Marketable</w:t>
            </w:r>
          </w:p>
        </w:tc>
        <w:tc>
          <w:tcPr>
            <w:tcW w:w="140" w:type="dxa"/>
            <w:vAlign w:val="bottom"/>
          </w:tcPr>
          <w:p>
            <w:pPr>
              <w:spacing w:after="0"/>
              <w:rPr>
                <w:sz w:val="13"/>
                <w:szCs w:val="13"/>
                <w:color w:val="auto"/>
              </w:rPr>
            </w:pPr>
          </w:p>
        </w:tc>
        <w:tc>
          <w:tcPr>
            <w:tcW w:w="110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4"/>
              </w:rPr>
              <w:t>Currency</w:t>
            </w: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Translation</w:t>
            </w:r>
          </w:p>
        </w:tc>
        <w:tc>
          <w:tcPr>
            <w:tcW w:w="400" w:type="dxa"/>
            <w:vAlign w:val="bottom"/>
          </w:tcPr>
          <w:p>
            <w:pPr>
              <w:spacing w:after="0"/>
              <w:rPr>
                <w:sz w:val="12"/>
                <w:szCs w:val="12"/>
                <w:color w:val="auto"/>
              </w:rPr>
            </w:pPr>
          </w:p>
        </w:tc>
        <w:tc>
          <w:tcPr>
            <w:tcW w:w="8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Translation</w:t>
            </w:r>
          </w:p>
        </w:tc>
        <w:tc>
          <w:tcPr>
            <w:tcW w:w="240" w:type="dxa"/>
            <w:vAlign w:val="bottom"/>
          </w:tcPr>
          <w:p>
            <w:pPr>
              <w:spacing w:after="0"/>
              <w:rPr>
                <w:sz w:val="12"/>
                <w:szCs w:val="12"/>
                <w:color w:val="auto"/>
              </w:rPr>
            </w:pPr>
          </w:p>
        </w:tc>
        <w:tc>
          <w:tcPr>
            <w:tcW w:w="88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5"/>
              </w:rPr>
              <w:t>Investments</w:t>
            </w:r>
          </w:p>
        </w:tc>
        <w:tc>
          <w:tcPr>
            <w:tcW w:w="140" w:type="dxa"/>
            <w:vAlign w:val="bottom"/>
          </w:tcPr>
          <w:p>
            <w:pPr>
              <w:spacing w:after="0"/>
              <w:rPr>
                <w:sz w:val="16"/>
                <w:szCs w:val="16"/>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40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0"/>
              </w:rPr>
              <w:t>Investments</w:t>
            </w:r>
          </w:p>
        </w:tc>
        <w:tc>
          <w:tcPr>
            <w:tcW w:w="140" w:type="dxa"/>
            <w:vAlign w:val="bottom"/>
          </w:tcPr>
          <w:p>
            <w:pPr>
              <w:spacing w:after="0"/>
              <w:rPr>
                <w:sz w:val="16"/>
                <w:szCs w:val="16"/>
                <w:color w:val="auto"/>
              </w:rPr>
            </w:pPr>
          </w:p>
        </w:tc>
        <w:tc>
          <w:tcPr>
            <w:tcW w:w="11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Adjustments</w:t>
            </w:r>
          </w:p>
        </w:tc>
        <w:tc>
          <w:tcPr>
            <w:tcW w:w="240" w:type="dxa"/>
            <w:vAlign w:val="bottom"/>
          </w:tcPr>
          <w:p>
            <w:pPr>
              <w:spacing w:after="0"/>
              <w:rPr>
                <w:sz w:val="16"/>
                <w:szCs w:val="16"/>
                <w:color w:val="auto"/>
              </w:rPr>
            </w:pPr>
          </w:p>
        </w:tc>
        <w:tc>
          <w:tcPr>
            <w:tcW w:w="8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41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beginning of the period</w:t>
            </w: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118</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(904)</w:t>
            </w:r>
          </w:p>
        </w:tc>
        <w:tc>
          <w:tcPr>
            <w:tcW w:w="100" w:type="dxa"/>
            <w:vAlign w:val="bottom"/>
            <w:tcBorders>
              <w:top w:val="single" w:sz="8" w:color="CCEEFF"/>
            </w:tcBorders>
            <w:shd w:val="clear" w:color="auto" w:fill="CCEEFF"/>
          </w:tcPr>
          <w:p>
            <w:pPr>
              <w:spacing w:after="0"/>
              <w:rPr>
                <w:sz w:val="22"/>
                <w:szCs w:val="22"/>
                <w:color w:val="auto"/>
              </w:rPr>
            </w:pPr>
          </w:p>
        </w:tc>
        <w:tc>
          <w:tcPr>
            <w:tcW w:w="400" w:type="dxa"/>
            <w:vAlign w:val="bottom"/>
            <w:tcBorders>
              <w:top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(786)</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(193)</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(1,560)</w:t>
            </w:r>
          </w:p>
        </w:tc>
        <w:tc>
          <w:tcPr>
            <w:tcW w:w="120" w:type="dxa"/>
            <w:vAlign w:val="bottom"/>
            <w:tcBorders>
              <w:top w:val="single" w:sz="8" w:color="CCEEFF"/>
            </w:tcBorders>
            <w:shd w:val="clear" w:color="auto" w:fill="CCEEFF"/>
          </w:tcPr>
          <w:p>
            <w:pPr>
              <w:spacing w:after="0"/>
              <w:rPr>
                <w:sz w:val="22"/>
                <w:szCs w:val="22"/>
                <w:color w:val="auto"/>
              </w:rPr>
            </w:pPr>
          </w:p>
        </w:tc>
        <w:tc>
          <w:tcPr>
            <w:tcW w:w="24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(1,753)</w:t>
            </w:r>
          </w:p>
        </w:tc>
        <w:tc>
          <w:tcPr>
            <w:tcW w:w="0" w:type="dxa"/>
            <w:vAlign w:val="bottom"/>
          </w:tcPr>
          <w:p>
            <w:pPr>
              <w:spacing w:after="0"/>
              <w:rPr>
                <w:sz w:val="1"/>
                <w:szCs w:val="1"/>
                <w:color w:val="auto"/>
              </w:rPr>
            </w:pPr>
          </w:p>
        </w:tc>
      </w:tr>
      <w:tr>
        <w:trPr>
          <w:trHeight w:val="264"/>
        </w:trPr>
        <w:tc>
          <w:tcPr>
            <w:tcW w:w="4120" w:type="dxa"/>
            <w:vAlign w:val="bottom"/>
          </w:tcPr>
          <w:p>
            <w:pPr>
              <w:ind w:left="20"/>
              <w:spacing w:after="0"/>
              <w:rPr>
                <w:sz w:val="20"/>
                <w:szCs w:val="20"/>
                <w:color w:val="auto"/>
              </w:rPr>
            </w:pPr>
            <w:r>
              <w:rPr>
                <w:rFonts w:ascii="Arial" w:cs="Arial" w:eastAsia="Arial" w:hAnsi="Arial"/>
                <w:sz w:val="14"/>
                <w:szCs w:val="14"/>
                <w:color w:val="auto"/>
              </w:rPr>
              <w:t>Other comprehensive income before reclassifications:</w:t>
            </w:r>
          </w:p>
        </w:tc>
        <w:tc>
          <w:tcPr>
            <w:tcW w:w="1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Unrealized gains (losses)—marketable investments</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138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138</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(179)</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(179)</w:t>
            </w:r>
          </w:p>
        </w:tc>
        <w:tc>
          <w:tcPr>
            <w:tcW w:w="0" w:type="dxa"/>
            <w:vAlign w:val="bottom"/>
          </w:tcPr>
          <w:p>
            <w:pPr>
              <w:spacing w:after="0"/>
              <w:rPr>
                <w:sz w:val="1"/>
                <w:szCs w:val="1"/>
                <w:color w:val="auto"/>
              </w:rPr>
            </w:pPr>
          </w:p>
        </w:tc>
      </w:tr>
      <w:tr>
        <w:trPr>
          <w:trHeight w:val="264"/>
        </w:trPr>
        <w:tc>
          <w:tcPr>
            <w:tcW w:w="4120" w:type="dxa"/>
            <w:vAlign w:val="bottom"/>
          </w:tcPr>
          <w:p>
            <w:pPr>
              <w:ind w:left="20"/>
              <w:spacing w:after="0"/>
              <w:rPr>
                <w:sz w:val="20"/>
                <w:szCs w:val="20"/>
                <w:color w:val="auto"/>
              </w:rPr>
            </w:pPr>
            <w:r>
              <w:rPr>
                <w:rFonts w:ascii="Arial" w:cs="Arial" w:eastAsia="Arial" w:hAnsi="Arial"/>
                <w:sz w:val="14"/>
                <w:szCs w:val="14"/>
                <w:color w:val="auto"/>
              </w:rPr>
              <w:t>Foreign currency translation gains (losses)</w:t>
            </w:r>
          </w:p>
        </w:tc>
        <w:tc>
          <w:tcPr>
            <w:tcW w:w="140" w:type="dxa"/>
            <w:vAlign w:val="bottom"/>
          </w:tcPr>
          <w:p>
            <w:pPr>
              <w:spacing w:after="0"/>
              <w:rPr>
                <w:sz w:val="22"/>
                <w:szCs w:val="22"/>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(1,875)</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(1,875)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347</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347</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tax effect—benefit (expense)</w:t>
            </w: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(49)</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44</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24</w:t>
            </w:r>
          </w:p>
        </w:tc>
        <w:tc>
          <w:tcPr>
            <w:tcW w:w="0" w:type="dxa"/>
            <w:vAlign w:val="bottom"/>
          </w:tcPr>
          <w:p>
            <w:pPr>
              <w:spacing w:after="0"/>
              <w:rPr>
                <w:sz w:val="1"/>
                <w:szCs w:val="1"/>
                <w:color w:val="auto"/>
              </w:rPr>
            </w:pPr>
          </w:p>
        </w:tc>
      </w:tr>
      <w:tr>
        <w:trPr>
          <w:trHeight w:val="250"/>
        </w:trPr>
        <w:tc>
          <w:tcPr>
            <w:tcW w:w="4120" w:type="dxa"/>
            <w:vAlign w:val="bottom"/>
          </w:tcPr>
          <w:p>
            <w:pPr>
              <w:ind w:left="20"/>
              <w:spacing w:after="0"/>
              <w:rPr>
                <w:sz w:val="20"/>
                <w:szCs w:val="20"/>
                <w:color w:val="auto"/>
              </w:rPr>
            </w:pPr>
            <w:r>
              <w:rPr>
                <w:rFonts w:ascii="Arial" w:cs="Arial" w:eastAsia="Arial" w:hAnsi="Arial"/>
                <w:sz w:val="14"/>
                <w:szCs w:val="14"/>
                <w:color w:val="auto"/>
              </w:rPr>
              <w:t>Net of tax</w:t>
            </w:r>
          </w:p>
        </w:tc>
        <w:tc>
          <w:tcPr>
            <w:tcW w:w="140" w:type="dxa"/>
            <w:vAlign w:val="bottom"/>
          </w:tcPr>
          <w:p>
            <w:pPr>
              <w:spacing w:after="0"/>
              <w:rPr>
                <w:sz w:val="21"/>
                <w:szCs w:val="21"/>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89</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(1,881)</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(1,792)</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(135)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327</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192</w:t>
            </w:r>
          </w:p>
        </w:tc>
        <w:tc>
          <w:tcPr>
            <w:tcW w:w="0" w:type="dxa"/>
            <w:vAlign w:val="bottom"/>
          </w:tcPr>
          <w:p>
            <w:pPr>
              <w:spacing w:after="0"/>
              <w:rPr>
                <w:sz w:val="1"/>
                <w:szCs w:val="1"/>
                <w:color w:val="auto"/>
              </w:rPr>
            </w:pPr>
          </w:p>
        </w:tc>
      </w:tr>
      <w:tr>
        <w:trPr>
          <w:trHeight w:val="163"/>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Amounts reclassified from accumulated other comprehensive</w:t>
            </w: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to earnings:</w:t>
            </w: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120" w:type="dxa"/>
            <w:vAlign w:val="bottom"/>
          </w:tcPr>
          <w:p>
            <w:pPr>
              <w:ind w:left="20"/>
              <w:spacing w:after="0"/>
              <w:rPr>
                <w:sz w:val="20"/>
                <w:szCs w:val="20"/>
                <w:color w:val="auto"/>
              </w:rPr>
            </w:pPr>
            <w:r>
              <w:rPr>
                <w:rFonts w:ascii="Arial" w:cs="Arial" w:eastAsia="Arial" w:hAnsi="Arial"/>
                <w:sz w:val="14"/>
                <w:szCs w:val="14"/>
                <w:color w:val="auto"/>
              </w:rPr>
              <w:t>Realized (gains) losses—marketable investments</w:t>
            </w:r>
          </w:p>
        </w:tc>
        <w:tc>
          <w:tcPr>
            <w:tcW w:w="14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511</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511</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tax effect—benefit (expense)</w:t>
            </w: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(183)</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(183)</w:t>
            </w:r>
          </w:p>
        </w:tc>
        <w:tc>
          <w:tcPr>
            <w:tcW w:w="0" w:type="dxa"/>
            <w:vAlign w:val="bottom"/>
          </w:tcPr>
          <w:p>
            <w:pPr>
              <w:spacing w:after="0"/>
              <w:rPr>
                <w:sz w:val="1"/>
                <w:szCs w:val="1"/>
                <w:color w:val="auto"/>
              </w:rPr>
            </w:pPr>
          </w:p>
        </w:tc>
      </w:tr>
      <w:tr>
        <w:trPr>
          <w:trHeight w:val="250"/>
        </w:trPr>
        <w:tc>
          <w:tcPr>
            <w:tcW w:w="4120" w:type="dxa"/>
            <w:vAlign w:val="bottom"/>
          </w:tcPr>
          <w:p>
            <w:pPr>
              <w:ind w:left="20"/>
              <w:spacing w:after="0"/>
              <w:rPr>
                <w:sz w:val="20"/>
                <w:szCs w:val="20"/>
                <w:color w:val="auto"/>
              </w:rPr>
            </w:pPr>
            <w:r>
              <w:rPr>
                <w:rFonts w:ascii="Arial" w:cs="Arial" w:eastAsia="Arial" w:hAnsi="Arial"/>
                <w:sz w:val="14"/>
                <w:szCs w:val="14"/>
                <w:color w:val="auto"/>
              </w:rPr>
              <w:t>Net of tax</w:t>
            </w:r>
          </w:p>
        </w:tc>
        <w:tc>
          <w:tcPr>
            <w:tcW w:w="140" w:type="dxa"/>
            <w:vAlign w:val="bottom"/>
          </w:tcPr>
          <w:p>
            <w:pPr>
              <w:spacing w:after="0"/>
              <w:rPr>
                <w:sz w:val="21"/>
                <w:szCs w:val="21"/>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328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1"/>
                <w:szCs w:val="21"/>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328</w:t>
            </w:r>
          </w:p>
        </w:tc>
        <w:tc>
          <w:tcPr>
            <w:tcW w:w="0" w:type="dxa"/>
            <w:vAlign w:val="bottom"/>
          </w:tcPr>
          <w:p>
            <w:pPr>
              <w:spacing w:after="0"/>
              <w:rPr>
                <w:sz w:val="1"/>
                <w:szCs w:val="1"/>
                <w:color w:val="auto"/>
              </w:rPr>
            </w:pPr>
          </w:p>
        </w:tc>
      </w:tr>
      <w:tr>
        <w:trPr>
          <w:trHeight w:val="250"/>
        </w:trPr>
        <w:tc>
          <w:tcPr>
            <w:tcW w:w="41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Net current-year other comprehensive income (loss)</w:t>
            </w: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88</w:t>
            </w:r>
          </w:p>
        </w:tc>
        <w:tc>
          <w:tcPr>
            <w:tcW w:w="120" w:type="dxa"/>
            <w:vAlign w:val="bottom"/>
            <w:tcBorders>
              <w:top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(1,881)</w:t>
            </w:r>
          </w:p>
        </w:tc>
        <w:tc>
          <w:tcPr>
            <w:tcW w:w="100" w:type="dxa"/>
            <w:vAlign w:val="bottom"/>
            <w:tcBorders>
              <w:top w:val="single" w:sz="8" w:color="CCEEFF"/>
            </w:tcBorders>
            <w:shd w:val="clear" w:color="auto" w:fill="CCEEFF"/>
          </w:tcPr>
          <w:p>
            <w:pPr>
              <w:spacing w:after="0"/>
              <w:rPr>
                <w:sz w:val="21"/>
                <w:szCs w:val="21"/>
                <w:color w:val="auto"/>
              </w:rPr>
            </w:pPr>
          </w:p>
        </w:tc>
        <w:tc>
          <w:tcPr>
            <w:tcW w:w="40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(1,793)</w:t>
            </w:r>
          </w:p>
        </w:tc>
        <w:tc>
          <w:tcPr>
            <w:tcW w:w="120" w:type="dxa"/>
            <w:vAlign w:val="bottom"/>
            <w:tcBorders>
              <w:top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spacing w:after="0"/>
              <w:rPr>
                <w:sz w:val="21"/>
                <w:szCs w:val="21"/>
                <w:color w:val="auto"/>
              </w:rPr>
            </w:pPr>
          </w:p>
        </w:tc>
        <w:tc>
          <w:tcPr>
            <w:tcW w:w="9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193</w:t>
            </w:r>
          </w:p>
        </w:tc>
        <w:tc>
          <w:tcPr>
            <w:tcW w:w="100" w:type="dxa"/>
            <w:vAlign w:val="bottom"/>
            <w:tcBorders>
              <w:top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9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327</w:t>
            </w:r>
          </w:p>
        </w:tc>
        <w:tc>
          <w:tcPr>
            <w:tcW w:w="120" w:type="dxa"/>
            <w:vAlign w:val="bottom"/>
            <w:tcBorders>
              <w:top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auto"/>
            </w:tcBorders>
            <w:shd w:val="clear" w:color="auto" w:fill="CCEEFF"/>
          </w:tcPr>
          <w:p>
            <w:pPr>
              <w:spacing w:after="0"/>
              <w:rPr>
                <w:sz w:val="21"/>
                <w:szCs w:val="21"/>
                <w:color w:val="auto"/>
              </w:rPr>
            </w:pPr>
          </w:p>
        </w:tc>
        <w:tc>
          <w:tcPr>
            <w:tcW w:w="8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520</w:t>
            </w:r>
          </w:p>
        </w:tc>
        <w:tc>
          <w:tcPr>
            <w:tcW w:w="0" w:type="dxa"/>
            <w:vAlign w:val="bottom"/>
          </w:tcPr>
          <w:p>
            <w:pPr>
              <w:spacing w:after="0"/>
              <w:rPr>
                <w:sz w:val="1"/>
                <w:szCs w:val="1"/>
                <w:color w:val="auto"/>
              </w:rPr>
            </w:pPr>
          </w:p>
        </w:tc>
      </w:tr>
      <w:tr>
        <w:trPr>
          <w:trHeight w:val="243"/>
        </w:trPr>
        <w:tc>
          <w:tcPr>
            <w:tcW w:w="4120" w:type="dxa"/>
            <w:vAlign w:val="bottom"/>
          </w:tcPr>
          <w:p>
            <w:pPr>
              <w:ind w:left="20"/>
              <w:spacing w:after="0"/>
              <w:rPr>
                <w:sz w:val="20"/>
                <w:szCs w:val="20"/>
                <w:color w:val="auto"/>
              </w:rPr>
            </w:pPr>
            <w:r>
              <w:rPr>
                <w:rFonts w:ascii="Arial" w:cs="Arial" w:eastAsia="Arial" w:hAnsi="Arial"/>
                <w:sz w:val="14"/>
                <w:szCs w:val="14"/>
                <w:b w:val="1"/>
                <w:bCs w:val="1"/>
                <w:color w:val="auto"/>
              </w:rPr>
              <w:t>Balance at end of the period</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206</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(2,785)</w:t>
            </w:r>
          </w:p>
        </w:tc>
        <w:tc>
          <w:tcPr>
            <w:tcW w:w="100" w:type="dxa"/>
            <w:vAlign w:val="bottom"/>
          </w:tcPr>
          <w:p>
            <w:pPr>
              <w:spacing w:after="0"/>
              <w:rPr>
                <w:sz w:val="21"/>
                <w:szCs w:val="21"/>
                <w:color w:val="auto"/>
              </w:rPr>
            </w:pPr>
          </w:p>
        </w:tc>
        <w:tc>
          <w:tcPr>
            <w:tcW w:w="4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(2,579)</w:t>
            </w:r>
          </w:p>
        </w:tc>
        <w:tc>
          <w:tcPr>
            <w:tcW w:w="12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(1,233)</w:t>
            </w:r>
          </w:p>
        </w:tc>
        <w:tc>
          <w:tcPr>
            <w:tcW w:w="120" w:type="dxa"/>
            <w:vAlign w:val="bottom"/>
          </w:tcPr>
          <w:p>
            <w:pPr>
              <w:spacing w:after="0"/>
              <w:rPr>
                <w:sz w:val="21"/>
                <w:szCs w:val="21"/>
                <w:color w:val="auto"/>
              </w:rPr>
            </w:pPr>
          </w:p>
        </w:tc>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(1,233)</w:t>
            </w: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121" w:right="239" w:bottom="1440" w:gutter="0" w:footer="0" w:header="0"/>
        </w:sectPr>
      </w:pPr>
    </w:p>
    <w:bookmarkStart w:id="16" w:name="page17"/>
    <w:bookmarkEnd w:id="16"/>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59"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4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760" w:type="dxa"/>
            <w:vAlign w:val="bottom"/>
            <w:tcBorders>
              <w:bottom w:val="single" w:sz="8" w:color="auto"/>
            </w:tcBorders>
            <w:gridSpan w:val="6"/>
          </w:tcPr>
          <w:p>
            <w:pPr>
              <w:jc w:val="center"/>
              <w:ind w:left="568"/>
              <w:spacing w:after="0"/>
              <w:rPr>
                <w:sz w:val="20"/>
                <w:szCs w:val="20"/>
                <w:color w:val="auto"/>
              </w:rPr>
            </w:pPr>
            <w:r>
              <w:rPr>
                <w:rFonts w:ascii="Arial" w:cs="Arial" w:eastAsia="Arial" w:hAnsi="Arial"/>
                <w:sz w:val="14"/>
                <w:szCs w:val="14"/>
                <w:b w:val="1"/>
                <w:bCs w:val="1"/>
                <w:color w:val="auto"/>
                <w:w w:val="92"/>
              </w:rPr>
              <w:t>Six Months Ended June 30, 2016</w:t>
            </w:r>
          </w:p>
        </w:tc>
        <w:tc>
          <w:tcPr>
            <w:tcW w:w="7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4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Six Months Ended June 30, 2015</w:t>
            </w:r>
          </w:p>
        </w:tc>
        <w:tc>
          <w:tcPr>
            <w:tcW w:w="7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4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rPr>
              <w:t>Marketable</w:t>
            </w:r>
          </w:p>
        </w:tc>
        <w:tc>
          <w:tcPr>
            <w:tcW w:w="140" w:type="dxa"/>
            <w:vAlign w:val="bottom"/>
          </w:tcPr>
          <w:p>
            <w:pPr>
              <w:spacing w:after="0"/>
              <w:rPr>
                <w:sz w:val="13"/>
                <w:szCs w:val="13"/>
                <w:color w:val="auto"/>
              </w:rPr>
            </w:pPr>
          </w:p>
        </w:tc>
        <w:tc>
          <w:tcPr>
            <w:tcW w:w="1120" w:type="dxa"/>
            <w:vAlign w:val="bottom"/>
            <w:gridSpan w:val="2"/>
          </w:tcPr>
          <w:p>
            <w:pPr>
              <w:ind w:left="160"/>
              <w:spacing w:after="0" w:line="153" w:lineRule="exact"/>
              <w:rPr>
                <w:sz w:val="20"/>
                <w:szCs w:val="20"/>
                <w:color w:val="auto"/>
              </w:rPr>
            </w:pPr>
            <w:r>
              <w:rPr>
                <w:rFonts w:ascii="Arial" w:cs="Arial" w:eastAsia="Arial" w:hAnsi="Arial"/>
                <w:sz w:val="14"/>
                <w:szCs w:val="14"/>
                <w:b w:val="1"/>
                <w:bCs w:val="1"/>
                <w:color w:val="auto"/>
              </w:rPr>
              <w:t>Currency</w:t>
            </w:r>
          </w:p>
        </w:tc>
        <w:tc>
          <w:tcPr>
            <w:tcW w:w="3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rPr>
              <w:t>Marketable</w:t>
            </w:r>
          </w:p>
        </w:tc>
        <w:tc>
          <w:tcPr>
            <w:tcW w:w="140" w:type="dxa"/>
            <w:vAlign w:val="bottom"/>
          </w:tcPr>
          <w:p>
            <w:pPr>
              <w:spacing w:after="0"/>
              <w:rPr>
                <w:sz w:val="13"/>
                <w:szCs w:val="13"/>
                <w:color w:val="auto"/>
              </w:rPr>
            </w:pPr>
          </w:p>
        </w:tc>
        <w:tc>
          <w:tcPr>
            <w:tcW w:w="110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4"/>
              </w:rPr>
              <w:t>Currency</w:t>
            </w:r>
          </w:p>
        </w:tc>
        <w:tc>
          <w:tcPr>
            <w:tcW w:w="4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Translation</w:t>
            </w:r>
          </w:p>
        </w:tc>
        <w:tc>
          <w:tcPr>
            <w:tcW w:w="360" w:type="dxa"/>
            <w:vAlign w:val="bottom"/>
          </w:tcPr>
          <w:p>
            <w:pPr>
              <w:spacing w:after="0"/>
              <w:rPr>
                <w:sz w:val="12"/>
                <w:szCs w:val="12"/>
                <w:color w:val="auto"/>
              </w:rPr>
            </w:pPr>
          </w:p>
        </w:tc>
        <w:tc>
          <w:tcPr>
            <w:tcW w:w="88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Translation</w:t>
            </w:r>
          </w:p>
        </w:tc>
        <w:tc>
          <w:tcPr>
            <w:tcW w:w="400" w:type="dxa"/>
            <w:vAlign w:val="bottom"/>
          </w:tcPr>
          <w:p>
            <w:pPr>
              <w:spacing w:after="0"/>
              <w:rPr>
                <w:sz w:val="12"/>
                <w:szCs w:val="12"/>
                <w:color w:val="auto"/>
              </w:rPr>
            </w:pPr>
          </w:p>
        </w:tc>
        <w:tc>
          <w:tcPr>
            <w:tcW w:w="72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w w:val="89"/>
              </w:rPr>
              <w:t>Total</w:t>
            </w:r>
          </w:p>
        </w:tc>
        <w:tc>
          <w:tcPr>
            <w:tcW w:w="0" w:type="dxa"/>
            <w:vAlign w:val="bottom"/>
          </w:tcPr>
          <w:p>
            <w:pPr>
              <w:spacing w:after="0"/>
              <w:rPr>
                <w:sz w:val="1"/>
                <w:szCs w:val="1"/>
                <w:color w:val="auto"/>
              </w:rPr>
            </w:pPr>
          </w:p>
        </w:tc>
      </w:tr>
      <w:tr>
        <w:trPr>
          <w:trHeight w:val="192"/>
        </w:trPr>
        <w:tc>
          <w:tcPr>
            <w:tcW w:w="4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5"/>
              </w:rPr>
              <w:t>Investments</w:t>
            </w:r>
          </w:p>
        </w:tc>
        <w:tc>
          <w:tcPr>
            <w:tcW w:w="140" w:type="dxa"/>
            <w:vAlign w:val="bottom"/>
          </w:tcPr>
          <w:p>
            <w:pPr>
              <w:spacing w:after="0"/>
              <w:rPr>
                <w:sz w:val="16"/>
                <w:szCs w:val="16"/>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360" w:type="dxa"/>
            <w:vAlign w:val="bottom"/>
          </w:tcPr>
          <w:p>
            <w:pPr>
              <w:spacing w:after="0"/>
              <w:rPr>
                <w:sz w:val="16"/>
                <w:szCs w:val="16"/>
                <w:color w:val="auto"/>
              </w:rPr>
            </w:pPr>
          </w:p>
        </w:tc>
        <w:tc>
          <w:tcPr>
            <w:tcW w:w="88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0"/>
              </w:rPr>
              <w:t>Investments</w:t>
            </w:r>
          </w:p>
        </w:tc>
        <w:tc>
          <w:tcPr>
            <w:tcW w:w="140" w:type="dxa"/>
            <w:vAlign w:val="bottom"/>
          </w:tcPr>
          <w:p>
            <w:pPr>
              <w:spacing w:after="0"/>
              <w:rPr>
                <w:sz w:val="16"/>
                <w:szCs w:val="16"/>
                <w:color w:val="auto"/>
              </w:rPr>
            </w:pPr>
          </w:p>
        </w:tc>
        <w:tc>
          <w:tcPr>
            <w:tcW w:w="1100" w:type="dxa"/>
            <w:vAlign w:val="bottom"/>
            <w:gridSpan w:val="2"/>
          </w:tcPr>
          <w:p>
            <w:pPr>
              <w:ind w:left="20"/>
              <w:spacing w:after="0"/>
              <w:rPr>
                <w:sz w:val="20"/>
                <w:szCs w:val="20"/>
                <w:color w:val="auto"/>
              </w:rPr>
            </w:pPr>
            <w:r>
              <w:rPr>
                <w:rFonts w:ascii="Arial" w:cs="Arial" w:eastAsia="Arial" w:hAnsi="Arial"/>
                <w:sz w:val="14"/>
                <w:szCs w:val="14"/>
                <w:b w:val="1"/>
                <w:bCs w:val="1"/>
                <w:color w:val="auto"/>
              </w:rPr>
              <w:t>Adjustments</w:t>
            </w:r>
          </w:p>
        </w:tc>
        <w:tc>
          <w:tcPr>
            <w:tcW w:w="40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41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beginning of the period</w:t>
            </w: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(163)</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(1,952)</w:t>
            </w:r>
          </w:p>
        </w:tc>
        <w:tc>
          <w:tcPr>
            <w:tcW w:w="100" w:type="dxa"/>
            <w:vAlign w:val="bottom"/>
            <w:tcBorders>
              <w:top w:val="single" w:sz="8" w:color="CCEEFF"/>
            </w:tcBorders>
            <w:shd w:val="clear" w:color="auto" w:fill="CCEEFF"/>
          </w:tcPr>
          <w:p>
            <w:pPr>
              <w:spacing w:after="0"/>
              <w:rPr>
                <w:sz w:val="22"/>
                <w:szCs w:val="22"/>
                <w:color w:val="auto"/>
              </w:rPr>
            </w:pPr>
          </w:p>
        </w:tc>
        <w:tc>
          <w:tcPr>
            <w:tcW w:w="360" w:type="dxa"/>
            <w:vAlign w:val="bottom"/>
            <w:tcBorders>
              <w:top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(2,115)</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(220)</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(644)</w:t>
            </w:r>
          </w:p>
        </w:tc>
        <w:tc>
          <w:tcPr>
            <w:tcW w:w="120" w:type="dxa"/>
            <w:vAlign w:val="bottom"/>
            <w:tcBorders>
              <w:top w:val="single" w:sz="8" w:color="CCEEFF"/>
            </w:tcBorders>
            <w:shd w:val="clear" w:color="auto" w:fill="CCEEFF"/>
          </w:tcPr>
          <w:p>
            <w:pPr>
              <w:spacing w:after="0"/>
              <w:rPr>
                <w:sz w:val="22"/>
                <w:szCs w:val="22"/>
                <w:color w:val="auto"/>
              </w:rPr>
            </w:pPr>
          </w:p>
        </w:tc>
        <w:tc>
          <w:tcPr>
            <w:tcW w:w="400" w:type="dxa"/>
            <w:vAlign w:val="bottom"/>
            <w:tcBorders>
              <w:top w:val="single" w:sz="8" w:color="auto"/>
            </w:tcBorders>
            <w:shd w:val="clear" w:color="auto" w:fill="CCEEFF"/>
          </w:tcPr>
          <w:p>
            <w:pPr>
              <w:jc w:val="right"/>
              <w:ind w:right="248"/>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(864)</w:t>
            </w:r>
          </w:p>
        </w:tc>
        <w:tc>
          <w:tcPr>
            <w:tcW w:w="0" w:type="dxa"/>
            <w:vAlign w:val="bottom"/>
          </w:tcPr>
          <w:p>
            <w:pPr>
              <w:spacing w:after="0"/>
              <w:rPr>
                <w:sz w:val="1"/>
                <w:szCs w:val="1"/>
                <w:color w:val="auto"/>
              </w:rPr>
            </w:pPr>
          </w:p>
        </w:tc>
      </w:tr>
      <w:tr>
        <w:trPr>
          <w:trHeight w:val="264"/>
        </w:trPr>
        <w:tc>
          <w:tcPr>
            <w:tcW w:w="4120" w:type="dxa"/>
            <w:vAlign w:val="bottom"/>
          </w:tcPr>
          <w:p>
            <w:pPr>
              <w:ind w:left="20"/>
              <w:spacing w:after="0"/>
              <w:rPr>
                <w:sz w:val="20"/>
                <w:szCs w:val="20"/>
                <w:color w:val="auto"/>
              </w:rPr>
            </w:pPr>
            <w:r>
              <w:rPr>
                <w:rFonts w:ascii="Arial" w:cs="Arial" w:eastAsia="Arial" w:hAnsi="Arial"/>
                <w:sz w:val="14"/>
                <w:szCs w:val="14"/>
                <w:color w:val="auto"/>
              </w:rPr>
              <w:t>Other comprehensive income before reclassifications:</w:t>
            </w:r>
          </w:p>
        </w:tc>
        <w:tc>
          <w:tcPr>
            <w:tcW w:w="1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Unrealized gains (losses)—marketable investments</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580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580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(162)</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(162)</w:t>
            </w:r>
          </w:p>
        </w:tc>
        <w:tc>
          <w:tcPr>
            <w:tcW w:w="0" w:type="dxa"/>
            <w:vAlign w:val="bottom"/>
          </w:tcPr>
          <w:p>
            <w:pPr>
              <w:spacing w:after="0"/>
              <w:rPr>
                <w:sz w:val="1"/>
                <w:szCs w:val="1"/>
                <w:color w:val="auto"/>
              </w:rPr>
            </w:pPr>
          </w:p>
        </w:tc>
      </w:tr>
      <w:tr>
        <w:trPr>
          <w:trHeight w:val="264"/>
        </w:trPr>
        <w:tc>
          <w:tcPr>
            <w:tcW w:w="4120" w:type="dxa"/>
            <w:vAlign w:val="bottom"/>
          </w:tcPr>
          <w:p>
            <w:pPr>
              <w:ind w:left="20"/>
              <w:spacing w:after="0"/>
              <w:rPr>
                <w:sz w:val="20"/>
                <w:szCs w:val="20"/>
                <w:color w:val="auto"/>
              </w:rPr>
            </w:pPr>
            <w:r>
              <w:rPr>
                <w:rFonts w:ascii="Arial" w:cs="Arial" w:eastAsia="Arial" w:hAnsi="Arial"/>
                <w:sz w:val="14"/>
                <w:szCs w:val="14"/>
                <w:color w:val="auto"/>
              </w:rPr>
              <w:t>Foreign currency translation gains (losses)</w:t>
            </w:r>
          </w:p>
        </w:tc>
        <w:tc>
          <w:tcPr>
            <w:tcW w:w="140" w:type="dxa"/>
            <w:vAlign w:val="bottom"/>
          </w:tcPr>
          <w:p>
            <w:pPr>
              <w:spacing w:after="0"/>
              <w:rPr>
                <w:sz w:val="22"/>
                <w:szCs w:val="22"/>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(832)</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(832)</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(681)</w:t>
            </w: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(681)</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tax effect—benefit (expense)</w:t>
            </w: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(209)</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(210)</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36</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92</w:t>
            </w:r>
          </w:p>
        </w:tc>
        <w:tc>
          <w:tcPr>
            <w:tcW w:w="120" w:type="dxa"/>
            <w:vAlign w:val="bottom"/>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128</w:t>
            </w:r>
          </w:p>
        </w:tc>
        <w:tc>
          <w:tcPr>
            <w:tcW w:w="0" w:type="dxa"/>
            <w:vAlign w:val="bottom"/>
          </w:tcPr>
          <w:p>
            <w:pPr>
              <w:spacing w:after="0"/>
              <w:rPr>
                <w:sz w:val="1"/>
                <w:szCs w:val="1"/>
                <w:color w:val="auto"/>
              </w:rPr>
            </w:pPr>
          </w:p>
        </w:tc>
      </w:tr>
      <w:tr>
        <w:trPr>
          <w:trHeight w:val="250"/>
        </w:trPr>
        <w:tc>
          <w:tcPr>
            <w:tcW w:w="4120" w:type="dxa"/>
            <w:vAlign w:val="bottom"/>
          </w:tcPr>
          <w:p>
            <w:pPr>
              <w:ind w:left="20"/>
              <w:spacing w:after="0"/>
              <w:rPr>
                <w:sz w:val="20"/>
                <w:szCs w:val="20"/>
                <w:color w:val="auto"/>
              </w:rPr>
            </w:pPr>
            <w:r>
              <w:rPr>
                <w:rFonts w:ascii="Arial" w:cs="Arial" w:eastAsia="Arial" w:hAnsi="Arial"/>
                <w:sz w:val="14"/>
                <w:szCs w:val="14"/>
                <w:color w:val="auto"/>
              </w:rPr>
              <w:t>Net of tax</w:t>
            </w:r>
          </w:p>
        </w:tc>
        <w:tc>
          <w:tcPr>
            <w:tcW w:w="140" w:type="dxa"/>
            <w:vAlign w:val="bottom"/>
          </w:tcPr>
          <w:p>
            <w:pPr>
              <w:spacing w:after="0"/>
              <w:rPr>
                <w:sz w:val="21"/>
                <w:szCs w:val="21"/>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371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(833)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(462)</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(126)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(589)</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(715)</w:t>
            </w:r>
          </w:p>
        </w:tc>
        <w:tc>
          <w:tcPr>
            <w:tcW w:w="0" w:type="dxa"/>
            <w:vAlign w:val="bottom"/>
          </w:tcPr>
          <w:p>
            <w:pPr>
              <w:spacing w:after="0"/>
              <w:rPr>
                <w:sz w:val="1"/>
                <w:szCs w:val="1"/>
                <w:color w:val="auto"/>
              </w:rPr>
            </w:pPr>
          </w:p>
        </w:tc>
      </w:tr>
      <w:tr>
        <w:trPr>
          <w:trHeight w:val="163"/>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Amounts reclassified from accumulated other comprehensive</w:t>
            </w: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to earnings:</w:t>
            </w: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120" w:type="dxa"/>
            <w:vAlign w:val="bottom"/>
          </w:tcPr>
          <w:p>
            <w:pPr>
              <w:ind w:left="20"/>
              <w:spacing w:after="0"/>
              <w:rPr>
                <w:sz w:val="20"/>
                <w:szCs w:val="20"/>
                <w:color w:val="auto"/>
              </w:rPr>
            </w:pPr>
            <w:r>
              <w:rPr>
                <w:rFonts w:ascii="Arial" w:cs="Arial" w:eastAsia="Arial" w:hAnsi="Arial"/>
                <w:sz w:val="14"/>
                <w:szCs w:val="14"/>
                <w:color w:val="auto"/>
              </w:rPr>
              <w:t>Realized (gains) losses—marketable investments</w:t>
            </w:r>
          </w:p>
        </w:tc>
        <w:tc>
          <w:tcPr>
            <w:tcW w:w="14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(3)</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541</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541</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tax effect—benefit</w:t>
            </w: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(195)</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(195)</w:t>
            </w:r>
          </w:p>
        </w:tc>
        <w:tc>
          <w:tcPr>
            <w:tcW w:w="0" w:type="dxa"/>
            <w:vAlign w:val="bottom"/>
          </w:tcPr>
          <w:p>
            <w:pPr>
              <w:spacing w:after="0"/>
              <w:rPr>
                <w:sz w:val="1"/>
                <w:szCs w:val="1"/>
                <w:color w:val="auto"/>
              </w:rPr>
            </w:pPr>
          </w:p>
        </w:tc>
      </w:tr>
      <w:tr>
        <w:trPr>
          <w:trHeight w:val="250"/>
        </w:trPr>
        <w:tc>
          <w:tcPr>
            <w:tcW w:w="4120" w:type="dxa"/>
            <w:vAlign w:val="bottom"/>
          </w:tcPr>
          <w:p>
            <w:pPr>
              <w:ind w:left="20"/>
              <w:spacing w:after="0"/>
              <w:rPr>
                <w:sz w:val="20"/>
                <w:szCs w:val="20"/>
                <w:color w:val="auto"/>
              </w:rPr>
            </w:pPr>
            <w:r>
              <w:rPr>
                <w:rFonts w:ascii="Arial" w:cs="Arial" w:eastAsia="Arial" w:hAnsi="Arial"/>
                <w:sz w:val="14"/>
                <w:szCs w:val="14"/>
                <w:color w:val="auto"/>
              </w:rPr>
              <w:t>Net of tax</w:t>
            </w:r>
          </w:p>
        </w:tc>
        <w:tc>
          <w:tcPr>
            <w:tcW w:w="140" w:type="dxa"/>
            <w:vAlign w:val="bottom"/>
          </w:tcPr>
          <w:p>
            <w:pPr>
              <w:spacing w:after="0"/>
              <w:rPr>
                <w:sz w:val="21"/>
                <w:szCs w:val="21"/>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346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1"/>
                <w:szCs w:val="21"/>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346</w:t>
            </w:r>
          </w:p>
        </w:tc>
        <w:tc>
          <w:tcPr>
            <w:tcW w:w="0" w:type="dxa"/>
            <w:vAlign w:val="bottom"/>
          </w:tcPr>
          <w:p>
            <w:pPr>
              <w:spacing w:after="0"/>
              <w:rPr>
                <w:sz w:val="1"/>
                <w:szCs w:val="1"/>
                <w:color w:val="auto"/>
              </w:rPr>
            </w:pPr>
          </w:p>
        </w:tc>
      </w:tr>
      <w:tr>
        <w:trPr>
          <w:trHeight w:val="250"/>
        </w:trPr>
        <w:tc>
          <w:tcPr>
            <w:tcW w:w="41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Net current-year other comprehensive income (loss)</w:t>
            </w: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369</w:t>
            </w:r>
          </w:p>
        </w:tc>
        <w:tc>
          <w:tcPr>
            <w:tcW w:w="120" w:type="dxa"/>
            <w:vAlign w:val="bottom"/>
            <w:tcBorders>
              <w:top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(833)</w:t>
            </w:r>
          </w:p>
        </w:tc>
        <w:tc>
          <w:tcPr>
            <w:tcW w:w="100" w:type="dxa"/>
            <w:vAlign w:val="bottom"/>
            <w:tcBorders>
              <w:top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auto"/>
            </w:tcBorders>
            <w:shd w:val="clear" w:color="auto" w:fill="CCEEFF"/>
          </w:tcPr>
          <w:p>
            <w:pPr>
              <w:spacing w:after="0"/>
              <w:rPr>
                <w:sz w:val="21"/>
                <w:szCs w:val="21"/>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(464)</w:t>
            </w:r>
          </w:p>
        </w:tc>
        <w:tc>
          <w:tcPr>
            <w:tcW w:w="120" w:type="dxa"/>
            <w:vAlign w:val="bottom"/>
            <w:tcBorders>
              <w:top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spacing w:after="0"/>
              <w:rPr>
                <w:sz w:val="21"/>
                <w:szCs w:val="21"/>
                <w:color w:val="auto"/>
              </w:rPr>
            </w:pPr>
          </w:p>
        </w:tc>
        <w:tc>
          <w:tcPr>
            <w:tcW w:w="9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220</w:t>
            </w:r>
          </w:p>
        </w:tc>
        <w:tc>
          <w:tcPr>
            <w:tcW w:w="100" w:type="dxa"/>
            <w:vAlign w:val="bottom"/>
            <w:tcBorders>
              <w:top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(589)</w:t>
            </w:r>
          </w:p>
        </w:tc>
        <w:tc>
          <w:tcPr>
            <w:tcW w:w="120" w:type="dxa"/>
            <w:vAlign w:val="bottom"/>
            <w:tcBorders>
              <w:top w:val="single" w:sz="8" w:color="CCEEFF"/>
            </w:tcBorders>
            <w:shd w:val="clear" w:color="auto" w:fill="CCEEFF"/>
          </w:tcPr>
          <w:p>
            <w:pPr>
              <w:spacing w:after="0"/>
              <w:rPr>
                <w:sz w:val="21"/>
                <w:szCs w:val="21"/>
                <w:color w:val="auto"/>
              </w:rPr>
            </w:pPr>
          </w:p>
        </w:tc>
        <w:tc>
          <w:tcPr>
            <w:tcW w:w="40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(369)</w:t>
            </w:r>
          </w:p>
        </w:tc>
        <w:tc>
          <w:tcPr>
            <w:tcW w:w="0" w:type="dxa"/>
            <w:vAlign w:val="bottom"/>
          </w:tcPr>
          <w:p>
            <w:pPr>
              <w:spacing w:after="0"/>
              <w:rPr>
                <w:sz w:val="1"/>
                <w:szCs w:val="1"/>
                <w:color w:val="auto"/>
              </w:rPr>
            </w:pPr>
          </w:p>
        </w:tc>
      </w:tr>
      <w:tr>
        <w:trPr>
          <w:trHeight w:val="243"/>
        </w:trPr>
        <w:tc>
          <w:tcPr>
            <w:tcW w:w="4120" w:type="dxa"/>
            <w:vAlign w:val="bottom"/>
          </w:tcPr>
          <w:p>
            <w:pPr>
              <w:ind w:left="20"/>
              <w:spacing w:after="0"/>
              <w:rPr>
                <w:sz w:val="20"/>
                <w:szCs w:val="20"/>
                <w:color w:val="auto"/>
              </w:rPr>
            </w:pPr>
            <w:r>
              <w:rPr>
                <w:rFonts w:ascii="Arial" w:cs="Arial" w:eastAsia="Arial" w:hAnsi="Arial"/>
                <w:sz w:val="14"/>
                <w:szCs w:val="14"/>
                <w:b w:val="1"/>
                <w:bCs w:val="1"/>
                <w:color w:val="auto"/>
              </w:rPr>
              <w:t>Balance at end of the period</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206</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(2,785)</w:t>
            </w:r>
          </w:p>
        </w:tc>
        <w:tc>
          <w:tcPr>
            <w:tcW w:w="100" w:type="dxa"/>
            <w:vAlign w:val="bottom"/>
          </w:tcPr>
          <w:p>
            <w:pPr>
              <w:spacing w:after="0"/>
              <w:rPr>
                <w:sz w:val="21"/>
                <w:szCs w:val="21"/>
                <w:color w:val="auto"/>
              </w:rPr>
            </w:pPr>
          </w:p>
        </w:tc>
        <w:tc>
          <w:tcPr>
            <w:tcW w:w="3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(2,579)</w:t>
            </w:r>
          </w:p>
        </w:tc>
        <w:tc>
          <w:tcPr>
            <w:tcW w:w="12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(1,233)</w:t>
            </w:r>
          </w:p>
        </w:tc>
        <w:tc>
          <w:tcPr>
            <w:tcW w:w="120" w:type="dxa"/>
            <w:vAlign w:val="bottom"/>
          </w:tcPr>
          <w:p>
            <w:pPr>
              <w:spacing w:after="0"/>
              <w:rPr>
                <w:sz w:val="21"/>
                <w:szCs w:val="21"/>
                <w:color w:val="auto"/>
              </w:rPr>
            </w:pPr>
          </w:p>
        </w:tc>
        <w:tc>
          <w:tcPr>
            <w:tcW w:w="400" w:type="dxa"/>
            <w:vAlign w:val="bottom"/>
          </w:tcPr>
          <w:p>
            <w:pPr>
              <w:jc w:val="right"/>
              <w:ind w:right="248"/>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(1,233)</w:t>
            </w: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Income Taxes</w:t>
      </w:r>
    </w:p>
    <w:p>
      <w:pPr>
        <w:spacing w:after="0" w:line="175" w:lineRule="exact"/>
        <w:rPr>
          <w:sz w:val="20"/>
          <w:szCs w:val="20"/>
          <w:color w:val="auto"/>
        </w:rPr>
      </w:pPr>
    </w:p>
    <w:p>
      <w:pPr>
        <w:ind w:right="140" w:firstLine="324"/>
        <w:spacing w:after="0" w:line="259" w:lineRule="auto"/>
        <w:rPr>
          <w:sz w:val="20"/>
          <w:szCs w:val="20"/>
          <w:color w:val="auto"/>
        </w:rPr>
      </w:pPr>
      <w:r>
        <w:rPr>
          <w:rFonts w:ascii="Arial" w:cs="Arial" w:eastAsia="Arial" w:hAnsi="Arial"/>
          <w:sz w:val="18"/>
          <w:szCs w:val="18"/>
          <w:color w:val="auto"/>
        </w:rPr>
        <w:t>The Company’s income tax expense, deferred tax assets and liabilities, and reserves for unrecognized tax benefits reflect management’s best assessment of estimated current and future taxes to be paid. The Company is subject to income taxes in both the United States and foreign jurisdictions. Significant judgments and estimates are required in determining the consolidated income tax expense. The interim period effective tax rate is based on a forecast of the Company’s full year results.</w:t>
      </w:r>
    </w:p>
    <w:p>
      <w:pPr>
        <w:spacing w:after="0" w:line="133" w:lineRule="exact"/>
        <w:rPr>
          <w:sz w:val="20"/>
          <w:szCs w:val="20"/>
          <w:color w:val="auto"/>
        </w:rPr>
      </w:pPr>
    </w:p>
    <w:p>
      <w:pPr>
        <w:ind w:right="40" w:firstLine="324"/>
        <w:spacing w:after="0" w:line="264" w:lineRule="auto"/>
        <w:rPr>
          <w:sz w:val="20"/>
          <w:szCs w:val="20"/>
          <w:color w:val="auto"/>
        </w:rPr>
      </w:pPr>
      <w:r>
        <w:rPr>
          <w:rFonts w:ascii="Arial" w:cs="Arial" w:eastAsia="Arial" w:hAnsi="Arial"/>
          <w:sz w:val="18"/>
          <w:szCs w:val="18"/>
          <w:color w:val="auto"/>
        </w:rPr>
        <w:t>The Company’s effective tax rate increased to 148.3% for the three months ended June 30, 2016, compared to 36.1% for the three months ended June 30, 2015 primarily attributable to forecasted income and losses. The effective tax rate decreased to 44.5% for the six months ended June 30, 2016, compared to 364.1% for the six months ended June 30, 2015 primarily attributable to forecasted income and losses.</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Net Income per Share of Common Stock attributable to Common Stockholders</w:t>
      </w:r>
    </w:p>
    <w:p>
      <w:pPr>
        <w:spacing w:after="0" w:line="175" w:lineRule="exact"/>
        <w:rPr>
          <w:sz w:val="20"/>
          <w:szCs w:val="20"/>
          <w:color w:val="auto"/>
        </w:rPr>
      </w:pPr>
    </w:p>
    <w:p>
      <w:pPr>
        <w:ind w:firstLine="324"/>
        <w:spacing w:after="0" w:line="271" w:lineRule="auto"/>
        <w:rPr>
          <w:sz w:val="20"/>
          <w:szCs w:val="20"/>
          <w:color w:val="auto"/>
        </w:rPr>
      </w:pPr>
      <w:r>
        <w:rPr>
          <w:rFonts w:ascii="Arial" w:cs="Arial" w:eastAsia="Arial" w:hAnsi="Arial"/>
          <w:sz w:val="17"/>
          <w:szCs w:val="17"/>
          <w:color w:val="auto"/>
        </w:rPr>
        <w:t>The Company calculated its basic and diluted net income per share attributable to common stockholders for the three and six months ended June 30, 2015 in conformity with the two-class method required for companies with participating securities. Under the two-class method, the Company determined whether it had net income attributable to common stockholders, which included the results of operations less current period preferred stock non-cumulative dividends. If it was determined that the Company did have net income attributable to common stockholders during a period, the related undistributed earnings were then allocated between common stock and the preferred stock based on the weighted average number of shares outstanding during the period to determine the numerator for the basic net income per share attributable to common stockholders. In computing diluted net income attributable to common stockholders, undistributed earnings were re-allocated to reflect the potential impact of dilutive securities to determine the numerator for the diluted net income per share attributable to common stockholders.</w:t>
      </w:r>
    </w:p>
    <w:p>
      <w:pPr>
        <w:spacing w:after="0" w:line="125"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The Company’s basic net income per share attributable to common stockholders is calculated by dividing the net income by the weighted average number of shares of common stock outstanding for the period. The diluted net income per share attributable to common stockholders is computed by giving effect to all potential dilutive common stock equivalents outstanding for the period. For purposes of this calculation, options to purchase common stock, restricted stock and common stock warrants are considered common stock equivalents.</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121" w:right="239" w:bottom="1440" w:gutter="0" w:footer="0" w:header="0"/>
        </w:sectPr>
      </w:pPr>
    </w:p>
    <w:bookmarkStart w:id="17" w:name="page18"/>
    <w:bookmarkEnd w:id="17"/>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right="780" w:firstLine="324"/>
        <w:spacing w:after="0" w:line="342" w:lineRule="auto"/>
        <w:rPr>
          <w:sz w:val="20"/>
          <w:szCs w:val="20"/>
          <w:color w:val="auto"/>
        </w:rPr>
      </w:pPr>
      <w:r>
        <w:rPr>
          <w:rFonts w:ascii="Arial" w:cs="Arial" w:eastAsia="Arial" w:hAnsi="Arial"/>
          <w:sz w:val="16"/>
          <w:szCs w:val="16"/>
          <w:color w:val="auto"/>
        </w:rPr>
        <w:t>A reconciliation of the numerator and denominator used in the calculation of the basic and diluted net income per share attributable to common stockholders for the three and six months ended June 30, 2016 and 2015 is as follows (in thousands, except share and per share amounts):</w:t>
      </w:r>
    </w:p>
    <w:p>
      <w:pPr>
        <w:spacing w:after="0" w:line="12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7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840" w:type="dxa"/>
            <w:vAlign w:val="bottom"/>
            <w:gridSpan w:val="5"/>
          </w:tcPr>
          <w:p>
            <w:pPr>
              <w:jc w:val="right"/>
              <w:ind w:right="700"/>
              <w:spacing w:after="0"/>
              <w:rPr>
                <w:sz w:val="20"/>
                <w:szCs w:val="20"/>
                <w:color w:val="auto"/>
              </w:rPr>
            </w:pPr>
            <w:r>
              <w:rPr>
                <w:rFonts w:ascii="Arial" w:cs="Arial" w:eastAsia="Arial" w:hAnsi="Arial"/>
                <w:sz w:val="14"/>
                <w:szCs w:val="14"/>
                <w:b w:val="1"/>
                <w:bCs w:val="1"/>
                <w:color w:val="auto"/>
              </w:rPr>
              <w:t>Three Months Ended June 30,</w:t>
            </w:r>
          </w:p>
        </w:tc>
        <w:tc>
          <w:tcPr>
            <w:tcW w:w="220" w:type="dxa"/>
            <w:vAlign w:val="bottom"/>
          </w:tcPr>
          <w:p>
            <w:pPr>
              <w:spacing w:after="0"/>
              <w:rPr>
                <w:sz w:val="16"/>
                <w:szCs w:val="16"/>
                <w:color w:val="auto"/>
              </w:rPr>
            </w:pPr>
          </w:p>
        </w:tc>
        <w:tc>
          <w:tcPr>
            <w:tcW w:w="2280" w:type="dxa"/>
            <w:vAlign w:val="bottom"/>
            <w:gridSpan w:val="4"/>
          </w:tcPr>
          <w:p>
            <w:pPr>
              <w:jc w:val="right"/>
              <w:ind w:right="312"/>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264"/>
        </w:trPr>
        <w:tc>
          <w:tcPr>
            <w:tcW w:w="5740" w:type="dxa"/>
            <w:vAlign w:val="bottom"/>
            <w:tcBorders>
              <w:bottom w:val="single" w:sz="8" w:color="CCEEFF"/>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160" w:type="dxa"/>
            <w:vAlign w:val="bottom"/>
            <w:tcBorders>
              <w:top w:val="single" w:sz="8" w:color="auto"/>
              <w:bottom w:val="single" w:sz="8" w:color="auto"/>
            </w:tcBorders>
          </w:tcPr>
          <w:p>
            <w:pPr>
              <w:jc w:val="right"/>
              <w:ind w:right="533"/>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393"/>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920" w:type="dxa"/>
            <w:vAlign w:val="bottom"/>
            <w:tcBorders>
              <w:top w:val="single" w:sz="8" w:color="auto"/>
              <w:bottom w:val="single" w:sz="8" w:color="auto"/>
            </w:tcBorders>
          </w:tcPr>
          <w:p>
            <w:pPr>
              <w:jc w:val="right"/>
              <w:ind w:right="332"/>
              <w:spacing w:after="0"/>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250"/>
        </w:trPr>
        <w:tc>
          <w:tcPr>
            <w:tcW w:w="5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per share:</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740" w:type="dxa"/>
            <w:vAlign w:val="bottom"/>
          </w:tcPr>
          <w:p>
            <w:pPr>
              <w:ind w:left="40"/>
              <w:spacing w:after="0"/>
              <w:rPr>
                <w:sz w:val="20"/>
                <w:szCs w:val="20"/>
                <w:color w:val="auto"/>
              </w:rPr>
            </w:pPr>
            <w:r>
              <w:rPr>
                <w:rFonts w:ascii="Arial" w:cs="Arial" w:eastAsia="Arial" w:hAnsi="Arial"/>
                <w:sz w:val="18"/>
                <w:szCs w:val="18"/>
                <w:i w:val="1"/>
                <w:iCs w:val="1"/>
                <w:color w:val="auto"/>
              </w:rPr>
              <w:t>Numerator</w:t>
            </w:r>
          </w:p>
        </w:tc>
        <w:tc>
          <w:tcPr>
            <w:tcW w:w="34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185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(2,671)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965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(169)</w:t>
            </w:r>
          </w:p>
        </w:tc>
        <w:tc>
          <w:tcPr>
            <w:tcW w:w="0" w:type="dxa"/>
            <w:vAlign w:val="bottom"/>
          </w:tcPr>
          <w:p>
            <w:pPr>
              <w:spacing w:after="0"/>
              <w:rPr>
                <w:sz w:val="1"/>
                <w:szCs w:val="1"/>
                <w:color w:val="auto"/>
              </w:rPr>
            </w:pPr>
          </w:p>
        </w:tc>
      </w:tr>
      <w:tr>
        <w:trPr>
          <w:trHeight w:val="243"/>
        </w:trPr>
        <w:tc>
          <w:tcPr>
            <w:tcW w:w="5740" w:type="dxa"/>
            <w:vAlign w:val="bottom"/>
          </w:tcPr>
          <w:p>
            <w:pPr>
              <w:ind w:left="40"/>
              <w:spacing w:after="0"/>
              <w:rPr>
                <w:sz w:val="20"/>
                <w:szCs w:val="20"/>
                <w:color w:val="auto"/>
              </w:rPr>
            </w:pPr>
            <w:r>
              <w:rPr>
                <w:rFonts w:ascii="Arial" w:cs="Arial" w:eastAsia="Arial" w:hAnsi="Arial"/>
                <w:sz w:val="18"/>
                <w:szCs w:val="18"/>
                <w:color w:val="auto"/>
              </w:rPr>
              <w:t>Less: Undistributed income attributable to preferred stockholders</w:t>
            </w:r>
          </w:p>
        </w:tc>
        <w:tc>
          <w:tcPr>
            <w:tcW w:w="340" w:type="dxa"/>
            <w:vAlign w:val="bottom"/>
          </w:tcPr>
          <w:p>
            <w:pPr>
              <w:spacing w:after="0"/>
              <w:rPr>
                <w:sz w:val="21"/>
                <w:szCs w:val="21"/>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2,118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920" w:type="dxa"/>
            <w:vAlign w:val="bottom"/>
          </w:tcPr>
          <w:p>
            <w:pPr>
              <w:jc w:val="right"/>
              <w:ind w:right="12"/>
              <w:spacing w:after="0"/>
              <w:rPr>
                <w:sz w:val="20"/>
                <w:szCs w:val="20"/>
                <w:color w:val="auto"/>
              </w:rPr>
            </w:pPr>
            <w:r>
              <w:rPr>
                <w:rFonts w:ascii="Arial" w:cs="Arial" w:eastAsia="Arial" w:hAnsi="Arial"/>
                <w:sz w:val="18"/>
                <w:szCs w:val="18"/>
                <w:color w:val="auto"/>
              </w:rPr>
              <w:t>135</w:t>
            </w:r>
          </w:p>
        </w:tc>
        <w:tc>
          <w:tcPr>
            <w:tcW w:w="0" w:type="dxa"/>
            <w:vAlign w:val="bottom"/>
          </w:tcPr>
          <w:p>
            <w:pPr>
              <w:spacing w:after="0"/>
              <w:rPr>
                <w:sz w:val="1"/>
                <w:szCs w:val="1"/>
                <w:color w:val="auto"/>
              </w:rPr>
            </w:pPr>
          </w:p>
        </w:tc>
      </w:tr>
      <w:tr>
        <w:trPr>
          <w:trHeight w:val="27"/>
        </w:trPr>
        <w:tc>
          <w:tcPr>
            <w:tcW w:w="57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5"/>
              </w:rPr>
              <w:t>Net income (Loss) attributable to common stockholders—basic and diluted</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185</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(553)</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965</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0"/>
        </w:trPr>
        <w:tc>
          <w:tcPr>
            <w:tcW w:w="574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i w:val="1"/>
                <w:iCs w:val="1"/>
                <w:color w:val="auto"/>
              </w:rPr>
              <w:t>Denominator</w:t>
            </w: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740" w:type="dxa"/>
            <w:vAlign w:val="bottom"/>
            <w:vMerge w:val="continue"/>
          </w:tcPr>
          <w:p>
            <w:pPr>
              <w:spacing w:after="0"/>
              <w:rPr>
                <w:sz w:val="17"/>
                <w:szCs w:val="17"/>
                <w:color w:val="auto"/>
              </w:rPr>
            </w:pPr>
          </w:p>
        </w:tc>
        <w:tc>
          <w:tcPr>
            <w:tcW w:w="3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57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36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9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29"/>
        </w:trPr>
        <w:tc>
          <w:tcPr>
            <w:tcW w:w="5740" w:type="dxa"/>
            <w:vAlign w:val="bottom"/>
            <w:shd w:val="clear" w:color="auto" w:fill="CCEEFF"/>
          </w:tcPr>
          <w:p>
            <w:pPr>
              <w:ind w:left="40"/>
              <w:spacing w:after="0"/>
              <w:rPr>
                <w:sz w:val="20"/>
                <w:szCs w:val="20"/>
                <w:color w:val="auto"/>
              </w:rPr>
            </w:pPr>
            <w:r>
              <w:rPr>
                <w:rFonts w:ascii="Arial" w:cs="Arial" w:eastAsia="Arial" w:hAnsi="Arial"/>
                <w:sz w:val="18"/>
                <w:szCs w:val="18"/>
                <w:color w:val="auto"/>
              </w:rPr>
              <w:t>Weighted average shares used to compute net income attributable to</w:t>
            </w:r>
          </w:p>
        </w:tc>
        <w:tc>
          <w:tcPr>
            <w:tcW w:w="34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740" w:type="dxa"/>
            <w:vAlign w:val="bottom"/>
            <w:shd w:val="clear" w:color="auto" w:fill="CCEEFF"/>
          </w:tcPr>
          <w:p>
            <w:pPr>
              <w:ind w:left="40"/>
              <w:spacing w:after="0"/>
              <w:rPr>
                <w:sz w:val="20"/>
                <w:szCs w:val="20"/>
                <w:color w:val="auto"/>
              </w:rPr>
            </w:pPr>
            <w:r>
              <w:rPr>
                <w:rFonts w:ascii="Arial" w:cs="Arial" w:eastAsia="Arial" w:hAnsi="Arial"/>
                <w:sz w:val="18"/>
                <w:szCs w:val="18"/>
                <w:color w:val="auto"/>
              </w:rPr>
              <w:t>common stockholders</w:t>
            </w: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5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—Basic</w:t>
            </w: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30,210,322</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5,096,151</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w w:val="99"/>
              </w:rPr>
              <w:t>30,100,162</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w w:val="99"/>
              </w:rPr>
              <w:t>5,000,375</w:t>
            </w:r>
          </w:p>
        </w:tc>
        <w:tc>
          <w:tcPr>
            <w:tcW w:w="0" w:type="dxa"/>
            <w:vAlign w:val="bottom"/>
          </w:tcPr>
          <w:p>
            <w:pPr>
              <w:spacing w:after="0"/>
              <w:rPr>
                <w:sz w:val="1"/>
                <w:szCs w:val="1"/>
                <w:color w:val="auto"/>
              </w:rPr>
            </w:pPr>
          </w:p>
        </w:tc>
      </w:tr>
      <w:tr>
        <w:trPr>
          <w:trHeight w:val="229"/>
        </w:trPr>
        <w:tc>
          <w:tcPr>
            <w:tcW w:w="5740" w:type="dxa"/>
            <w:vAlign w:val="bottom"/>
          </w:tcPr>
          <w:p>
            <w:pPr>
              <w:ind w:left="40"/>
              <w:spacing w:after="0"/>
              <w:rPr>
                <w:sz w:val="20"/>
                <w:szCs w:val="20"/>
                <w:color w:val="auto"/>
              </w:rPr>
            </w:pPr>
            <w:r>
              <w:rPr>
                <w:rFonts w:ascii="Arial" w:cs="Arial" w:eastAsia="Arial" w:hAnsi="Arial"/>
                <w:sz w:val="18"/>
                <w:szCs w:val="18"/>
                <w:color w:val="auto"/>
                <w:w w:val="98"/>
              </w:rPr>
              <w:t>Potential dilutive options and ESPP shares, as calculated using treasury</w:t>
            </w:r>
          </w:p>
        </w:tc>
        <w:tc>
          <w:tcPr>
            <w:tcW w:w="3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40" w:type="dxa"/>
            <w:vAlign w:val="bottom"/>
          </w:tcPr>
          <w:p>
            <w:pPr>
              <w:ind w:left="40"/>
              <w:spacing w:after="0"/>
              <w:rPr>
                <w:sz w:val="20"/>
                <w:szCs w:val="20"/>
                <w:color w:val="auto"/>
              </w:rPr>
            </w:pPr>
            <w:r>
              <w:rPr>
                <w:rFonts w:ascii="Arial" w:cs="Arial" w:eastAsia="Arial" w:hAnsi="Arial"/>
                <w:sz w:val="18"/>
                <w:szCs w:val="18"/>
                <w:color w:val="auto"/>
              </w:rPr>
              <w:t>stock method</w:t>
            </w:r>
          </w:p>
        </w:tc>
        <w:tc>
          <w:tcPr>
            <w:tcW w:w="340" w:type="dxa"/>
            <w:vAlign w:val="bottom"/>
          </w:tcPr>
          <w:p>
            <w:pPr>
              <w:spacing w:after="0"/>
              <w:rPr>
                <w:sz w:val="20"/>
                <w:szCs w:val="20"/>
                <w:color w:val="auto"/>
              </w:rPr>
            </w:pPr>
          </w:p>
        </w:tc>
        <w:tc>
          <w:tcPr>
            <w:tcW w:w="1160" w:type="dxa"/>
            <w:vAlign w:val="bottom"/>
          </w:tcPr>
          <w:p>
            <w:pPr>
              <w:jc w:val="right"/>
              <w:ind w:right="33"/>
              <w:spacing w:after="0"/>
              <w:rPr>
                <w:sz w:val="20"/>
                <w:szCs w:val="20"/>
                <w:color w:val="auto"/>
              </w:rPr>
            </w:pPr>
            <w:r>
              <w:rPr>
                <w:rFonts w:ascii="Arial" w:cs="Arial" w:eastAsia="Arial" w:hAnsi="Arial"/>
                <w:sz w:val="18"/>
                <w:szCs w:val="18"/>
                <w:color w:val="auto"/>
              </w:rPr>
              <w:t>2,088,651</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040" w:type="dxa"/>
            <w:vAlign w:val="bottom"/>
          </w:tcPr>
          <w:p>
            <w:pPr>
              <w:jc w:val="right"/>
              <w:ind w:right="33"/>
              <w:spacing w:after="0"/>
              <w:rPr>
                <w:sz w:val="20"/>
                <w:szCs w:val="20"/>
                <w:color w:val="auto"/>
              </w:rPr>
            </w:pPr>
            <w:r>
              <w:rPr>
                <w:rFonts w:ascii="Arial" w:cs="Arial" w:eastAsia="Arial" w:hAnsi="Arial"/>
                <w:sz w:val="18"/>
                <w:szCs w:val="18"/>
                <w:color w:val="auto"/>
              </w:rPr>
              <w:t>2,074,286</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5740" w:type="dxa"/>
            <w:vAlign w:val="bottom"/>
            <w:shd w:val="clear" w:color="auto" w:fill="CCEEFF"/>
          </w:tcPr>
          <w:p>
            <w:pPr>
              <w:ind w:left="40"/>
              <w:spacing w:after="0"/>
              <w:rPr>
                <w:sz w:val="20"/>
                <w:szCs w:val="20"/>
                <w:color w:val="auto"/>
              </w:rPr>
            </w:pPr>
            <w:r>
              <w:rPr>
                <w:rFonts w:ascii="Arial" w:cs="Arial" w:eastAsia="Arial" w:hAnsi="Arial"/>
                <w:sz w:val="18"/>
                <w:szCs w:val="18"/>
                <w:color w:val="auto"/>
                <w:w w:val="98"/>
              </w:rPr>
              <w:t>Potential dilutive restricted stock and restricted stock units, as calculated</w:t>
            </w:r>
          </w:p>
        </w:tc>
        <w:tc>
          <w:tcPr>
            <w:tcW w:w="34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5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using treasury stock method</w:t>
            </w:r>
          </w:p>
        </w:tc>
        <w:tc>
          <w:tcPr>
            <w:tcW w:w="3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394,711</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367,805</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5740" w:type="dxa"/>
            <w:vAlign w:val="bottom"/>
          </w:tcPr>
          <w:p>
            <w:pPr>
              <w:ind w:left="40"/>
              <w:spacing w:after="0"/>
              <w:rPr>
                <w:sz w:val="20"/>
                <w:szCs w:val="20"/>
                <w:color w:val="auto"/>
              </w:rPr>
            </w:pPr>
            <w:r>
              <w:rPr>
                <w:rFonts w:ascii="Arial" w:cs="Arial" w:eastAsia="Arial" w:hAnsi="Arial"/>
                <w:sz w:val="18"/>
                <w:szCs w:val="18"/>
                <w:color w:val="auto"/>
              </w:rPr>
              <w:t>Weighted average shares used to compute net income attributable to</w:t>
            </w:r>
          </w:p>
        </w:tc>
        <w:tc>
          <w:tcPr>
            <w:tcW w:w="3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40" w:type="dxa"/>
            <w:vAlign w:val="bottom"/>
          </w:tcPr>
          <w:p>
            <w:pPr>
              <w:ind w:left="40"/>
              <w:spacing w:after="0"/>
              <w:rPr>
                <w:sz w:val="20"/>
                <w:szCs w:val="20"/>
                <w:color w:val="auto"/>
              </w:rPr>
            </w:pPr>
            <w:r>
              <w:rPr>
                <w:rFonts w:ascii="Arial" w:cs="Arial" w:eastAsia="Arial" w:hAnsi="Arial"/>
                <w:sz w:val="18"/>
                <w:szCs w:val="18"/>
                <w:color w:val="auto"/>
              </w:rPr>
              <w:t>common stockholders</w:t>
            </w:r>
          </w:p>
        </w:tc>
        <w:tc>
          <w:tcPr>
            <w:tcW w:w="340" w:type="dxa"/>
            <w:vAlign w:val="bottom"/>
          </w:tcPr>
          <w:p>
            <w:pPr>
              <w:spacing w:after="0"/>
              <w:rPr>
                <w:sz w:val="18"/>
                <w:szCs w:val="18"/>
                <w:color w:val="auto"/>
              </w:rPr>
            </w:pPr>
          </w:p>
        </w:tc>
        <w:tc>
          <w:tcPr>
            <w:tcW w:w="1160" w:type="dxa"/>
            <w:vAlign w:val="bottom"/>
            <w:vMerge w:val="restart"/>
          </w:tcPr>
          <w:p>
            <w:pPr>
              <w:jc w:val="right"/>
              <w:ind w:right="33"/>
              <w:spacing w:after="0"/>
              <w:rPr>
                <w:sz w:val="20"/>
                <w:szCs w:val="20"/>
                <w:color w:val="auto"/>
              </w:rPr>
            </w:pPr>
            <w:r>
              <w:rPr>
                <w:rFonts w:ascii="Arial" w:cs="Arial" w:eastAsia="Arial" w:hAnsi="Arial"/>
                <w:sz w:val="18"/>
                <w:szCs w:val="18"/>
                <w:color w:val="auto"/>
              </w:rPr>
              <w:t>32,693,684</w:t>
            </w: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20" w:type="dxa"/>
            <w:vAlign w:val="bottom"/>
            <w:vMerge w:val="restart"/>
          </w:tcPr>
          <w:p>
            <w:pPr>
              <w:jc w:val="right"/>
              <w:ind w:right="32"/>
              <w:spacing w:after="0"/>
              <w:rPr>
                <w:sz w:val="20"/>
                <w:szCs w:val="20"/>
                <w:color w:val="auto"/>
              </w:rPr>
            </w:pPr>
            <w:r>
              <w:rPr>
                <w:rFonts w:ascii="Arial" w:cs="Arial" w:eastAsia="Arial" w:hAnsi="Arial"/>
                <w:sz w:val="18"/>
                <w:szCs w:val="18"/>
                <w:color w:val="auto"/>
              </w:rPr>
              <w:t>5,096,151</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vMerge w:val="restart"/>
          </w:tcPr>
          <w:p>
            <w:pPr>
              <w:jc w:val="right"/>
              <w:ind w:right="33"/>
              <w:spacing w:after="0"/>
              <w:rPr>
                <w:sz w:val="20"/>
                <w:szCs w:val="20"/>
                <w:color w:val="auto"/>
              </w:rPr>
            </w:pPr>
            <w:r>
              <w:rPr>
                <w:rFonts w:ascii="Arial" w:cs="Arial" w:eastAsia="Arial" w:hAnsi="Arial"/>
                <w:sz w:val="18"/>
                <w:szCs w:val="18"/>
                <w:color w:val="auto"/>
                <w:w w:val="99"/>
              </w:rPr>
              <w:t>32,542,253</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vMerge w:val="restart"/>
          </w:tcPr>
          <w:p>
            <w:pPr>
              <w:jc w:val="right"/>
              <w:ind w:right="12"/>
              <w:spacing w:after="0"/>
              <w:rPr>
                <w:sz w:val="20"/>
                <w:szCs w:val="20"/>
                <w:color w:val="auto"/>
              </w:rPr>
            </w:pPr>
            <w:r>
              <w:rPr>
                <w:rFonts w:ascii="Arial" w:cs="Arial" w:eastAsia="Arial" w:hAnsi="Arial"/>
                <w:sz w:val="18"/>
                <w:szCs w:val="18"/>
                <w:color w:val="auto"/>
                <w:w w:val="99"/>
              </w:rPr>
              <w:t>5,000,375</w:t>
            </w:r>
          </w:p>
        </w:tc>
        <w:tc>
          <w:tcPr>
            <w:tcW w:w="0" w:type="dxa"/>
            <w:vAlign w:val="bottom"/>
          </w:tcPr>
          <w:p>
            <w:pPr>
              <w:spacing w:after="0"/>
              <w:rPr>
                <w:sz w:val="1"/>
                <w:szCs w:val="1"/>
                <w:color w:val="auto"/>
              </w:rPr>
            </w:pPr>
          </w:p>
        </w:tc>
      </w:tr>
      <w:tr>
        <w:trPr>
          <w:trHeight w:val="277"/>
        </w:trPr>
        <w:tc>
          <w:tcPr>
            <w:tcW w:w="574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—Diluted</w:t>
            </w:r>
          </w:p>
        </w:tc>
        <w:tc>
          <w:tcPr>
            <w:tcW w:w="34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vMerge w:val="continue"/>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vMerge w:val="continue"/>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vMerge w:val="continue"/>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5740" w:type="dxa"/>
            <w:vAlign w:val="bottom"/>
            <w:shd w:val="clear" w:color="auto" w:fill="CCEEFF"/>
          </w:tcPr>
          <w:p>
            <w:pPr>
              <w:ind w:left="40"/>
              <w:spacing w:after="0" w:line="189" w:lineRule="exact"/>
              <w:rPr>
                <w:sz w:val="20"/>
                <w:szCs w:val="20"/>
                <w:color w:val="auto"/>
              </w:rPr>
            </w:pPr>
            <w:r>
              <w:rPr>
                <w:rFonts w:ascii="Arial" w:cs="Arial" w:eastAsia="Arial" w:hAnsi="Arial"/>
                <w:sz w:val="18"/>
                <w:szCs w:val="18"/>
                <w:color w:val="auto"/>
              </w:rPr>
              <w:t>Net income (Loss) per share attributable to common stockholders</w:t>
            </w:r>
          </w:p>
        </w:tc>
        <w:tc>
          <w:tcPr>
            <w:tcW w:w="340" w:type="dxa"/>
            <w:vAlign w:val="bottom"/>
            <w:vMerge w:val="restart"/>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vMerge w:val="restart"/>
            <w:shd w:val="clear" w:color="auto" w:fill="CCEEFF"/>
          </w:tcPr>
          <w:p>
            <w:pPr>
              <w:jc w:val="right"/>
              <w:ind w:right="33"/>
              <w:spacing w:after="0"/>
              <w:rPr>
                <w:sz w:val="20"/>
                <w:szCs w:val="20"/>
                <w:color w:val="auto"/>
              </w:rPr>
            </w:pPr>
            <w:r>
              <w:rPr>
                <w:rFonts w:ascii="Arial" w:cs="Arial" w:eastAsia="Arial" w:hAnsi="Arial"/>
                <w:sz w:val="18"/>
                <w:szCs w:val="18"/>
                <w:color w:val="auto"/>
              </w:rPr>
              <w:t>0.01</w:t>
            </w:r>
          </w:p>
        </w:tc>
        <w:tc>
          <w:tcPr>
            <w:tcW w:w="100" w:type="dxa"/>
            <w:vAlign w:val="bottom"/>
            <w:shd w:val="clear" w:color="auto" w:fill="CCEEFF"/>
          </w:tcPr>
          <w:p>
            <w:pPr>
              <w:spacing w:after="0"/>
              <w:rPr>
                <w:sz w:val="16"/>
                <w:szCs w:val="16"/>
                <w:color w:val="auto"/>
              </w:rPr>
            </w:pPr>
          </w:p>
        </w:tc>
        <w:tc>
          <w:tcPr>
            <w:tcW w:w="360" w:type="dxa"/>
            <w:vAlign w:val="bottom"/>
            <w:vMerge w:val="restart"/>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(0.11)</w:t>
            </w:r>
          </w:p>
        </w:tc>
        <w:tc>
          <w:tcPr>
            <w:tcW w:w="100" w:type="dxa"/>
            <w:vAlign w:val="bottom"/>
            <w:shd w:val="clear" w:color="auto" w:fill="CCEEFF"/>
          </w:tcPr>
          <w:p>
            <w:pPr>
              <w:spacing w:after="0"/>
              <w:rPr>
                <w:sz w:val="16"/>
                <w:szCs w:val="16"/>
                <w:color w:val="auto"/>
              </w:rPr>
            </w:pPr>
          </w:p>
        </w:tc>
        <w:tc>
          <w:tcPr>
            <w:tcW w:w="22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vMerge w:val="restart"/>
            <w:shd w:val="clear" w:color="auto" w:fill="CCEEFF"/>
          </w:tcPr>
          <w:p>
            <w:pPr>
              <w:jc w:val="right"/>
              <w:ind w:right="33"/>
              <w:spacing w:after="0"/>
              <w:rPr>
                <w:sz w:val="20"/>
                <w:szCs w:val="20"/>
                <w:color w:val="auto"/>
              </w:rPr>
            </w:pPr>
            <w:r>
              <w:rPr>
                <w:rFonts w:ascii="Arial" w:cs="Arial" w:eastAsia="Arial" w:hAnsi="Arial"/>
                <w:sz w:val="18"/>
                <w:szCs w:val="18"/>
                <w:color w:val="auto"/>
              </w:rPr>
              <w:t>0.03</w:t>
            </w:r>
          </w:p>
        </w:tc>
        <w:tc>
          <w:tcPr>
            <w:tcW w:w="100" w:type="dxa"/>
            <w:vAlign w:val="bottom"/>
            <w:shd w:val="clear" w:color="auto" w:fill="CCEEFF"/>
          </w:tcPr>
          <w:p>
            <w:pPr>
              <w:spacing w:after="0"/>
              <w:rPr>
                <w:sz w:val="16"/>
                <w:szCs w:val="16"/>
                <w:color w:val="auto"/>
              </w:rPr>
            </w:pPr>
          </w:p>
        </w:tc>
        <w:tc>
          <w:tcPr>
            <w:tcW w:w="22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37"/>
        </w:trPr>
        <w:tc>
          <w:tcPr>
            <w:tcW w:w="5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—Basic</w:t>
            </w:r>
          </w:p>
        </w:tc>
        <w:tc>
          <w:tcPr>
            <w:tcW w:w="340" w:type="dxa"/>
            <w:vAlign w:val="bottom"/>
            <w:tcBorders>
              <w:bottom w:val="single" w:sz="8" w:color="auto"/>
            </w:tcBorders>
            <w:vMerge w:val="continue"/>
            <w:shd w:val="clear" w:color="auto" w:fill="CCEEFF"/>
          </w:tcPr>
          <w:p>
            <w:pPr>
              <w:spacing w:after="0"/>
              <w:rPr>
                <w:sz w:val="20"/>
                <w:szCs w:val="20"/>
                <w:color w:val="auto"/>
              </w:rPr>
            </w:pPr>
          </w:p>
        </w:tc>
        <w:tc>
          <w:tcPr>
            <w:tcW w:w="116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auto"/>
            </w:tcBorders>
            <w:vMerge w:val="continue"/>
            <w:shd w:val="clear" w:color="auto" w:fill="CCEEFF"/>
          </w:tcPr>
          <w:p>
            <w:pPr>
              <w:spacing w:after="0"/>
              <w:rPr>
                <w:sz w:val="20"/>
                <w:szCs w:val="20"/>
                <w:color w:val="auto"/>
              </w:rPr>
            </w:pPr>
          </w:p>
        </w:tc>
        <w:tc>
          <w:tcPr>
            <w:tcW w:w="112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vMerge w:val="continue"/>
            <w:shd w:val="clear" w:color="auto" w:fill="CCEEFF"/>
          </w:tcPr>
          <w:p>
            <w:pPr>
              <w:spacing w:after="0"/>
              <w:rPr>
                <w:sz w:val="20"/>
                <w:szCs w:val="20"/>
                <w:color w:val="auto"/>
              </w:rPr>
            </w:pPr>
          </w:p>
        </w:tc>
        <w:tc>
          <w:tcPr>
            <w:tcW w:w="104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vMerge w:val="continue"/>
            <w:shd w:val="clear" w:color="auto" w:fill="CCEEFF"/>
          </w:tcPr>
          <w:p>
            <w:pPr>
              <w:spacing w:after="0"/>
              <w:rPr>
                <w:sz w:val="20"/>
                <w:szCs w:val="20"/>
                <w:color w:val="auto"/>
              </w:rPr>
            </w:pPr>
          </w:p>
        </w:tc>
        <w:tc>
          <w:tcPr>
            <w:tcW w:w="920" w:type="dxa"/>
            <w:vAlign w:val="bottom"/>
            <w:tcBorders>
              <w:bottom w:val="single" w:sz="8" w:color="auto"/>
            </w:tcBorders>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740" w:type="dxa"/>
            <w:vAlign w:val="bottom"/>
            <w:vMerge w:val="restart"/>
          </w:tcPr>
          <w:p>
            <w:pPr>
              <w:ind w:left="40"/>
              <w:spacing w:after="0"/>
              <w:rPr>
                <w:sz w:val="20"/>
                <w:szCs w:val="20"/>
                <w:color w:val="auto"/>
              </w:rPr>
            </w:pPr>
            <w:r>
              <w:rPr>
                <w:rFonts w:ascii="Arial" w:cs="Arial" w:eastAsia="Arial" w:hAnsi="Arial"/>
                <w:sz w:val="18"/>
                <w:szCs w:val="18"/>
                <w:color w:val="auto"/>
              </w:rPr>
              <w:t>—Diluted</w:t>
            </w: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740" w:type="dxa"/>
            <w:vAlign w:val="bottom"/>
            <w:vMerge w:val="continue"/>
          </w:tcPr>
          <w:p>
            <w:pPr>
              <w:spacing w:after="0"/>
              <w:rPr>
                <w:sz w:val="20"/>
                <w:szCs w:val="20"/>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3"/>
              <w:spacing w:after="0"/>
              <w:rPr>
                <w:sz w:val="20"/>
                <w:szCs w:val="20"/>
                <w:color w:val="auto"/>
              </w:rPr>
            </w:pPr>
            <w:r>
              <w:rPr>
                <w:rFonts w:ascii="Arial" w:cs="Arial" w:eastAsia="Arial" w:hAnsi="Arial"/>
                <w:sz w:val="18"/>
                <w:szCs w:val="18"/>
                <w:color w:val="auto"/>
              </w:rPr>
              <w:t>0.01</w:t>
            </w:r>
          </w:p>
        </w:tc>
        <w:tc>
          <w:tcPr>
            <w:tcW w:w="100" w:type="dxa"/>
            <w:vAlign w:val="bottom"/>
          </w:tcPr>
          <w:p>
            <w:pPr>
              <w:spacing w:after="0"/>
              <w:rPr>
                <w:sz w:val="20"/>
                <w:szCs w:val="20"/>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(0.11)</w:t>
            </w:r>
          </w:p>
        </w:tc>
        <w:tc>
          <w:tcPr>
            <w:tcW w:w="100" w:type="dxa"/>
            <w:vAlign w:val="bottom"/>
          </w:tcPr>
          <w:p>
            <w:pPr>
              <w:spacing w:after="0"/>
              <w:rPr>
                <w:sz w:val="20"/>
                <w:szCs w:val="20"/>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33"/>
              <w:spacing w:after="0"/>
              <w:rPr>
                <w:sz w:val="20"/>
                <w:szCs w:val="20"/>
                <w:color w:val="auto"/>
              </w:rPr>
            </w:pPr>
            <w:r>
              <w:rPr>
                <w:rFonts w:ascii="Arial" w:cs="Arial" w:eastAsia="Arial" w:hAnsi="Arial"/>
                <w:sz w:val="18"/>
                <w:szCs w:val="18"/>
                <w:color w:val="auto"/>
              </w:rPr>
              <w:t>0.03</w:t>
            </w:r>
          </w:p>
        </w:tc>
        <w:tc>
          <w:tcPr>
            <w:tcW w:w="100" w:type="dxa"/>
            <w:vAlign w:val="bottom"/>
          </w:tcPr>
          <w:p>
            <w:pPr>
              <w:spacing w:after="0"/>
              <w:rPr>
                <w:sz w:val="20"/>
                <w:szCs w:val="20"/>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7"/>
        </w:trPr>
        <w:tc>
          <w:tcPr>
            <w:tcW w:w="57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7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69" w:lineRule="exact"/>
        <w:rPr>
          <w:sz w:val="20"/>
          <w:szCs w:val="20"/>
          <w:color w:val="auto"/>
        </w:rPr>
      </w:pPr>
    </w:p>
    <w:p>
      <w:pPr>
        <w:ind w:right="80" w:firstLine="324"/>
        <w:spacing w:after="0" w:line="277" w:lineRule="auto"/>
        <w:rPr>
          <w:sz w:val="20"/>
          <w:szCs w:val="20"/>
          <w:color w:val="auto"/>
        </w:rPr>
      </w:pPr>
      <w:r>
        <w:rPr>
          <w:rFonts w:ascii="Arial" w:cs="Arial" w:eastAsia="Arial" w:hAnsi="Arial"/>
          <w:sz w:val="18"/>
          <w:szCs w:val="18"/>
          <w:color w:val="auto"/>
        </w:rPr>
        <w:t>The following outstanding shares of potentially dilutive securities were excluded from the computation of diluted net income per share of common stock for the periods presented, because the effect of including them would have been anti-dilutive:</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20" w:type="dxa"/>
            <w:vAlign w:val="bottom"/>
          </w:tcPr>
          <w:p>
            <w:pPr>
              <w:spacing w:after="0"/>
              <w:rPr>
                <w:sz w:val="16"/>
                <w:szCs w:val="16"/>
                <w:color w:val="auto"/>
              </w:rPr>
            </w:pPr>
          </w:p>
        </w:tc>
        <w:tc>
          <w:tcPr>
            <w:tcW w:w="3200" w:type="dxa"/>
            <w:vAlign w:val="bottom"/>
            <w:gridSpan w:val="4"/>
          </w:tcPr>
          <w:p>
            <w:pPr>
              <w:ind w:left="640"/>
              <w:spacing w:after="0"/>
              <w:rPr>
                <w:sz w:val="20"/>
                <w:szCs w:val="20"/>
                <w:color w:val="auto"/>
              </w:rPr>
            </w:pPr>
            <w:r>
              <w:rPr>
                <w:rFonts w:ascii="Arial" w:cs="Arial" w:eastAsia="Arial" w:hAnsi="Arial"/>
                <w:sz w:val="14"/>
                <w:szCs w:val="14"/>
                <w:b w:val="1"/>
                <w:bCs w:val="1"/>
                <w:color w:val="auto"/>
              </w:rPr>
              <w:t>Three Months Ended June 30,</w:t>
            </w:r>
          </w:p>
        </w:tc>
        <w:tc>
          <w:tcPr>
            <w:tcW w:w="2600" w:type="dxa"/>
            <w:vAlign w:val="bottom"/>
            <w:gridSpan w:val="3"/>
          </w:tcPr>
          <w:p>
            <w:pPr>
              <w:jc w:val="right"/>
              <w:ind w:right="354"/>
              <w:spacing w:after="0"/>
              <w:rPr>
                <w:sz w:val="20"/>
                <w:szCs w:val="20"/>
                <w:color w:val="auto"/>
              </w:rPr>
            </w:pPr>
            <w:r>
              <w:rPr>
                <w:rFonts w:ascii="Arial" w:cs="Arial" w:eastAsia="Arial" w:hAnsi="Arial"/>
                <w:sz w:val="14"/>
                <w:szCs w:val="14"/>
                <w:b w:val="1"/>
                <w:bCs w:val="1"/>
                <w:color w:val="auto"/>
              </w:rPr>
              <w:t>Six Months Ended June 30,</w:t>
            </w:r>
          </w:p>
        </w:tc>
      </w:tr>
      <w:tr>
        <w:trPr>
          <w:trHeight w:val="264"/>
        </w:trPr>
        <w:tc>
          <w:tcPr>
            <w:tcW w:w="5620" w:type="dxa"/>
            <w:vAlign w:val="bottom"/>
            <w:tcBorders>
              <w:bottom w:val="single" w:sz="8" w:color="BFE4FF"/>
            </w:tcBorders>
          </w:tcPr>
          <w:p>
            <w:pPr>
              <w:spacing w:after="0"/>
              <w:rPr>
                <w:sz w:val="22"/>
                <w:szCs w:val="22"/>
                <w:color w:val="auto"/>
              </w:rPr>
            </w:pPr>
          </w:p>
        </w:tc>
        <w:tc>
          <w:tcPr>
            <w:tcW w:w="1500" w:type="dxa"/>
            <w:vAlign w:val="bottom"/>
            <w:tcBorders>
              <w:top w:val="single" w:sz="8" w:color="auto"/>
              <w:bottom w:val="single" w:sz="8" w:color="auto"/>
            </w:tcBorders>
          </w:tcPr>
          <w:p>
            <w:pPr>
              <w:jc w:val="right"/>
              <w:ind w:right="537"/>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top w:val="single" w:sz="8" w:color="auto"/>
              <w:bottom w:val="single" w:sz="8" w:color="BFE4FF"/>
            </w:tcBorders>
          </w:tcPr>
          <w:p>
            <w:pPr>
              <w:spacing w:after="0"/>
              <w:rPr>
                <w:sz w:val="22"/>
                <w:szCs w:val="22"/>
                <w:color w:val="auto"/>
              </w:rPr>
            </w:pPr>
          </w:p>
        </w:tc>
        <w:tc>
          <w:tcPr>
            <w:tcW w:w="1480" w:type="dxa"/>
            <w:vAlign w:val="bottom"/>
            <w:tcBorders>
              <w:top w:val="single" w:sz="8" w:color="auto"/>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BFE4FF"/>
            </w:tcBorders>
          </w:tcPr>
          <w:p>
            <w:pPr>
              <w:spacing w:after="0"/>
              <w:rPr>
                <w:sz w:val="22"/>
                <w:szCs w:val="22"/>
                <w:color w:val="auto"/>
              </w:rPr>
            </w:pPr>
          </w:p>
        </w:tc>
        <w:tc>
          <w:tcPr>
            <w:tcW w:w="1240" w:type="dxa"/>
            <w:vAlign w:val="bottom"/>
            <w:tcBorders>
              <w:top w:val="single" w:sz="8" w:color="auto"/>
              <w:bottom w:val="single" w:sz="8" w:color="auto"/>
            </w:tcBorders>
          </w:tcPr>
          <w:p>
            <w:pPr>
              <w:jc w:val="right"/>
              <w:ind w:right="377"/>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top w:val="single" w:sz="8" w:color="auto"/>
              <w:bottom w:val="single" w:sz="8" w:color="BFE4FF"/>
            </w:tcBorders>
          </w:tcPr>
          <w:p>
            <w:pPr>
              <w:spacing w:after="0"/>
              <w:rPr>
                <w:sz w:val="22"/>
                <w:szCs w:val="22"/>
                <w:color w:val="auto"/>
              </w:rPr>
            </w:pPr>
          </w:p>
        </w:tc>
        <w:tc>
          <w:tcPr>
            <w:tcW w:w="1240" w:type="dxa"/>
            <w:vAlign w:val="bottom"/>
            <w:tcBorders>
              <w:top w:val="single" w:sz="8" w:color="auto"/>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2015</w:t>
            </w:r>
          </w:p>
        </w:tc>
      </w:tr>
      <w:tr>
        <w:trPr>
          <w:trHeight w:val="250"/>
        </w:trPr>
        <w:tc>
          <w:tcPr>
            <w:tcW w:w="5620" w:type="dxa"/>
            <w:vAlign w:val="bottom"/>
            <w:tcBorders>
              <w:bottom w:val="single" w:sz="8" w:color="BFE4FF"/>
            </w:tcBorders>
            <w:shd w:val="clear" w:color="auto" w:fill="BFE4FF"/>
          </w:tcPr>
          <w:p>
            <w:pPr>
              <w:ind w:left="40"/>
              <w:spacing w:after="0"/>
              <w:rPr>
                <w:sz w:val="20"/>
                <w:szCs w:val="20"/>
                <w:color w:val="auto"/>
              </w:rPr>
            </w:pPr>
            <w:r>
              <w:rPr>
                <w:rFonts w:ascii="Arial" w:cs="Arial" w:eastAsia="Arial" w:hAnsi="Arial"/>
                <w:sz w:val="18"/>
                <w:szCs w:val="18"/>
                <w:color w:val="auto"/>
              </w:rPr>
              <w:t>Options and ESPP to purchase common stock</w:t>
            </w:r>
          </w:p>
        </w:tc>
        <w:tc>
          <w:tcPr>
            <w:tcW w:w="1620" w:type="dxa"/>
            <w:vAlign w:val="bottom"/>
            <w:tcBorders>
              <w:bottom w:val="single" w:sz="8" w:color="BFE4FF"/>
            </w:tcBorders>
            <w:gridSpan w:val="2"/>
            <w:shd w:val="clear" w:color="auto" w:fill="BFE4FF"/>
          </w:tcPr>
          <w:p>
            <w:pPr>
              <w:jc w:val="right"/>
              <w:ind w:right="240"/>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BFE4FF"/>
            </w:tcBorders>
            <w:shd w:val="clear" w:color="auto" w:fill="BFE4FF"/>
          </w:tcPr>
          <w:p>
            <w:pPr>
              <w:jc w:val="right"/>
              <w:ind w:right="14"/>
              <w:spacing w:after="0"/>
              <w:rPr>
                <w:sz w:val="20"/>
                <w:szCs w:val="20"/>
                <w:color w:val="auto"/>
              </w:rPr>
            </w:pPr>
            <w:r>
              <w:rPr>
                <w:rFonts w:ascii="Arial" w:cs="Arial" w:eastAsia="Arial" w:hAnsi="Arial"/>
                <w:sz w:val="18"/>
                <w:szCs w:val="18"/>
                <w:color w:val="auto"/>
              </w:rPr>
              <w:t>2,485,392</w:t>
            </w:r>
          </w:p>
        </w:tc>
        <w:tc>
          <w:tcPr>
            <w:tcW w:w="100" w:type="dxa"/>
            <w:vAlign w:val="bottom"/>
            <w:tcBorders>
              <w:bottom w:val="single" w:sz="8" w:color="BFE4FF"/>
            </w:tcBorders>
            <w:shd w:val="clear" w:color="auto" w:fill="BFE4FF"/>
          </w:tcPr>
          <w:p>
            <w:pPr>
              <w:spacing w:after="0"/>
              <w:rPr>
                <w:sz w:val="21"/>
                <w:szCs w:val="21"/>
                <w:color w:val="auto"/>
              </w:rPr>
            </w:pPr>
          </w:p>
        </w:tc>
        <w:tc>
          <w:tcPr>
            <w:tcW w:w="1240" w:type="dxa"/>
            <w:vAlign w:val="bottom"/>
            <w:tcBorders>
              <w:bottom w:val="single" w:sz="8" w:color="BFE4FF"/>
            </w:tcBorders>
            <w:shd w:val="clear" w:color="auto" w:fill="BFE4FF"/>
          </w:tcPr>
          <w:p>
            <w:pPr>
              <w:jc w:val="right"/>
              <w:ind w:right="17"/>
              <w:spacing w:after="0"/>
              <w:rPr>
                <w:sz w:val="20"/>
                <w:szCs w:val="20"/>
                <w:color w:val="auto"/>
              </w:rPr>
            </w:pPr>
            <w:r>
              <w:rPr>
                <w:rFonts w:ascii="Arial" w:cs="Arial" w:eastAsia="Arial" w:hAnsi="Arial"/>
                <w:sz w:val="18"/>
                <w:szCs w:val="18"/>
                <w:color w:val="auto"/>
              </w:rPr>
              <w:t>4,007</w:t>
            </w:r>
          </w:p>
        </w:tc>
        <w:tc>
          <w:tcPr>
            <w:tcW w:w="120" w:type="dxa"/>
            <w:vAlign w:val="bottom"/>
            <w:tcBorders>
              <w:bottom w:val="single" w:sz="8" w:color="BFE4FF"/>
            </w:tcBorders>
            <w:shd w:val="clear" w:color="auto" w:fill="BFE4FF"/>
          </w:tcPr>
          <w:p>
            <w:pPr>
              <w:spacing w:after="0"/>
              <w:rPr>
                <w:sz w:val="21"/>
                <w:szCs w:val="21"/>
                <w:color w:val="auto"/>
              </w:rPr>
            </w:pPr>
          </w:p>
        </w:tc>
        <w:tc>
          <w:tcPr>
            <w:tcW w:w="1240" w:type="dxa"/>
            <w:vAlign w:val="bottom"/>
            <w:tcBorders>
              <w:bottom w:val="single" w:sz="8" w:color="BFE4FF"/>
            </w:tcBorders>
            <w:shd w:val="clear" w:color="auto" w:fill="BFE4FF"/>
          </w:tcPr>
          <w:p>
            <w:pPr>
              <w:jc w:val="right"/>
              <w:ind w:right="14"/>
              <w:spacing w:after="0"/>
              <w:rPr>
                <w:sz w:val="20"/>
                <w:szCs w:val="20"/>
                <w:color w:val="auto"/>
              </w:rPr>
            </w:pPr>
            <w:r>
              <w:rPr>
                <w:rFonts w:ascii="Arial" w:cs="Arial" w:eastAsia="Arial" w:hAnsi="Arial"/>
                <w:sz w:val="18"/>
                <w:szCs w:val="18"/>
                <w:color w:val="auto"/>
              </w:rPr>
              <w:t>2,485,392</w:t>
            </w: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Restricted stock and restricted stock units</w:t>
            </w:r>
          </w:p>
        </w:tc>
        <w:tc>
          <w:tcPr>
            <w:tcW w:w="1500" w:type="dxa"/>
            <w:vAlign w:val="bottom"/>
          </w:tcPr>
          <w:p>
            <w:pPr>
              <w:jc w:val="right"/>
              <w:ind w:right="37"/>
              <w:spacing w:after="0"/>
              <w:rPr>
                <w:sz w:val="20"/>
                <w:szCs w:val="20"/>
                <w:color w:val="auto"/>
              </w:rPr>
            </w:pPr>
            <w:r>
              <w:rPr>
                <w:rFonts w:ascii="Arial" w:cs="Arial" w:eastAsia="Arial" w:hAnsi="Arial"/>
                <w:sz w:val="18"/>
                <w:szCs w:val="18"/>
                <w:color w:val="auto"/>
              </w:rPr>
              <w:t>15,210</w:t>
            </w:r>
          </w:p>
        </w:tc>
        <w:tc>
          <w:tcPr>
            <w:tcW w:w="120" w:type="dxa"/>
            <w:vAlign w:val="bottom"/>
          </w:tcPr>
          <w:p>
            <w:pPr>
              <w:spacing w:after="0"/>
              <w:rPr>
                <w:sz w:val="21"/>
                <w:szCs w:val="21"/>
                <w:color w:val="auto"/>
              </w:rPr>
            </w:pPr>
          </w:p>
        </w:tc>
        <w:tc>
          <w:tcPr>
            <w:tcW w:w="1480" w:type="dxa"/>
            <w:vAlign w:val="bottom"/>
          </w:tcPr>
          <w:p>
            <w:pPr>
              <w:jc w:val="right"/>
              <w:ind w:right="14"/>
              <w:spacing w:after="0"/>
              <w:rPr>
                <w:sz w:val="20"/>
                <w:szCs w:val="20"/>
                <w:color w:val="auto"/>
              </w:rPr>
            </w:pPr>
            <w:r>
              <w:rPr>
                <w:rFonts w:ascii="Arial" w:cs="Arial" w:eastAsia="Arial" w:hAnsi="Arial"/>
                <w:sz w:val="18"/>
                <w:szCs w:val="18"/>
                <w:color w:val="auto"/>
              </w:rPr>
              <w:t>755,771</w:t>
            </w:r>
          </w:p>
        </w:tc>
        <w:tc>
          <w:tcPr>
            <w:tcW w:w="100" w:type="dxa"/>
            <w:vAlign w:val="bottom"/>
          </w:tcPr>
          <w:p>
            <w:pPr>
              <w:spacing w:after="0"/>
              <w:rPr>
                <w:sz w:val="21"/>
                <w:szCs w:val="21"/>
                <w:color w:val="auto"/>
              </w:rPr>
            </w:pPr>
          </w:p>
        </w:tc>
        <w:tc>
          <w:tcPr>
            <w:tcW w:w="1240" w:type="dxa"/>
            <w:vAlign w:val="bottom"/>
          </w:tcPr>
          <w:p>
            <w:pPr>
              <w:jc w:val="right"/>
              <w:ind w:right="17"/>
              <w:spacing w:after="0"/>
              <w:rPr>
                <w:sz w:val="20"/>
                <w:szCs w:val="20"/>
                <w:color w:val="auto"/>
              </w:rPr>
            </w:pPr>
            <w:r>
              <w:rPr>
                <w:rFonts w:ascii="Arial" w:cs="Arial" w:eastAsia="Arial" w:hAnsi="Arial"/>
                <w:sz w:val="18"/>
                <w:szCs w:val="18"/>
                <w:color w:val="auto"/>
              </w:rPr>
              <w:t>34,928</w:t>
            </w:r>
          </w:p>
        </w:tc>
        <w:tc>
          <w:tcPr>
            <w:tcW w:w="120" w:type="dxa"/>
            <w:vAlign w:val="bottom"/>
          </w:tcPr>
          <w:p>
            <w:pPr>
              <w:spacing w:after="0"/>
              <w:rPr>
                <w:sz w:val="21"/>
                <w:szCs w:val="21"/>
                <w:color w:val="auto"/>
              </w:rPr>
            </w:pPr>
          </w:p>
        </w:tc>
        <w:tc>
          <w:tcPr>
            <w:tcW w:w="1240" w:type="dxa"/>
            <w:vAlign w:val="bottom"/>
          </w:tcPr>
          <w:p>
            <w:pPr>
              <w:jc w:val="right"/>
              <w:ind w:right="14"/>
              <w:spacing w:after="0"/>
              <w:rPr>
                <w:sz w:val="20"/>
                <w:szCs w:val="20"/>
                <w:color w:val="auto"/>
              </w:rPr>
            </w:pPr>
            <w:r>
              <w:rPr>
                <w:rFonts w:ascii="Arial" w:cs="Arial" w:eastAsia="Arial" w:hAnsi="Arial"/>
                <w:sz w:val="18"/>
                <w:szCs w:val="18"/>
                <w:color w:val="auto"/>
              </w:rPr>
              <w:t>755,771</w:t>
            </w:r>
          </w:p>
        </w:tc>
      </w:tr>
      <w:tr>
        <w:trPr>
          <w:trHeight w:val="27"/>
        </w:trPr>
        <w:tc>
          <w:tcPr>
            <w:tcW w:w="5620" w:type="dxa"/>
            <w:vAlign w:val="bottom"/>
            <w:tcBorders>
              <w:bottom w:val="single" w:sz="8" w:color="BFE4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20" w:type="dxa"/>
            <w:vAlign w:val="bottom"/>
            <w:tcBorders>
              <w:bottom w:val="single" w:sz="8" w:color="BFE4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BFE4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Borders>
              <w:bottom w:val="single" w:sz="8" w:color="BFE4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69"/>
        </w:trPr>
        <w:tc>
          <w:tcPr>
            <w:tcW w:w="5620" w:type="dxa"/>
            <w:vAlign w:val="bottom"/>
            <w:tcBorders>
              <w:bottom w:val="single" w:sz="8" w:color="BFE4FF"/>
            </w:tcBorders>
            <w:shd w:val="clear" w:color="auto" w:fill="BFE4FF"/>
          </w:tcPr>
          <w:p>
            <w:pPr>
              <w:ind w:left="180"/>
              <w:spacing w:after="0"/>
              <w:rPr>
                <w:sz w:val="20"/>
                <w:szCs w:val="20"/>
                <w:color w:val="auto"/>
              </w:rPr>
            </w:pPr>
            <w:r>
              <w:rPr>
                <w:rFonts w:ascii="Arial" w:cs="Arial" w:eastAsia="Arial" w:hAnsi="Arial"/>
                <w:sz w:val="18"/>
                <w:szCs w:val="18"/>
                <w:color w:val="auto"/>
              </w:rPr>
              <w:t>Total</w:t>
            </w:r>
          </w:p>
        </w:tc>
        <w:tc>
          <w:tcPr>
            <w:tcW w:w="1500" w:type="dxa"/>
            <w:vAlign w:val="bottom"/>
            <w:tcBorders>
              <w:bottom w:val="single" w:sz="8" w:color="BFE4FF"/>
            </w:tcBorders>
            <w:shd w:val="clear" w:color="auto" w:fill="BFE4FF"/>
          </w:tcPr>
          <w:p>
            <w:pPr>
              <w:jc w:val="right"/>
              <w:ind w:right="37"/>
              <w:spacing w:after="0"/>
              <w:rPr>
                <w:sz w:val="20"/>
                <w:szCs w:val="20"/>
                <w:color w:val="auto"/>
              </w:rPr>
            </w:pPr>
            <w:r>
              <w:rPr>
                <w:rFonts w:ascii="Arial" w:cs="Arial" w:eastAsia="Arial" w:hAnsi="Arial"/>
                <w:sz w:val="18"/>
                <w:szCs w:val="18"/>
                <w:color w:val="auto"/>
              </w:rPr>
              <w:t>15,210</w:t>
            </w:r>
          </w:p>
        </w:tc>
        <w:tc>
          <w:tcPr>
            <w:tcW w:w="120" w:type="dxa"/>
            <w:vAlign w:val="bottom"/>
            <w:tcBorders>
              <w:bottom w:val="single" w:sz="8" w:color="BFE4FF"/>
            </w:tcBorders>
            <w:shd w:val="clear" w:color="auto" w:fill="BFE4FF"/>
          </w:tcPr>
          <w:p>
            <w:pPr>
              <w:spacing w:after="0"/>
              <w:rPr>
                <w:sz w:val="22"/>
                <w:szCs w:val="22"/>
                <w:color w:val="auto"/>
              </w:rPr>
            </w:pPr>
          </w:p>
        </w:tc>
        <w:tc>
          <w:tcPr>
            <w:tcW w:w="1480" w:type="dxa"/>
            <w:vAlign w:val="bottom"/>
            <w:tcBorders>
              <w:bottom w:val="single" w:sz="8" w:color="BFE4FF"/>
            </w:tcBorders>
            <w:shd w:val="clear" w:color="auto" w:fill="BFE4FF"/>
          </w:tcPr>
          <w:p>
            <w:pPr>
              <w:jc w:val="right"/>
              <w:ind w:right="14"/>
              <w:spacing w:after="0"/>
              <w:rPr>
                <w:sz w:val="20"/>
                <w:szCs w:val="20"/>
                <w:color w:val="auto"/>
              </w:rPr>
            </w:pPr>
            <w:r>
              <w:rPr>
                <w:rFonts w:ascii="Arial" w:cs="Arial" w:eastAsia="Arial" w:hAnsi="Arial"/>
                <w:sz w:val="18"/>
                <w:szCs w:val="18"/>
                <w:color w:val="auto"/>
              </w:rPr>
              <w:t>3,241,163</w:t>
            </w:r>
          </w:p>
        </w:tc>
        <w:tc>
          <w:tcPr>
            <w:tcW w:w="100" w:type="dxa"/>
            <w:vAlign w:val="bottom"/>
            <w:tcBorders>
              <w:bottom w:val="single" w:sz="8" w:color="BFE4FF"/>
            </w:tcBorders>
            <w:shd w:val="clear" w:color="auto" w:fill="BFE4FF"/>
          </w:tcPr>
          <w:p>
            <w:pPr>
              <w:spacing w:after="0"/>
              <w:rPr>
                <w:sz w:val="22"/>
                <w:szCs w:val="22"/>
                <w:color w:val="auto"/>
              </w:rPr>
            </w:pPr>
          </w:p>
        </w:tc>
        <w:tc>
          <w:tcPr>
            <w:tcW w:w="1240" w:type="dxa"/>
            <w:vAlign w:val="bottom"/>
            <w:tcBorders>
              <w:bottom w:val="single" w:sz="8" w:color="BFE4FF"/>
            </w:tcBorders>
            <w:shd w:val="clear" w:color="auto" w:fill="BFE4FF"/>
          </w:tcPr>
          <w:p>
            <w:pPr>
              <w:jc w:val="right"/>
              <w:ind w:right="17"/>
              <w:spacing w:after="0"/>
              <w:rPr>
                <w:sz w:val="20"/>
                <w:szCs w:val="20"/>
                <w:color w:val="auto"/>
              </w:rPr>
            </w:pPr>
            <w:r>
              <w:rPr>
                <w:rFonts w:ascii="Arial" w:cs="Arial" w:eastAsia="Arial" w:hAnsi="Arial"/>
                <w:sz w:val="18"/>
                <w:szCs w:val="18"/>
                <w:color w:val="auto"/>
              </w:rPr>
              <w:t>38,935</w:t>
            </w:r>
          </w:p>
        </w:tc>
        <w:tc>
          <w:tcPr>
            <w:tcW w:w="120" w:type="dxa"/>
            <w:vAlign w:val="bottom"/>
            <w:tcBorders>
              <w:bottom w:val="single" w:sz="8" w:color="BFE4FF"/>
            </w:tcBorders>
            <w:shd w:val="clear" w:color="auto" w:fill="BFE4FF"/>
          </w:tcPr>
          <w:p>
            <w:pPr>
              <w:spacing w:after="0"/>
              <w:rPr>
                <w:sz w:val="22"/>
                <w:szCs w:val="22"/>
                <w:color w:val="auto"/>
              </w:rPr>
            </w:pPr>
          </w:p>
        </w:tc>
        <w:tc>
          <w:tcPr>
            <w:tcW w:w="1240" w:type="dxa"/>
            <w:vAlign w:val="bottom"/>
            <w:tcBorders>
              <w:bottom w:val="single" w:sz="8" w:color="BFE4FF"/>
            </w:tcBorders>
            <w:shd w:val="clear" w:color="auto" w:fill="BFE4FF"/>
          </w:tcPr>
          <w:p>
            <w:pPr>
              <w:jc w:val="right"/>
              <w:ind w:right="14"/>
              <w:spacing w:after="0"/>
              <w:rPr>
                <w:sz w:val="20"/>
                <w:szCs w:val="20"/>
                <w:color w:val="auto"/>
              </w:rPr>
            </w:pPr>
            <w:r>
              <w:rPr>
                <w:rFonts w:ascii="Arial" w:cs="Arial" w:eastAsia="Arial" w:hAnsi="Arial"/>
                <w:sz w:val="18"/>
                <w:szCs w:val="18"/>
                <w:color w:val="auto"/>
              </w:rPr>
              <w:t>3,241,163</w:t>
            </w:r>
          </w:p>
        </w:tc>
      </w:tr>
      <w:tr>
        <w:trPr>
          <w:trHeight w:val="20"/>
        </w:trPr>
        <w:tc>
          <w:tcPr>
            <w:tcW w:w="5620" w:type="dxa"/>
            <w:vAlign w:val="bottom"/>
            <w:tcBorders>
              <w:top w:val="single" w:sz="8" w:color="BFE4FF"/>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BFE4FF"/>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BFE4FF"/>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BFE4FF"/>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r>
    </w:tbl>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Geographic Areas and Product Sales</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Company’s revenue by geographic area, based on the destination to which the Company ships its products, for the three and six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June 30, 2016 and 2015 was as follows (in thousands):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920" w:type="dxa"/>
            <w:vAlign w:val="bottom"/>
            <w:gridSpan w:val="5"/>
          </w:tcPr>
          <w:p>
            <w:pPr>
              <w:ind w:left="360"/>
              <w:spacing w:after="0"/>
              <w:rPr>
                <w:sz w:val="20"/>
                <w:szCs w:val="20"/>
                <w:color w:val="auto"/>
              </w:rPr>
            </w:pPr>
            <w:r>
              <w:rPr>
                <w:rFonts w:ascii="Arial" w:cs="Arial" w:eastAsia="Arial" w:hAnsi="Arial"/>
                <w:sz w:val="14"/>
                <w:szCs w:val="14"/>
                <w:b w:val="1"/>
                <w:bCs w:val="1"/>
                <w:color w:val="auto"/>
              </w:rPr>
              <w:t>Three Months Ended June 30,</w:t>
            </w:r>
          </w:p>
        </w:tc>
        <w:tc>
          <w:tcPr>
            <w:tcW w:w="360" w:type="dxa"/>
            <w:vAlign w:val="bottom"/>
          </w:tcPr>
          <w:p>
            <w:pPr>
              <w:spacing w:after="0"/>
              <w:rPr>
                <w:sz w:val="16"/>
                <w:szCs w:val="16"/>
                <w:color w:val="auto"/>
              </w:rPr>
            </w:pPr>
          </w:p>
        </w:tc>
        <w:tc>
          <w:tcPr>
            <w:tcW w:w="2700" w:type="dxa"/>
            <w:vAlign w:val="bottom"/>
            <w:gridSpan w:val="4"/>
          </w:tcPr>
          <w:p>
            <w:pPr>
              <w:jc w:val="right"/>
              <w:ind w:right="594"/>
              <w:spacing w:after="0"/>
              <w:rPr>
                <w:sz w:val="20"/>
                <w:szCs w:val="20"/>
                <w:color w:val="auto"/>
              </w:rPr>
            </w:pPr>
            <w:r>
              <w:rPr>
                <w:rFonts w:ascii="Arial" w:cs="Arial" w:eastAsia="Arial" w:hAnsi="Arial"/>
                <w:sz w:val="14"/>
                <w:szCs w:val="14"/>
                <w:b w:val="1"/>
                <w:bCs w:val="1"/>
                <w:color w:val="auto"/>
              </w:rPr>
              <w:t>Six Months Ended June 30,</w:t>
            </w:r>
          </w:p>
        </w:tc>
      </w:tr>
      <w:tr>
        <w:trPr>
          <w:trHeight w:val="264"/>
        </w:trPr>
        <w:tc>
          <w:tcPr>
            <w:tcW w:w="5160" w:type="dxa"/>
            <w:vAlign w:val="bottom"/>
            <w:tcBorders>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220" w:type="dxa"/>
            <w:vAlign w:val="bottom"/>
            <w:tcBorders>
              <w:top w:val="single" w:sz="8" w:color="auto"/>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2015</w:t>
            </w: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43,692</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27,619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83,104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53,970</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Japan</w:t>
            </w:r>
          </w:p>
        </w:tc>
        <w:tc>
          <w:tcPr>
            <w:tcW w:w="280" w:type="dxa"/>
            <w:vAlign w:val="bottom"/>
          </w:tcPr>
          <w:p>
            <w:pPr>
              <w:spacing w:after="0"/>
              <w:rPr>
                <w:sz w:val="21"/>
                <w:szCs w:val="21"/>
                <w:color w:val="auto"/>
              </w:rPr>
            </w:pPr>
          </w:p>
        </w:tc>
        <w:tc>
          <w:tcPr>
            <w:tcW w:w="1220" w:type="dxa"/>
            <w:vAlign w:val="bottom"/>
          </w:tcPr>
          <w:p>
            <w:pPr>
              <w:jc w:val="right"/>
              <w:ind w:right="35"/>
              <w:spacing w:after="0"/>
              <w:rPr>
                <w:sz w:val="20"/>
                <w:szCs w:val="20"/>
                <w:color w:val="auto"/>
              </w:rPr>
            </w:pPr>
            <w:r>
              <w:rPr>
                <w:rFonts w:ascii="Arial" w:cs="Arial" w:eastAsia="Arial" w:hAnsi="Arial"/>
                <w:sz w:val="18"/>
                <w:szCs w:val="18"/>
                <w:color w:val="auto"/>
              </w:rPr>
              <w:t>6,570</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4,152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6"/>
              <w:spacing w:after="0"/>
              <w:rPr>
                <w:sz w:val="20"/>
                <w:szCs w:val="20"/>
                <w:color w:val="auto"/>
              </w:rPr>
            </w:pPr>
            <w:r>
              <w:rPr>
                <w:rFonts w:ascii="Arial" w:cs="Arial" w:eastAsia="Arial" w:hAnsi="Arial"/>
                <w:sz w:val="18"/>
                <w:szCs w:val="18"/>
                <w:color w:val="auto"/>
              </w:rPr>
              <w:t>12,730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8,610</w:t>
            </w:r>
          </w:p>
        </w:tc>
      </w:tr>
      <w:tr>
        <w:trPr>
          <w:trHeight w:val="27"/>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International</w:t>
            </w:r>
          </w:p>
        </w:tc>
        <w:tc>
          <w:tcPr>
            <w:tcW w:w="2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14,844</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10,540</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27,191</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18,683</w:t>
            </w:r>
          </w:p>
        </w:tc>
      </w:tr>
      <w:tr>
        <w:trPr>
          <w:trHeight w:val="237"/>
        </w:trPr>
        <w:tc>
          <w:tcPr>
            <w:tcW w:w="5160" w:type="dxa"/>
            <w:vAlign w:val="bottom"/>
          </w:tcPr>
          <w:p>
            <w:pPr>
              <w:ind w:left="180"/>
              <w:spacing w:after="0"/>
              <w:rPr>
                <w:sz w:val="20"/>
                <w:szCs w:val="20"/>
                <w:color w:val="auto"/>
              </w:rPr>
            </w:pPr>
            <w:r>
              <w:rPr>
                <w:rFonts w:ascii="Arial" w:cs="Arial" w:eastAsia="Arial" w:hAnsi="Arial"/>
                <w:sz w:val="18"/>
                <w:szCs w:val="18"/>
                <w:color w:val="auto"/>
              </w:rPr>
              <w:t>Total</w:t>
            </w: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35"/>
              <w:spacing w:after="0"/>
              <w:rPr>
                <w:sz w:val="20"/>
                <w:szCs w:val="20"/>
                <w:color w:val="auto"/>
              </w:rPr>
            </w:pPr>
            <w:r>
              <w:rPr>
                <w:rFonts w:ascii="Arial" w:cs="Arial" w:eastAsia="Arial" w:hAnsi="Arial"/>
                <w:sz w:val="18"/>
                <w:szCs w:val="18"/>
                <w:color w:val="auto"/>
              </w:rPr>
              <w:t>65,106</w:t>
            </w:r>
          </w:p>
        </w:tc>
        <w:tc>
          <w:tcPr>
            <w:tcW w:w="12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42,311</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123,025</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81,263</w:t>
            </w:r>
          </w:p>
        </w:tc>
      </w:tr>
      <w:tr>
        <w:trPr>
          <w:trHeight w:val="27"/>
        </w:trPr>
        <w:tc>
          <w:tcPr>
            <w:tcW w:w="5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
        </w:trPr>
        <w:tc>
          <w:tcPr>
            <w:tcW w:w="51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440"/>
        </w:trPr>
        <w:tc>
          <w:tcPr>
            <w:tcW w:w="5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jc w:val="right"/>
              <w:ind w:right="775"/>
              <w:spacing w:after="0"/>
              <w:rPr>
                <w:sz w:val="20"/>
                <w:szCs w:val="20"/>
                <w:color w:val="auto"/>
              </w:rPr>
            </w:pPr>
            <w:r>
              <w:rPr>
                <w:rFonts w:ascii="Arial" w:cs="Arial" w:eastAsia="Arial" w:hAnsi="Arial"/>
                <w:sz w:val="18"/>
                <w:szCs w:val="18"/>
                <w:color w:val="auto"/>
              </w:rPr>
              <w:t>17</w:t>
            </w: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r>
    </w:tbl>
    <w:p>
      <w:pPr>
        <w:sectPr>
          <w:pgSz w:w="11900" w:h="16838" w:orient="portrait"/>
          <w:cols w:equalWidth="0" w:num="1">
            <w:col w:w="11420"/>
          </w:cols>
          <w:pgMar w:left="240" w:top="121" w:right="239" w:bottom="1440" w:gutter="0" w:footer="0" w:header="0"/>
        </w:sectPr>
      </w:pPr>
    </w:p>
    <w:bookmarkStart w:id="18" w:name="page19"/>
    <w:bookmarkEnd w:id="18"/>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revenue by product category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840" w:type="dxa"/>
            <w:vAlign w:val="bottom"/>
            <w:gridSpan w:val="5"/>
          </w:tcPr>
          <w:p>
            <w:pPr>
              <w:ind w:left="280"/>
              <w:spacing w:after="0"/>
              <w:rPr>
                <w:sz w:val="20"/>
                <w:szCs w:val="20"/>
                <w:color w:val="auto"/>
              </w:rPr>
            </w:pPr>
            <w:r>
              <w:rPr>
                <w:rFonts w:ascii="Arial" w:cs="Arial" w:eastAsia="Arial" w:hAnsi="Arial"/>
                <w:sz w:val="14"/>
                <w:szCs w:val="14"/>
                <w:b w:val="1"/>
                <w:bCs w:val="1"/>
                <w:color w:val="auto"/>
              </w:rPr>
              <w:t>Three Months Ended June 30,</w:t>
            </w:r>
          </w:p>
        </w:tc>
        <w:tc>
          <w:tcPr>
            <w:tcW w:w="360" w:type="dxa"/>
            <w:vAlign w:val="bottom"/>
          </w:tcPr>
          <w:p>
            <w:pPr>
              <w:spacing w:after="0"/>
              <w:rPr>
                <w:sz w:val="16"/>
                <w:szCs w:val="16"/>
                <w:color w:val="auto"/>
              </w:rPr>
            </w:pPr>
          </w:p>
        </w:tc>
        <w:tc>
          <w:tcPr>
            <w:tcW w:w="2700" w:type="dxa"/>
            <w:vAlign w:val="bottom"/>
            <w:gridSpan w:val="4"/>
          </w:tcPr>
          <w:p>
            <w:pPr>
              <w:jc w:val="right"/>
              <w:ind w:right="594"/>
              <w:spacing w:after="0"/>
              <w:rPr>
                <w:sz w:val="20"/>
                <w:szCs w:val="20"/>
                <w:color w:val="auto"/>
              </w:rPr>
            </w:pPr>
            <w:r>
              <w:rPr>
                <w:rFonts w:ascii="Arial" w:cs="Arial" w:eastAsia="Arial" w:hAnsi="Arial"/>
                <w:sz w:val="14"/>
                <w:szCs w:val="14"/>
                <w:b w:val="1"/>
                <w:bCs w:val="1"/>
                <w:color w:val="auto"/>
              </w:rPr>
              <w:t>Six Months Ended June 30,</w:t>
            </w:r>
          </w:p>
        </w:tc>
      </w:tr>
      <w:tr>
        <w:trPr>
          <w:trHeight w:val="264"/>
        </w:trPr>
        <w:tc>
          <w:tcPr>
            <w:tcW w:w="5160" w:type="dxa"/>
            <w:vAlign w:val="bottom"/>
            <w:tcBorders>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2015</w:t>
            </w: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Neuro</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45,362</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34,400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86,646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66,054</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Peripheral Vascular</w:t>
            </w:r>
          </w:p>
        </w:tc>
        <w:tc>
          <w:tcPr>
            <w:tcW w:w="360" w:type="dxa"/>
            <w:vAlign w:val="bottom"/>
          </w:tcPr>
          <w:p>
            <w:pPr>
              <w:spacing w:after="0"/>
              <w:rPr>
                <w:sz w:val="21"/>
                <w:szCs w:val="21"/>
                <w:color w:val="auto"/>
              </w:rPr>
            </w:pPr>
          </w:p>
        </w:tc>
        <w:tc>
          <w:tcPr>
            <w:tcW w:w="1140" w:type="dxa"/>
            <w:vAlign w:val="bottom"/>
          </w:tcPr>
          <w:p>
            <w:pPr>
              <w:jc w:val="right"/>
              <w:ind w:right="37"/>
              <w:spacing w:after="0"/>
              <w:rPr>
                <w:sz w:val="20"/>
                <w:szCs w:val="20"/>
                <w:color w:val="auto"/>
              </w:rPr>
            </w:pPr>
            <w:r>
              <w:rPr>
                <w:rFonts w:ascii="Arial" w:cs="Arial" w:eastAsia="Arial" w:hAnsi="Arial"/>
                <w:sz w:val="18"/>
                <w:szCs w:val="18"/>
                <w:color w:val="auto"/>
              </w:rPr>
              <w:t>19,744</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7,911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7"/>
              <w:spacing w:after="0"/>
              <w:rPr>
                <w:sz w:val="20"/>
                <w:szCs w:val="20"/>
                <w:color w:val="auto"/>
              </w:rPr>
            </w:pPr>
            <w:r>
              <w:rPr>
                <w:rFonts w:ascii="Arial" w:cs="Arial" w:eastAsia="Arial" w:hAnsi="Arial"/>
                <w:sz w:val="18"/>
                <w:szCs w:val="18"/>
                <w:color w:val="auto"/>
              </w:rPr>
              <w:t>36,379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15,209</w:t>
            </w:r>
          </w:p>
        </w:tc>
      </w:tr>
      <w:tr>
        <w:trPr>
          <w:trHeight w:val="27"/>
        </w:trPr>
        <w:tc>
          <w:tcPr>
            <w:tcW w:w="516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65,106</w:t>
            </w: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42,311</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123,025</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81,263</w:t>
            </w:r>
          </w:p>
        </w:tc>
      </w:tr>
      <w:tr>
        <w:trPr>
          <w:trHeight w:val="20"/>
        </w:trPr>
        <w:tc>
          <w:tcPr>
            <w:tcW w:w="516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Company does not have significant long-lived assets outside the U.S.</w:t>
      </w:r>
    </w:p>
    <w:p>
      <w:pPr>
        <w:spacing w:after="0" w:line="252"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121" w:right="23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121" w:lineRule="exact"/>
        <w:rPr>
          <w:sz w:val="20"/>
          <w:szCs w:val="20"/>
          <w:color w:val="auto"/>
        </w:rPr>
      </w:pPr>
    </w:p>
    <w:p>
      <w:pPr>
        <w:ind w:right="140" w:firstLine="432"/>
        <w:spacing w:after="0" w:line="279" w:lineRule="auto"/>
        <w:rPr>
          <w:sz w:val="20"/>
          <w:szCs w:val="20"/>
          <w:color w:val="auto"/>
        </w:rPr>
      </w:pPr>
      <w:r>
        <w:rPr>
          <w:rFonts w:ascii="Arial" w:cs="Arial" w:eastAsia="Arial" w:hAnsi="Arial"/>
          <w:sz w:val="17"/>
          <w:szCs w:val="17"/>
          <w:i w:val="1"/>
          <w:iCs w:val="1"/>
          <w:color w:val="auto"/>
        </w:rPr>
        <w:t>The following discussion and analysis of our financial condition and results of operations should be read in conjunction with the unaudited condensed consolidated financial statements and the related notes thereto included elsewhere in this Quarterly Report on Form 10-Q and the audited consolidated financial statements and notes thereto and management’s discussion and analysis of financial condition and results of operations for the year ended December 31, 2015, included in our Annual Report on Form 10-K filed with the SEC on March 8, 2016.</w:t>
      </w:r>
    </w:p>
    <w:p>
      <w:pPr>
        <w:spacing w:after="0" w:line="63" w:lineRule="exact"/>
        <w:rPr>
          <w:sz w:val="20"/>
          <w:szCs w:val="20"/>
          <w:color w:val="auto"/>
        </w:rPr>
      </w:pPr>
    </w:p>
    <w:p>
      <w:pPr>
        <w:ind w:right="20" w:firstLine="432"/>
        <w:spacing w:after="0" w:line="270" w:lineRule="auto"/>
        <w:rPr>
          <w:sz w:val="20"/>
          <w:szCs w:val="20"/>
          <w:color w:val="auto"/>
        </w:rPr>
      </w:pPr>
      <w:r>
        <w:rPr>
          <w:rFonts w:ascii="Arial" w:cs="Arial" w:eastAsia="Arial" w:hAnsi="Arial"/>
          <w:sz w:val="17"/>
          <w:szCs w:val="17"/>
          <w:i w:val="1"/>
          <w:iCs w:val="1"/>
          <w:color w:val="auto"/>
        </w:rPr>
        <w:t>This Quarterly Report on Form 10-Q contains “forward-looking statements” within the meaning of Section 21E of the Securities Exchange Act of 1934, as amended (the “Exchange Act”). In some cases, you can identify these statements by forward-looking words such as “may,” “will,” “expect,” “believe,” “anticipate,” “intend,” “could,” “should,” “estimate,” or “continue,” and similar expressions or variations. Such forward-looking statements are subject to risks, uncertainties and other factors that could cause actual results and the timing of certain events to differ materially from future results expressed or implied by such forward-looking statements. Factors that could cause or contribute to such differences include, but are not limited to, those identified below, and those discussed in the section titled “Risk Factors” included in this Quarterly Report on Form 10-Q and our Annual Report on Form 10-K for the year ended December 31, 2015. The forward-looking statements in this Quarterly Report on Form 10-Q represent our views as of the date of this Quarterly Report on Form 10-Q. Except as may be required by law, we assume no obligation to update these forward-looking statements or the reasons that results could differ from these forward-looking statements. You should, therefore, not rely on these forward-looking statements as representing our views as of any date subsequent to the date of this Quarterly Report on Form 10-Q.</w:t>
      </w: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firstLine="432"/>
        <w:spacing w:after="0" w:line="302" w:lineRule="auto"/>
        <w:rPr>
          <w:sz w:val="20"/>
          <w:szCs w:val="20"/>
          <w:color w:val="auto"/>
        </w:rPr>
      </w:pPr>
      <w:r>
        <w:rPr>
          <w:rFonts w:ascii="Arial" w:cs="Arial" w:eastAsia="Arial" w:hAnsi="Arial"/>
          <w:sz w:val="16"/>
          <w:szCs w:val="16"/>
          <w:color w:val="auto"/>
        </w:rPr>
        <w:t>Penumbra, Inc. (“we,” “our,” “us,” “Penumbra,” and the “Company”) is a global interventional therapies company that designs, develops, manufactures and markets innovative medical devices. We have a broad portfolio of products that addresses challenging medical conditions and significant clinical needs across two major markets, neuro and peripheral vascular. The conditions that our products address include, among others, ischemic stroke, hemorrhagic stroke and various peripheral vascular conditions that can be treated through thrombectomy and embolization procedures.</w:t>
      </w:r>
    </w:p>
    <w:p>
      <w:pPr>
        <w:spacing w:after="0" w:line="46" w:lineRule="exact"/>
        <w:rPr>
          <w:sz w:val="20"/>
          <w:szCs w:val="20"/>
          <w:color w:val="auto"/>
        </w:rPr>
      </w:pPr>
    </w:p>
    <w:p>
      <w:pPr>
        <w:ind w:right="20" w:firstLine="432"/>
        <w:spacing w:after="0" w:line="302" w:lineRule="auto"/>
        <w:rPr>
          <w:sz w:val="20"/>
          <w:szCs w:val="20"/>
          <w:color w:val="auto"/>
        </w:rPr>
      </w:pPr>
      <w:r>
        <w:rPr>
          <w:rFonts w:ascii="Arial" w:cs="Arial" w:eastAsia="Arial" w:hAnsi="Arial"/>
          <w:sz w:val="16"/>
          <w:szCs w:val="16"/>
          <w:color w:val="auto"/>
        </w:rPr>
        <w:t>We are an established company focused on the neuro and peripheral vascular markets. We sell our products to hospitals, primarily through our salesforce, as well as through distributors in select international markets. We focus on developing, manufacturing and marketing products for use by specialist physicians, including interventional neuroradiologists, neurosurgeons, interventional neurologists, interventional radiologists and vascular surgeons. We design our products to provide these specialist physicians with a means to drive improved clinical outcomes through faster and safer procedures.</w:t>
      </w:r>
    </w:p>
    <w:p>
      <w:pPr>
        <w:spacing w:after="0" w:line="46" w:lineRule="exact"/>
        <w:rPr>
          <w:sz w:val="20"/>
          <w:szCs w:val="20"/>
          <w:color w:val="auto"/>
        </w:rPr>
      </w:pPr>
    </w:p>
    <w:p>
      <w:pPr>
        <w:ind w:firstLine="432"/>
        <w:spacing w:after="0" w:line="273" w:lineRule="auto"/>
        <w:rPr>
          <w:sz w:val="20"/>
          <w:szCs w:val="20"/>
          <w:color w:val="auto"/>
        </w:rPr>
      </w:pPr>
      <w:r>
        <w:rPr>
          <w:rFonts w:ascii="Arial" w:cs="Arial" w:eastAsia="Arial" w:hAnsi="Arial"/>
          <w:sz w:val="17"/>
          <w:szCs w:val="17"/>
          <w:color w:val="auto"/>
        </w:rPr>
        <w:t>Since our founding in 2004, we have invested heavily in our product development capabilities in our two key markets: neuro and peripheral vascular. We launched our first neurovascular product in 2007, our first peripheral vascular product in 2013 and our first neurosurgical product in 2014. To date, we have launched 16 product brands, and we expect to continue to develop and build our portfolio of products based on our thrombectomy, embolization and access technologies. Generally, when we introduce a next generation product or a new product designed to replace a current product, sales of the earlier generation product or the product replaced decline. Our research and development activities are centered around the development of new products and clinical activities designed to support our regulatory submissions and demonstrate the effectiveness of our products.</w:t>
      </w:r>
    </w:p>
    <w:p>
      <w:pPr>
        <w:spacing w:after="0" w:line="70" w:lineRule="exact"/>
        <w:rPr>
          <w:sz w:val="20"/>
          <w:szCs w:val="20"/>
          <w:color w:val="auto"/>
        </w:rPr>
      </w:pPr>
    </w:p>
    <w:p>
      <w:pPr>
        <w:ind w:right="60" w:firstLine="432"/>
        <w:spacing w:after="0" w:line="255" w:lineRule="auto"/>
        <w:rPr>
          <w:sz w:val="20"/>
          <w:szCs w:val="20"/>
          <w:color w:val="auto"/>
        </w:rPr>
      </w:pPr>
      <w:r>
        <w:rPr>
          <w:rFonts w:ascii="Arial" w:cs="Arial" w:eastAsia="Arial" w:hAnsi="Arial"/>
          <w:sz w:val="18"/>
          <w:szCs w:val="18"/>
          <w:color w:val="auto"/>
        </w:rPr>
        <w:t>We manufacture substantially all of our products at our campus in Alameda, California, and stock inventory of raw materials, components and finished goods primarily at that location. We rely on a single or limited number of suppliers for certain raw materials and components, and we generally have no long-term supply arrangements with our suppliers, as we order on a purchase order basis. We ship all of our products to our hospital customers and distributors worldwide pursuant to purchase orders. We typically recognize revenue when products are delivered to our hospital customers or distributors, other than our coils, which we ship to our hospital customers on a consignment basis, and for which we recognize revenue when the hospital customers utilize products in a procedure.</w:t>
      </w:r>
    </w:p>
    <w:p>
      <w:pPr>
        <w:spacing w:after="0" w:line="85" w:lineRule="exact"/>
        <w:rPr>
          <w:sz w:val="20"/>
          <w:szCs w:val="20"/>
          <w:color w:val="auto"/>
        </w:rPr>
      </w:pPr>
    </w:p>
    <w:p>
      <w:pPr>
        <w:ind w:right="520" w:firstLine="432"/>
        <w:spacing w:after="0" w:line="308" w:lineRule="auto"/>
        <w:rPr>
          <w:sz w:val="20"/>
          <w:szCs w:val="20"/>
          <w:color w:val="auto"/>
        </w:rPr>
      </w:pPr>
      <w:r>
        <w:rPr>
          <w:rFonts w:ascii="Arial" w:cs="Arial" w:eastAsia="Arial" w:hAnsi="Arial"/>
          <w:sz w:val="17"/>
          <w:szCs w:val="17"/>
          <w:color w:val="auto"/>
        </w:rPr>
        <w:t>Hospitals purchase our products for use in procedures performed by their specialist physicians, generally seeking reimbursement from third party payors for procedures performed. We believe that the cost-effectiveness of our products is attractive to our hospital customers.</w:t>
      </w:r>
    </w:p>
    <w:p>
      <w:pPr>
        <w:spacing w:after="0" w:line="38" w:lineRule="exact"/>
        <w:rPr>
          <w:sz w:val="20"/>
          <w:szCs w:val="20"/>
          <w:color w:val="auto"/>
        </w:rPr>
      </w:pPr>
    </w:p>
    <w:p>
      <w:pPr>
        <w:ind w:right="180" w:firstLine="432"/>
        <w:spacing w:after="0" w:line="279" w:lineRule="auto"/>
        <w:rPr>
          <w:sz w:val="20"/>
          <w:szCs w:val="20"/>
          <w:color w:val="auto"/>
        </w:rPr>
      </w:pPr>
      <w:r>
        <w:rPr>
          <w:rFonts w:ascii="Arial" w:cs="Arial" w:eastAsia="Arial" w:hAnsi="Arial"/>
          <w:sz w:val="17"/>
          <w:szCs w:val="17"/>
          <w:color w:val="auto"/>
        </w:rPr>
        <w:t>In the six months ended June 30, 2016 and 2015, 32.4% and 33.6% of our revenue, respectively, was generated from customers located outside of the United States. Our sales outside of the United States are denominated principally in the Euro and Japanese Yen, with our sales in the United Kingdom being denominated in British Pounds. As a result, we have foreign exchange exposure, but do not currently engage in hedging. In the six months ended June 30, 2016, no single hospital and only one distributor accounted for more than 10% of our sales.</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125" w:right="23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ind w:firstLine="432"/>
        <w:spacing w:after="0" w:line="302" w:lineRule="auto"/>
        <w:rPr>
          <w:sz w:val="20"/>
          <w:szCs w:val="20"/>
          <w:color w:val="auto"/>
        </w:rPr>
      </w:pPr>
      <w:r>
        <w:rPr>
          <w:rFonts w:ascii="Arial" w:cs="Arial" w:eastAsia="Arial" w:hAnsi="Arial"/>
          <w:sz w:val="16"/>
          <w:szCs w:val="16"/>
          <w:color w:val="auto"/>
        </w:rPr>
        <w:t>We sell our products to hospitals primarily through our direct sales organization in the United States, most of Europe, Canada and Australia, as well as through distributors in select international markets. In the six months ended June 30, 2016, we generated revenue of $123.0 million as compared to $81.3 million for the six months ended June 30, 2015, which represents an increase of 51.4%, and in the six months ended June 30, 2016, we generated $1.2 million in operating income as compared to operating income of $0.2 million for the six months ended June 30, 2015, which represents an increase of 558.2%.</w:t>
      </w:r>
    </w:p>
    <w:p>
      <w:pPr>
        <w:spacing w:after="0" w:line="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Factors Affecting Our Performance</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There are a number of factors that have impacted, and we believe will continue to impact, our results of operations and growth. For example:</w:t>
      </w:r>
    </w:p>
    <w:p>
      <w:pPr>
        <w:spacing w:after="0" w:line="156" w:lineRule="exact"/>
        <w:rPr>
          <w:sz w:val="20"/>
          <w:szCs w:val="20"/>
          <w:color w:val="auto"/>
        </w:rPr>
      </w:pPr>
    </w:p>
    <w:p>
      <w:pPr>
        <w:ind w:left="740" w:right="80" w:hanging="327"/>
        <w:spacing w:after="0" w:line="277" w:lineRule="auto"/>
        <w:tabs>
          <w:tab w:leader="none" w:pos="7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rate at which we grow our salesforce and the speed at which newly hired salespeople become fully effective can impact our revenue growth or our costs incurred in anticipation of such growth.</w:t>
      </w:r>
    </w:p>
    <w:p>
      <w:pPr>
        <w:spacing w:after="0" w:line="62" w:lineRule="exact"/>
        <w:rPr>
          <w:rFonts w:ascii="Arial" w:cs="Arial" w:eastAsia="Arial" w:hAnsi="Arial"/>
          <w:sz w:val="18"/>
          <w:szCs w:val="18"/>
          <w:color w:val="auto"/>
        </w:rPr>
      </w:pPr>
    </w:p>
    <w:p>
      <w:pPr>
        <w:ind w:left="740" w:right="20" w:hanging="327"/>
        <w:spacing w:after="0" w:line="264" w:lineRule="auto"/>
        <w:tabs>
          <w:tab w:leader="none" w:pos="74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industry is intensely competitive and, in particular, we compete with a number of large, well-capitalized companies. We must continue to successfully compete in light of our competitors’ existing and future products and their resources to successfully market to the specialist physicians who use our products.</w:t>
      </w:r>
    </w:p>
    <w:p>
      <w:pPr>
        <w:spacing w:after="0" w:line="73" w:lineRule="exact"/>
        <w:rPr>
          <w:rFonts w:ascii="Arial" w:cs="Arial" w:eastAsia="Arial" w:hAnsi="Arial"/>
          <w:sz w:val="18"/>
          <w:szCs w:val="18"/>
          <w:color w:val="auto"/>
        </w:rPr>
      </w:pPr>
    </w:p>
    <w:p>
      <w:pPr>
        <w:ind w:left="740" w:right="140" w:hanging="327"/>
        <w:spacing w:after="0" w:line="279" w:lineRule="auto"/>
        <w:tabs>
          <w:tab w:leader="none" w:pos="740" w:val="left"/>
        </w:tabs>
        <w:numPr>
          <w:ilvl w:val="0"/>
          <w:numId w:val="6"/>
        </w:numPr>
        <w:rPr>
          <w:rFonts w:ascii="Arial" w:cs="Arial" w:eastAsia="Arial" w:hAnsi="Arial"/>
          <w:sz w:val="17"/>
          <w:szCs w:val="17"/>
          <w:color w:val="auto"/>
        </w:rPr>
      </w:pPr>
      <w:r>
        <w:rPr>
          <w:rFonts w:ascii="Arial" w:cs="Arial" w:eastAsia="Arial" w:hAnsi="Arial"/>
          <w:sz w:val="17"/>
          <w:szCs w:val="17"/>
          <w:color w:val="auto"/>
        </w:rPr>
        <w:t>We must continue to successfully introduce new products that gain acceptance with specialist physicians and successfully transition from existing products to new products, ensuring adequate supply while avoiding excess inventory of older products and resulting inventory write-downs or write-offs. In addition, as we introduce new products, we generally hire and train additional personnel and build our inventory of components and finished goods in advance of sales, which may cause quarterly fluctuations in our financial condition.</w:t>
      </w:r>
    </w:p>
    <w:p>
      <w:pPr>
        <w:spacing w:after="0" w:line="63" w:lineRule="exact"/>
        <w:rPr>
          <w:rFonts w:ascii="Arial" w:cs="Arial" w:eastAsia="Arial" w:hAnsi="Arial"/>
          <w:sz w:val="17"/>
          <w:szCs w:val="17"/>
          <w:color w:val="auto"/>
        </w:rPr>
      </w:pPr>
    </w:p>
    <w:p>
      <w:pPr>
        <w:ind w:left="740" w:right="160" w:hanging="327"/>
        <w:spacing w:after="0" w:line="342" w:lineRule="auto"/>
        <w:tabs>
          <w:tab w:leader="none" w:pos="740" w:val="left"/>
        </w:tabs>
        <w:numPr>
          <w:ilvl w:val="0"/>
          <w:numId w:val="6"/>
        </w:numPr>
        <w:rPr>
          <w:rFonts w:ascii="Arial" w:cs="Arial" w:eastAsia="Arial" w:hAnsi="Arial"/>
          <w:sz w:val="16"/>
          <w:szCs w:val="16"/>
          <w:color w:val="auto"/>
        </w:rPr>
      </w:pPr>
      <w:r>
        <w:rPr>
          <w:rFonts w:ascii="Arial" w:cs="Arial" w:eastAsia="Arial" w:hAnsi="Arial"/>
          <w:sz w:val="16"/>
          <w:szCs w:val="16"/>
          <w:color w:val="auto"/>
        </w:rPr>
        <w:t>Publications of clinical results by us, our competitors and other third parties can have a significant influence on whether, and the degree to which, our products are used by specialist physicians and the procedures and treatments those physicians choose to administer for a given condition.</w:t>
      </w:r>
    </w:p>
    <w:p>
      <w:pPr>
        <w:spacing w:after="0" w:line="15" w:lineRule="exact"/>
        <w:rPr>
          <w:rFonts w:ascii="Arial" w:cs="Arial" w:eastAsia="Arial" w:hAnsi="Arial"/>
          <w:sz w:val="16"/>
          <w:szCs w:val="16"/>
          <w:color w:val="auto"/>
        </w:rPr>
      </w:pPr>
    </w:p>
    <w:p>
      <w:pPr>
        <w:ind w:left="740" w:right="20" w:hanging="327"/>
        <w:spacing w:after="0" w:line="264" w:lineRule="auto"/>
        <w:tabs>
          <w:tab w:leader="none" w:pos="7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specialist physicians who use our products may not perform procedures during certain times of the year, such as those periods when they are at major medical conferences or are away from their practices for other reasons, the timing of which occurs irregularly during the year and from year to year.</w:t>
      </w:r>
    </w:p>
    <w:p>
      <w:pPr>
        <w:spacing w:after="0" w:line="73" w:lineRule="exact"/>
        <w:rPr>
          <w:sz w:val="20"/>
          <w:szCs w:val="20"/>
          <w:color w:val="auto"/>
        </w:rPr>
      </w:pPr>
    </w:p>
    <w:p>
      <w:pPr>
        <w:ind w:right="60" w:firstLine="432"/>
        <w:spacing w:after="0" w:line="254" w:lineRule="auto"/>
        <w:rPr>
          <w:sz w:val="20"/>
          <w:szCs w:val="20"/>
          <w:color w:val="auto"/>
        </w:rPr>
      </w:pPr>
      <w:r>
        <w:rPr>
          <w:rFonts w:ascii="Arial" w:cs="Arial" w:eastAsia="Arial" w:hAnsi="Arial"/>
          <w:sz w:val="18"/>
          <w:szCs w:val="18"/>
          <w:color w:val="auto"/>
        </w:rPr>
        <w:t>In addition, we have experienced and expect to continue to experience meaningful variability in our quarterly revenue, gross profit and gross margin as a result of a number of factors, including, but not limited to: the number of available selling days, which can be impacted by holidays; the mix of products sold; the geographic mix of where products are sold; the demand for our products and the products of our competitors; the timing of or failure to obtain regulatory approvals or clearances for products; increased competition; the timing of customer orders; inventory write-offs and write-downs; costs, benefits and timing of new product introductions; the availability and cost of components and raw materials; and fluctuations in foreign currency exchange rates. We experience quarters in which we have significant revenue growth sequentially followed by quarters of moderate or no revenue growth. Additionally, we experience quarters in which operating expenses, in particular research and development expenses, fluctuate depending on the stage and timing of product development.</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Results of Operations</w:t>
      </w:r>
    </w:p>
    <w:p>
      <w:pPr>
        <w:spacing w:after="0" w:line="121" w:lineRule="exact"/>
        <w:rPr>
          <w:sz w:val="20"/>
          <w:szCs w:val="20"/>
          <w:color w:val="auto"/>
        </w:rPr>
      </w:pPr>
    </w:p>
    <w:p>
      <w:pPr>
        <w:spacing w:after="0" w:line="257" w:lineRule="auto"/>
        <w:rPr>
          <w:sz w:val="20"/>
          <w:szCs w:val="20"/>
          <w:color w:val="auto"/>
        </w:rPr>
      </w:pPr>
      <w:r>
        <w:rPr>
          <w:rFonts w:ascii="Arial" w:cs="Arial" w:eastAsia="Arial" w:hAnsi="Arial"/>
          <w:sz w:val="18"/>
          <w:szCs w:val="18"/>
          <w:b w:val="1"/>
          <w:bCs w:val="1"/>
          <w:i w:val="1"/>
          <w:iCs w:val="1"/>
          <w:color w:val="auto"/>
        </w:rPr>
        <w:t xml:space="preserve">Revenue. </w:t>
      </w:r>
      <w:r>
        <w:rPr>
          <w:rFonts w:ascii="Arial" w:cs="Arial" w:eastAsia="Arial" w:hAnsi="Arial"/>
          <w:sz w:val="18"/>
          <w:szCs w:val="18"/>
          <w:color w:val="auto"/>
        </w:rPr>
        <w:t>We sell our products directly to hospitals and through distributors for use in procedures performed by specialist physicians to treat patients in two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key markets: neuro and peripheral vascular disease. We sell our products through purchase orders, and we do not have long-term purchase commitments from our customers. We typically recognize revenue when products are delivered to our hospital customers or distributors. However, with respect to products that we consign to hospitals, which primarily consist of coils, we recognize revenue at the time hospitals utilize products in a procedure. Revenue also includes shipping and handling costs that we charge to customers.</w:t>
      </w:r>
    </w:p>
    <w:p>
      <w:pPr>
        <w:spacing w:after="0" w:line="80" w:lineRule="exact"/>
        <w:rPr>
          <w:sz w:val="20"/>
          <w:szCs w:val="20"/>
          <w:color w:val="auto"/>
        </w:rPr>
      </w:pPr>
    </w:p>
    <w:p>
      <w:pPr>
        <w:ind w:right="260"/>
        <w:spacing w:after="0" w:line="259" w:lineRule="auto"/>
        <w:rPr>
          <w:sz w:val="20"/>
          <w:szCs w:val="20"/>
          <w:color w:val="auto"/>
        </w:rPr>
      </w:pPr>
      <w:r>
        <w:rPr>
          <w:rFonts w:ascii="Arial" w:cs="Arial" w:eastAsia="Arial" w:hAnsi="Arial"/>
          <w:sz w:val="18"/>
          <w:szCs w:val="18"/>
          <w:b w:val="1"/>
          <w:bCs w:val="1"/>
          <w:i w:val="1"/>
          <w:iCs w:val="1"/>
          <w:color w:val="auto"/>
        </w:rPr>
        <w:t xml:space="preserve">Cost of Revenue. </w:t>
      </w:r>
      <w:r>
        <w:rPr>
          <w:rFonts w:ascii="Arial" w:cs="Arial" w:eastAsia="Arial" w:hAnsi="Arial"/>
          <w:sz w:val="18"/>
          <w:szCs w:val="18"/>
          <w:color w:val="auto"/>
        </w:rPr>
        <w:t>Cost of revenue consists primarily of the cost of raw materials and components, personnel costs, including stock-based compensation,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inbound freight charges, receiving costs, inspection and testing costs, warehousing costs, royalty expense, shipping and handling costs and other labor and overhead costs incurred in the manufacturing of products. We manufacture substantially all of our products in our manufacturing facility at our campus in Alameda, California.</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117"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i w:val="1"/>
          <w:iCs w:val="1"/>
          <w:color w:val="auto"/>
        </w:rPr>
        <w:t xml:space="preserve">Research and Development (R&amp;D). </w:t>
      </w:r>
      <w:r>
        <w:rPr>
          <w:rFonts w:ascii="Arial" w:cs="Arial" w:eastAsia="Arial" w:hAnsi="Arial"/>
          <w:sz w:val="18"/>
          <w:szCs w:val="18"/>
          <w:color w:val="auto"/>
        </w:rPr>
        <w:t>R&amp;D expenses primarily consist of product development, clinical and regulatory expenses, materials, depreciation and</w:t>
      </w:r>
      <w:r>
        <w:rPr>
          <w:rFonts w:ascii="Arial" w:cs="Arial" w:eastAsia="Arial" w:hAnsi="Arial"/>
          <w:sz w:val="18"/>
          <w:szCs w:val="18"/>
          <w:i w:val="1"/>
          <w:iCs w:val="1"/>
          <w:color w:val="auto"/>
        </w:rPr>
        <w:t xml:space="preserve"> </w:t>
      </w:r>
      <w:r>
        <w:rPr>
          <w:rFonts w:ascii="Arial" w:cs="Arial" w:eastAsia="Arial" w:hAnsi="Arial"/>
          <w:sz w:val="18"/>
          <w:szCs w:val="18"/>
          <w:color w:val="auto"/>
        </w:rPr>
        <w:t>other costs associated with the development of our products. R&amp;D expenses also include salaries, benefits and other related costs, including stock-based compensation, for personnel and consultants. We expense R&amp;D costs as they are incurred.</w:t>
      </w:r>
    </w:p>
    <w:p>
      <w:pPr>
        <w:spacing w:after="0" w:line="73"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We expect our R&amp;D expenses to continue to increase in absolute terms as we innovate and develop new products, add personnel and engage in ongoing clinical research.</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380"/>
          </w:cols>
          <w:pgMar w:left="240" w:top="125" w:right="27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ind w:right="200"/>
        <w:spacing w:after="0" w:line="276" w:lineRule="auto"/>
        <w:rPr>
          <w:sz w:val="20"/>
          <w:szCs w:val="20"/>
          <w:color w:val="auto"/>
        </w:rPr>
      </w:pPr>
      <w:r>
        <w:rPr>
          <w:rFonts w:ascii="Arial" w:cs="Arial" w:eastAsia="Arial" w:hAnsi="Arial"/>
          <w:sz w:val="17"/>
          <w:szCs w:val="17"/>
          <w:i w:val="1"/>
          <w:iCs w:val="1"/>
          <w:color w:val="auto"/>
        </w:rPr>
        <w:t xml:space="preserve">Sales, General and Administrative (SG&amp;A). </w:t>
      </w:r>
      <w:r>
        <w:rPr>
          <w:rFonts w:ascii="Arial" w:cs="Arial" w:eastAsia="Arial" w:hAnsi="Arial"/>
          <w:sz w:val="17"/>
          <w:szCs w:val="17"/>
          <w:color w:val="auto"/>
        </w:rPr>
        <w:t>SG&amp;A expenses primarily consist of salaries, benefits and other related costs, including stock-based</w:t>
      </w:r>
      <w:r>
        <w:rPr>
          <w:rFonts w:ascii="Arial" w:cs="Arial" w:eastAsia="Arial" w:hAnsi="Arial"/>
          <w:sz w:val="17"/>
          <w:szCs w:val="17"/>
          <w:i w:val="1"/>
          <w:iCs w:val="1"/>
          <w:color w:val="auto"/>
        </w:rPr>
        <w:t xml:space="preserve"> </w:t>
      </w:r>
      <w:r>
        <w:rPr>
          <w:rFonts w:ascii="Arial" w:cs="Arial" w:eastAsia="Arial" w:hAnsi="Arial"/>
          <w:sz w:val="17"/>
          <w:szCs w:val="17"/>
          <w:color w:val="auto"/>
        </w:rPr>
        <w:t>compensation, for personnel and consultants engaged in sales, marketing, finance, legal, compliance, administrative, facilities and information technology, medical education and training and human resource activities. Our SG&amp;A expenses also include commissions, generally based on a percentage of sales, to direct sales representatives and the medical device excise tax, which was approximately 2.3% of U.S. sales in 2015. The medical device excise tax has been suspended for a two-year period commencing January 1, 2016; however, it could be reinstated.</w:t>
      </w:r>
    </w:p>
    <w:p>
      <w:pPr>
        <w:spacing w:after="0" w:line="64" w:lineRule="exact"/>
        <w:rPr>
          <w:sz w:val="20"/>
          <w:szCs w:val="20"/>
          <w:color w:val="auto"/>
        </w:rPr>
      </w:pPr>
    </w:p>
    <w:p>
      <w:pPr>
        <w:ind w:right="280" w:firstLine="432"/>
        <w:spacing w:after="0" w:line="277" w:lineRule="auto"/>
        <w:rPr>
          <w:sz w:val="20"/>
          <w:szCs w:val="20"/>
          <w:color w:val="auto"/>
        </w:rPr>
      </w:pPr>
      <w:r>
        <w:rPr>
          <w:rFonts w:ascii="Arial" w:cs="Arial" w:eastAsia="Arial" w:hAnsi="Arial"/>
          <w:sz w:val="18"/>
          <w:szCs w:val="18"/>
          <w:color w:val="auto"/>
        </w:rPr>
        <w:t>We expect our SG&amp;A expenses to continue to increase in absolute terms as we expand our salesforce, marketing programs and operations, including those related to operating as a public company.</w:t>
      </w:r>
    </w:p>
    <w:p>
      <w:pPr>
        <w:spacing w:after="0" w:line="62" w:lineRule="exact"/>
        <w:rPr>
          <w:sz w:val="20"/>
          <w:szCs w:val="20"/>
          <w:color w:val="auto"/>
        </w:rPr>
      </w:pPr>
    </w:p>
    <w:p>
      <w:pPr>
        <w:ind w:right="360"/>
        <w:spacing w:after="0" w:line="293" w:lineRule="auto"/>
        <w:rPr>
          <w:sz w:val="20"/>
          <w:szCs w:val="20"/>
          <w:color w:val="auto"/>
        </w:rPr>
      </w:pPr>
      <w:r>
        <w:rPr>
          <w:rFonts w:ascii="Arial" w:cs="Arial" w:eastAsia="Arial" w:hAnsi="Arial"/>
          <w:sz w:val="16"/>
          <w:szCs w:val="16"/>
          <w:b w:val="1"/>
          <w:bCs w:val="1"/>
          <w:i w:val="1"/>
          <w:iCs w:val="1"/>
          <w:color w:val="auto"/>
        </w:rPr>
        <w:t xml:space="preserve">Income Tax Expense. </w:t>
      </w:r>
      <w:r>
        <w:rPr>
          <w:rFonts w:ascii="Arial" w:cs="Arial" w:eastAsia="Arial" w:hAnsi="Arial"/>
          <w:sz w:val="16"/>
          <w:szCs w:val="16"/>
          <w:color w:val="auto"/>
        </w:rPr>
        <w:t>We are taxed at the rates applicable within each jurisdiction in which we operate. The composite income tax rate, tax provisions,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deferred tax assets and deferred tax liabilities will vary according to the jurisdiction in which profits arise. Tax laws are complex and subject to different interpretations by management and the respective governmental taxing authorities, and require us to exercise judgment in determining our income tax provision, our deferred tax assets and liabilities and the potential valuation allowance recorded against our net deferred tax assets. Deferred tax assets and liabilities are determined using the enacted tax rates in effect for the years in which those tax assets are expected to be realized. A valuation allowance is established when it is more likely than not that the future realization of all or some of the deferred tax assets will not be achieved.</w:t>
      </w:r>
    </w:p>
    <w:p>
      <w:pPr>
        <w:spacing w:after="0" w:line="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ind w:right="140" w:firstLine="432"/>
        <w:spacing w:after="0" w:line="277" w:lineRule="auto"/>
        <w:rPr>
          <w:sz w:val="20"/>
          <w:szCs w:val="20"/>
          <w:color w:val="auto"/>
        </w:rPr>
      </w:pPr>
      <w:r>
        <w:rPr>
          <w:rFonts w:ascii="Arial" w:cs="Arial" w:eastAsia="Arial" w:hAnsi="Arial"/>
          <w:sz w:val="18"/>
          <w:szCs w:val="18"/>
          <w:color w:val="auto"/>
        </w:rPr>
        <w:t>The following table sets forth the components of our condensed consolidated statements of operations in dollars and as a percentage of revenue for the periods presented:</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8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w w:val="93"/>
              </w:rPr>
              <w:t>Three Months Ended June 30,</w:t>
            </w:r>
          </w:p>
        </w:tc>
        <w:tc>
          <w:tcPr>
            <w:tcW w:w="10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100" w:type="dxa"/>
            <w:vAlign w:val="bottom"/>
            <w:tcBorders>
              <w:bottom w:val="single" w:sz="8" w:color="auto"/>
            </w:tcBorders>
            <w:gridSpan w:val="8"/>
          </w:tcPr>
          <w:p>
            <w:pPr>
              <w:jc w:val="right"/>
              <w:ind w:right="400"/>
              <w:spacing w:after="0"/>
              <w:rPr>
                <w:sz w:val="20"/>
                <w:szCs w:val="20"/>
                <w:color w:val="auto"/>
              </w:rPr>
            </w:pPr>
            <w:r>
              <w:rPr>
                <w:rFonts w:ascii="Arial" w:cs="Arial" w:eastAsia="Arial" w:hAnsi="Arial"/>
                <w:sz w:val="14"/>
                <w:szCs w:val="14"/>
                <w:b w:val="1"/>
                <w:bCs w:val="1"/>
                <w:color w:val="auto"/>
                <w:w w:val="92"/>
              </w:rPr>
              <w:t>Six Months Ended June 30,</w:t>
            </w:r>
          </w:p>
        </w:tc>
        <w:tc>
          <w:tcPr>
            <w:tcW w:w="880" w:type="dxa"/>
            <w:vAlign w:val="bottom"/>
            <w:tcBorders>
              <w:bottom w:val="single" w:sz="8" w:color="auto"/>
            </w:tcBorders>
          </w:tcPr>
          <w:p>
            <w:pPr>
              <w:spacing w:after="0"/>
              <w:rPr>
                <w:sz w:val="16"/>
                <w:szCs w:val="16"/>
                <w:color w:val="auto"/>
              </w:rPr>
            </w:pPr>
          </w:p>
        </w:tc>
      </w:tr>
      <w:tr>
        <w:trPr>
          <w:trHeight w:val="264"/>
        </w:trPr>
        <w:tc>
          <w:tcPr>
            <w:tcW w:w="284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4"/>
                <w:szCs w:val="14"/>
                <w:b w:val="1"/>
                <w:bCs w:val="1"/>
                <w:color w:val="auto"/>
              </w:rPr>
              <w:t>2016</w:t>
            </w:r>
          </w:p>
        </w:tc>
        <w:tc>
          <w:tcPr>
            <w:tcW w:w="8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gridSpan w:val="3"/>
          </w:tcPr>
          <w:p>
            <w:pPr>
              <w:jc w:val="right"/>
              <w:ind w:right="340"/>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gridSpan w:val="5"/>
          </w:tcPr>
          <w:p>
            <w:pPr>
              <w:jc w:val="right"/>
              <w:ind w:right="10"/>
              <w:spacing w:after="0"/>
              <w:rPr>
                <w:sz w:val="20"/>
                <w:szCs w:val="20"/>
                <w:color w:val="auto"/>
              </w:rPr>
            </w:pPr>
            <w:r>
              <w:rPr>
                <w:rFonts w:ascii="Arial" w:cs="Arial" w:eastAsia="Arial" w:hAnsi="Arial"/>
                <w:sz w:val="14"/>
                <w:szCs w:val="14"/>
                <w:b w:val="1"/>
                <w:bCs w:val="1"/>
                <w:color w:val="auto"/>
              </w:rPr>
              <w:t>2016</w:t>
            </w:r>
          </w:p>
        </w:tc>
        <w:tc>
          <w:tcPr>
            <w:tcW w:w="70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gridSpan w:val="4"/>
          </w:tcPr>
          <w:p>
            <w:pPr>
              <w:jc w:val="right"/>
              <w:ind w:right="20"/>
              <w:spacing w:after="0"/>
              <w:rPr>
                <w:sz w:val="20"/>
                <w:szCs w:val="20"/>
                <w:color w:val="auto"/>
              </w:rPr>
            </w:pPr>
            <w:r>
              <w:rPr>
                <w:rFonts w:ascii="Arial" w:cs="Arial" w:eastAsia="Arial" w:hAnsi="Arial"/>
                <w:sz w:val="14"/>
                <w:szCs w:val="14"/>
                <w:b w:val="1"/>
                <w:bCs w:val="1"/>
                <w:color w:val="auto"/>
              </w:rPr>
              <w:t>2015</w:t>
            </w:r>
          </w:p>
        </w:tc>
        <w:tc>
          <w:tcPr>
            <w:tcW w:w="880" w:type="dxa"/>
            <w:vAlign w:val="bottom"/>
            <w:tcBorders>
              <w:bottom w:val="single" w:sz="8" w:color="auto"/>
            </w:tcBorders>
          </w:tcPr>
          <w:p>
            <w:pPr>
              <w:spacing w:after="0"/>
              <w:rPr>
                <w:sz w:val="22"/>
                <w:szCs w:val="22"/>
                <w:color w:val="auto"/>
              </w:rPr>
            </w:pPr>
          </w:p>
        </w:tc>
      </w:tr>
      <w:tr>
        <w:trPr>
          <w:trHeight w:val="196"/>
        </w:trPr>
        <w:tc>
          <w:tcPr>
            <w:tcW w:w="2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340" w:type="dxa"/>
            <w:vAlign w:val="bottom"/>
            <w:gridSpan w:val="11"/>
          </w:tcPr>
          <w:p>
            <w:pPr>
              <w:ind w:left="20"/>
              <w:spacing w:after="0"/>
              <w:rPr>
                <w:sz w:val="20"/>
                <w:szCs w:val="20"/>
                <w:color w:val="auto"/>
              </w:rPr>
            </w:pPr>
            <w:r>
              <w:rPr>
                <w:rFonts w:ascii="Arial" w:cs="Arial" w:eastAsia="Arial" w:hAnsi="Arial"/>
                <w:sz w:val="14"/>
                <w:szCs w:val="14"/>
                <w:b w:val="1"/>
                <w:bCs w:val="1"/>
                <w:color w:val="auto"/>
                <w:w w:val="89"/>
              </w:rPr>
              <w:t>(in thousands, except for percentages)</w:t>
            </w:r>
          </w:p>
        </w:tc>
        <w:tc>
          <w:tcPr>
            <w:tcW w:w="1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256"/>
        </w:trPr>
        <w:tc>
          <w:tcPr>
            <w:tcW w:w="2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65,106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100.0 %</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80" w:type="dxa"/>
            <w:vAlign w:val="bottom"/>
            <w:tcBorders>
              <w:bottom w:val="single" w:sz="8" w:color="CCEEFF"/>
            </w:tcBorders>
            <w:shd w:val="clear" w:color="auto" w:fill="CCEEFF"/>
          </w:tcPr>
          <w:p>
            <w:pPr>
              <w:spacing w:after="0"/>
              <w:rPr>
                <w:sz w:val="22"/>
                <w:szCs w:val="22"/>
                <w:color w:val="auto"/>
              </w:rPr>
            </w:pPr>
          </w:p>
        </w:tc>
        <w:tc>
          <w:tcPr>
            <w:tcW w:w="6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w w:val="94"/>
              </w:rPr>
              <w:t>42,311</w:t>
            </w:r>
          </w:p>
        </w:tc>
        <w:tc>
          <w:tcPr>
            <w:tcW w:w="1100" w:type="dxa"/>
            <w:vAlign w:val="bottom"/>
            <w:tcBorders>
              <w:bottom w:val="single" w:sz="8" w:color="CCEEFF"/>
            </w:tcBorders>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100.0 %</w:t>
            </w:r>
          </w:p>
        </w:tc>
        <w:tc>
          <w:tcPr>
            <w:tcW w:w="24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w w:val="98"/>
              </w:rPr>
              <w:t>123,025</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100.0 %</w:t>
            </w:r>
          </w:p>
        </w:tc>
        <w:tc>
          <w:tcPr>
            <w:tcW w:w="540" w:type="dxa"/>
            <w:vAlign w:val="bottom"/>
            <w:tcBorders>
              <w:bottom w:val="single" w:sz="8" w:color="CCEEFF"/>
            </w:tcBorders>
            <w:gridSpan w:val="3"/>
            <w:shd w:val="clear" w:color="auto" w:fill="CCEEFF"/>
          </w:tcPr>
          <w:p>
            <w:pPr>
              <w:jc w:val="right"/>
              <w:ind w:right="188"/>
              <w:spacing w:after="0"/>
              <w:rPr>
                <w:sz w:val="20"/>
                <w:szCs w:val="20"/>
                <w:color w:val="auto"/>
              </w:rPr>
            </w:pPr>
            <w:r>
              <w:rPr>
                <w:rFonts w:ascii="Arial" w:cs="Arial" w:eastAsia="Arial" w:hAnsi="Arial"/>
                <w:sz w:val="18"/>
                <w:szCs w:val="18"/>
                <w:color w:val="auto"/>
              </w:rPr>
              <w:t>$</w:t>
            </w:r>
          </w:p>
        </w:tc>
        <w:tc>
          <w:tcPr>
            <w:tcW w:w="6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0"/>
              </w:rPr>
              <w:t>81,263</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100.0 %</w:t>
            </w:r>
          </w:p>
        </w:tc>
      </w:tr>
      <w:tr>
        <w:trPr>
          <w:trHeight w:val="243"/>
        </w:trPr>
        <w:tc>
          <w:tcPr>
            <w:tcW w:w="2840" w:type="dxa"/>
            <w:vAlign w:val="bottom"/>
          </w:tcPr>
          <w:p>
            <w:pPr>
              <w:ind w:left="40"/>
              <w:spacing w:after="0"/>
              <w:rPr>
                <w:sz w:val="20"/>
                <w:szCs w:val="20"/>
                <w:color w:val="auto"/>
              </w:rPr>
            </w:pPr>
            <w:r>
              <w:rPr>
                <w:rFonts w:ascii="Arial" w:cs="Arial" w:eastAsia="Arial" w:hAnsi="Arial"/>
                <w:sz w:val="18"/>
                <w:szCs w:val="18"/>
                <w:color w:val="auto"/>
              </w:rPr>
              <w:t>Cost of revenue</w:t>
            </w:r>
          </w:p>
        </w:tc>
        <w:tc>
          <w:tcPr>
            <w:tcW w:w="200" w:type="dxa"/>
            <w:vAlign w:val="bottom"/>
          </w:tcPr>
          <w:p>
            <w:pPr>
              <w:spacing w:after="0"/>
              <w:rPr>
                <w:sz w:val="21"/>
                <w:szCs w:val="21"/>
                <w:color w:val="auto"/>
              </w:rPr>
            </w:pPr>
          </w:p>
        </w:tc>
        <w:tc>
          <w:tcPr>
            <w:tcW w:w="700" w:type="dxa"/>
            <w:vAlign w:val="bottom"/>
          </w:tcPr>
          <w:p>
            <w:pPr>
              <w:jc w:val="right"/>
              <w:ind w:right="31"/>
              <w:spacing w:after="0"/>
              <w:rPr>
                <w:sz w:val="20"/>
                <w:szCs w:val="20"/>
                <w:color w:val="auto"/>
              </w:rPr>
            </w:pPr>
            <w:r>
              <w:rPr>
                <w:rFonts w:ascii="Arial" w:cs="Arial" w:eastAsia="Arial" w:hAnsi="Arial"/>
                <w:sz w:val="18"/>
                <w:szCs w:val="18"/>
                <w:color w:val="auto"/>
              </w:rPr>
              <w:t>23,636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36.3 %</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60" w:type="dxa"/>
            <w:vAlign w:val="bottom"/>
          </w:tcPr>
          <w:p>
            <w:pPr>
              <w:jc w:val="right"/>
              <w:ind w:right="34"/>
              <w:spacing w:after="0"/>
              <w:rPr>
                <w:sz w:val="20"/>
                <w:szCs w:val="20"/>
                <w:color w:val="auto"/>
              </w:rPr>
            </w:pPr>
            <w:r>
              <w:rPr>
                <w:rFonts w:ascii="Arial" w:cs="Arial" w:eastAsia="Arial" w:hAnsi="Arial"/>
                <w:sz w:val="18"/>
                <w:szCs w:val="18"/>
                <w:color w:val="auto"/>
                <w:w w:val="94"/>
              </w:rPr>
              <w:t>14,936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560" w:type="dxa"/>
            <w:vAlign w:val="bottom"/>
            <w:gridSpan w:val="3"/>
          </w:tcPr>
          <w:p>
            <w:pPr>
              <w:jc w:val="right"/>
              <w:ind w:right="60"/>
              <w:spacing w:after="0"/>
              <w:rPr>
                <w:sz w:val="20"/>
                <w:szCs w:val="20"/>
                <w:color w:val="auto"/>
              </w:rPr>
            </w:pPr>
            <w:r>
              <w:rPr>
                <w:rFonts w:ascii="Arial" w:cs="Arial" w:eastAsia="Arial" w:hAnsi="Arial"/>
                <w:sz w:val="18"/>
                <w:szCs w:val="18"/>
                <w:color w:val="auto"/>
                <w:w w:val="85"/>
              </w:rPr>
              <w:t>35.3 %</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80" w:type="dxa"/>
            <w:vAlign w:val="bottom"/>
          </w:tcPr>
          <w:p>
            <w:pPr>
              <w:jc w:val="right"/>
              <w:ind w:right="32"/>
              <w:spacing w:after="0"/>
              <w:rPr>
                <w:sz w:val="20"/>
                <w:szCs w:val="20"/>
                <w:color w:val="auto"/>
              </w:rPr>
            </w:pPr>
            <w:r>
              <w:rPr>
                <w:rFonts w:ascii="Arial" w:cs="Arial" w:eastAsia="Arial" w:hAnsi="Arial"/>
                <w:sz w:val="18"/>
                <w:szCs w:val="18"/>
                <w:color w:val="auto"/>
              </w:rPr>
              <w:t>41,650</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33.9 %</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8"/>
                <w:szCs w:val="18"/>
                <w:color w:val="auto"/>
                <w:w w:val="90"/>
              </w:rPr>
              <w:t>27,160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33.4 %</w:t>
            </w:r>
          </w:p>
        </w:tc>
      </w:tr>
      <w:tr>
        <w:trPr>
          <w:trHeight w:val="27"/>
        </w:trPr>
        <w:tc>
          <w:tcPr>
            <w:tcW w:w="28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64"/>
        </w:trPr>
        <w:tc>
          <w:tcPr>
            <w:tcW w:w="28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Gross profit</w:t>
            </w:r>
          </w:p>
        </w:tc>
        <w:tc>
          <w:tcPr>
            <w:tcW w:w="200" w:type="dxa"/>
            <w:vAlign w:val="bottom"/>
            <w:tcBorders>
              <w:bottom w:val="single" w:sz="8" w:color="CCEEFF"/>
            </w:tcBorders>
            <w:shd w:val="clear" w:color="auto" w:fill="CCEEFF"/>
          </w:tcPr>
          <w:p>
            <w:pPr>
              <w:spacing w:after="0"/>
              <w:rPr>
                <w:sz w:val="22"/>
                <w:szCs w:val="22"/>
                <w:color w:val="auto"/>
              </w:rPr>
            </w:pPr>
          </w:p>
        </w:tc>
        <w:tc>
          <w:tcPr>
            <w:tcW w:w="7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41,470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63.7 %</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6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w w:val="94"/>
              </w:rPr>
              <w:t>27,375</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spacing w:after="0"/>
              <w:rPr>
                <w:sz w:val="22"/>
                <w:szCs w:val="22"/>
                <w:color w:val="auto"/>
              </w:rPr>
            </w:pPr>
          </w:p>
        </w:tc>
        <w:tc>
          <w:tcPr>
            <w:tcW w:w="56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w w:val="85"/>
              </w:rPr>
              <w:t>64.7 %</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81,375</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66.1 %</w:t>
            </w:r>
          </w:p>
        </w:tc>
        <w:tc>
          <w:tcPr>
            <w:tcW w:w="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6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0"/>
              </w:rPr>
              <w:t>54,103</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66.6 %</w:t>
            </w:r>
          </w:p>
        </w:tc>
      </w:tr>
      <w:tr>
        <w:trPr>
          <w:trHeight w:val="223"/>
        </w:trPr>
        <w:tc>
          <w:tcPr>
            <w:tcW w:w="284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2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82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880" w:type="dxa"/>
            <w:vAlign w:val="bottom"/>
            <w:tcBorders>
              <w:top w:val="single" w:sz="8" w:color="auto"/>
            </w:tcBorders>
          </w:tcPr>
          <w:p>
            <w:pPr>
              <w:spacing w:after="0"/>
              <w:rPr>
                <w:sz w:val="19"/>
                <w:szCs w:val="19"/>
                <w:color w:val="auto"/>
              </w:rPr>
            </w:pPr>
          </w:p>
        </w:tc>
      </w:tr>
      <w:tr>
        <w:trPr>
          <w:trHeight w:val="41"/>
        </w:trPr>
        <w:tc>
          <w:tcPr>
            <w:tcW w:w="2840" w:type="dxa"/>
            <w:vAlign w:val="bottom"/>
          </w:tcPr>
          <w:p>
            <w:pPr>
              <w:spacing w:after="0"/>
              <w:rPr>
                <w:sz w:val="3"/>
                <w:szCs w:val="3"/>
                <w:color w:val="auto"/>
              </w:rPr>
            </w:pPr>
          </w:p>
        </w:tc>
        <w:tc>
          <w:tcPr>
            <w:tcW w:w="200" w:type="dxa"/>
            <w:vAlign w:val="bottom"/>
          </w:tcPr>
          <w:p>
            <w:pPr>
              <w:spacing w:after="0"/>
              <w:rPr>
                <w:sz w:val="3"/>
                <w:szCs w:val="3"/>
                <w:color w:val="auto"/>
              </w:rPr>
            </w:pPr>
          </w:p>
        </w:tc>
        <w:tc>
          <w:tcPr>
            <w:tcW w:w="70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3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4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140" w:type="dxa"/>
            <w:vAlign w:val="bottom"/>
          </w:tcPr>
          <w:p>
            <w:pPr>
              <w:spacing w:after="0"/>
              <w:rPr>
                <w:sz w:val="3"/>
                <w:szCs w:val="3"/>
                <w:color w:val="auto"/>
              </w:rPr>
            </w:pPr>
          </w:p>
        </w:tc>
        <w:tc>
          <w:tcPr>
            <w:tcW w:w="70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380" w:type="dxa"/>
            <w:vAlign w:val="bottom"/>
          </w:tcPr>
          <w:p>
            <w:pPr>
              <w:spacing w:after="0"/>
              <w:rPr>
                <w:sz w:val="3"/>
                <w:szCs w:val="3"/>
                <w:color w:val="auto"/>
              </w:rPr>
            </w:pPr>
          </w:p>
        </w:tc>
        <w:tc>
          <w:tcPr>
            <w:tcW w:w="80" w:type="dxa"/>
            <w:vAlign w:val="bottom"/>
          </w:tcPr>
          <w:p>
            <w:pPr>
              <w:spacing w:after="0"/>
              <w:rPr>
                <w:sz w:val="3"/>
                <w:szCs w:val="3"/>
                <w:color w:val="auto"/>
              </w:rPr>
            </w:pPr>
          </w:p>
        </w:tc>
        <w:tc>
          <w:tcPr>
            <w:tcW w:w="5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40" w:type="dxa"/>
            <w:vAlign w:val="bottom"/>
          </w:tcPr>
          <w:p>
            <w:pPr>
              <w:spacing w:after="0"/>
              <w:rPr>
                <w:sz w:val="3"/>
                <w:szCs w:val="3"/>
                <w:color w:val="auto"/>
              </w:rPr>
            </w:pPr>
          </w:p>
        </w:tc>
        <w:tc>
          <w:tcPr>
            <w:tcW w:w="880" w:type="dxa"/>
            <w:vAlign w:val="bottom"/>
          </w:tcPr>
          <w:p>
            <w:pPr>
              <w:spacing w:after="0"/>
              <w:rPr>
                <w:sz w:val="3"/>
                <w:szCs w:val="3"/>
                <w:color w:val="auto"/>
              </w:rPr>
            </w:pPr>
          </w:p>
        </w:tc>
      </w:tr>
      <w:tr>
        <w:trPr>
          <w:trHeight w:val="250"/>
        </w:trPr>
        <w:tc>
          <w:tcPr>
            <w:tcW w:w="28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Research and development</w:t>
            </w: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6,264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9.6 %</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4,792</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w w:val="85"/>
              </w:rPr>
              <w:t>11.3 %</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11,265</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9.2 %</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7,983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9.8 %</w:t>
            </w:r>
          </w:p>
        </w:tc>
      </w:tr>
      <w:tr>
        <w:trPr>
          <w:trHeight w:val="243"/>
        </w:trPr>
        <w:tc>
          <w:tcPr>
            <w:tcW w:w="2840" w:type="dxa"/>
            <w:vAlign w:val="bottom"/>
          </w:tcPr>
          <w:p>
            <w:pPr>
              <w:ind w:left="180"/>
              <w:spacing w:after="0"/>
              <w:rPr>
                <w:sz w:val="20"/>
                <w:szCs w:val="20"/>
                <w:color w:val="auto"/>
              </w:rPr>
            </w:pPr>
            <w:r>
              <w:rPr>
                <w:rFonts w:ascii="Arial" w:cs="Arial" w:eastAsia="Arial" w:hAnsi="Arial"/>
                <w:sz w:val="18"/>
                <w:szCs w:val="18"/>
                <w:color w:val="auto"/>
                <w:w w:val="99"/>
              </w:rPr>
              <w:t>Sales, general and administrative</w:t>
            </w:r>
          </w:p>
        </w:tc>
        <w:tc>
          <w:tcPr>
            <w:tcW w:w="200" w:type="dxa"/>
            <w:vAlign w:val="bottom"/>
          </w:tcPr>
          <w:p>
            <w:pPr>
              <w:spacing w:after="0"/>
              <w:rPr>
                <w:sz w:val="21"/>
                <w:szCs w:val="21"/>
                <w:color w:val="auto"/>
              </w:rPr>
            </w:pPr>
          </w:p>
        </w:tc>
        <w:tc>
          <w:tcPr>
            <w:tcW w:w="700" w:type="dxa"/>
            <w:vAlign w:val="bottom"/>
          </w:tcPr>
          <w:p>
            <w:pPr>
              <w:jc w:val="right"/>
              <w:ind w:right="31"/>
              <w:spacing w:after="0"/>
              <w:rPr>
                <w:sz w:val="20"/>
                <w:szCs w:val="20"/>
                <w:color w:val="auto"/>
              </w:rPr>
            </w:pPr>
            <w:r>
              <w:rPr>
                <w:rFonts w:ascii="Arial" w:cs="Arial" w:eastAsia="Arial" w:hAnsi="Arial"/>
                <w:sz w:val="18"/>
                <w:szCs w:val="18"/>
                <w:color w:val="auto"/>
              </w:rPr>
              <w:t>35,876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55.1 %</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60" w:type="dxa"/>
            <w:vAlign w:val="bottom"/>
          </w:tcPr>
          <w:p>
            <w:pPr>
              <w:jc w:val="right"/>
              <w:ind w:right="34"/>
              <w:spacing w:after="0"/>
              <w:rPr>
                <w:sz w:val="20"/>
                <w:szCs w:val="20"/>
                <w:color w:val="auto"/>
              </w:rPr>
            </w:pPr>
            <w:r>
              <w:rPr>
                <w:rFonts w:ascii="Arial" w:cs="Arial" w:eastAsia="Arial" w:hAnsi="Arial"/>
                <w:sz w:val="18"/>
                <w:szCs w:val="18"/>
                <w:color w:val="auto"/>
                <w:w w:val="94"/>
              </w:rPr>
              <w:t>26,396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560" w:type="dxa"/>
            <w:vAlign w:val="bottom"/>
            <w:gridSpan w:val="3"/>
          </w:tcPr>
          <w:p>
            <w:pPr>
              <w:jc w:val="right"/>
              <w:ind w:right="60"/>
              <w:spacing w:after="0"/>
              <w:rPr>
                <w:sz w:val="20"/>
                <w:szCs w:val="20"/>
                <w:color w:val="auto"/>
              </w:rPr>
            </w:pPr>
            <w:r>
              <w:rPr>
                <w:rFonts w:ascii="Arial" w:cs="Arial" w:eastAsia="Arial" w:hAnsi="Arial"/>
                <w:sz w:val="18"/>
                <w:szCs w:val="18"/>
                <w:color w:val="auto"/>
                <w:w w:val="85"/>
              </w:rPr>
              <w:t>62.4 %</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80" w:type="dxa"/>
            <w:vAlign w:val="bottom"/>
          </w:tcPr>
          <w:p>
            <w:pPr>
              <w:jc w:val="right"/>
              <w:ind w:right="32"/>
              <w:spacing w:after="0"/>
              <w:rPr>
                <w:sz w:val="20"/>
                <w:szCs w:val="20"/>
                <w:color w:val="auto"/>
              </w:rPr>
            </w:pPr>
            <w:r>
              <w:rPr>
                <w:rFonts w:ascii="Arial" w:cs="Arial" w:eastAsia="Arial" w:hAnsi="Arial"/>
                <w:sz w:val="18"/>
                <w:szCs w:val="18"/>
                <w:color w:val="auto"/>
              </w:rPr>
              <w:t>68,945</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56.0 %</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8"/>
                <w:szCs w:val="18"/>
                <w:color w:val="auto"/>
                <w:w w:val="90"/>
              </w:rPr>
              <w:t>45,943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56.5 %</w:t>
            </w:r>
          </w:p>
        </w:tc>
      </w:tr>
      <w:tr>
        <w:trPr>
          <w:trHeight w:val="27"/>
        </w:trPr>
        <w:tc>
          <w:tcPr>
            <w:tcW w:w="28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64"/>
        </w:trPr>
        <w:tc>
          <w:tcPr>
            <w:tcW w:w="28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operating expenses</w:t>
            </w:r>
          </w:p>
        </w:tc>
        <w:tc>
          <w:tcPr>
            <w:tcW w:w="200" w:type="dxa"/>
            <w:vAlign w:val="bottom"/>
            <w:tcBorders>
              <w:bottom w:val="single" w:sz="8" w:color="CCEEFF"/>
            </w:tcBorders>
            <w:shd w:val="clear" w:color="auto" w:fill="CCEEFF"/>
          </w:tcPr>
          <w:p>
            <w:pPr>
              <w:spacing w:after="0"/>
              <w:rPr>
                <w:sz w:val="22"/>
                <w:szCs w:val="22"/>
                <w:color w:val="auto"/>
              </w:rPr>
            </w:pPr>
          </w:p>
        </w:tc>
        <w:tc>
          <w:tcPr>
            <w:tcW w:w="7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42,140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64.7 %</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6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w w:val="94"/>
              </w:rPr>
              <w:t>31,188</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spacing w:after="0"/>
              <w:rPr>
                <w:sz w:val="22"/>
                <w:szCs w:val="22"/>
                <w:color w:val="auto"/>
              </w:rPr>
            </w:pPr>
          </w:p>
        </w:tc>
        <w:tc>
          <w:tcPr>
            <w:tcW w:w="56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w w:val="85"/>
              </w:rPr>
              <w:t>73.7 %</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80,210</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65.2 %</w:t>
            </w:r>
          </w:p>
        </w:tc>
        <w:tc>
          <w:tcPr>
            <w:tcW w:w="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6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0"/>
              </w:rPr>
              <w:t>53,926</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66.4 %</w:t>
            </w:r>
          </w:p>
        </w:tc>
      </w:tr>
      <w:tr>
        <w:trPr>
          <w:trHeight w:val="237"/>
        </w:trPr>
        <w:tc>
          <w:tcPr>
            <w:tcW w:w="2840" w:type="dxa"/>
            <w:vAlign w:val="bottom"/>
          </w:tcPr>
          <w:p>
            <w:pPr>
              <w:ind w:left="40"/>
              <w:spacing w:after="0"/>
              <w:rPr>
                <w:sz w:val="20"/>
                <w:szCs w:val="20"/>
                <w:color w:val="auto"/>
              </w:rPr>
            </w:pPr>
            <w:r>
              <w:rPr>
                <w:rFonts w:ascii="Arial" w:cs="Arial" w:eastAsia="Arial" w:hAnsi="Arial"/>
                <w:sz w:val="18"/>
                <w:szCs w:val="18"/>
                <w:color w:val="auto"/>
              </w:rPr>
              <w:t>Income (expense) from operations</w:t>
            </w:r>
          </w:p>
        </w:tc>
        <w:tc>
          <w:tcPr>
            <w:tcW w:w="2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(670)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(3,813)</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560" w:type="dxa"/>
            <w:vAlign w:val="bottom"/>
            <w:tcBorders>
              <w:top w:val="single" w:sz="8" w:color="auto"/>
            </w:tcBorders>
            <w:gridSpan w:val="3"/>
          </w:tcPr>
          <w:p>
            <w:pPr>
              <w:jc w:val="right"/>
              <w:ind w:right="40"/>
              <w:spacing w:after="0"/>
              <w:rPr>
                <w:sz w:val="20"/>
                <w:szCs w:val="20"/>
                <w:color w:val="auto"/>
              </w:rPr>
            </w:pPr>
            <w:r>
              <w:rPr>
                <w:rFonts w:ascii="Arial" w:cs="Arial" w:eastAsia="Arial" w:hAnsi="Arial"/>
                <w:sz w:val="18"/>
                <w:szCs w:val="18"/>
                <w:color w:val="auto"/>
                <w:w w:val="94"/>
              </w:rPr>
              <w:t>(9.0)%</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1,165</w:t>
            </w:r>
          </w:p>
        </w:tc>
        <w:tc>
          <w:tcPr>
            <w:tcW w:w="10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0.9 %</w:t>
            </w:r>
          </w:p>
        </w:tc>
        <w:tc>
          <w:tcPr>
            <w:tcW w:w="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620" w:type="dxa"/>
            <w:vAlign w:val="bottom"/>
            <w:tcBorders>
              <w:top w:val="single" w:sz="8" w:color="auto"/>
            </w:tcBorders>
            <w:gridSpan w:val="2"/>
          </w:tcPr>
          <w:p>
            <w:pPr>
              <w:jc w:val="right"/>
              <w:ind w:right="100"/>
              <w:spacing w:after="0"/>
              <w:rPr>
                <w:sz w:val="20"/>
                <w:szCs w:val="20"/>
                <w:color w:val="auto"/>
              </w:rPr>
            </w:pPr>
            <w:r>
              <w:rPr>
                <w:rFonts w:ascii="Arial" w:cs="Arial" w:eastAsia="Arial" w:hAnsi="Arial"/>
                <w:sz w:val="18"/>
                <w:szCs w:val="18"/>
                <w:color w:val="auto"/>
              </w:rPr>
              <w:t>177</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0.2 %</w:t>
            </w:r>
          </w:p>
        </w:tc>
      </w:tr>
      <w:tr>
        <w:trPr>
          <w:trHeight w:val="27"/>
        </w:trPr>
        <w:tc>
          <w:tcPr>
            <w:tcW w:w="2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2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income, net</w:t>
            </w: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559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0.9 %</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177</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0.4 %</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1,069</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0.9 %</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0.5 %</w:t>
            </w:r>
          </w:p>
        </w:tc>
      </w:tr>
      <w:tr>
        <w:trPr>
          <w:trHeight w:val="243"/>
        </w:trPr>
        <w:tc>
          <w:tcPr>
            <w:tcW w:w="2840" w:type="dxa"/>
            <w:vAlign w:val="bottom"/>
          </w:tcPr>
          <w:p>
            <w:pPr>
              <w:ind w:left="40"/>
              <w:spacing w:after="0"/>
              <w:rPr>
                <w:sz w:val="20"/>
                <w:szCs w:val="20"/>
                <w:color w:val="auto"/>
              </w:rPr>
            </w:pPr>
            <w:r>
              <w:rPr>
                <w:rFonts w:ascii="Arial" w:cs="Arial" w:eastAsia="Arial" w:hAnsi="Arial"/>
                <w:sz w:val="18"/>
                <w:szCs w:val="18"/>
                <w:color w:val="auto"/>
              </w:rPr>
              <w:t>Other expense, net</w:t>
            </w:r>
          </w:p>
        </w:tc>
        <w:tc>
          <w:tcPr>
            <w:tcW w:w="20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(272)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(0.4)%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(542)</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560" w:type="dxa"/>
            <w:vAlign w:val="bottom"/>
            <w:gridSpan w:val="3"/>
          </w:tcPr>
          <w:p>
            <w:pPr>
              <w:jc w:val="right"/>
              <w:ind w:right="40"/>
              <w:spacing w:after="0"/>
              <w:rPr>
                <w:sz w:val="20"/>
                <w:szCs w:val="20"/>
                <w:color w:val="auto"/>
              </w:rPr>
            </w:pPr>
            <w:r>
              <w:rPr>
                <w:rFonts w:ascii="Arial" w:cs="Arial" w:eastAsia="Arial" w:hAnsi="Arial"/>
                <w:sz w:val="18"/>
                <w:szCs w:val="18"/>
                <w:color w:val="auto"/>
                <w:w w:val="94"/>
              </w:rPr>
              <w:t>(1.3)%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(496)</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(0.4)%</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620" w:type="dxa"/>
            <w:vAlign w:val="bottom"/>
            <w:gridSpan w:val="2"/>
          </w:tcPr>
          <w:p>
            <w:pPr>
              <w:jc w:val="right"/>
              <w:ind w:right="40"/>
              <w:spacing w:after="0"/>
              <w:rPr>
                <w:sz w:val="20"/>
                <w:szCs w:val="20"/>
                <w:color w:val="auto"/>
              </w:rPr>
            </w:pPr>
            <w:r>
              <w:rPr>
                <w:rFonts w:ascii="Arial" w:cs="Arial" w:eastAsia="Arial" w:hAnsi="Arial"/>
                <w:sz w:val="18"/>
                <w:szCs w:val="18"/>
                <w:color w:val="auto"/>
              </w:rPr>
              <w:t>(498)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(0.6)%</w:t>
            </w:r>
          </w:p>
        </w:tc>
      </w:tr>
      <w:tr>
        <w:trPr>
          <w:trHeight w:val="27"/>
        </w:trPr>
        <w:tc>
          <w:tcPr>
            <w:tcW w:w="28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09"/>
        </w:trPr>
        <w:tc>
          <w:tcPr>
            <w:tcW w:w="2840" w:type="dxa"/>
            <w:vAlign w:val="bottom"/>
            <w:shd w:val="clear" w:color="auto" w:fill="CCEEFF"/>
          </w:tcPr>
          <w:p>
            <w:pPr>
              <w:ind w:left="40"/>
              <w:spacing w:after="0"/>
              <w:rPr>
                <w:sz w:val="20"/>
                <w:szCs w:val="20"/>
                <w:color w:val="auto"/>
              </w:rPr>
            </w:pPr>
            <w:r>
              <w:rPr>
                <w:rFonts w:ascii="Arial" w:cs="Arial" w:eastAsia="Arial" w:hAnsi="Arial"/>
                <w:sz w:val="18"/>
                <w:szCs w:val="18"/>
                <w:color w:val="auto"/>
                <w:w w:val="98"/>
              </w:rPr>
              <w:t>Income before provision for (benefit</w:t>
            </w: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r>
      <w:tr>
        <w:trPr>
          <w:trHeight w:val="237"/>
        </w:trPr>
        <w:tc>
          <w:tcPr>
            <w:tcW w:w="2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from) income taxes</w:t>
            </w:r>
          </w:p>
        </w:tc>
        <w:tc>
          <w:tcPr>
            <w:tcW w:w="20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(383)</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(4,178)</w:t>
            </w:r>
          </w:p>
        </w:tc>
        <w:tc>
          <w:tcPr>
            <w:tcW w:w="100" w:type="dxa"/>
            <w:vAlign w:val="bottom"/>
            <w:tcBorders>
              <w:bottom w:val="single" w:sz="8" w:color="CCEEFF"/>
            </w:tcBorders>
            <w:shd w:val="clear" w:color="auto" w:fill="CCEEFF"/>
          </w:tcPr>
          <w:p>
            <w:pPr>
              <w:spacing w:after="0"/>
              <w:rPr>
                <w:sz w:val="20"/>
                <w:szCs w:val="20"/>
                <w:color w:val="auto"/>
              </w:rPr>
            </w:pPr>
          </w:p>
        </w:tc>
        <w:tc>
          <w:tcPr>
            <w:tcW w:w="440" w:type="dxa"/>
            <w:vAlign w:val="bottom"/>
            <w:tcBorders>
              <w:bottom w:val="single" w:sz="8" w:color="CCEEFF"/>
            </w:tcBorders>
            <w:shd w:val="clear" w:color="auto" w:fill="CCEEFF"/>
          </w:tcPr>
          <w:p>
            <w:pPr>
              <w:spacing w:after="0"/>
              <w:rPr>
                <w:sz w:val="20"/>
                <w:szCs w:val="20"/>
                <w:color w:val="auto"/>
              </w:rPr>
            </w:pPr>
          </w:p>
        </w:tc>
        <w:tc>
          <w:tcPr>
            <w:tcW w:w="56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w w:val="94"/>
              </w:rPr>
              <w:t>(9.9)%</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1,738</w:t>
            </w:r>
          </w:p>
        </w:tc>
        <w:tc>
          <w:tcPr>
            <w:tcW w:w="1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1.4 %</w:t>
            </w:r>
          </w:p>
        </w:tc>
        <w:tc>
          <w:tcPr>
            <w:tcW w:w="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6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64</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0.1 %</w:t>
            </w:r>
          </w:p>
        </w:tc>
      </w:tr>
      <w:tr>
        <w:trPr>
          <w:trHeight w:val="229"/>
        </w:trPr>
        <w:tc>
          <w:tcPr>
            <w:tcW w:w="2840" w:type="dxa"/>
            <w:vAlign w:val="bottom"/>
          </w:tcPr>
          <w:p>
            <w:pPr>
              <w:ind w:left="40"/>
              <w:spacing w:after="0"/>
              <w:rPr>
                <w:sz w:val="20"/>
                <w:szCs w:val="20"/>
                <w:color w:val="auto"/>
              </w:rPr>
            </w:pPr>
            <w:r>
              <w:rPr>
                <w:rFonts w:ascii="Arial" w:cs="Arial" w:eastAsia="Arial" w:hAnsi="Arial"/>
                <w:sz w:val="18"/>
                <w:szCs w:val="18"/>
                <w:color w:val="auto"/>
              </w:rPr>
              <w:t>Provision for (benefit from) income</w:t>
            </w:r>
          </w:p>
        </w:tc>
        <w:tc>
          <w:tcPr>
            <w:tcW w:w="2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230"/>
        </w:trPr>
        <w:tc>
          <w:tcPr>
            <w:tcW w:w="2840" w:type="dxa"/>
            <w:vAlign w:val="bottom"/>
          </w:tcPr>
          <w:p>
            <w:pPr>
              <w:ind w:left="40"/>
              <w:spacing w:after="0"/>
              <w:rPr>
                <w:sz w:val="20"/>
                <w:szCs w:val="20"/>
                <w:color w:val="auto"/>
              </w:rPr>
            </w:pPr>
            <w:r>
              <w:rPr>
                <w:rFonts w:ascii="Arial" w:cs="Arial" w:eastAsia="Arial" w:hAnsi="Arial"/>
                <w:sz w:val="18"/>
                <w:szCs w:val="18"/>
                <w:color w:val="auto"/>
              </w:rPr>
              <w:t>taxes</w:t>
            </w:r>
          </w:p>
        </w:tc>
        <w:tc>
          <w:tcPr>
            <w:tcW w:w="2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(568)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(0.9)%</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(1,507)</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60" w:type="dxa"/>
            <w:vAlign w:val="bottom"/>
            <w:gridSpan w:val="3"/>
          </w:tcPr>
          <w:p>
            <w:pPr>
              <w:jc w:val="right"/>
              <w:ind w:right="40"/>
              <w:spacing w:after="0"/>
              <w:rPr>
                <w:sz w:val="20"/>
                <w:szCs w:val="20"/>
                <w:color w:val="auto"/>
              </w:rPr>
            </w:pPr>
            <w:r>
              <w:rPr>
                <w:rFonts w:ascii="Arial" w:cs="Arial" w:eastAsia="Arial" w:hAnsi="Arial"/>
                <w:sz w:val="18"/>
                <w:szCs w:val="18"/>
                <w:color w:val="auto"/>
                <w:w w:val="94"/>
              </w:rPr>
              <w:t>(3.6)%</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80" w:type="dxa"/>
            <w:vAlign w:val="bottom"/>
          </w:tcPr>
          <w:p>
            <w:pPr>
              <w:jc w:val="right"/>
              <w:ind w:right="32"/>
              <w:spacing w:after="0"/>
              <w:rPr>
                <w:sz w:val="20"/>
                <w:szCs w:val="20"/>
                <w:color w:val="auto"/>
              </w:rPr>
            </w:pPr>
            <w:r>
              <w:rPr>
                <w:rFonts w:ascii="Arial" w:cs="Arial" w:eastAsia="Arial" w:hAnsi="Arial"/>
                <w:sz w:val="18"/>
                <w:szCs w:val="18"/>
                <w:color w:val="auto"/>
              </w:rPr>
              <w:t>773</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0.6 %</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8"/>
                <w:szCs w:val="18"/>
                <w:color w:val="auto"/>
              </w:rPr>
              <w:t>233</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0.3 %</w:t>
            </w:r>
          </w:p>
        </w:tc>
      </w:tr>
      <w:tr>
        <w:trPr>
          <w:trHeight w:val="27"/>
        </w:trPr>
        <w:tc>
          <w:tcPr>
            <w:tcW w:w="28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69"/>
        </w:trPr>
        <w:tc>
          <w:tcPr>
            <w:tcW w:w="2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0.3 %</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80" w:type="dxa"/>
            <w:vAlign w:val="bottom"/>
            <w:tcBorders>
              <w:bottom w:val="single" w:sz="8" w:color="CCEEFF"/>
            </w:tcBorders>
            <w:shd w:val="clear" w:color="auto" w:fill="CCEEFF"/>
          </w:tcPr>
          <w:p>
            <w:pPr>
              <w:spacing w:after="0"/>
              <w:rPr>
                <w:sz w:val="22"/>
                <w:szCs w:val="22"/>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(2,671)</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spacing w:after="0"/>
              <w:rPr>
                <w:sz w:val="22"/>
                <w:szCs w:val="22"/>
                <w:color w:val="auto"/>
              </w:rPr>
            </w:pPr>
          </w:p>
        </w:tc>
        <w:tc>
          <w:tcPr>
            <w:tcW w:w="56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w w:val="94"/>
              </w:rPr>
              <w:t>(6.3)%</w:t>
            </w:r>
          </w:p>
        </w:tc>
        <w:tc>
          <w:tcPr>
            <w:tcW w:w="24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965</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0.8 %</w:t>
            </w:r>
          </w:p>
        </w:tc>
        <w:tc>
          <w:tcPr>
            <w:tcW w:w="540" w:type="dxa"/>
            <w:vAlign w:val="bottom"/>
            <w:tcBorders>
              <w:bottom w:val="single" w:sz="8" w:color="CCEEFF"/>
            </w:tcBorders>
            <w:gridSpan w:val="3"/>
            <w:shd w:val="clear" w:color="auto" w:fill="CCEEFF"/>
          </w:tcPr>
          <w:p>
            <w:pPr>
              <w:jc w:val="right"/>
              <w:ind w:right="188"/>
              <w:spacing w:after="0"/>
              <w:rPr>
                <w:sz w:val="20"/>
                <w:szCs w:val="20"/>
                <w:color w:val="auto"/>
              </w:rPr>
            </w:pPr>
            <w:r>
              <w:rPr>
                <w:rFonts w:ascii="Arial" w:cs="Arial" w:eastAsia="Arial" w:hAnsi="Arial"/>
                <w:sz w:val="18"/>
                <w:szCs w:val="18"/>
                <w:color w:val="auto"/>
              </w:rPr>
              <w:t>$</w:t>
            </w:r>
          </w:p>
        </w:tc>
        <w:tc>
          <w:tcPr>
            <w:tcW w:w="6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(169)</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r>
      <w:tr>
        <w:trPr>
          <w:trHeight w:val="20"/>
        </w:trPr>
        <w:tc>
          <w:tcPr>
            <w:tcW w:w="284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r>
      <w:tr>
        <w:trPr>
          <w:trHeight w:val="305"/>
        </w:trPr>
        <w:tc>
          <w:tcPr>
            <w:tcW w:w="7060" w:type="dxa"/>
            <w:vAlign w:val="bottom"/>
            <w:gridSpan w:val="15"/>
          </w:tcPr>
          <w:p>
            <w:pPr>
              <w:spacing w:after="0"/>
              <w:rPr>
                <w:sz w:val="20"/>
                <w:szCs w:val="20"/>
                <w:color w:val="auto"/>
              </w:rPr>
            </w:pPr>
            <w:r>
              <w:rPr>
                <w:rFonts w:ascii="Arial" w:cs="Arial" w:eastAsia="Arial" w:hAnsi="Arial"/>
                <w:sz w:val="18"/>
                <w:szCs w:val="18"/>
                <w:b w:val="1"/>
                <w:bCs w:val="1"/>
                <w:color w:val="auto"/>
                <w:w w:val="97"/>
              </w:rPr>
              <w:t>Three Months Ended June 30, 2016 Compared to Three Months Ended June 30, 2015</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324"/>
        </w:trPr>
        <w:tc>
          <w:tcPr>
            <w:tcW w:w="2840" w:type="dxa"/>
            <w:vAlign w:val="bottom"/>
          </w:tcPr>
          <w:p>
            <w:pPr>
              <w:spacing w:after="0"/>
              <w:rPr>
                <w:sz w:val="20"/>
                <w:szCs w:val="20"/>
                <w:color w:val="auto"/>
              </w:rPr>
            </w:pPr>
            <w:r>
              <w:rPr>
                <w:rFonts w:ascii="Arial" w:cs="Arial" w:eastAsia="Arial" w:hAnsi="Arial"/>
                <w:sz w:val="18"/>
                <w:szCs w:val="18"/>
                <w:b w:val="1"/>
                <w:bCs w:val="1"/>
                <w:i w:val="1"/>
                <w:iCs w:val="1"/>
                <w:color w:val="auto"/>
              </w:rPr>
              <w:t>Revenue</w:t>
            </w: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507"/>
        </w:trPr>
        <w:tc>
          <w:tcPr>
            <w:tcW w:w="28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0" w:type="dxa"/>
            <w:vAlign w:val="bottom"/>
            <w:gridSpan w:val="12"/>
          </w:tcPr>
          <w:p>
            <w:pPr>
              <w:ind w:left="440"/>
              <w:spacing w:after="0"/>
              <w:rPr>
                <w:sz w:val="20"/>
                <w:szCs w:val="20"/>
                <w:color w:val="auto"/>
              </w:rPr>
            </w:pPr>
            <w:r>
              <w:rPr>
                <w:rFonts w:ascii="Arial" w:cs="Arial" w:eastAsia="Arial" w:hAnsi="Arial"/>
                <w:sz w:val="14"/>
                <w:szCs w:val="14"/>
                <w:b w:val="1"/>
                <w:bCs w:val="1"/>
                <w:color w:val="auto"/>
              </w:rPr>
              <w:t>Three Months Ended June 30,</w:t>
            </w:r>
          </w:p>
        </w:tc>
        <w:tc>
          <w:tcPr>
            <w:tcW w:w="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gridSpan w:val="5"/>
          </w:tcPr>
          <w:p>
            <w:pPr>
              <w:jc w:val="right"/>
              <w:ind w:right="440"/>
              <w:spacing w:after="0"/>
              <w:rPr>
                <w:sz w:val="20"/>
                <w:szCs w:val="20"/>
                <w:color w:val="auto"/>
              </w:rPr>
            </w:pPr>
            <w:r>
              <w:rPr>
                <w:rFonts w:ascii="Arial" w:cs="Arial" w:eastAsia="Arial" w:hAnsi="Arial"/>
                <w:sz w:val="14"/>
                <w:szCs w:val="14"/>
                <w:b w:val="1"/>
                <w:bCs w:val="1"/>
                <w:color w:val="auto"/>
              </w:rPr>
              <w:t>Change</w:t>
            </w:r>
          </w:p>
        </w:tc>
        <w:tc>
          <w:tcPr>
            <w:tcW w:w="880" w:type="dxa"/>
            <w:vAlign w:val="bottom"/>
          </w:tcPr>
          <w:p>
            <w:pPr>
              <w:spacing w:after="0"/>
              <w:rPr>
                <w:sz w:val="24"/>
                <w:szCs w:val="24"/>
                <w:color w:val="auto"/>
              </w:rPr>
            </w:pPr>
          </w:p>
        </w:tc>
      </w:tr>
      <w:tr>
        <w:trPr>
          <w:trHeight w:val="264"/>
        </w:trPr>
        <w:tc>
          <w:tcPr>
            <w:tcW w:w="28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760" w:type="dxa"/>
            <w:vAlign w:val="bottom"/>
            <w:tcBorders>
              <w:top w:val="single" w:sz="8" w:color="auto"/>
              <w:bottom w:val="single" w:sz="8" w:color="auto"/>
            </w:tcBorders>
            <w:gridSpan w:val="2"/>
          </w:tcPr>
          <w:p>
            <w:pPr>
              <w:ind w:left="420"/>
              <w:spacing w:after="0"/>
              <w:rPr>
                <w:sz w:val="20"/>
                <w:szCs w:val="20"/>
                <w:color w:val="auto"/>
              </w:rPr>
            </w:pPr>
            <w:r>
              <w:rPr>
                <w:rFonts w:ascii="Arial" w:cs="Arial" w:eastAsia="Arial" w:hAnsi="Arial"/>
                <w:sz w:val="14"/>
                <w:szCs w:val="14"/>
                <w:b w:val="1"/>
                <w:bCs w:val="1"/>
                <w:color w:val="auto"/>
              </w:rPr>
              <w:t>2016</w:t>
            </w:r>
          </w:p>
        </w:tc>
        <w:tc>
          <w:tcPr>
            <w:tcW w:w="44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140" w:type="dxa"/>
            <w:vAlign w:val="bottom"/>
            <w:tcBorders>
              <w:top w:val="single" w:sz="8" w:color="auto"/>
              <w:bottom w:val="single" w:sz="8" w:color="auto"/>
            </w:tcBorders>
          </w:tcPr>
          <w:p>
            <w:pPr>
              <w:spacing w:after="0"/>
              <w:rPr>
                <w:sz w:val="22"/>
                <w:szCs w:val="22"/>
                <w:color w:val="auto"/>
              </w:rPr>
            </w:pPr>
          </w:p>
        </w:tc>
        <w:tc>
          <w:tcPr>
            <w:tcW w:w="780" w:type="dxa"/>
            <w:vAlign w:val="bottom"/>
            <w:tcBorders>
              <w:top w:val="single" w:sz="8" w:color="auto"/>
              <w:bottom w:val="single" w:sz="8" w:color="auto"/>
            </w:tcBorders>
          </w:tcPr>
          <w:p>
            <w:pPr>
              <w:jc w:val="right"/>
              <w:ind w:right="412"/>
              <w:spacing w:after="0"/>
              <w:rPr>
                <w:sz w:val="20"/>
                <w:szCs w:val="20"/>
                <w:color w:val="auto"/>
              </w:rPr>
            </w:pPr>
            <w:r>
              <w:rPr>
                <w:rFonts w:ascii="Arial" w:cs="Arial" w:eastAsia="Arial" w:hAnsi="Arial"/>
                <w:sz w:val="14"/>
                <w:szCs w:val="14"/>
                <w:b w:val="1"/>
                <w:bCs w:val="1"/>
                <w:color w:val="auto"/>
                <w:w w:val="83"/>
              </w:rPr>
              <w:t>2015</w:t>
            </w:r>
          </w:p>
        </w:tc>
        <w:tc>
          <w:tcPr>
            <w:tcW w:w="100" w:type="dxa"/>
            <w:vAlign w:val="bottom"/>
            <w:tcBorders>
              <w:top w:val="single" w:sz="8" w:color="auto"/>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0" w:type="dxa"/>
            <w:vAlign w:val="bottom"/>
            <w:tcBorders>
              <w:top w:val="single" w:sz="8" w:color="auto"/>
              <w:bottom w:val="single" w:sz="8" w:color="auto"/>
            </w:tcBorders>
          </w:tcPr>
          <w:p>
            <w:pPr>
              <w:spacing w:after="0"/>
              <w:rPr>
                <w:sz w:val="22"/>
                <w:szCs w:val="22"/>
                <w:color w:val="auto"/>
              </w:rPr>
            </w:pPr>
          </w:p>
        </w:tc>
        <w:tc>
          <w:tcPr>
            <w:tcW w:w="14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80" w:type="dxa"/>
            <w:vAlign w:val="bottom"/>
            <w:tcBorders>
              <w:top w:val="single" w:sz="8" w:color="auto"/>
              <w:bottom w:val="single" w:sz="8" w:color="auto"/>
            </w:tcBorders>
          </w:tcPr>
          <w:p>
            <w:pPr>
              <w:spacing w:after="0"/>
              <w:rPr>
                <w:sz w:val="22"/>
                <w:szCs w:val="22"/>
                <w:color w:val="auto"/>
              </w:rPr>
            </w:pPr>
          </w:p>
        </w:tc>
        <w:tc>
          <w:tcPr>
            <w:tcW w:w="54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140" w:type="dxa"/>
            <w:vAlign w:val="bottom"/>
            <w:tcBorders>
              <w:top w:val="single" w:sz="8" w:color="auto"/>
              <w:bottom w:val="single" w:sz="8" w:color="auto"/>
            </w:tcBorders>
          </w:tcPr>
          <w:p>
            <w:pPr>
              <w:spacing w:after="0"/>
              <w:rPr>
                <w:sz w:val="22"/>
                <w:szCs w:val="22"/>
                <w:color w:val="auto"/>
              </w:rPr>
            </w:pPr>
          </w:p>
        </w:tc>
        <w:tc>
          <w:tcPr>
            <w:tcW w:w="880" w:type="dxa"/>
            <w:vAlign w:val="bottom"/>
            <w:tcBorders>
              <w:top w:val="single" w:sz="8" w:color="auto"/>
              <w:bottom w:val="single" w:sz="8" w:color="auto"/>
            </w:tcBorders>
          </w:tcPr>
          <w:p>
            <w:pPr>
              <w:jc w:val="right"/>
              <w:ind w:right="611"/>
              <w:spacing w:after="0"/>
              <w:rPr>
                <w:sz w:val="20"/>
                <w:szCs w:val="20"/>
                <w:color w:val="auto"/>
              </w:rPr>
            </w:pPr>
            <w:r>
              <w:rPr>
                <w:rFonts w:ascii="Arial" w:cs="Arial" w:eastAsia="Arial" w:hAnsi="Arial"/>
                <w:sz w:val="14"/>
                <w:szCs w:val="14"/>
                <w:b w:val="1"/>
                <w:bCs w:val="1"/>
                <w:color w:val="auto"/>
              </w:rPr>
              <w:t>%</w:t>
            </w:r>
          </w:p>
        </w:tc>
      </w:tr>
      <w:tr>
        <w:trPr>
          <w:trHeight w:val="196"/>
        </w:trPr>
        <w:tc>
          <w:tcPr>
            <w:tcW w:w="2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620" w:type="dxa"/>
            <w:vAlign w:val="bottom"/>
            <w:gridSpan w:val="11"/>
          </w:tcPr>
          <w:p>
            <w:pPr>
              <w:jc w:val="right"/>
              <w:ind w:right="168"/>
              <w:spacing w:after="0"/>
              <w:rPr>
                <w:sz w:val="20"/>
                <w:szCs w:val="20"/>
                <w:color w:val="auto"/>
              </w:rPr>
            </w:pPr>
            <w:r>
              <w:rPr>
                <w:rFonts w:ascii="Arial" w:cs="Arial" w:eastAsia="Arial" w:hAnsi="Arial"/>
                <w:sz w:val="14"/>
                <w:szCs w:val="14"/>
                <w:b w:val="1"/>
                <w:bCs w:val="1"/>
                <w:color w:val="auto"/>
                <w:w w:val="91"/>
              </w:rPr>
              <w:t>(in thousands, except for percentages)</w:t>
            </w:r>
          </w:p>
        </w:tc>
        <w:tc>
          <w:tcPr>
            <w:tcW w:w="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256"/>
        </w:trPr>
        <w:tc>
          <w:tcPr>
            <w:tcW w:w="2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Neuro</w:t>
            </w:r>
          </w:p>
        </w:tc>
        <w:tc>
          <w:tcPr>
            <w:tcW w:w="200" w:type="dxa"/>
            <w:vAlign w:val="bottom"/>
            <w:tcBorders>
              <w:bottom w:val="single" w:sz="8" w:color="CCEEFF"/>
            </w:tcBorders>
            <w:shd w:val="clear" w:color="auto" w:fill="CCEEFF"/>
          </w:tcPr>
          <w:p>
            <w:pPr>
              <w:spacing w:after="0"/>
              <w:rPr>
                <w:sz w:val="22"/>
                <w:szCs w:val="22"/>
                <w:color w:val="auto"/>
              </w:rPr>
            </w:pPr>
          </w:p>
        </w:tc>
        <w:tc>
          <w:tcPr>
            <w:tcW w:w="7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w w:val="87"/>
              </w:rPr>
              <w:t>45,362</w:t>
            </w:r>
          </w:p>
        </w:tc>
        <w:tc>
          <w:tcPr>
            <w:tcW w:w="56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34,400</w:t>
            </w:r>
          </w:p>
        </w:tc>
        <w:tc>
          <w:tcPr>
            <w:tcW w:w="1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w w:val="90"/>
              </w:rPr>
              <w:t>10,962</w:t>
            </w:r>
          </w:p>
        </w:tc>
        <w:tc>
          <w:tcPr>
            <w:tcW w:w="8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31.9%</w:t>
            </w:r>
          </w:p>
        </w:tc>
      </w:tr>
      <w:tr>
        <w:trPr>
          <w:trHeight w:val="243"/>
        </w:trPr>
        <w:tc>
          <w:tcPr>
            <w:tcW w:w="2840" w:type="dxa"/>
            <w:vAlign w:val="bottom"/>
          </w:tcPr>
          <w:p>
            <w:pPr>
              <w:ind w:left="40"/>
              <w:spacing w:after="0"/>
              <w:rPr>
                <w:sz w:val="20"/>
                <w:szCs w:val="20"/>
                <w:color w:val="auto"/>
              </w:rPr>
            </w:pPr>
            <w:r>
              <w:rPr>
                <w:rFonts w:ascii="Arial" w:cs="Arial" w:eastAsia="Arial" w:hAnsi="Arial"/>
                <w:sz w:val="18"/>
                <w:szCs w:val="18"/>
                <w:color w:val="auto"/>
              </w:rPr>
              <w:t>Peripheral Vascular</w:t>
            </w:r>
          </w:p>
        </w:tc>
        <w:tc>
          <w:tcPr>
            <w:tcW w:w="20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540" w:type="dxa"/>
            <w:vAlign w:val="bottom"/>
            <w:gridSpan w:val="2"/>
          </w:tcPr>
          <w:p>
            <w:pPr>
              <w:ind w:left="40"/>
              <w:spacing w:after="0"/>
              <w:rPr>
                <w:sz w:val="20"/>
                <w:szCs w:val="20"/>
                <w:color w:val="auto"/>
              </w:rPr>
            </w:pPr>
            <w:r>
              <w:rPr>
                <w:rFonts w:ascii="Arial" w:cs="Arial" w:eastAsia="Arial" w:hAnsi="Arial"/>
                <w:sz w:val="18"/>
                <w:szCs w:val="18"/>
                <w:color w:val="auto"/>
                <w:w w:val="87"/>
              </w:rPr>
              <w:t>19,744</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7,911</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540" w:type="dxa"/>
            <w:vAlign w:val="bottom"/>
            <w:gridSpan w:val="3"/>
          </w:tcPr>
          <w:p>
            <w:pPr>
              <w:jc w:val="right"/>
              <w:spacing w:after="0"/>
              <w:rPr>
                <w:sz w:val="20"/>
                <w:szCs w:val="20"/>
                <w:color w:val="auto"/>
              </w:rPr>
            </w:pPr>
            <w:r>
              <w:rPr>
                <w:rFonts w:ascii="Arial" w:cs="Arial" w:eastAsia="Arial" w:hAnsi="Arial"/>
                <w:sz w:val="18"/>
                <w:szCs w:val="18"/>
                <w:color w:val="auto"/>
                <w:w w:val="90"/>
              </w:rPr>
              <w:t>11,833</w:t>
            </w:r>
          </w:p>
        </w:tc>
        <w:tc>
          <w:tcPr>
            <w:tcW w:w="8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149.6%</w:t>
            </w:r>
          </w:p>
        </w:tc>
      </w:tr>
      <w:tr>
        <w:trPr>
          <w:trHeight w:val="27"/>
        </w:trPr>
        <w:tc>
          <w:tcPr>
            <w:tcW w:w="284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7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8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gridSpan w:val="3"/>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880" w:type="dxa"/>
            <w:vAlign w:val="bottom"/>
            <w:tcBorders>
              <w:bottom w:val="single" w:sz="8" w:color="CCEEFF"/>
            </w:tcBorders>
          </w:tcPr>
          <w:p>
            <w:pPr>
              <w:spacing w:after="0"/>
              <w:rPr>
                <w:sz w:val="2"/>
                <w:szCs w:val="2"/>
                <w:color w:val="auto"/>
              </w:rPr>
            </w:pPr>
          </w:p>
        </w:tc>
      </w:tr>
      <w:tr>
        <w:trPr>
          <w:trHeight w:val="257"/>
        </w:trPr>
        <w:tc>
          <w:tcPr>
            <w:tcW w:w="28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200" w:type="dxa"/>
            <w:vAlign w:val="bottom"/>
            <w:shd w:val="clear" w:color="auto" w:fill="CCEEFF"/>
          </w:tcPr>
          <w:p>
            <w:pPr>
              <w:spacing w:after="0"/>
              <w:rPr>
                <w:sz w:val="22"/>
                <w:szCs w:val="22"/>
                <w:color w:val="auto"/>
              </w:rPr>
            </w:pPr>
          </w:p>
        </w:tc>
        <w:tc>
          <w:tcPr>
            <w:tcW w:w="7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8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spacing w:after="0"/>
              <w:rPr>
                <w:sz w:val="22"/>
                <w:szCs w:val="22"/>
                <w:color w:val="auto"/>
              </w:rPr>
            </w:pPr>
          </w:p>
        </w:tc>
        <w:tc>
          <w:tcPr>
            <w:tcW w:w="5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w w:val="87"/>
              </w:rPr>
              <w:t>65,106</w:t>
            </w:r>
          </w:p>
        </w:tc>
        <w:tc>
          <w:tcPr>
            <w:tcW w:w="5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42,311</w:t>
            </w: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spacing w:after="0"/>
              <w:rPr>
                <w:sz w:val="22"/>
                <w:szCs w:val="22"/>
                <w:color w:val="auto"/>
              </w:rPr>
            </w:pPr>
          </w:p>
        </w:tc>
        <w:tc>
          <w:tcPr>
            <w:tcW w:w="5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0"/>
              </w:rPr>
              <w:t>22,795</w:t>
            </w:r>
          </w:p>
        </w:tc>
        <w:tc>
          <w:tcPr>
            <w:tcW w:w="80" w:type="dxa"/>
            <w:vAlign w:val="bottom"/>
            <w:shd w:val="clear" w:color="auto" w:fill="CCEEFF"/>
          </w:tcPr>
          <w:p>
            <w:pPr>
              <w:spacing w:after="0"/>
              <w:rPr>
                <w:sz w:val="22"/>
                <w:szCs w:val="22"/>
                <w:color w:val="auto"/>
              </w:rPr>
            </w:pPr>
          </w:p>
        </w:tc>
        <w:tc>
          <w:tcPr>
            <w:tcW w:w="5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53.9%</w:t>
            </w:r>
          </w:p>
        </w:tc>
      </w:tr>
      <w:tr>
        <w:trPr>
          <w:trHeight w:val="20"/>
        </w:trPr>
        <w:tc>
          <w:tcPr>
            <w:tcW w:w="28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tcBorders>
          </w:tcPr>
          <w:p>
            <w:pPr>
              <w:spacing w:after="0" w:line="20" w:lineRule="exact"/>
              <w:rPr>
                <w:sz w:val="1"/>
                <w:szCs w:val="1"/>
                <w:color w:val="auto"/>
              </w:rPr>
            </w:pPr>
          </w:p>
        </w:tc>
      </w:tr>
    </w:tbl>
    <w:p>
      <w:pPr>
        <w:spacing w:after="0" w:line="94" w:lineRule="exact"/>
        <w:rPr>
          <w:sz w:val="20"/>
          <w:szCs w:val="20"/>
          <w:color w:val="auto"/>
        </w:rPr>
      </w:pPr>
    </w:p>
    <w:p>
      <w:pPr>
        <w:jc w:val="both"/>
        <w:ind w:right="300" w:firstLine="432"/>
        <w:spacing w:after="0" w:line="264" w:lineRule="auto"/>
        <w:rPr>
          <w:sz w:val="20"/>
          <w:szCs w:val="20"/>
          <w:color w:val="auto"/>
        </w:rPr>
      </w:pPr>
      <w:r>
        <w:rPr>
          <w:rFonts w:ascii="Arial" w:cs="Arial" w:eastAsia="Arial" w:hAnsi="Arial"/>
          <w:sz w:val="18"/>
          <w:szCs w:val="18"/>
          <w:color w:val="auto"/>
        </w:rPr>
        <w:t>Revenue increased $22.8 million, or 53.9%, to $65.1 million in the three months ended June 30, 2016, from $42.3 million in the three months ended June 30, 2015. Our revenue growth resulted from increased sales due to expansion of our salesforce headcount by 43%, further market penetration of our existing products and sales of new products or products with new</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125" w:right="23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indications. Increased sales within our neuro and peripheral vascular businesses each accounted for approximately half of the revenue increase in the three months ended June 30, 2016.</w:t>
      </w:r>
    </w:p>
    <w:p>
      <w:pPr>
        <w:spacing w:after="0" w:line="62" w:lineRule="exact"/>
        <w:rPr>
          <w:sz w:val="20"/>
          <w:szCs w:val="20"/>
          <w:color w:val="auto"/>
        </w:rPr>
      </w:pPr>
    </w:p>
    <w:p>
      <w:pPr>
        <w:ind w:right="100" w:firstLine="432"/>
        <w:spacing w:after="0" w:line="259" w:lineRule="auto"/>
        <w:rPr>
          <w:sz w:val="20"/>
          <w:szCs w:val="20"/>
          <w:color w:val="auto"/>
        </w:rPr>
      </w:pPr>
      <w:r>
        <w:rPr>
          <w:rFonts w:ascii="Arial" w:cs="Arial" w:eastAsia="Arial" w:hAnsi="Arial"/>
          <w:sz w:val="18"/>
          <w:szCs w:val="18"/>
          <w:color w:val="auto"/>
        </w:rPr>
        <w:t>Revenue from sales in the U. S. increased $16.1 million, or 58.2%, to $43.7 million in the three months ended June 30, 2016, from $27.6 million in the three months ended June 30, 2015. Revenue from sales in international markets increased $6.7 million, or 45.8%, to $21.4 million in the three months ended June 30, 2016, from $14.7 million in the three months ended June 30, 2015. Revenue from international sales represented 32.9% and 34.7% of our total revenue for the three months ended June 30, 2016 and 2015, respectively.</w:t>
      </w:r>
    </w:p>
    <w:p>
      <w:pPr>
        <w:spacing w:after="0" w:line="79" w:lineRule="exact"/>
        <w:rPr>
          <w:sz w:val="20"/>
          <w:szCs w:val="20"/>
          <w:color w:val="auto"/>
        </w:rPr>
      </w:pPr>
    </w:p>
    <w:p>
      <w:pPr>
        <w:ind w:right="120" w:firstLine="432"/>
        <w:spacing w:after="0" w:line="270" w:lineRule="auto"/>
        <w:rPr>
          <w:sz w:val="20"/>
          <w:szCs w:val="20"/>
          <w:color w:val="auto"/>
        </w:rPr>
      </w:pPr>
      <w:r>
        <w:rPr>
          <w:rFonts w:ascii="Arial" w:cs="Arial" w:eastAsia="Arial" w:hAnsi="Arial"/>
          <w:sz w:val="17"/>
          <w:szCs w:val="17"/>
          <w:color w:val="auto"/>
        </w:rPr>
        <w:t>Revenue from our neuro products increased $11.0 million, or 31.9%, to $45.4 million in the three months ended June 30, 2016, from $34.4 million in the three months ended June 30, 2015. Our neuro product sales experienced strong momentum due to further market penetration and growth in the market following the presentation and publication of MR. CLEAN trial results in the fourth quarter of 2014, and the presentation and publication of additional trial results in the first quarter of 2015, all of which support endovascular treatment of stroke. We believe that these published trial results have led to increases in the number of procedures performed by specialist physicians using our products. Increased sales of Penumbra System products accounted for slightly more than half of the neuro revenue increase in the three months ended June 30, 2016. Further, increased sales of our neuro embolization products accounted for approximately 30% of the neuro revenue increase period over period. This increase was due to greater demand for our neuro coil products, which can fluctuate from period to period due to the number of procedures performed in a given period using our products. Prices for our neuro products remained substantially flat during the period.</w:t>
      </w:r>
    </w:p>
    <w:p>
      <w:pPr>
        <w:spacing w:after="0" w:line="74" w:lineRule="exact"/>
        <w:rPr>
          <w:sz w:val="20"/>
          <w:szCs w:val="20"/>
          <w:color w:val="auto"/>
        </w:rPr>
      </w:pPr>
    </w:p>
    <w:p>
      <w:pPr>
        <w:ind w:right="20" w:firstLine="432"/>
        <w:spacing w:after="0" w:line="297" w:lineRule="auto"/>
        <w:rPr>
          <w:sz w:val="20"/>
          <w:szCs w:val="20"/>
          <w:color w:val="auto"/>
        </w:rPr>
      </w:pPr>
      <w:r>
        <w:rPr>
          <w:rFonts w:ascii="Arial" w:cs="Arial" w:eastAsia="Arial" w:hAnsi="Arial"/>
          <w:sz w:val="16"/>
          <w:szCs w:val="16"/>
          <w:color w:val="auto"/>
        </w:rPr>
        <w:t>Revenue from our peripheral vascular products increased $11.8 million, or 149.6%, to $19.7 million in the three months ended June 30, 2016, from $7.9 million in the three months ended June 30, 2015. Our peripheral embolization and peripheral thrombectomy products experienced strong volume growth in the period, primarily due to the focused efforts of our dedicated peripheral vascular salesforce, which was established in the second half of 2014, and further market penetration of our products. Increased sales of Indigo System products accounted for slightly more than two thirds of the peripheral vascular revenue increase in the three months ended June 30, 2016. Prices for our peripheral vascular products remained substantially flat during the period.</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Profit and Gross Margin</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2800" w:type="dxa"/>
            <w:vAlign w:val="bottom"/>
            <w:tcBorders>
              <w:bottom w:val="single" w:sz="8" w:color="auto"/>
            </w:tcBorders>
            <w:gridSpan w:val="4"/>
          </w:tcPr>
          <w:p>
            <w:pPr>
              <w:jc w:val="right"/>
              <w:ind w:right="557"/>
              <w:spacing w:after="0"/>
              <w:rPr>
                <w:sz w:val="20"/>
                <w:szCs w:val="20"/>
                <w:color w:val="auto"/>
              </w:rPr>
            </w:pPr>
            <w:r>
              <w:rPr>
                <w:rFonts w:ascii="Arial" w:cs="Arial" w:eastAsia="Arial" w:hAnsi="Arial"/>
                <w:sz w:val="14"/>
                <w:szCs w:val="14"/>
                <w:b w:val="1"/>
                <w:bCs w:val="1"/>
                <w:color w:val="auto"/>
              </w:rPr>
              <w:t>Three Months Ended June 30,</w:t>
            </w:r>
          </w:p>
        </w:tc>
        <w:tc>
          <w:tcPr>
            <w:tcW w:w="12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2"/>
          </w:tcPr>
          <w:p>
            <w:pPr>
              <w:ind w:left="920"/>
              <w:spacing w:after="0"/>
              <w:rPr>
                <w:sz w:val="20"/>
                <w:szCs w:val="20"/>
                <w:color w:val="auto"/>
              </w:rPr>
            </w:pPr>
            <w:r>
              <w:rPr>
                <w:rFonts w:ascii="Arial" w:cs="Arial" w:eastAsia="Arial" w:hAnsi="Arial"/>
                <w:sz w:val="14"/>
                <w:szCs w:val="14"/>
                <w:b w:val="1"/>
                <w:bCs w:val="1"/>
                <w:color w:val="auto"/>
              </w:rPr>
              <w:t>Change</w:t>
            </w: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2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37"/>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537"/>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w:t>
            </w:r>
          </w:p>
        </w:tc>
        <w:tc>
          <w:tcPr>
            <w:tcW w:w="5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616"/>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0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20" w:type="dxa"/>
            <w:vAlign w:val="bottom"/>
            <w:gridSpan w:val="5"/>
          </w:tcPr>
          <w:p>
            <w:pPr>
              <w:ind w:left="16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117"/>
              <w:spacing w:after="0"/>
              <w:rPr>
                <w:sz w:val="20"/>
                <w:szCs w:val="20"/>
                <w:color w:val="auto"/>
              </w:rPr>
            </w:pPr>
            <w:r>
              <w:rPr>
                <w:rFonts w:ascii="Arial" w:cs="Arial" w:eastAsia="Arial" w:hAnsi="Arial"/>
                <w:sz w:val="18"/>
                <w:szCs w:val="18"/>
                <w:color w:val="auto"/>
              </w:rPr>
              <w:t>23,636</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97"/>
              <w:spacing w:after="0"/>
              <w:rPr>
                <w:sz w:val="20"/>
                <w:szCs w:val="20"/>
                <w:color w:val="auto"/>
              </w:rPr>
            </w:pPr>
            <w:r>
              <w:rPr>
                <w:rFonts w:ascii="Arial" w:cs="Arial" w:eastAsia="Arial" w:hAnsi="Arial"/>
                <w:sz w:val="18"/>
                <w:szCs w:val="18"/>
                <w:color w:val="auto"/>
              </w:rPr>
              <w:t>14,936</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8"/>
                <w:szCs w:val="18"/>
                <w:color w:val="auto"/>
              </w:rPr>
              <w:t>8,700</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58.2%</w:t>
            </w:r>
          </w:p>
        </w:tc>
        <w:tc>
          <w:tcPr>
            <w:tcW w:w="0" w:type="dxa"/>
            <w:vAlign w:val="bottom"/>
          </w:tcPr>
          <w:p>
            <w:pPr>
              <w:spacing w:after="0"/>
              <w:rPr>
                <w:sz w:val="1"/>
                <w:szCs w:val="1"/>
                <w:color w:val="auto"/>
              </w:rPr>
            </w:pPr>
          </w:p>
        </w:tc>
      </w:tr>
      <w:tr>
        <w:trPr>
          <w:trHeight w:val="20"/>
        </w:trPr>
        <w:tc>
          <w:tcPr>
            <w:tcW w:w="5020" w:type="dxa"/>
            <w:vAlign w:val="bottom"/>
            <w:vMerge w:val="restart"/>
          </w:tcPr>
          <w:p>
            <w:pPr>
              <w:ind w:left="40"/>
              <w:spacing w:after="0"/>
              <w:rPr>
                <w:sz w:val="20"/>
                <w:szCs w:val="20"/>
                <w:color w:val="auto"/>
              </w:rPr>
            </w:pPr>
            <w:r>
              <w:rPr>
                <w:rFonts w:ascii="Arial" w:cs="Arial" w:eastAsia="Arial" w:hAnsi="Arial"/>
                <w:sz w:val="18"/>
                <w:szCs w:val="18"/>
                <w:color w:val="auto"/>
              </w:rPr>
              <w:t>Gross profit</w:t>
            </w:r>
          </w:p>
        </w:tc>
        <w:tc>
          <w:tcPr>
            <w:tcW w:w="3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5020" w:type="dxa"/>
            <w:vAlign w:val="bottom"/>
            <w:vMerge w:val="continue"/>
          </w:tcPr>
          <w:p>
            <w:pPr>
              <w:spacing w:after="0"/>
              <w:rPr>
                <w:sz w:val="24"/>
                <w:szCs w:val="24"/>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17"/>
              <w:spacing w:after="0"/>
              <w:rPr>
                <w:sz w:val="20"/>
                <w:szCs w:val="20"/>
                <w:color w:val="auto"/>
              </w:rPr>
            </w:pPr>
            <w:r>
              <w:rPr>
                <w:rFonts w:ascii="Arial" w:cs="Arial" w:eastAsia="Arial" w:hAnsi="Arial"/>
                <w:sz w:val="18"/>
                <w:szCs w:val="18"/>
                <w:color w:val="auto"/>
              </w:rPr>
              <w:t>41,470</w:t>
            </w:r>
          </w:p>
        </w:tc>
        <w:tc>
          <w:tcPr>
            <w:tcW w:w="100" w:type="dxa"/>
            <w:vAlign w:val="bottom"/>
          </w:tcPr>
          <w:p>
            <w:pPr>
              <w:spacing w:after="0"/>
              <w:rPr>
                <w:sz w:val="24"/>
                <w:szCs w:val="24"/>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97"/>
              <w:spacing w:after="0"/>
              <w:rPr>
                <w:sz w:val="20"/>
                <w:szCs w:val="20"/>
                <w:color w:val="auto"/>
              </w:rPr>
            </w:pPr>
            <w:r>
              <w:rPr>
                <w:rFonts w:ascii="Arial" w:cs="Arial" w:eastAsia="Arial" w:hAnsi="Arial"/>
                <w:sz w:val="18"/>
                <w:szCs w:val="18"/>
                <w:color w:val="auto"/>
              </w:rPr>
              <w:t>27,375</w:t>
            </w:r>
          </w:p>
        </w:tc>
        <w:tc>
          <w:tcPr>
            <w:tcW w:w="52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39"/>
              <w:spacing w:after="0"/>
              <w:rPr>
                <w:sz w:val="20"/>
                <w:szCs w:val="20"/>
                <w:color w:val="auto"/>
              </w:rPr>
            </w:pPr>
            <w:r>
              <w:rPr>
                <w:rFonts w:ascii="Arial" w:cs="Arial" w:eastAsia="Arial" w:hAnsi="Arial"/>
                <w:sz w:val="18"/>
                <w:szCs w:val="18"/>
                <w:color w:val="auto"/>
              </w:rPr>
              <w:t>14,095</w:t>
            </w:r>
          </w:p>
        </w:tc>
        <w:tc>
          <w:tcPr>
            <w:tcW w:w="56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51.5%</w:t>
            </w:r>
          </w:p>
        </w:tc>
        <w:tc>
          <w:tcPr>
            <w:tcW w:w="0" w:type="dxa"/>
            <w:vAlign w:val="bottom"/>
          </w:tcPr>
          <w:p>
            <w:pPr>
              <w:spacing w:after="0"/>
              <w:rPr>
                <w:sz w:val="1"/>
                <w:szCs w:val="1"/>
                <w:color w:val="auto"/>
              </w:rPr>
            </w:pPr>
          </w:p>
        </w:tc>
      </w:tr>
      <w:tr>
        <w:trPr>
          <w:trHeight w:val="262"/>
        </w:trPr>
        <w:tc>
          <w:tcPr>
            <w:tcW w:w="5020" w:type="dxa"/>
            <w:vAlign w:val="bottom"/>
            <w:tcBorders>
              <w:top w:val="single" w:sz="8" w:color="CCEEFF"/>
              <w:bottom w:val="single" w:sz="8" w:color="CCEEFF"/>
            </w:tcBorders>
            <w:shd w:val="clear" w:color="auto" w:fill="CCEEFF"/>
          </w:tcPr>
          <w:p>
            <w:pPr>
              <w:ind w:left="40"/>
              <w:spacing w:after="0" w:line="203" w:lineRule="exact"/>
              <w:rPr>
                <w:sz w:val="20"/>
                <w:szCs w:val="20"/>
                <w:color w:val="auto"/>
              </w:rPr>
            </w:pPr>
            <w:r>
              <w:rPr>
                <w:rFonts w:ascii="Arial" w:cs="Arial" w:eastAsia="Arial" w:hAnsi="Arial"/>
                <w:sz w:val="18"/>
                <w:szCs w:val="18"/>
                <w:color w:val="auto"/>
              </w:rPr>
              <w:t>Gross margin %</w:t>
            </w:r>
          </w:p>
        </w:tc>
        <w:tc>
          <w:tcPr>
            <w:tcW w:w="380" w:type="dxa"/>
            <w:vAlign w:val="bottom"/>
            <w:tcBorders>
              <w:top w:val="single" w:sz="8" w:color="auto"/>
              <w:bottom w:val="single" w:sz="8" w:color="CCEEFF"/>
            </w:tcBorders>
            <w:shd w:val="clear" w:color="auto" w:fill="CCEEFF"/>
          </w:tcPr>
          <w:p>
            <w:pPr>
              <w:spacing w:after="0"/>
              <w:rPr>
                <w:sz w:val="22"/>
                <w:szCs w:val="22"/>
                <w:color w:val="auto"/>
              </w:rPr>
            </w:pPr>
          </w:p>
        </w:tc>
        <w:tc>
          <w:tcPr>
            <w:tcW w:w="1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63.7%</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260" w:type="dxa"/>
            <w:vAlign w:val="bottom"/>
            <w:tcBorders>
              <w:top w:val="single" w:sz="8" w:color="auto"/>
              <w:bottom w:val="single" w:sz="8" w:color="CCEEFF"/>
            </w:tcBorders>
            <w:shd w:val="clear" w:color="auto" w:fill="CCEEFF"/>
          </w:tcPr>
          <w:p>
            <w:pPr>
              <w:spacing w:after="0"/>
              <w:rPr>
                <w:sz w:val="22"/>
                <w:szCs w:val="22"/>
                <w:color w:val="auto"/>
              </w:rPr>
            </w:pPr>
          </w:p>
        </w:tc>
        <w:tc>
          <w:tcPr>
            <w:tcW w:w="12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64.7%</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400" w:type="dxa"/>
            <w:vAlign w:val="bottom"/>
            <w:tcBorders>
              <w:top w:val="single" w:sz="8" w:color="auto"/>
              <w:bottom w:val="single" w:sz="8" w:color="CCEEFF"/>
            </w:tcBorders>
            <w:shd w:val="clear" w:color="auto" w:fill="CCEEFF"/>
          </w:tcPr>
          <w:p>
            <w:pPr>
              <w:spacing w:after="0"/>
              <w:rPr>
                <w:sz w:val="22"/>
                <w:szCs w:val="22"/>
                <w:color w:val="auto"/>
              </w:rPr>
            </w:pPr>
          </w:p>
        </w:tc>
        <w:tc>
          <w:tcPr>
            <w:tcW w:w="1060" w:type="dxa"/>
            <w:vAlign w:val="bottom"/>
            <w:tcBorders>
              <w:top w:val="single" w:sz="8" w:color="auto"/>
              <w:bottom w:val="single" w:sz="8" w:color="CCEEFF"/>
            </w:tcBorders>
            <w:shd w:val="clear" w:color="auto" w:fill="CCEEFF"/>
          </w:tcPr>
          <w:p>
            <w:pPr>
              <w:spacing w:after="0"/>
              <w:rPr>
                <w:sz w:val="22"/>
                <w:szCs w:val="22"/>
                <w:color w:val="auto"/>
              </w:rPr>
            </w:pPr>
          </w:p>
        </w:tc>
        <w:tc>
          <w:tcPr>
            <w:tcW w:w="560" w:type="dxa"/>
            <w:vAlign w:val="bottom"/>
            <w:tcBorders>
              <w:top w:val="single" w:sz="8" w:color="CCEEFF"/>
              <w:bottom w:val="single" w:sz="8" w:color="CCEEFF"/>
            </w:tcBorders>
            <w:shd w:val="clear" w:color="auto" w:fill="CCEEFF"/>
          </w:tcPr>
          <w:p>
            <w:pPr>
              <w:spacing w:after="0"/>
              <w:rPr>
                <w:sz w:val="22"/>
                <w:szCs w:val="22"/>
                <w:color w:val="auto"/>
              </w:rPr>
            </w:pPr>
          </w:p>
        </w:tc>
        <w:tc>
          <w:tcPr>
            <w:tcW w:w="1080" w:type="dxa"/>
            <w:vAlign w:val="bottom"/>
            <w:tcBorders>
              <w:top w:val="single" w:sz="8" w:color="CCEEFF"/>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50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right="60" w:firstLine="432"/>
        <w:spacing w:after="0" w:line="342" w:lineRule="auto"/>
        <w:rPr>
          <w:sz w:val="20"/>
          <w:szCs w:val="20"/>
          <w:color w:val="auto"/>
        </w:rPr>
      </w:pPr>
      <w:r>
        <w:rPr>
          <w:rFonts w:ascii="Arial" w:cs="Arial" w:eastAsia="Arial" w:hAnsi="Arial"/>
          <w:sz w:val="16"/>
          <w:szCs w:val="16"/>
          <w:color w:val="auto"/>
        </w:rPr>
        <w:t>Gross profit increased $14.1 million, or 51.5%, to $41.5 million in the three months ended June 30, 2016, from $27.4 million in the three months ended June 30, 2015. The increase in gross profit was primarily due to an increase in revenue from sales of our neuro and peripheral vascular products.</w:t>
      </w:r>
    </w:p>
    <w:p>
      <w:pPr>
        <w:spacing w:after="0" w:line="16" w:lineRule="exact"/>
        <w:rPr>
          <w:sz w:val="20"/>
          <w:szCs w:val="20"/>
          <w:color w:val="auto"/>
        </w:rPr>
      </w:pPr>
    </w:p>
    <w:p>
      <w:pPr>
        <w:ind w:right="140" w:firstLine="432"/>
        <w:spacing w:after="0" w:line="264" w:lineRule="auto"/>
        <w:rPr>
          <w:sz w:val="20"/>
          <w:szCs w:val="20"/>
          <w:color w:val="auto"/>
        </w:rPr>
      </w:pPr>
      <w:r>
        <w:rPr>
          <w:rFonts w:ascii="Arial" w:cs="Arial" w:eastAsia="Arial" w:hAnsi="Arial"/>
          <w:sz w:val="18"/>
          <w:szCs w:val="18"/>
          <w:color w:val="auto"/>
        </w:rPr>
        <w:t>Gross margin decreased 1.0 percentage point to 63.7% in the three months ended June 30, 2016, from 64.7% in the three months ended June 30, 2015. The decrease in gross margin was due to geographic and product mix, new product launches and additional costs associated with hiring and training additional personnel.</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(R&amp;D)</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20" w:type="dxa"/>
            <w:vAlign w:val="bottom"/>
          </w:tcPr>
          <w:p>
            <w:pPr>
              <w:spacing w:after="0"/>
              <w:rPr>
                <w:sz w:val="16"/>
                <w:szCs w:val="16"/>
                <w:color w:val="auto"/>
              </w:rPr>
            </w:pPr>
          </w:p>
        </w:tc>
        <w:tc>
          <w:tcPr>
            <w:tcW w:w="258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Three Months Ended June 30,</w:t>
            </w:r>
          </w:p>
        </w:tc>
        <w:tc>
          <w:tcPr>
            <w:tcW w:w="6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2"/>
          </w:tcPr>
          <w:p>
            <w:pPr>
              <w:ind w:left="920"/>
              <w:spacing w:after="0"/>
              <w:rPr>
                <w:sz w:val="20"/>
                <w:szCs w:val="20"/>
                <w:color w:val="auto"/>
              </w:rPr>
            </w:pPr>
            <w:r>
              <w:rPr>
                <w:rFonts w:ascii="Arial" w:cs="Arial" w:eastAsia="Arial" w:hAnsi="Arial"/>
                <w:sz w:val="14"/>
                <w:szCs w:val="14"/>
                <w:b w:val="1"/>
                <w:bCs w:val="1"/>
                <w:color w:val="auto"/>
              </w:rPr>
              <w:t>Change</w:t>
            </w: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20" w:type="dxa"/>
            <w:vAlign w:val="bottom"/>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2016</w:t>
            </w:r>
          </w:p>
        </w:tc>
        <w:tc>
          <w:tcPr>
            <w:tcW w:w="6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2015</w:t>
            </w:r>
          </w:p>
        </w:tc>
        <w:tc>
          <w:tcPr>
            <w:tcW w:w="60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622"/>
              <w:spacing w:after="0"/>
              <w:rPr>
                <w:sz w:val="20"/>
                <w:szCs w:val="20"/>
                <w:color w:val="auto"/>
              </w:rPr>
            </w:pPr>
            <w:r>
              <w:rPr>
                <w:rFonts w:ascii="Arial" w:cs="Arial" w:eastAsia="Arial" w:hAnsi="Arial"/>
                <w:sz w:val="14"/>
                <w:szCs w:val="14"/>
                <w:b w:val="1"/>
                <w:bCs w:val="1"/>
                <w:color w:val="auto"/>
              </w:rPr>
              <w:t>$</w:t>
            </w:r>
          </w:p>
        </w:tc>
        <w:tc>
          <w:tcPr>
            <w:tcW w:w="5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0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80" w:type="dxa"/>
            <w:vAlign w:val="bottom"/>
            <w:gridSpan w:val="6"/>
          </w:tcPr>
          <w:p>
            <w:pPr>
              <w:ind w:left="42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R&amp;D</w:t>
            </w:r>
          </w:p>
        </w:tc>
        <w:tc>
          <w:tcPr>
            <w:tcW w:w="920" w:type="dxa"/>
            <w:vAlign w:val="bottom"/>
            <w:tcBorders>
              <w:bottom w:val="single" w:sz="8" w:color="auto"/>
            </w:tcBorders>
            <w:shd w:val="clear" w:color="auto" w:fill="CCEEFF"/>
          </w:tcPr>
          <w:p>
            <w:pPr>
              <w:jc w:val="right"/>
              <w:ind w:right="722"/>
              <w:spacing w:after="0"/>
              <w:rPr>
                <w:sz w:val="20"/>
                <w:szCs w:val="20"/>
                <w:color w:val="auto"/>
              </w:rPr>
            </w:pPr>
            <w:r>
              <w:rPr>
                <w:rFonts w:ascii="Arial" w:cs="Arial" w:eastAsia="Arial" w:hAnsi="Arial"/>
                <w:sz w:val="18"/>
                <w:szCs w:val="18"/>
                <w:color w:val="auto"/>
                <w:w w:val="99"/>
              </w:rPr>
              <w:t>$</w:t>
            </w:r>
          </w:p>
        </w:tc>
        <w:tc>
          <w:tcPr>
            <w:tcW w:w="6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88"/>
              </w:rPr>
              <w:t>6,264</w:t>
            </w:r>
          </w:p>
        </w:tc>
        <w:tc>
          <w:tcPr>
            <w:tcW w:w="1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ind w:right="742"/>
              <w:spacing w:after="0"/>
              <w:rPr>
                <w:sz w:val="20"/>
                <w:szCs w:val="20"/>
                <w:color w:val="auto"/>
              </w:rPr>
            </w:pPr>
            <w:r>
              <w:rPr>
                <w:rFonts w:ascii="Arial" w:cs="Arial" w:eastAsia="Arial" w:hAnsi="Arial"/>
                <w:sz w:val="18"/>
                <w:szCs w:val="18"/>
                <w:color w:val="auto"/>
                <w:w w:val="99"/>
              </w:rPr>
              <w:t>$</w:t>
            </w:r>
          </w:p>
        </w:tc>
        <w:tc>
          <w:tcPr>
            <w:tcW w:w="6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88"/>
              </w:rPr>
              <w:t>4,792</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8"/>
                <w:szCs w:val="18"/>
                <w:color w:val="auto"/>
              </w:rPr>
              <w:t>1,472</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30.7%</w:t>
            </w:r>
          </w:p>
        </w:tc>
        <w:tc>
          <w:tcPr>
            <w:tcW w:w="0" w:type="dxa"/>
            <w:vAlign w:val="bottom"/>
          </w:tcPr>
          <w:p>
            <w:pPr>
              <w:spacing w:after="0"/>
              <w:rPr>
                <w:sz w:val="1"/>
                <w:szCs w:val="1"/>
                <w:color w:val="auto"/>
              </w:rPr>
            </w:pPr>
          </w:p>
        </w:tc>
      </w:tr>
      <w:tr>
        <w:trPr>
          <w:trHeight w:val="20"/>
        </w:trPr>
        <w:tc>
          <w:tcPr>
            <w:tcW w:w="5020" w:type="dxa"/>
            <w:vAlign w:val="bottom"/>
            <w:vMerge w:val="restart"/>
          </w:tcPr>
          <w:p>
            <w:pPr>
              <w:ind w:left="180"/>
              <w:spacing w:after="0"/>
              <w:rPr>
                <w:sz w:val="20"/>
                <w:szCs w:val="20"/>
                <w:color w:val="auto"/>
              </w:rPr>
            </w:pPr>
            <w:r>
              <w:rPr>
                <w:rFonts w:ascii="Arial" w:cs="Arial" w:eastAsia="Arial" w:hAnsi="Arial"/>
                <w:sz w:val="18"/>
                <w:szCs w:val="18"/>
                <w:i w:val="1"/>
                <w:iCs w:val="1"/>
                <w:color w:val="auto"/>
              </w:rPr>
              <w:t>R&amp;D as a percentage of revenue</w:t>
            </w:r>
          </w:p>
        </w:tc>
        <w:tc>
          <w:tcPr>
            <w:tcW w:w="9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020" w:type="dxa"/>
            <w:vAlign w:val="bottom"/>
            <w:vMerge w:val="continue"/>
          </w:tcPr>
          <w:p>
            <w:pPr>
              <w:spacing w:after="0"/>
              <w:rPr>
                <w:sz w:val="20"/>
                <w:szCs w:val="20"/>
                <w:color w:val="auto"/>
              </w:rPr>
            </w:pPr>
          </w:p>
        </w:tc>
        <w:tc>
          <w:tcPr>
            <w:tcW w:w="92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Arial" w:cs="Arial" w:eastAsia="Arial" w:hAnsi="Arial"/>
                <w:sz w:val="18"/>
                <w:szCs w:val="18"/>
                <w:i w:val="1"/>
                <w:iCs w:val="1"/>
                <w:color w:val="auto"/>
              </w:rPr>
              <w:t>9.6%</w:t>
            </w:r>
          </w:p>
        </w:tc>
        <w:tc>
          <w:tcPr>
            <w:tcW w:w="1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i w:val="1"/>
                <w:iCs w:val="1"/>
                <w:color w:val="auto"/>
              </w:rPr>
              <w:t>11.3%</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21" w:lineRule="exact"/>
        <w:rPr>
          <w:sz w:val="20"/>
          <w:szCs w:val="20"/>
          <w:color w:val="auto"/>
        </w:rPr>
      </w:pPr>
    </w:p>
    <w:p>
      <w:pPr>
        <w:jc w:val="both"/>
        <w:ind w:right="360" w:firstLine="432"/>
        <w:spacing w:after="0" w:line="312" w:lineRule="auto"/>
        <w:rPr>
          <w:sz w:val="20"/>
          <w:szCs w:val="20"/>
          <w:color w:val="auto"/>
        </w:rPr>
      </w:pPr>
      <w:r>
        <w:rPr>
          <w:rFonts w:ascii="Arial" w:cs="Arial" w:eastAsia="Arial" w:hAnsi="Arial"/>
          <w:sz w:val="16"/>
          <w:szCs w:val="16"/>
          <w:color w:val="auto"/>
        </w:rPr>
        <w:t>R&amp;D expenses increased by $1.5 million, or 30.7%, to $6.3 million in the three months ended June 30, 2016, from $4.8 million in the three months ended June 30, 2015. The increase was primarily due to a $0.6 million increase in consultant and contractor expenses, $0.4 million increase in personnel-related expense due to a 43% increase in headcount and a $0.3 million increase in facilities and information technology expense.</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125" w:right="23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General and Administrative (SG&amp;A)</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920" w:type="dxa"/>
            <w:vAlign w:val="bottom"/>
            <w:gridSpan w:val="5"/>
          </w:tcPr>
          <w:p>
            <w:pPr>
              <w:ind w:left="300"/>
              <w:spacing w:after="0"/>
              <w:rPr>
                <w:sz w:val="20"/>
                <w:szCs w:val="20"/>
                <w:color w:val="auto"/>
              </w:rPr>
            </w:pPr>
            <w:r>
              <w:rPr>
                <w:rFonts w:ascii="Arial" w:cs="Arial" w:eastAsia="Arial" w:hAnsi="Arial"/>
                <w:sz w:val="14"/>
                <w:szCs w:val="14"/>
                <w:b w:val="1"/>
                <w:bCs w:val="1"/>
                <w:color w:val="auto"/>
              </w:rPr>
              <w:t>Three Months Ended June 30,</w:t>
            </w:r>
          </w:p>
        </w:tc>
        <w:tc>
          <w:tcPr>
            <w:tcW w:w="400" w:type="dxa"/>
            <w:vAlign w:val="bottom"/>
          </w:tcPr>
          <w:p>
            <w:pPr>
              <w:spacing w:after="0"/>
              <w:rPr>
                <w:sz w:val="16"/>
                <w:szCs w:val="16"/>
                <w:color w:val="auto"/>
              </w:rPr>
            </w:pPr>
          </w:p>
        </w:tc>
        <w:tc>
          <w:tcPr>
            <w:tcW w:w="1620" w:type="dxa"/>
            <w:vAlign w:val="bottom"/>
            <w:gridSpan w:val="2"/>
          </w:tcPr>
          <w:p>
            <w:pPr>
              <w:ind w:left="920"/>
              <w:spacing w:after="0"/>
              <w:rPr>
                <w:sz w:val="20"/>
                <w:szCs w:val="20"/>
                <w:color w:val="auto"/>
              </w:rPr>
            </w:pPr>
            <w:r>
              <w:rPr>
                <w:rFonts w:ascii="Arial" w:cs="Arial" w:eastAsia="Arial" w:hAnsi="Arial"/>
                <w:sz w:val="14"/>
                <w:szCs w:val="14"/>
                <w:b w:val="1"/>
                <w:bCs w:val="1"/>
                <w:color w:val="auto"/>
              </w:rPr>
              <w:t>Change</w:t>
            </w: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20" w:type="dxa"/>
            <w:vAlign w:val="bottom"/>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16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top w:val="single" w:sz="8" w:color="auto"/>
              <w:bottom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auto"/>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622"/>
              <w:spacing w:after="0"/>
              <w:rPr>
                <w:sz w:val="20"/>
                <w:szCs w:val="20"/>
                <w:color w:val="auto"/>
              </w:rPr>
            </w:pPr>
            <w:r>
              <w:rPr>
                <w:rFonts w:ascii="Arial" w:cs="Arial" w:eastAsia="Arial" w:hAnsi="Arial"/>
                <w:sz w:val="14"/>
                <w:szCs w:val="14"/>
                <w:b w:val="1"/>
                <w:bCs w:val="1"/>
                <w:color w:val="auto"/>
              </w:rPr>
              <w:t>$</w:t>
            </w:r>
          </w:p>
        </w:tc>
        <w:tc>
          <w:tcPr>
            <w:tcW w:w="56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0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20" w:type="dxa"/>
            <w:vAlign w:val="bottom"/>
            <w:gridSpan w:val="5"/>
          </w:tcPr>
          <w:p>
            <w:pPr>
              <w:ind w:left="16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SG&amp;A</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8"/>
                <w:szCs w:val="18"/>
                <w:color w:val="auto"/>
              </w:rPr>
              <w:t>35,876</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8"/>
                <w:szCs w:val="18"/>
                <w:color w:val="auto"/>
              </w:rPr>
              <w:t>26,396</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8"/>
                <w:szCs w:val="18"/>
                <w:color w:val="auto"/>
              </w:rPr>
              <w:t>9,480</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35.9%</w:t>
            </w:r>
          </w:p>
        </w:tc>
        <w:tc>
          <w:tcPr>
            <w:tcW w:w="0" w:type="dxa"/>
            <w:vAlign w:val="bottom"/>
          </w:tcPr>
          <w:p>
            <w:pPr>
              <w:spacing w:after="0"/>
              <w:rPr>
                <w:sz w:val="1"/>
                <w:szCs w:val="1"/>
                <w:color w:val="auto"/>
              </w:rPr>
            </w:pPr>
          </w:p>
        </w:tc>
      </w:tr>
      <w:tr>
        <w:trPr>
          <w:trHeight w:val="20"/>
        </w:trPr>
        <w:tc>
          <w:tcPr>
            <w:tcW w:w="5020" w:type="dxa"/>
            <w:vAlign w:val="bottom"/>
            <w:vMerge w:val="restart"/>
          </w:tcPr>
          <w:p>
            <w:pPr>
              <w:ind w:left="180"/>
              <w:spacing w:after="0"/>
              <w:rPr>
                <w:sz w:val="20"/>
                <w:szCs w:val="20"/>
                <w:color w:val="auto"/>
              </w:rPr>
            </w:pPr>
            <w:r>
              <w:rPr>
                <w:rFonts w:ascii="Arial" w:cs="Arial" w:eastAsia="Arial" w:hAnsi="Arial"/>
                <w:sz w:val="18"/>
                <w:szCs w:val="18"/>
                <w:i w:val="1"/>
                <w:iCs w:val="1"/>
                <w:color w:val="auto"/>
              </w:rPr>
              <w:t>SG&amp;A as a percentage of revenue</w:t>
            </w:r>
          </w:p>
        </w:tc>
        <w:tc>
          <w:tcPr>
            <w:tcW w:w="3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020" w:type="dxa"/>
            <w:vAlign w:val="bottom"/>
            <w:vMerge w:val="continue"/>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8"/>
                <w:szCs w:val="18"/>
                <w:i w:val="1"/>
                <w:iCs w:val="1"/>
                <w:color w:val="auto"/>
              </w:rPr>
              <w:t>55.1%</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62.4%</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21" w:lineRule="exact"/>
        <w:rPr>
          <w:sz w:val="20"/>
          <w:szCs w:val="20"/>
          <w:color w:val="auto"/>
        </w:rPr>
      </w:pPr>
    </w:p>
    <w:p>
      <w:pPr>
        <w:ind w:right="80" w:firstLine="432"/>
        <w:spacing w:after="0" w:line="286" w:lineRule="auto"/>
        <w:rPr>
          <w:sz w:val="20"/>
          <w:szCs w:val="20"/>
          <w:color w:val="auto"/>
        </w:rPr>
      </w:pPr>
      <w:r>
        <w:rPr>
          <w:rFonts w:ascii="Arial" w:cs="Arial" w:eastAsia="Arial" w:hAnsi="Arial"/>
          <w:sz w:val="17"/>
          <w:szCs w:val="17"/>
          <w:color w:val="auto"/>
        </w:rPr>
        <w:t>SG&amp;A expenses increased by $9.5 million, or 35.9%, to $35.9 million in the three months ended June 30, 2016, from $26.4 million in the three months ended June 30, 2015. The increase was primarily due to a $5.2 million increase in personnel-related expense due to a 44% increase in headcount, a $1.1 million increase in travel-related expenses and a $1.1 million increase in facilities and information technology expense.</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 for Income Taxes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00" w:type="dxa"/>
            <w:vAlign w:val="bottom"/>
          </w:tcPr>
          <w:p>
            <w:pPr>
              <w:spacing w:after="0"/>
              <w:rPr>
                <w:sz w:val="16"/>
                <w:szCs w:val="16"/>
                <w:color w:val="auto"/>
              </w:rPr>
            </w:pPr>
          </w:p>
        </w:tc>
        <w:tc>
          <w:tcPr>
            <w:tcW w:w="3280" w:type="dxa"/>
            <w:vAlign w:val="bottom"/>
            <w:gridSpan w:val="6"/>
          </w:tcPr>
          <w:p>
            <w:pPr>
              <w:ind w:left="680"/>
              <w:spacing w:after="0"/>
              <w:rPr>
                <w:sz w:val="20"/>
                <w:szCs w:val="20"/>
                <w:color w:val="auto"/>
              </w:rPr>
            </w:pPr>
            <w:r>
              <w:rPr>
                <w:rFonts w:ascii="Arial" w:cs="Arial" w:eastAsia="Arial" w:hAnsi="Arial"/>
                <w:sz w:val="14"/>
                <w:szCs w:val="14"/>
                <w:b w:val="1"/>
                <w:bCs w:val="1"/>
                <w:color w:val="auto"/>
              </w:rPr>
              <w:t>Three Months Ended June 30,</w:t>
            </w:r>
          </w:p>
        </w:tc>
        <w:tc>
          <w:tcPr>
            <w:tcW w:w="4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800" w:type="dxa"/>
            <w:vAlign w:val="bottom"/>
            <w:gridSpan w:val="2"/>
          </w:tcPr>
          <w:p>
            <w:pPr>
              <w:jc w:val="right"/>
              <w:ind w:right="1320"/>
              <w:spacing w:after="0"/>
              <w:rPr>
                <w:sz w:val="20"/>
                <w:szCs w:val="20"/>
                <w:color w:val="auto"/>
              </w:rPr>
            </w:pPr>
            <w:r>
              <w:rPr>
                <w:rFonts w:ascii="Arial" w:cs="Arial" w:eastAsia="Arial" w:hAnsi="Arial"/>
                <w:sz w:val="14"/>
                <w:szCs w:val="14"/>
                <w:b w:val="1"/>
                <w:bCs w:val="1"/>
                <w:color w:val="auto"/>
                <w:w w:val="89"/>
              </w:rPr>
              <w:t>Change</w:t>
            </w:r>
          </w:p>
        </w:tc>
        <w:tc>
          <w:tcPr>
            <w:tcW w:w="0" w:type="dxa"/>
            <w:vAlign w:val="bottom"/>
          </w:tcPr>
          <w:p>
            <w:pPr>
              <w:spacing w:after="0"/>
              <w:rPr>
                <w:sz w:val="1"/>
                <w:szCs w:val="1"/>
                <w:color w:val="auto"/>
              </w:rPr>
            </w:pPr>
          </w:p>
        </w:tc>
      </w:tr>
      <w:tr>
        <w:trPr>
          <w:trHeight w:val="264"/>
        </w:trPr>
        <w:tc>
          <w:tcPr>
            <w:tcW w:w="5000" w:type="dxa"/>
            <w:vAlign w:val="bottom"/>
          </w:tcPr>
          <w:p>
            <w:pPr>
              <w:spacing w:after="0"/>
              <w:rPr>
                <w:sz w:val="22"/>
                <w:szCs w:val="22"/>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2016</w:t>
            </w:r>
          </w:p>
        </w:tc>
        <w:tc>
          <w:tcPr>
            <w:tcW w:w="62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26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auto"/>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499"/>
              <w:spacing w:after="0"/>
              <w:rPr>
                <w:sz w:val="20"/>
                <w:szCs w:val="20"/>
                <w:color w:val="auto"/>
              </w:rPr>
            </w:pPr>
            <w:r>
              <w:rPr>
                <w:rFonts w:ascii="Arial" w:cs="Arial" w:eastAsia="Arial" w:hAnsi="Arial"/>
                <w:sz w:val="14"/>
                <w:szCs w:val="14"/>
                <w:b w:val="1"/>
                <w:bCs w:val="1"/>
                <w:color w:val="auto"/>
              </w:rPr>
              <w:t>$</w:t>
            </w:r>
          </w:p>
        </w:tc>
        <w:tc>
          <w:tcPr>
            <w:tcW w:w="1800" w:type="dxa"/>
            <w:vAlign w:val="bottom"/>
            <w:tcBorders>
              <w:top w:val="single" w:sz="8" w:color="auto"/>
              <w:bottom w:val="single" w:sz="8" w:color="auto"/>
            </w:tcBorders>
            <w:gridSpan w:val="2"/>
          </w:tcPr>
          <w:p>
            <w:pPr>
              <w:jc w:val="right"/>
              <w:ind w:right="72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0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700" w:type="dxa"/>
            <w:vAlign w:val="bottom"/>
            <w:gridSpan w:val="4"/>
          </w:tcPr>
          <w:p>
            <w:pPr>
              <w:jc w:val="right"/>
              <w:ind w:right="159"/>
              <w:spacing w:after="0"/>
              <w:rPr>
                <w:sz w:val="20"/>
                <w:szCs w:val="20"/>
                <w:color w:val="auto"/>
              </w:rPr>
            </w:pPr>
            <w:r>
              <w:rPr>
                <w:rFonts w:ascii="Arial" w:cs="Arial" w:eastAsia="Arial" w:hAnsi="Arial"/>
                <w:sz w:val="14"/>
                <w:szCs w:val="14"/>
                <w:b w:val="1"/>
                <w:bCs w:val="1"/>
                <w:color w:val="auto"/>
                <w:w w:val="94"/>
              </w:rPr>
              <w:t>(in thousands, except for percentages)</w:t>
            </w: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5000" w:type="dxa"/>
            <w:vAlign w:val="bottom"/>
            <w:shd w:val="clear" w:color="auto" w:fill="CCEEFF"/>
          </w:tcPr>
          <w:p>
            <w:pPr>
              <w:ind w:left="40"/>
              <w:spacing w:after="0"/>
              <w:rPr>
                <w:sz w:val="20"/>
                <w:szCs w:val="20"/>
                <w:color w:val="auto"/>
              </w:rPr>
            </w:pPr>
            <w:r>
              <w:rPr>
                <w:rFonts w:ascii="Arial" w:cs="Arial" w:eastAsia="Arial" w:hAnsi="Arial"/>
                <w:sz w:val="18"/>
                <w:szCs w:val="18"/>
                <w:color w:val="auto"/>
              </w:rPr>
              <w:t>Provision for (benefit from) income taxes</w:t>
            </w:r>
          </w:p>
        </w:tc>
        <w:tc>
          <w:tcPr>
            <w:tcW w:w="920" w:type="dxa"/>
            <w:vAlign w:val="bottom"/>
            <w:shd w:val="clear" w:color="auto" w:fill="CCEEFF"/>
          </w:tcPr>
          <w:p>
            <w:pPr>
              <w:jc w:val="right"/>
              <w:ind w:right="722"/>
              <w:spacing w:after="0"/>
              <w:rPr>
                <w:sz w:val="20"/>
                <w:szCs w:val="20"/>
                <w:color w:val="auto"/>
              </w:rPr>
            </w:pPr>
            <w:r>
              <w:rPr>
                <w:rFonts w:ascii="Arial" w:cs="Arial" w:eastAsia="Arial" w:hAnsi="Arial"/>
                <w:sz w:val="18"/>
                <w:szCs w:val="18"/>
                <w:color w:val="auto"/>
                <w:w w:val="99"/>
              </w:rPr>
              <w:t>$</w:t>
            </w:r>
          </w:p>
        </w:tc>
        <w:tc>
          <w:tcPr>
            <w:tcW w:w="6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(568)</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60" w:type="dxa"/>
            <w:vAlign w:val="bottom"/>
            <w:shd w:val="clear" w:color="auto" w:fill="CCEEFF"/>
          </w:tcPr>
          <w:p>
            <w:pPr>
              <w:jc w:val="right"/>
              <w:ind w:right="59"/>
              <w:spacing w:after="0"/>
              <w:rPr>
                <w:sz w:val="20"/>
                <w:szCs w:val="20"/>
                <w:color w:val="auto"/>
              </w:rPr>
            </w:pPr>
            <w:r>
              <w:rPr>
                <w:rFonts w:ascii="Arial" w:cs="Arial" w:eastAsia="Arial" w:hAnsi="Arial"/>
                <w:sz w:val="18"/>
                <w:szCs w:val="18"/>
                <w:color w:val="auto"/>
              </w:rPr>
              <w:t>(1,507)</w:t>
            </w: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939</w:t>
            </w:r>
          </w:p>
        </w:tc>
        <w:tc>
          <w:tcPr>
            <w:tcW w:w="1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(62.3)%</w:t>
            </w:r>
          </w:p>
        </w:tc>
        <w:tc>
          <w:tcPr>
            <w:tcW w:w="0" w:type="dxa"/>
            <w:vAlign w:val="bottom"/>
          </w:tcPr>
          <w:p>
            <w:pPr>
              <w:spacing w:after="0"/>
              <w:rPr>
                <w:sz w:val="1"/>
                <w:szCs w:val="1"/>
                <w:color w:val="auto"/>
              </w:rPr>
            </w:pPr>
          </w:p>
        </w:tc>
      </w:tr>
      <w:tr>
        <w:trPr>
          <w:trHeight w:val="20"/>
        </w:trPr>
        <w:tc>
          <w:tcPr>
            <w:tcW w:w="5000" w:type="dxa"/>
            <w:vAlign w:val="bottom"/>
            <w:tcBorders>
              <w:top w:val="single" w:sz="8" w:color="CCEEFF"/>
              <w:bottom w:val="single" w:sz="8" w:color="CCEEFF"/>
            </w:tcBorders>
            <w:vMerge w:val="restart"/>
          </w:tcPr>
          <w:p>
            <w:pPr>
              <w:ind w:left="180"/>
              <w:spacing w:after="0"/>
              <w:rPr>
                <w:sz w:val="20"/>
                <w:szCs w:val="20"/>
                <w:color w:val="auto"/>
              </w:rPr>
            </w:pPr>
            <w:r>
              <w:rPr>
                <w:rFonts w:ascii="Arial" w:cs="Arial" w:eastAsia="Arial" w:hAnsi="Arial"/>
                <w:sz w:val="18"/>
                <w:szCs w:val="18"/>
                <w:i w:val="1"/>
                <w:iCs w:val="1"/>
                <w:color w:val="auto"/>
              </w:rPr>
              <w:t>Effective tax rate</w:t>
            </w:r>
          </w:p>
        </w:tc>
        <w:tc>
          <w:tcPr>
            <w:tcW w:w="9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000" w:type="dxa"/>
            <w:vAlign w:val="bottom"/>
            <w:vMerge w:val="continue"/>
          </w:tcPr>
          <w:p>
            <w:pPr>
              <w:spacing w:after="0"/>
              <w:rPr>
                <w:sz w:val="20"/>
                <w:szCs w:val="20"/>
                <w:color w:val="auto"/>
              </w:rPr>
            </w:pPr>
          </w:p>
        </w:tc>
        <w:tc>
          <w:tcPr>
            <w:tcW w:w="92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Arial" w:cs="Arial" w:eastAsia="Arial" w:hAnsi="Arial"/>
                <w:sz w:val="18"/>
                <w:szCs w:val="18"/>
                <w:i w:val="1"/>
                <w:iCs w:val="1"/>
                <w:color w:val="auto"/>
                <w:w w:val="91"/>
              </w:rPr>
              <w:t>148.3%</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8"/>
                <w:szCs w:val="18"/>
                <w:i w:val="1"/>
                <w:iCs w:val="1"/>
                <w:color w:val="auto"/>
              </w:rPr>
              <w:t>36.1%</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21" w:lineRule="exact"/>
        <w:rPr>
          <w:sz w:val="20"/>
          <w:szCs w:val="20"/>
          <w:color w:val="auto"/>
        </w:rPr>
      </w:pPr>
    </w:p>
    <w:p>
      <w:pPr>
        <w:ind w:right="180" w:firstLine="432"/>
        <w:spacing w:after="0" w:line="312" w:lineRule="auto"/>
        <w:rPr>
          <w:sz w:val="20"/>
          <w:szCs w:val="20"/>
          <w:color w:val="auto"/>
        </w:rPr>
      </w:pPr>
      <w:r>
        <w:rPr>
          <w:rFonts w:ascii="Arial" w:cs="Arial" w:eastAsia="Arial" w:hAnsi="Arial"/>
          <w:sz w:val="16"/>
          <w:szCs w:val="16"/>
          <w:color w:val="auto"/>
        </w:rPr>
        <w:t>Our benefit from income taxes decreased $0.9 million, to $0.6 million in the three months ended June 30, 2016, from $1.5 million in the three months ended June 30, 2015. Our effective tax rate increased to 148.3% for the three months ended June 30, 2016, compared to 36.1% for the three months ended June 30, 2015 primarily attributable to forecasted income and losses. The effective tax rate is based on a forecast of our full year results.</w:t>
      </w:r>
    </w:p>
    <w:p>
      <w:pPr>
        <w:spacing w:after="0" w:line="35" w:lineRule="exact"/>
        <w:rPr>
          <w:sz w:val="20"/>
          <w:szCs w:val="20"/>
          <w:color w:val="auto"/>
        </w:rPr>
      </w:pPr>
    </w:p>
    <w:p>
      <w:pPr>
        <w:ind w:right="5280"/>
        <w:spacing w:after="0" w:line="407" w:lineRule="auto"/>
        <w:rPr>
          <w:sz w:val="20"/>
          <w:szCs w:val="20"/>
          <w:color w:val="auto"/>
        </w:rPr>
      </w:pPr>
      <w:r>
        <w:rPr>
          <w:rFonts w:ascii="Arial" w:cs="Arial" w:eastAsia="Arial" w:hAnsi="Arial"/>
          <w:sz w:val="18"/>
          <w:szCs w:val="18"/>
          <w:b w:val="1"/>
          <w:bCs w:val="1"/>
          <w:color w:val="auto"/>
        </w:rPr>
        <w:t xml:space="preserve">Six Months Ended June 30, 2016 Compared to Six Months Ended June 30, 2015 </w:t>
      </w:r>
      <w:r>
        <w:rPr>
          <w:rFonts w:ascii="Arial" w:cs="Arial" w:eastAsia="Arial" w:hAnsi="Arial"/>
          <w:sz w:val="18"/>
          <w:szCs w:val="18"/>
          <w:b w:val="1"/>
          <w:bCs w:val="1"/>
          <w:i w:val="1"/>
          <w:iCs w:val="1"/>
          <w:color w:val="auto"/>
        </w:rPr>
        <w:t>Revenue</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800" w:type="dxa"/>
            <w:vAlign w:val="bottom"/>
            <w:gridSpan w:val="5"/>
          </w:tcPr>
          <w:p>
            <w:pPr>
              <w:ind w:left="340"/>
              <w:spacing w:after="0"/>
              <w:rPr>
                <w:sz w:val="20"/>
                <w:szCs w:val="20"/>
                <w:color w:val="auto"/>
              </w:rPr>
            </w:pPr>
            <w:r>
              <w:rPr>
                <w:rFonts w:ascii="Arial" w:cs="Arial" w:eastAsia="Arial" w:hAnsi="Arial"/>
                <w:sz w:val="14"/>
                <w:szCs w:val="14"/>
                <w:b w:val="1"/>
                <w:bCs w:val="1"/>
                <w:color w:val="auto"/>
              </w:rPr>
              <w:t>Six Months Ended June 30,</w:t>
            </w:r>
          </w:p>
        </w:tc>
        <w:tc>
          <w:tcPr>
            <w:tcW w:w="820" w:type="dxa"/>
            <w:vAlign w:val="bottom"/>
          </w:tcPr>
          <w:p>
            <w:pPr>
              <w:spacing w:after="0"/>
              <w:rPr>
                <w:sz w:val="16"/>
                <w:szCs w:val="16"/>
                <w:color w:val="auto"/>
              </w:rPr>
            </w:pPr>
          </w:p>
        </w:tc>
        <w:tc>
          <w:tcPr>
            <w:tcW w:w="1240" w:type="dxa"/>
            <w:vAlign w:val="bottom"/>
            <w:gridSpan w:val="2"/>
          </w:tcPr>
          <w:p>
            <w:pPr>
              <w:ind w:left="540"/>
              <w:spacing w:after="0"/>
              <w:rPr>
                <w:sz w:val="20"/>
                <w:szCs w:val="20"/>
                <w:color w:val="auto"/>
              </w:rPr>
            </w:pPr>
            <w:r>
              <w:rPr>
                <w:rFonts w:ascii="Arial" w:cs="Arial" w:eastAsia="Arial" w:hAnsi="Arial"/>
                <w:sz w:val="14"/>
                <w:szCs w:val="14"/>
                <w:b w:val="1"/>
                <w:bCs w:val="1"/>
                <w:color w:val="auto"/>
              </w:rPr>
              <w:t>Change</w:t>
            </w:r>
          </w:p>
        </w:tc>
        <w:tc>
          <w:tcPr>
            <w:tcW w:w="1080" w:type="dxa"/>
            <w:vAlign w:val="bottom"/>
          </w:tcPr>
          <w:p>
            <w:pPr>
              <w:spacing w:after="0"/>
              <w:rPr>
                <w:sz w:val="16"/>
                <w:szCs w:val="16"/>
                <w:color w:val="auto"/>
              </w:rPr>
            </w:pPr>
          </w:p>
        </w:tc>
      </w:tr>
      <w:tr>
        <w:trPr>
          <w:trHeight w:val="264"/>
        </w:trPr>
        <w:tc>
          <w:tcPr>
            <w:tcW w:w="5120" w:type="dxa"/>
            <w:vAlign w:val="bottom"/>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top w:val="single" w:sz="8" w:color="auto"/>
              <w:bottom w:val="single" w:sz="8" w:color="auto"/>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auto"/>
            </w:tcBorders>
          </w:tcPr>
          <w:p>
            <w:pPr>
              <w:spacing w:after="0"/>
              <w:rPr>
                <w:sz w:val="22"/>
                <w:szCs w:val="22"/>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60" w:type="dxa"/>
            <w:vAlign w:val="bottom"/>
            <w:tcBorders>
              <w:top w:val="single" w:sz="8" w:color="auto"/>
              <w:bottom w:val="single" w:sz="8" w:color="auto"/>
            </w:tcBorders>
          </w:tcPr>
          <w:p>
            <w:pPr>
              <w:spacing w:after="0"/>
              <w:rPr>
                <w:sz w:val="22"/>
                <w:szCs w:val="22"/>
                <w:color w:val="auto"/>
              </w:rPr>
            </w:pPr>
          </w:p>
        </w:tc>
        <w:tc>
          <w:tcPr>
            <w:tcW w:w="58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14"/>
              <w:spacing w:after="0"/>
              <w:rPr>
                <w:sz w:val="20"/>
                <w:szCs w:val="20"/>
                <w:color w:val="auto"/>
              </w:rPr>
            </w:pPr>
            <w:r>
              <w:rPr>
                <w:rFonts w:ascii="Arial" w:cs="Arial" w:eastAsia="Arial" w:hAnsi="Arial"/>
                <w:sz w:val="14"/>
                <w:szCs w:val="14"/>
                <w:b w:val="1"/>
                <w:bCs w:val="1"/>
                <w:color w:val="auto"/>
              </w:rPr>
              <w:t>%</w:t>
            </w:r>
          </w:p>
        </w:tc>
      </w:tr>
      <w:tr>
        <w:trPr>
          <w:trHeight w:val="196"/>
        </w:trPr>
        <w:tc>
          <w:tcPr>
            <w:tcW w:w="5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360" w:type="dxa"/>
            <w:vAlign w:val="bottom"/>
            <w:gridSpan w:val="5"/>
          </w:tcPr>
          <w:p>
            <w:pPr>
              <w:ind w:left="14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r>
      <w:tr>
        <w:trPr>
          <w:trHeight w:val="256"/>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Neuro</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86,646</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66,054</w:t>
            </w:r>
          </w:p>
        </w:tc>
        <w:tc>
          <w:tcPr>
            <w:tcW w:w="10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ind w:right="616"/>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8"/>
              </w:rPr>
              <w:t>20,592</w:t>
            </w:r>
          </w:p>
        </w:tc>
        <w:tc>
          <w:tcPr>
            <w:tcW w:w="5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31.2%</w:t>
            </w: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Peripheral Vascular</w:t>
            </w:r>
          </w:p>
        </w:tc>
        <w:tc>
          <w:tcPr>
            <w:tcW w:w="360" w:type="dxa"/>
            <w:vAlign w:val="bottom"/>
          </w:tcPr>
          <w:p>
            <w:pPr>
              <w:spacing w:after="0"/>
              <w:rPr>
                <w:sz w:val="21"/>
                <w:szCs w:val="21"/>
                <w:color w:val="auto"/>
              </w:rPr>
            </w:pPr>
          </w:p>
        </w:tc>
        <w:tc>
          <w:tcPr>
            <w:tcW w:w="1120" w:type="dxa"/>
            <w:vAlign w:val="bottom"/>
          </w:tcPr>
          <w:p>
            <w:pPr>
              <w:jc w:val="right"/>
              <w:ind w:right="17"/>
              <w:spacing w:after="0"/>
              <w:rPr>
                <w:sz w:val="20"/>
                <w:szCs w:val="20"/>
                <w:color w:val="auto"/>
              </w:rPr>
            </w:pPr>
            <w:r>
              <w:rPr>
                <w:rFonts w:ascii="Arial" w:cs="Arial" w:eastAsia="Arial" w:hAnsi="Arial"/>
                <w:sz w:val="18"/>
                <w:szCs w:val="18"/>
                <w:color w:val="auto"/>
              </w:rPr>
              <w:t>36,379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7"/>
              <w:spacing w:after="0"/>
              <w:rPr>
                <w:sz w:val="20"/>
                <w:szCs w:val="20"/>
                <w:color w:val="auto"/>
              </w:rPr>
            </w:pPr>
            <w:r>
              <w:rPr>
                <w:rFonts w:ascii="Arial" w:cs="Arial" w:eastAsia="Arial" w:hAnsi="Arial"/>
                <w:sz w:val="18"/>
                <w:szCs w:val="18"/>
                <w:color w:val="auto"/>
              </w:rPr>
              <w:t>15,209</w:t>
            </w: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60" w:type="dxa"/>
            <w:vAlign w:val="bottom"/>
          </w:tcPr>
          <w:p>
            <w:pPr>
              <w:jc w:val="right"/>
              <w:ind w:right="14"/>
              <w:spacing w:after="0"/>
              <w:rPr>
                <w:sz w:val="20"/>
                <w:szCs w:val="20"/>
                <w:color w:val="auto"/>
              </w:rPr>
            </w:pPr>
            <w:r>
              <w:rPr>
                <w:rFonts w:ascii="Arial" w:cs="Arial" w:eastAsia="Arial" w:hAnsi="Arial"/>
                <w:sz w:val="18"/>
                <w:szCs w:val="18"/>
                <w:color w:val="auto"/>
                <w:w w:val="98"/>
              </w:rPr>
              <w:t>21,170</w:t>
            </w:r>
          </w:p>
        </w:tc>
        <w:tc>
          <w:tcPr>
            <w:tcW w:w="5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139.2%</w:t>
            </w:r>
          </w:p>
        </w:tc>
      </w:tr>
      <w:tr>
        <w:trPr>
          <w:trHeight w:val="27"/>
        </w:trPr>
        <w:tc>
          <w:tcPr>
            <w:tcW w:w="5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58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r>
      <w:tr>
        <w:trPr>
          <w:trHeight w:val="257"/>
        </w:trPr>
        <w:tc>
          <w:tcPr>
            <w:tcW w:w="5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123,025</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81,263</w:t>
            </w:r>
          </w:p>
        </w:tc>
        <w:tc>
          <w:tcPr>
            <w:tcW w:w="10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auto"/>
            </w:tcBorders>
            <w:shd w:val="clear" w:color="auto" w:fill="CCEEFF"/>
          </w:tcPr>
          <w:p>
            <w:pPr>
              <w:jc w:val="right"/>
              <w:ind w:right="616"/>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w w:val="98"/>
              </w:rPr>
              <w:t>41,762</w:t>
            </w:r>
          </w:p>
        </w:tc>
        <w:tc>
          <w:tcPr>
            <w:tcW w:w="5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51.4%</w:t>
            </w:r>
          </w:p>
        </w:tc>
      </w:tr>
      <w:tr>
        <w:trPr>
          <w:trHeight w:val="20"/>
        </w:trPr>
        <w:tc>
          <w:tcPr>
            <w:tcW w:w="5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bl>
    <w:p>
      <w:pPr>
        <w:spacing w:after="0" w:line="94" w:lineRule="exact"/>
        <w:rPr>
          <w:sz w:val="20"/>
          <w:szCs w:val="20"/>
          <w:color w:val="auto"/>
        </w:rPr>
      </w:pPr>
    </w:p>
    <w:p>
      <w:pPr>
        <w:ind w:right="380" w:firstLine="432"/>
        <w:spacing w:after="0" w:line="279" w:lineRule="auto"/>
        <w:rPr>
          <w:sz w:val="20"/>
          <w:szCs w:val="20"/>
          <w:color w:val="auto"/>
        </w:rPr>
      </w:pPr>
      <w:r>
        <w:rPr>
          <w:rFonts w:ascii="Arial" w:cs="Arial" w:eastAsia="Arial" w:hAnsi="Arial"/>
          <w:sz w:val="17"/>
          <w:szCs w:val="17"/>
          <w:color w:val="auto"/>
        </w:rPr>
        <w:t>Revenue increased $41.8 million, or 51.4%, to $123.0 million in the six months ended June 30, 2016, from $81.3 million in the six months ended June 30, 2015. Our revenue growth resulted from increased sales due to expansion of our salesforce headcount by 43%, further market penetration of our existing products and sales of new products or products with new indications. Increased sales within our neuro and peripheral vascular businesses each accounted for approximately half of the revenue increase in the six months ended June 30, 2016.</w:t>
      </w:r>
    </w:p>
    <w:p>
      <w:pPr>
        <w:spacing w:after="0" w:line="63" w:lineRule="exact"/>
        <w:rPr>
          <w:sz w:val="20"/>
          <w:szCs w:val="20"/>
          <w:color w:val="auto"/>
        </w:rPr>
      </w:pPr>
    </w:p>
    <w:p>
      <w:pPr>
        <w:ind w:right="20" w:firstLine="432"/>
        <w:spacing w:after="0" w:line="259" w:lineRule="auto"/>
        <w:rPr>
          <w:sz w:val="20"/>
          <w:szCs w:val="20"/>
          <w:color w:val="auto"/>
        </w:rPr>
      </w:pPr>
      <w:r>
        <w:rPr>
          <w:rFonts w:ascii="Arial" w:cs="Arial" w:eastAsia="Arial" w:hAnsi="Arial"/>
          <w:sz w:val="18"/>
          <w:szCs w:val="18"/>
          <w:color w:val="auto"/>
        </w:rPr>
        <w:t>Revenue from sales in the U. S. increased $29.1 million, or 54.0%, to $83.1 million in the six months ended June 30, 2016, from $54.0 million in the six months ended June 30, 2015. Revenue from sales in international markets increased $12.6 million, or 46.3%, to $39.9 million in the six months ended June 30, 2016, from $27.3 million in the six months ended June 30, 2015. Revenue from international sales represented 32.4% and 33.6% of our total revenue for the six months ended June 30, 2016 and 2015, respectively.</w:t>
      </w:r>
    </w:p>
    <w:p>
      <w:pPr>
        <w:spacing w:after="0" w:line="79" w:lineRule="exact"/>
        <w:rPr>
          <w:sz w:val="20"/>
          <w:szCs w:val="20"/>
          <w:color w:val="auto"/>
        </w:rPr>
      </w:pPr>
    </w:p>
    <w:p>
      <w:pPr>
        <w:ind w:right="100" w:firstLine="432"/>
        <w:spacing w:after="0" w:line="270" w:lineRule="auto"/>
        <w:rPr>
          <w:sz w:val="20"/>
          <w:szCs w:val="20"/>
          <w:color w:val="auto"/>
        </w:rPr>
      </w:pPr>
      <w:r>
        <w:rPr>
          <w:rFonts w:ascii="Arial" w:cs="Arial" w:eastAsia="Arial" w:hAnsi="Arial"/>
          <w:sz w:val="17"/>
          <w:szCs w:val="17"/>
          <w:color w:val="auto"/>
        </w:rPr>
        <w:t>Revenue from our neuro products increased $20.6 million, or 31.2%, to $86.6 million in the six months ended June 30, 2016, from $66.1 million in the six months ended June 30, 2015. Our neuro product sales experienced strong momentum due to further market penetration and growth in the market following the presentation and publication of MR. CLEAN trial results in the fourth quarter of 2014, and the presentation and publication of additional trial results in the first quarter of 2015, all of which support endovascular treatment of stroke. We believe that these published trial results have led to increases in the number of procedures performed by specialist physicians using our products. Increased sales of Penumbra System products accounted for slightly more than half of the neuro revenue increase in the six months ended June 30, 2016. Further, increased sales of our neuro embolization products accounted for slightly more than one quarter of the neuro revenue increase period over period. This increase was due to greater demand for our neuro coil products, which can fluctuate from period to period due to the number of procedures performed in a given period using our products. Prices for our neuro products remained substantially flat during the period.</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125" w:right="2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ind w:right="40" w:firstLine="432"/>
        <w:spacing w:after="0" w:line="297" w:lineRule="auto"/>
        <w:rPr>
          <w:sz w:val="20"/>
          <w:szCs w:val="20"/>
          <w:color w:val="auto"/>
        </w:rPr>
      </w:pPr>
      <w:r>
        <w:rPr>
          <w:rFonts w:ascii="Arial" w:cs="Arial" w:eastAsia="Arial" w:hAnsi="Arial"/>
          <w:sz w:val="16"/>
          <w:szCs w:val="16"/>
          <w:color w:val="auto"/>
        </w:rPr>
        <w:t>Revenue from our peripheral vascular products increased $21.2 million, or 139.2%, to $36.4 million in the six months ended June 30, 2016, from $15.2 million in the six months ended June 30, 2015. Our peripheral embolization and peripheral thrombectomy products experienced strong volume growth in the period, primarily due to the focused efforts of our dedicated peripheral vascular salesforce, which was established in the second half of 2014, and further market penetration of our products. Increased sales of Indigo System products accounted approximately two thirds of the peripheral vascular revenue increase in the six months ended June 30, 2016. Prices for our peripheral vascular products remained substantially flat during the period.</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Profit and Gross Margin</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2800" w:type="dxa"/>
            <w:vAlign w:val="bottom"/>
            <w:tcBorders>
              <w:bottom w:val="single" w:sz="8" w:color="auto"/>
            </w:tcBorders>
            <w:gridSpan w:val="4"/>
          </w:tcPr>
          <w:p>
            <w:pPr>
              <w:jc w:val="right"/>
              <w:ind w:right="657"/>
              <w:spacing w:after="0"/>
              <w:rPr>
                <w:sz w:val="20"/>
                <w:szCs w:val="20"/>
                <w:color w:val="auto"/>
              </w:rPr>
            </w:pPr>
            <w:r>
              <w:rPr>
                <w:rFonts w:ascii="Arial" w:cs="Arial" w:eastAsia="Arial" w:hAnsi="Arial"/>
                <w:sz w:val="14"/>
                <w:szCs w:val="14"/>
                <w:b w:val="1"/>
                <w:bCs w:val="1"/>
                <w:color w:val="auto"/>
              </w:rPr>
              <w:t>Six Months Ended June 30,</w:t>
            </w:r>
          </w:p>
        </w:tc>
        <w:tc>
          <w:tcPr>
            <w:tcW w:w="12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2"/>
          </w:tcPr>
          <w:p>
            <w:pPr>
              <w:ind w:left="920"/>
              <w:spacing w:after="0"/>
              <w:rPr>
                <w:sz w:val="20"/>
                <w:szCs w:val="20"/>
                <w:color w:val="auto"/>
              </w:rPr>
            </w:pPr>
            <w:r>
              <w:rPr>
                <w:rFonts w:ascii="Arial" w:cs="Arial" w:eastAsia="Arial" w:hAnsi="Arial"/>
                <w:sz w:val="14"/>
                <w:szCs w:val="14"/>
                <w:b w:val="1"/>
                <w:bCs w:val="1"/>
                <w:color w:val="auto"/>
              </w:rPr>
              <w:t>Change</w:t>
            </w: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2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37"/>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537"/>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w:t>
            </w:r>
          </w:p>
        </w:tc>
        <w:tc>
          <w:tcPr>
            <w:tcW w:w="5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616"/>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0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20" w:type="dxa"/>
            <w:vAlign w:val="bottom"/>
            <w:gridSpan w:val="5"/>
          </w:tcPr>
          <w:p>
            <w:pPr>
              <w:ind w:left="16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117"/>
              <w:spacing w:after="0"/>
              <w:rPr>
                <w:sz w:val="20"/>
                <w:szCs w:val="20"/>
                <w:color w:val="auto"/>
              </w:rPr>
            </w:pPr>
            <w:r>
              <w:rPr>
                <w:rFonts w:ascii="Arial" w:cs="Arial" w:eastAsia="Arial" w:hAnsi="Arial"/>
                <w:sz w:val="18"/>
                <w:szCs w:val="18"/>
                <w:color w:val="auto"/>
              </w:rPr>
              <w:t>41,650</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97"/>
              <w:spacing w:after="0"/>
              <w:rPr>
                <w:sz w:val="20"/>
                <w:szCs w:val="20"/>
                <w:color w:val="auto"/>
              </w:rPr>
            </w:pPr>
            <w:r>
              <w:rPr>
                <w:rFonts w:ascii="Arial" w:cs="Arial" w:eastAsia="Arial" w:hAnsi="Arial"/>
                <w:sz w:val="18"/>
                <w:szCs w:val="18"/>
                <w:color w:val="auto"/>
              </w:rPr>
              <w:t>27,160</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8"/>
                <w:szCs w:val="18"/>
                <w:color w:val="auto"/>
              </w:rPr>
              <w:t>14,490</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53.4%</w:t>
            </w:r>
          </w:p>
        </w:tc>
        <w:tc>
          <w:tcPr>
            <w:tcW w:w="0" w:type="dxa"/>
            <w:vAlign w:val="bottom"/>
          </w:tcPr>
          <w:p>
            <w:pPr>
              <w:spacing w:after="0"/>
              <w:rPr>
                <w:sz w:val="1"/>
                <w:szCs w:val="1"/>
                <w:color w:val="auto"/>
              </w:rPr>
            </w:pPr>
          </w:p>
        </w:tc>
      </w:tr>
      <w:tr>
        <w:trPr>
          <w:trHeight w:val="20"/>
        </w:trPr>
        <w:tc>
          <w:tcPr>
            <w:tcW w:w="5020" w:type="dxa"/>
            <w:vAlign w:val="bottom"/>
            <w:vMerge w:val="restart"/>
          </w:tcPr>
          <w:p>
            <w:pPr>
              <w:ind w:left="40"/>
              <w:spacing w:after="0"/>
              <w:rPr>
                <w:sz w:val="20"/>
                <w:szCs w:val="20"/>
                <w:color w:val="auto"/>
              </w:rPr>
            </w:pPr>
            <w:r>
              <w:rPr>
                <w:rFonts w:ascii="Arial" w:cs="Arial" w:eastAsia="Arial" w:hAnsi="Arial"/>
                <w:sz w:val="18"/>
                <w:szCs w:val="18"/>
                <w:color w:val="auto"/>
              </w:rPr>
              <w:t>Gross profit</w:t>
            </w:r>
          </w:p>
        </w:tc>
        <w:tc>
          <w:tcPr>
            <w:tcW w:w="3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5020" w:type="dxa"/>
            <w:vAlign w:val="bottom"/>
            <w:vMerge w:val="continue"/>
          </w:tcPr>
          <w:p>
            <w:pPr>
              <w:spacing w:after="0"/>
              <w:rPr>
                <w:sz w:val="24"/>
                <w:szCs w:val="24"/>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17"/>
              <w:spacing w:after="0"/>
              <w:rPr>
                <w:sz w:val="20"/>
                <w:szCs w:val="20"/>
                <w:color w:val="auto"/>
              </w:rPr>
            </w:pPr>
            <w:r>
              <w:rPr>
                <w:rFonts w:ascii="Arial" w:cs="Arial" w:eastAsia="Arial" w:hAnsi="Arial"/>
                <w:sz w:val="18"/>
                <w:szCs w:val="18"/>
                <w:color w:val="auto"/>
              </w:rPr>
              <w:t>81,375</w:t>
            </w:r>
          </w:p>
        </w:tc>
        <w:tc>
          <w:tcPr>
            <w:tcW w:w="100" w:type="dxa"/>
            <w:vAlign w:val="bottom"/>
          </w:tcPr>
          <w:p>
            <w:pPr>
              <w:spacing w:after="0"/>
              <w:rPr>
                <w:sz w:val="24"/>
                <w:szCs w:val="24"/>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97"/>
              <w:spacing w:after="0"/>
              <w:rPr>
                <w:sz w:val="20"/>
                <w:szCs w:val="20"/>
                <w:color w:val="auto"/>
              </w:rPr>
            </w:pPr>
            <w:r>
              <w:rPr>
                <w:rFonts w:ascii="Arial" w:cs="Arial" w:eastAsia="Arial" w:hAnsi="Arial"/>
                <w:sz w:val="18"/>
                <w:szCs w:val="18"/>
                <w:color w:val="auto"/>
              </w:rPr>
              <w:t>54,103</w:t>
            </w:r>
          </w:p>
        </w:tc>
        <w:tc>
          <w:tcPr>
            <w:tcW w:w="52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39"/>
              <w:spacing w:after="0"/>
              <w:rPr>
                <w:sz w:val="20"/>
                <w:szCs w:val="20"/>
                <w:color w:val="auto"/>
              </w:rPr>
            </w:pPr>
            <w:r>
              <w:rPr>
                <w:rFonts w:ascii="Arial" w:cs="Arial" w:eastAsia="Arial" w:hAnsi="Arial"/>
                <w:sz w:val="18"/>
                <w:szCs w:val="18"/>
                <w:color w:val="auto"/>
              </w:rPr>
              <w:t>27,272</w:t>
            </w:r>
          </w:p>
        </w:tc>
        <w:tc>
          <w:tcPr>
            <w:tcW w:w="56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50.4%</w:t>
            </w:r>
          </w:p>
        </w:tc>
        <w:tc>
          <w:tcPr>
            <w:tcW w:w="0" w:type="dxa"/>
            <w:vAlign w:val="bottom"/>
          </w:tcPr>
          <w:p>
            <w:pPr>
              <w:spacing w:after="0"/>
              <w:rPr>
                <w:sz w:val="1"/>
                <w:szCs w:val="1"/>
                <w:color w:val="auto"/>
              </w:rPr>
            </w:pPr>
          </w:p>
        </w:tc>
      </w:tr>
      <w:tr>
        <w:trPr>
          <w:trHeight w:val="262"/>
        </w:trPr>
        <w:tc>
          <w:tcPr>
            <w:tcW w:w="5020" w:type="dxa"/>
            <w:vAlign w:val="bottom"/>
            <w:tcBorders>
              <w:top w:val="single" w:sz="8" w:color="CCEEFF"/>
              <w:bottom w:val="single" w:sz="8" w:color="CCEEFF"/>
            </w:tcBorders>
            <w:shd w:val="clear" w:color="auto" w:fill="CCEEFF"/>
          </w:tcPr>
          <w:p>
            <w:pPr>
              <w:ind w:left="40"/>
              <w:spacing w:after="0" w:line="203" w:lineRule="exact"/>
              <w:rPr>
                <w:sz w:val="20"/>
                <w:szCs w:val="20"/>
                <w:color w:val="auto"/>
              </w:rPr>
            </w:pPr>
            <w:r>
              <w:rPr>
                <w:rFonts w:ascii="Arial" w:cs="Arial" w:eastAsia="Arial" w:hAnsi="Arial"/>
                <w:sz w:val="18"/>
                <w:szCs w:val="18"/>
                <w:color w:val="auto"/>
              </w:rPr>
              <w:t>Gross margin %</w:t>
            </w:r>
          </w:p>
        </w:tc>
        <w:tc>
          <w:tcPr>
            <w:tcW w:w="380" w:type="dxa"/>
            <w:vAlign w:val="bottom"/>
            <w:tcBorders>
              <w:top w:val="single" w:sz="8" w:color="auto"/>
              <w:bottom w:val="single" w:sz="8" w:color="CCEEFF"/>
            </w:tcBorders>
            <w:shd w:val="clear" w:color="auto" w:fill="CCEEFF"/>
          </w:tcPr>
          <w:p>
            <w:pPr>
              <w:spacing w:after="0"/>
              <w:rPr>
                <w:sz w:val="22"/>
                <w:szCs w:val="22"/>
                <w:color w:val="auto"/>
              </w:rPr>
            </w:pPr>
          </w:p>
        </w:tc>
        <w:tc>
          <w:tcPr>
            <w:tcW w:w="1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66.1%</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260" w:type="dxa"/>
            <w:vAlign w:val="bottom"/>
            <w:tcBorders>
              <w:top w:val="single" w:sz="8" w:color="auto"/>
              <w:bottom w:val="single" w:sz="8" w:color="CCEEFF"/>
            </w:tcBorders>
            <w:shd w:val="clear" w:color="auto" w:fill="CCEEFF"/>
          </w:tcPr>
          <w:p>
            <w:pPr>
              <w:spacing w:after="0"/>
              <w:rPr>
                <w:sz w:val="22"/>
                <w:szCs w:val="22"/>
                <w:color w:val="auto"/>
              </w:rPr>
            </w:pPr>
          </w:p>
        </w:tc>
        <w:tc>
          <w:tcPr>
            <w:tcW w:w="12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66.6%</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400" w:type="dxa"/>
            <w:vAlign w:val="bottom"/>
            <w:tcBorders>
              <w:top w:val="single" w:sz="8" w:color="auto"/>
              <w:bottom w:val="single" w:sz="8" w:color="CCEEFF"/>
            </w:tcBorders>
            <w:shd w:val="clear" w:color="auto" w:fill="CCEEFF"/>
          </w:tcPr>
          <w:p>
            <w:pPr>
              <w:spacing w:after="0"/>
              <w:rPr>
                <w:sz w:val="22"/>
                <w:szCs w:val="22"/>
                <w:color w:val="auto"/>
              </w:rPr>
            </w:pPr>
          </w:p>
        </w:tc>
        <w:tc>
          <w:tcPr>
            <w:tcW w:w="1060" w:type="dxa"/>
            <w:vAlign w:val="bottom"/>
            <w:tcBorders>
              <w:top w:val="single" w:sz="8" w:color="auto"/>
              <w:bottom w:val="single" w:sz="8" w:color="CCEEFF"/>
            </w:tcBorders>
            <w:shd w:val="clear" w:color="auto" w:fill="CCEEFF"/>
          </w:tcPr>
          <w:p>
            <w:pPr>
              <w:spacing w:after="0"/>
              <w:rPr>
                <w:sz w:val="22"/>
                <w:szCs w:val="22"/>
                <w:color w:val="auto"/>
              </w:rPr>
            </w:pPr>
          </w:p>
        </w:tc>
        <w:tc>
          <w:tcPr>
            <w:tcW w:w="560" w:type="dxa"/>
            <w:vAlign w:val="bottom"/>
            <w:tcBorders>
              <w:top w:val="single" w:sz="8" w:color="CCEEFF"/>
              <w:bottom w:val="single" w:sz="8" w:color="CCEEFF"/>
            </w:tcBorders>
            <w:shd w:val="clear" w:color="auto" w:fill="CCEEFF"/>
          </w:tcPr>
          <w:p>
            <w:pPr>
              <w:spacing w:after="0"/>
              <w:rPr>
                <w:sz w:val="22"/>
                <w:szCs w:val="22"/>
                <w:color w:val="auto"/>
              </w:rPr>
            </w:pPr>
          </w:p>
        </w:tc>
        <w:tc>
          <w:tcPr>
            <w:tcW w:w="1080" w:type="dxa"/>
            <w:vAlign w:val="bottom"/>
            <w:tcBorders>
              <w:top w:val="single" w:sz="8" w:color="CCEEFF"/>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50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right="360" w:firstLine="432"/>
        <w:spacing w:after="0" w:line="342" w:lineRule="auto"/>
        <w:rPr>
          <w:sz w:val="20"/>
          <w:szCs w:val="20"/>
          <w:color w:val="auto"/>
        </w:rPr>
      </w:pPr>
      <w:r>
        <w:rPr>
          <w:rFonts w:ascii="Arial" w:cs="Arial" w:eastAsia="Arial" w:hAnsi="Arial"/>
          <w:sz w:val="16"/>
          <w:szCs w:val="16"/>
          <w:color w:val="auto"/>
        </w:rPr>
        <w:t>Gross profit increased $27.3 million, or 50.4%, to $81.4 million in the six months ended June 30, 2016, from $54.1 million in the six months ended June 30, 2015. The increase in gross profit was primarily due to an increase in revenue from sales of our neuro and peripheral vascular products.</w:t>
      </w:r>
    </w:p>
    <w:p>
      <w:pPr>
        <w:spacing w:after="0" w:line="16" w:lineRule="exact"/>
        <w:rPr>
          <w:sz w:val="20"/>
          <w:szCs w:val="20"/>
          <w:color w:val="auto"/>
        </w:rPr>
      </w:pPr>
    </w:p>
    <w:p>
      <w:pPr>
        <w:ind w:right="120" w:firstLine="432"/>
        <w:spacing w:after="0" w:line="264" w:lineRule="auto"/>
        <w:rPr>
          <w:sz w:val="20"/>
          <w:szCs w:val="20"/>
          <w:color w:val="auto"/>
        </w:rPr>
      </w:pPr>
      <w:r>
        <w:rPr>
          <w:rFonts w:ascii="Arial" w:cs="Arial" w:eastAsia="Arial" w:hAnsi="Arial"/>
          <w:sz w:val="18"/>
          <w:szCs w:val="18"/>
          <w:color w:val="auto"/>
        </w:rPr>
        <w:t>Gross margin decreased 0.5 percentage point to 66.1% in the six months ended June 30, 2016, from 66.6% in the six months ended June 30, 2015. The decrease in gross margin was due to geographic and product mix, new product launches and additional costs associated with hiring and training additional personnel.</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(R&amp;D)</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2200" w:type="dxa"/>
            <w:vAlign w:val="bottom"/>
            <w:tcBorders>
              <w:bottom w:val="single" w:sz="8" w:color="auto"/>
            </w:tcBorders>
            <w:gridSpan w:val="3"/>
          </w:tcPr>
          <w:p>
            <w:pPr>
              <w:jc w:val="right"/>
              <w:ind w:right="62"/>
              <w:spacing w:after="0"/>
              <w:rPr>
                <w:sz w:val="20"/>
                <w:szCs w:val="20"/>
                <w:color w:val="auto"/>
              </w:rPr>
            </w:pPr>
            <w:r>
              <w:rPr>
                <w:rFonts w:ascii="Arial" w:cs="Arial" w:eastAsia="Arial" w:hAnsi="Arial"/>
                <w:sz w:val="14"/>
                <w:szCs w:val="14"/>
                <w:b w:val="1"/>
                <w:bCs w:val="1"/>
                <w:color w:val="auto"/>
              </w:rPr>
              <w:t>Six Months Ended June 30,</w:t>
            </w:r>
          </w:p>
        </w:tc>
        <w:tc>
          <w:tcPr>
            <w:tcW w:w="6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2"/>
          </w:tcPr>
          <w:p>
            <w:pPr>
              <w:ind w:left="920"/>
              <w:spacing w:after="0"/>
              <w:rPr>
                <w:sz w:val="20"/>
                <w:szCs w:val="20"/>
                <w:color w:val="auto"/>
              </w:rPr>
            </w:pPr>
            <w:r>
              <w:rPr>
                <w:rFonts w:ascii="Arial" w:cs="Arial" w:eastAsia="Arial" w:hAnsi="Arial"/>
                <w:sz w:val="14"/>
                <w:szCs w:val="14"/>
                <w:b w:val="1"/>
                <w:bCs w:val="1"/>
                <w:color w:val="auto"/>
              </w:rPr>
              <w:t>Change</w:t>
            </w: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2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2015</w:t>
            </w:r>
          </w:p>
        </w:tc>
        <w:tc>
          <w:tcPr>
            <w:tcW w:w="60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622"/>
              <w:spacing w:after="0"/>
              <w:rPr>
                <w:sz w:val="20"/>
                <w:szCs w:val="20"/>
                <w:color w:val="auto"/>
              </w:rPr>
            </w:pPr>
            <w:r>
              <w:rPr>
                <w:rFonts w:ascii="Arial" w:cs="Arial" w:eastAsia="Arial" w:hAnsi="Arial"/>
                <w:sz w:val="14"/>
                <w:szCs w:val="14"/>
                <w:b w:val="1"/>
                <w:bCs w:val="1"/>
                <w:color w:val="auto"/>
              </w:rPr>
              <w:t>$</w:t>
            </w:r>
          </w:p>
        </w:tc>
        <w:tc>
          <w:tcPr>
            <w:tcW w:w="5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0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80" w:type="dxa"/>
            <w:vAlign w:val="bottom"/>
            <w:gridSpan w:val="6"/>
          </w:tcPr>
          <w:p>
            <w:pPr>
              <w:ind w:left="42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R&amp;D</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8"/>
                <w:szCs w:val="18"/>
                <w:color w:val="auto"/>
              </w:rPr>
              <w:t>11,265</w:t>
            </w:r>
          </w:p>
        </w:tc>
        <w:tc>
          <w:tcPr>
            <w:tcW w:w="1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ind w:right="742"/>
              <w:spacing w:after="0"/>
              <w:rPr>
                <w:sz w:val="20"/>
                <w:szCs w:val="20"/>
                <w:color w:val="auto"/>
              </w:rPr>
            </w:pPr>
            <w:r>
              <w:rPr>
                <w:rFonts w:ascii="Arial" w:cs="Arial" w:eastAsia="Arial" w:hAnsi="Arial"/>
                <w:sz w:val="18"/>
                <w:szCs w:val="18"/>
                <w:color w:val="auto"/>
                <w:w w:val="99"/>
              </w:rPr>
              <w:t>$</w:t>
            </w:r>
          </w:p>
        </w:tc>
        <w:tc>
          <w:tcPr>
            <w:tcW w:w="6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88"/>
              </w:rPr>
              <w:t>7,983</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8"/>
                <w:szCs w:val="18"/>
                <w:color w:val="auto"/>
              </w:rPr>
              <w:t>3,282</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41.1%</w:t>
            </w:r>
          </w:p>
        </w:tc>
        <w:tc>
          <w:tcPr>
            <w:tcW w:w="0" w:type="dxa"/>
            <w:vAlign w:val="bottom"/>
          </w:tcPr>
          <w:p>
            <w:pPr>
              <w:spacing w:after="0"/>
              <w:rPr>
                <w:sz w:val="1"/>
                <w:szCs w:val="1"/>
                <w:color w:val="auto"/>
              </w:rPr>
            </w:pPr>
          </w:p>
        </w:tc>
      </w:tr>
      <w:tr>
        <w:trPr>
          <w:trHeight w:val="20"/>
        </w:trPr>
        <w:tc>
          <w:tcPr>
            <w:tcW w:w="5020" w:type="dxa"/>
            <w:vAlign w:val="bottom"/>
            <w:vMerge w:val="restart"/>
          </w:tcPr>
          <w:p>
            <w:pPr>
              <w:ind w:left="180"/>
              <w:spacing w:after="0"/>
              <w:rPr>
                <w:sz w:val="20"/>
                <w:szCs w:val="20"/>
                <w:color w:val="auto"/>
              </w:rPr>
            </w:pPr>
            <w:r>
              <w:rPr>
                <w:rFonts w:ascii="Arial" w:cs="Arial" w:eastAsia="Arial" w:hAnsi="Arial"/>
                <w:sz w:val="18"/>
                <w:szCs w:val="18"/>
                <w:i w:val="1"/>
                <w:iCs w:val="1"/>
                <w:color w:val="auto"/>
              </w:rPr>
              <w:t>R&amp;D as a percentage of revenue</w:t>
            </w:r>
          </w:p>
        </w:tc>
        <w:tc>
          <w:tcPr>
            <w:tcW w:w="3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020" w:type="dxa"/>
            <w:vAlign w:val="bottom"/>
            <w:vMerge w:val="continue"/>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8"/>
                <w:szCs w:val="18"/>
                <w:i w:val="1"/>
                <w:iCs w:val="1"/>
                <w:color w:val="auto"/>
              </w:rPr>
              <w:t>9.2%</w:t>
            </w:r>
          </w:p>
        </w:tc>
        <w:tc>
          <w:tcPr>
            <w:tcW w:w="1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i w:val="1"/>
                <w:iCs w:val="1"/>
                <w:color w:val="auto"/>
              </w:rPr>
              <w:t>9.8%</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21" w:lineRule="exact"/>
        <w:rPr>
          <w:sz w:val="20"/>
          <w:szCs w:val="20"/>
          <w:color w:val="auto"/>
        </w:rPr>
      </w:pPr>
    </w:p>
    <w:p>
      <w:pPr>
        <w:ind w:right="100" w:firstLine="432"/>
        <w:spacing w:after="0" w:line="286" w:lineRule="auto"/>
        <w:rPr>
          <w:sz w:val="20"/>
          <w:szCs w:val="20"/>
          <w:color w:val="auto"/>
        </w:rPr>
      </w:pPr>
      <w:r>
        <w:rPr>
          <w:rFonts w:ascii="Arial" w:cs="Arial" w:eastAsia="Arial" w:hAnsi="Arial"/>
          <w:sz w:val="17"/>
          <w:szCs w:val="17"/>
          <w:color w:val="auto"/>
        </w:rPr>
        <w:t>R&amp;D expenses increased by $3.3 million, or 41.1%, to $11.3 million in the six months ended June 30, 2016, from $8.0 million in the six months ended June 30, 2015. The increase was primarily due to a $1.3 million increase in personnel-related expense due to a 43% increase in headcount, a $0.8 million increase in consultant and contractor expenses and a $0.7 million increase in facilities and information technology expense.</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General and Administrative (SG&amp;A)</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920" w:type="dxa"/>
            <w:vAlign w:val="bottom"/>
            <w:gridSpan w:val="5"/>
          </w:tcPr>
          <w:p>
            <w:pPr>
              <w:ind w:left="380"/>
              <w:spacing w:after="0"/>
              <w:rPr>
                <w:sz w:val="20"/>
                <w:szCs w:val="20"/>
                <w:color w:val="auto"/>
              </w:rPr>
            </w:pPr>
            <w:r>
              <w:rPr>
                <w:rFonts w:ascii="Arial" w:cs="Arial" w:eastAsia="Arial" w:hAnsi="Arial"/>
                <w:sz w:val="14"/>
                <w:szCs w:val="14"/>
                <w:b w:val="1"/>
                <w:bCs w:val="1"/>
                <w:color w:val="auto"/>
              </w:rPr>
              <w:t>Six Months Ended June 30,</w:t>
            </w:r>
          </w:p>
        </w:tc>
        <w:tc>
          <w:tcPr>
            <w:tcW w:w="400" w:type="dxa"/>
            <w:vAlign w:val="bottom"/>
          </w:tcPr>
          <w:p>
            <w:pPr>
              <w:spacing w:after="0"/>
              <w:rPr>
                <w:sz w:val="16"/>
                <w:szCs w:val="16"/>
                <w:color w:val="auto"/>
              </w:rPr>
            </w:pPr>
          </w:p>
        </w:tc>
        <w:tc>
          <w:tcPr>
            <w:tcW w:w="1620" w:type="dxa"/>
            <w:vAlign w:val="bottom"/>
            <w:gridSpan w:val="2"/>
          </w:tcPr>
          <w:p>
            <w:pPr>
              <w:ind w:left="920"/>
              <w:spacing w:after="0"/>
              <w:rPr>
                <w:sz w:val="20"/>
                <w:szCs w:val="20"/>
                <w:color w:val="auto"/>
              </w:rPr>
            </w:pPr>
            <w:r>
              <w:rPr>
                <w:rFonts w:ascii="Arial" w:cs="Arial" w:eastAsia="Arial" w:hAnsi="Arial"/>
                <w:sz w:val="14"/>
                <w:szCs w:val="14"/>
                <w:b w:val="1"/>
                <w:bCs w:val="1"/>
                <w:color w:val="auto"/>
              </w:rPr>
              <w:t>Change</w:t>
            </w:r>
          </w:p>
        </w:tc>
        <w:tc>
          <w:tcPr>
            <w:tcW w:w="1080" w:type="dxa"/>
            <w:vAlign w:val="bottom"/>
          </w:tcPr>
          <w:p>
            <w:pPr>
              <w:spacing w:after="0"/>
              <w:rPr>
                <w:sz w:val="16"/>
                <w:szCs w:val="16"/>
                <w:color w:val="auto"/>
              </w:rPr>
            </w:pPr>
          </w:p>
        </w:tc>
      </w:tr>
      <w:tr>
        <w:trPr>
          <w:trHeight w:val="264"/>
        </w:trPr>
        <w:tc>
          <w:tcPr>
            <w:tcW w:w="5020" w:type="dxa"/>
            <w:vAlign w:val="bottom"/>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16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top w:val="single" w:sz="8" w:color="auto"/>
              <w:bottom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auto"/>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622"/>
              <w:spacing w:after="0"/>
              <w:rPr>
                <w:sz w:val="20"/>
                <w:szCs w:val="20"/>
                <w:color w:val="auto"/>
              </w:rPr>
            </w:pPr>
            <w:r>
              <w:rPr>
                <w:rFonts w:ascii="Arial" w:cs="Arial" w:eastAsia="Arial" w:hAnsi="Arial"/>
                <w:sz w:val="14"/>
                <w:szCs w:val="14"/>
                <w:b w:val="1"/>
                <w:bCs w:val="1"/>
                <w:color w:val="auto"/>
              </w:rPr>
              <w:t>$</w:t>
            </w:r>
          </w:p>
        </w:tc>
        <w:tc>
          <w:tcPr>
            <w:tcW w:w="56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w:t>
            </w:r>
          </w:p>
        </w:tc>
      </w:tr>
      <w:tr>
        <w:trPr>
          <w:trHeight w:val="196"/>
        </w:trPr>
        <w:tc>
          <w:tcPr>
            <w:tcW w:w="50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20" w:type="dxa"/>
            <w:vAlign w:val="bottom"/>
            <w:gridSpan w:val="5"/>
          </w:tcPr>
          <w:p>
            <w:pPr>
              <w:ind w:left="16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r>
      <w:tr>
        <w:trPr>
          <w:trHeight w:val="270"/>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SG&amp;A</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8"/>
                <w:szCs w:val="18"/>
                <w:color w:val="auto"/>
              </w:rPr>
              <w:t>68,945</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8"/>
                <w:szCs w:val="18"/>
                <w:color w:val="auto"/>
              </w:rPr>
              <w:t>45,943</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8"/>
                <w:szCs w:val="18"/>
                <w:color w:val="auto"/>
              </w:rPr>
              <w:t>23,002</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50.1%</w:t>
            </w:r>
          </w:p>
        </w:tc>
      </w:tr>
      <w:tr>
        <w:trPr>
          <w:trHeight w:val="20"/>
        </w:trPr>
        <w:tc>
          <w:tcPr>
            <w:tcW w:w="50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r>
        <w:trPr>
          <w:trHeight w:val="230"/>
        </w:trPr>
        <w:tc>
          <w:tcPr>
            <w:tcW w:w="5020" w:type="dxa"/>
            <w:vAlign w:val="bottom"/>
          </w:tcPr>
          <w:p>
            <w:pPr>
              <w:ind w:left="220"/>
              <w:spacing w:after="0"/>
              <w:rPr>
                <w:sz w:val="20"/>
                <w:szCs w:val="20"/>
                <w:color w:val="auto"/>
              </w:rPr>
            </w:pPr>
            <w:r>
              <w:rPr>
                <w:rFonts w:ascii="Arial" w:cs="Arial" w:eastAsia="Arial" w:hAnsi="Arial"/>
                <w:sz w:val="18"/>
                <w:szCs w:val="18"/>
                <w:color w:val="auto"/>
              </w:rPr>
              <w:t xml:space="preserve">SG&amp;A </w:t>
            </w:r>
            <w:r>
              <w:rPr>
                <w:rFonts w:ascii="Arial" w:cs="Arial" w:eastAsia="Arial" w:hAnsi="Arial"/>
                <w:sz w:val="18"/>
                <w:szCs w:val="18"/>
                <w:i w:val="1"/>
                <w:iCs w:val="1"/>
                <w:color w:val="auto"/>
              </w:rPr>
              <w:t>as a percentage of revenue</w:t>
            </w:r>
          </w:p>
        </w:tc>
        <w:tc>
          <w:tcPr>
            <w:tcW w:w="38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8"/>
                <w:szCs w:val="18"/>
                <w:i w:val="1"/>
                <w:iCs w:val="1"/>
                <w:color w:val="auto"/>
              </w:rPr>
              <w:t>56.0%</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56.5%</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80" w:type="dxa"/>
            <w:vAlign w:val="bottom"/>
          </w:tcPr>
          <w:p>
            <w:pPr>
              <w:spacing w:after="0"/>
              <w:rPr>
                <w:sz w:val="20"/>
                <w:szCs w:val="20"/>
                <w:color w:val="auto"/>
              </w:rPr>
            </w:pPr>
          </w:p>
        </w:tc>
      </w:tr>
    </w:tbl>
    <w:p>
      <w:pPr>
        <w:spacing w:after="0" w:line="121" w:lineRule="exact"/>
        <w:rPr>
          <w:sz w:val="20"/>
          <w:szCs w:val="20"/>
          <w:color w:val="auto"/>
        </w:rPr>
      </w:pPr>
    </w:p>
    <w:p>
      <w:pPr>
        <w:ind w:right="280" w:firstLine="432"/>
        <w:spacing w:after="0" w:line="264" w:lineRule="auto"/>
        <w:rPr>
          <w:sz w:val="20"/>
          <w:szCs w:val="20"/>
          <w:color w:val="auto"/>
        </w:rPr>
      </w:pPr>
      <w:r>
        <w:rPr>
          <w:rFonts w:ascii="Arial" w:cs="Arial" w:eastAsia="Arial" w:hAnsi="Arial"/>
          <w:sz w:val="18"/>
          <w:szCs w:val="18"/>
          <w:color w:val="auto"/>
        </w:rPr>
        <w:t>SG&amp;A expenses increased by $23.0 million, or 50.1%, to $68.9 million in the six months ended June 30, 2016, from $45.9 million in the six months ended June 30, 2015. The increase was primarily due to a $13.7 million increase in personnel-related expense due to a 44% increase in headcount, a $2.1 million increase due to expanded marketing programs and a $2.1 million increase in travel-related expenses.</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 for Income Taxes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60" w:type="dxa"/>
            <w:vAlign w:val="bottom"/>
          </w:tcPr>
          <w:p>
            <w:pPr>
              <w:spacing w:after="0"/>
              <w:rPr>
                <w:sz w:val="16"/>
                <w:szCs w:val="16"/>
                <w:color w:val="auto"/>
              </w:rPr>
            </w:pPr>
          </w:p>
        </w:tc>
        <w:tc>
          <w:tcPr>
            <w:tcW w:w="2580" w:type="dxa"/>
            <w:vAlign w:val="bottom"/>
            <w:tcBorders>
              <w:bottom w:val="single" w:sz="8" w:color="auto"/>
            </w:tcBorders>
            <w:gridSpan w:val="4"/>
          </w:tcPr>
          <w:p>
            <w:pPr>
              <w:jc w:val="right"/>
              <w:ind w:right="42"/>
              <w:spacing w:after="0"/>
              <w:rPr>
                <w:sz w:val="20"/>
                <w:szCs w:val="20"/>
                <w:color w:val="auto"/>
              </w:rPr>
            </w:pPr>
            <w:r>
              <w:rPr>
                <w:rFonts w:ascii="Arial" w:cs="Arial" w:eastAsia="Arial" w:hAnsi="Arial"/>
                <w:sz w:val="14"/>
                <w:szCs w:val="14"/>
                <w:b w:val="1"/>
                <w:bCs w:val="1"/>
                <w:color w:val="auto"/>
              </w:rPr>
              <w:t>Six Months Ended June 30,</w:t>
            </w:r>
          </w:p>
        </w:tc>
        <w:tc>
          <w:tcPr>
            <w:tcW w:w="6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gridSpan w:val="2"/>
          </w:tcPr>
          <w:p>
            <w:pPr>
              <w:ind w:left="240"/>
              <w:spacing w:after="0"/>
              <w:rPr>
                <w:sz w:val="20"/>
                <w:szCs w:val="20"/>
                <w:color w:val="auto"/>
              </w:rPr>
            </w:pPr>
            <w:r>
              <w:rPr>
                <w:rFonts w:ascii="Arial" w:cs="Arial" w:eastAsia="Arial" w:hAnsi="Arial"/>
                <w:sz w:val="14"/>
                <w:szCs w:val="14"/>
                <w:b w:val="1"/>
                <w:bCs w:val="1"/>
                <w:color w:val="auto"/>
              </w:rPr>
              <w:t>Change</w:t>
            </w:r>
          </w:p>
        </w:tc>
        <w:tc>
          <w:tcPr>
            <w:tcW w:w="10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60" w:type="dxa"/>
            <w:vAlign w:val="bottom"/>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2016</w:t>
            </w:r>
          </w:p>
        </w:tc>
        <w:tc>
          <w:tcPr>
            <w:tcW w:w="56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2015</w:t>
            </w:r>
          </w:p>
        </w:tc>
        <w:tc>
          <w:tcPr>
            <w:tcW w:w="6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219"/>
              <w:spacing w:after="0"/>
              <w:rPr>
                <w:sz w:val="20"/>
                <w:szCs w:val="20"/>
                <w:color w:val="auto"/>
              </w:rPr>
            </w:pPr>
            <w:r>
              <w:rPr>
                <w:rFonts w:ascii="Arial" w:cs="Arial" w:eastAsia="Arial" w:hAnsi="Arial"/>
                <w:sz w:val="14"/>
                <w:szCs w:val="14"/>
                <w:b w:val="1"/>
                <w:bCs w:val="1"/>
                <w:color w:val="auto"/>
              </w:rPr>
              <w:t>$</w:t>
            </w:r>
          </w:p>
        </w:tc>
        <w:tc>
          <w:tcPr>
            <w:tcW w:w="40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579"/>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0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740" w:type="dxa"/>
            <w:vAlign w:val="bottom"/>
            <w:gridSpan w:val="4"/>
          </w:tcPr>
          <w:p>
            <w:pPr>
              <w:jc w:val="right"/>
              <w:spacing w:after="0"/>
              <w:rPr>
                <w:sz w:val="20"/>
                <w:szCs w:val="20"/>
                <w:color w:val="auto"/>
              </w:rPr>
            </w:pPr>
            <w:r>
              <w:rPr>
                <w:rFonts w:ascii="Arial" w:cs="Arial" w:eastAsia="Arial" w:hAnsi="Arial"/>
                <w:sz w:val="14"/>
                <w:szCs w:val="14"/>
                <w:b w:val="1"/>
                <w:bCs w:val="1"/>
                <w:color w:val="auto"/>
              </w:rPr>
              <w:t>(in thousands, except for percentages)</w:t>
            </w:r>
          </w:p>
        </w:tc>
        <w:tc>
          <w:tcPr>
            <w:tcW w:w="4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5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980" w:type="dxa"/>
            <w:vAlign w:val="bottom"/>
            <w:tcBorders>
              <w:bottom w:val="single" w:sz="8" w:color="auto"/>
            </w:tcBorders>
            <w:shd w:val="clear" w:color="auto" w:fill="CCEEFF"/>
          </w:tcPr>
          <w:p>
            <w:pPr>
              <w:jc w:val="right"/>
              <w:ind w:right="779"/>
              <w:spacing w:after="0"/>
              <w:rPr>
                <w:sz w:val="20"/>
                <w:szCs w:val="20"/>
                <w:color w:val="auto"/>
              </w:rPr>
            </w:pPr>
            <w:r>
              <w:rPr>
                <w:rFonts w:ascii="Arial" w:cs="Arial" w:eastAsia="Arial" w:hAnsi="Arial"/>
                <w:sz w:val="18"/>
                <w:szCs w:val="18"/>
                <w:color w:val="auto"/>
                <w:w w:val="99"/>
              </w:rPr>
              <w:t>$</w:t>
            </w:r>
          </w:p>
        </w:tc>
        <w:tc>
          <w:tcPr>
            <w:tcW w:w="56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773</w:t>
            </w:r>
          </w:p>
        </w:tc>
        <w:tc>
          <w:tcPr>
            <w:tcW w:w="1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ind w:right="742"/>
              <w:spacing w:after="0"/>
              <w:rPr>
                <w:sz w:val="20"/>
                <w:szCs w:val="20"/>
                <w:color w:val="auto"/>
              </w:rPr>
            </w:pPr>
            <w:r>
              <w:rPr>
                <w:rFonts w:ascii="Arial" w:cs="Arial" w:eastAsia="Arial" w:hAnsi="Arial"/>
                <w:sz w:val="18"/>
                <w:szCs w:val="18"/>
                <w:color w:val="auto"/>
                <w:w w:val="99"/>
              </w:rPr>
              <w:t>$</w:t>
            </w:r>
          </w:p>
        </w:tc>
        <w:tc>
          <w:tcPr>
            <w:tcW w:w="62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233</w:t>
            </w:r>
          </w:p>
        </w:tc>
        <w:tc>
          <w:tcPr>
            <w:tcW w:w="1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ind w:right="879"/>
              <w:spacing w:after="0"/>
              <w:rPr>
                <w:sz w:val="20"/>
                <w:szCs w:val="20"/>
                <w:color w:val="auto"/>
              </w:rPr>
            </w:pPr>
            <w:r>
              <w:rPr>
                <w:rFonts w:ascii="Arial" w:cs="Arial" w:eastAsia="Arial" w:hAnsi="Arial"/>
                <w:sz w:val="18"/>
                <w:szCs w:val="18"/>
                <w:color w:val="auto"/>
                <w:w w:val="99"/>
              </w:rPr>
              <w:t>$</w:t>
            </w:r>
          </w:p>
        </w:tc>
        <w:tc>
          <w:tcPr>
            <w:tcW w:w="4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w w:val="93"/>
              </w:rPr>
              <w:t>540</w:t>
            </w:r>
          </w:p>
        </w:tc>
        <w:tc>
          <w:tcPr>
            <w:tcW w:w="54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nm</w:t>
            </w:r>
          </w:p>
        </w:tc>
        <w:tc>
          <w:tcPr>
            <w:tcW w:w="0" w:type="dxa"/>
            <w:vAlign w:val="bottom"/>
          </w:tcPr>
          <w:p>
            <w:pPr>
              <w:spacing w:after="0"/>
              <w:rPr>
                <w:sz w:val="1"/>
                <w:szCs w:val="1"/>
                <w:color w:val="auto"/>
              </w:rPr>
            </w:pPr>
          </w:p>
        </w:tc>
      </w:tr>
      <w:tr>
        <w:trPr>
          <w:trHeight w:val="20"/>
        </w:trPr>
        <w:tc>
          <w:tcPr>
            <w:tcW w:w="5060" w:type="dxa"/>
            <w:vAlign w:val="bottom"/>
            <w:vMerge w:val="restart"/>
          </w:tcPr>
          <w:p>
            <w:pPr>
              <w:ind w:left="180"/>
              <w:spacing w:after="0"/>
              <w:rPr>
                <w:sz w:val="20"/>
                <w:szCs w:val="20"/>
                <w:color w:val="auto"/>
              </w:rPr>
            </w:pPr>
            <w:r>
              <w:rPr>
                <w:rFonts w:ascii="Arial" w:cs="Arial" w:eastAsia="Arial" w:hAnsi="Arial"/>
                <w:sz w:val="18"/>
                <w:szCs w:val="18"/>
                <w:i w:val="1"/>
                <w:iCs w:val="1"/>
                <w:color w:val="auto"/>
              </w:rPr>
              <w:t>Effective tax rate</w:t>
            </w:r>
          </w:p>
        </w:tc>
        <w:tc>
          <w:tcPr>
            <w:tcW w:w="9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060" w:type="dxa"/>
            <w:vAlign w:val="bottom"/>
            <w:vMerge w:val="continue"/>
          </w:tcPr>
          <w:p>
            <w:pPr>
              <w:spacing w:after="0"/>
              <w:rPr>
                <w:sz w:val="20"/>
                <w:szCs w:val="20"/>
                <w:color w:val="auto"/>
              </w:rPr>
            </w:pPr>
          </w:p>
        </w:tc>
        <w:tc>
          <w:tcPr>
            <w:tcW w:w="980" w:type="dxa"/>
            <w:vAlign w:val="bottom"/>
          </w:tcPr>
          <w:p>
            <w:pPr>
              <w:spacing w:after="0"/>
              <w:rPr>
                <w:sz w:val="20"/>
                <w:szCs w:val="20"/>
                <w:color w:val="auto"/>
              </w:rPr>
            </w:pPr>
          </w:p>
        </w:tc>
        <w:tc>
          <w:tcPr>
            <w:tcW w:w="560" w:type="dxa"/>
            <w:vAlign w:val="bottom"/>
          </w:tcPr>
          <w:p>
            <w:pPr>
              <w:jc w:val="right"/>
              <w:spacing w:after="0"/>
              <w:rPr>
                <w:sz w:val="20"/>
                <w:szCs w:val="20"/>
                <w:color w:val="auto"/>
              </w:rPr>
            </w:pPr>
            <w:r>
              <w:rPr>
                <w:rFonts w:ascii="Arial" w:cs="Arial" w:eastAsia="Arial" w:hAnsi="Arial"/>
                <w:sz w:val="18"/>
                <w:szCs w:val="18"/>
                <w:i w:val="1"/>
                <w:iCs w:val="1"/>
                <w:color w:val="auto"/>
                <w:w w:val="97"/>
              </w:rPr>
              <w:t>44.5%</w:t>
            </w:r>
          </w:p>
        </w:tc>
        <w:tc>
          <w:tcPr>
            <w:tcW w:w="1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Arial" w:cs="Arial" w:eastAsia="Arial" w:hAnsi="Arial"/>
                <w:sz w:val="18"/>
                <w:szCs w:val="18"/>
                <w:i w:val="1"/>
                <w:iCs w:val="1"/>
                <w:color w:val="auto"/>
                <w:w w:val="91"/>
              </w:rPr>
              <w:t>364.1%</w:t>
            </w:r>
          </w:p>
        </w:tc>
        <w:tc>
          <w:tcPr>
            <w:tcW w:w="1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6"/>
        </w:trPr>
        <w:tc>
          <w:tcPr>
            <w:tcW w:w="5060" w:type="dxa"/>
            <w:vAlign w:val="bottom"/>
          </w:tcPr>
          <w:p>
            <w:pPr>
              <w:spacing w:after="0"/>
              <w:rPr>
                <w:sz w:val="24"/>
                <w:szCs w:val="24"/>
                <w:color w:val="auto"/>
              </w:rPr>
            </w:pPr>
          </w:p>
        </w:tc>
        <w:tc>
          <w:tcPr>
            <w:tcW w:w="980" w:type="dxa"/>
            <w:vAlign w:val="bottom"/>
          </w:tcPr>
          <w:p>
            <w:pPr>
              <w:jc w:val="right"/>
              <w:ind w:right="159"/>
              <w:spacing w:after="0"/>
              <w:rPr>
                <w:sz w:val="20"/>
                <w:szCs w:val="20"/>
                <w:color w:val="auto"/>
              </w:rPr>
            </w:pPr>
            <w:r>
              <w:rPr>
                <w:rFonts w:ascii="Arial" w:cs="Arial" w:eastAsia="Arial" w:hAnsi="Arial"/>
                <w:sz w:val="18"/>
                <w:szCs w:val="18"/>
                <w:color w:val="auto"/>
              </w:rPr>
              <w:t>24</w:t>
            </w: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ind w:right="340" w:firstLine="432"/>
        <w:spacing w:after="0" w:line="312" w:lineRule="auto"/>
        <w:rPr>
          <w:sz w:val="20"/>
          <w:szCs w:val="20"/>
          <w:color w:val="auto"/>
        </w:rPr>
      </w:pPr>
      <w:r>
        <w:rPr>
          <w:rFonts w:ascii="Arial" w:cs="Arial" w:eastAsia="Arial" w:hAnsi="Arial"/>
          <w:sz w:val="16"/>
          <w:szCs w:val="16"/>
          <w:color w:val="auto"/>
        </w:rPr>
        <w:t>Our provision from income taxes increased $0.5 million, to $0.8 million in the six months ended June 30, 2016, from $0.2 million in the six months ended June 30, 2015. Our effective tax rate decreased to 44.5% for the six months ended June 30, 2016, compared to 364.1% for the six months ended June 30, 2015 primarily attributable to forecasted income and losses. The effective tax rate is based on a forecast of our full year results.</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7"/>
          <w:szCs w:val="17"/>
          <w:color w:val="auto"/>
        </w:rPr>
        <w:t>As of June 30, 2016, we had $228.1 million in working capital, which included $13.9 million in cash and $125.9 million in marketable investments.</w:t>
      </w:r>
    </w:p>
    <w:p>
      <w:pPr>
        <w:spacing w:after="0" w:line="129" w:lineRule="exact"/>
        <w:rPr>
          <w:sz w:val="20"/>
          <w:szCs w:val="20"/>
          <w:color w:val="auto"/>
        </w:rPr>
      </w:pPr>
    </w:p>
    <w:p>
      <w:pPr>
        <w:ind w:right="20" w:firstLine="432"/>
        <w:spacing w:after="0" w:line="272" w:lineRule="auto"/>
        <w:rPr>
          <w:sz w:val="20"/>
          <w:szCs w:val="20"/>
          <w:color w:val="auto"/>
        </w:rPr>
      </w:pPr>
      <w:r>
        <w:rPr>
          <w:rFonts w:ascii="Arial" w:cs="Arial" w:eastAsia="Arial" w:hAnsi="Arial"/>
          <w:sz w:val="17"/>
          <w:szCs w:val="17"/>
          <w:color w:val="auto"/>
        </w:rPr>
        <w:t>In addition to our existing cash and cash equivalents and marketable investment balances, our principal source of liquidity is our accounts receivable. We believe these sources will be sufficient to meet our liquidity requirements for at least the next 12 months. Our principal liquidity requirements are to fund our operations, including our research and development, and capital expenditures. To facilitate our growth, we may also lease or purchase additional facilities. We expect to continue to make investments as we launch new products, expand our manufacturing operations and further expand into international markets. We may, however, require or elect to secure additional financing as we continue to execute our business strategy. If we require or elect to raise additional funds, we may do so through equity or debt financing, which may not be available on acceptable terms, could result in dilution to our stockholders and could require us to agree to covenants that limit our operating flexibility.</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20" w:type="dxa"/>
            <w:vAlign w:val="bottom"/>
          </w:tcPr>
          <w:p>
            <w:pPr>
              <w:jc w:val="right"/>
              <w:ind w:right="456"/>
              <w:spacing w:after="0"/>
              <w:rPr>
                <w:sz w:val="20"/>
                <w:szCs w:val="20"/>
                <w:color w:val="auto"/>
              </w:rPr>
            </w:pPr>
            <w:r>
              <w:rPr>
                <w:rFonts w:ascii="Arial" w:cs="Arial" w:eastAsia="Arial" w:hAnsi="Arial"/>
                <w:sz w:val="14"/>
                <w:szCs w:val="14"/>
                <w:b w:val="1"/>
                <w:bCs w:val="1"/>
                <w:color w:val="auto"/>
              </w:rPr>
              <w:t>June 30,</w:t>
            </w:r>
          </w:p>
        </w:tc>
        <w:tc>
          <w:tcPr>
            <w:tcW w:w="300" w:type="dxa"/>
            <w:vAlign w:val="bottom"/>
          </w:tcPr>
          <w:p>
            <w:pPr>
              <w:spacing w:after="0"/>
              <w:rPr>
                <w:sz w:val="14"/>
                <w:szCs w:val="14"/>
                <w:color w:val="auto"/>
              </w:rPr>
            </w:pPr>
          </w:p>
        </w:tc>
        <w:tc>
          <w:tcPr>
            <w:tcW w:w="1260" w:type="dxa"/>
            <w:vAlign w:val="bottom"/>
          </w:tcPr>
          <w:p>
            <w:pPr>
              <w:jc w:val="right"/>
              <w:ind w:right="254"/>
              <w:spacing w:after="0"/>
              <w:rPr>
                <w:sz w:val="20"/>
                <w:szCs w:val="20"/>
                <w:color w:val="auto"/>
              </w:rPr>
            </w:pPr>
            <w:r>
              <w:rPr>
                <w:rFonts w:ascii="Arial" w:cs="Arial" w:eastAsia="Arial" w:hAnsi="Arial"/>
                <w:sz w:val="14"/>
                <w:szCs w:val="14"/>
                <w:b w:val="1"/>
                <w:bCs w:val="1"/>
                <w:color w:val="auto"/>
                <w:w w:val="98"/>
              </w:rPr>
              <w:t>December 31,</w:t>
            </w:r>
          </w:p>
        </w:tc>
      </w:tr>
      <w:tr>
        <w:trPr>
          <w:trHeight w:val="192"/>
        </w:trPr>
        <w:tc>
          <w:tcPr>
            <w:tcW w:w="83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36"/>
              <w:spacing w:after="0"/>
              <w:rPr>
                <w:sz w:val="20"/>
                <w:szCs w:val="20"/>
                <w:color w:val="auto"/>
              </w:rPr>
            </w:pPr>
            <w:r>
              <w:rPr>
                <w:rFonts w:ascii="Arial" w:cs="Arial" w:eastAsia="Arial" w:hAnsi="Arial"/>
                <w:sz w:val="14"/>
                <w:szCs w:val="14"/>
                <w:b w:val="1"/>
                <w:bCs w:val="1"/>
                <w:color w:val="auto"/>
              </w:rPr>
              <w:t>2016</w:t>
            </w:r>
          </w:p>
        </w:tc>
        <w:tc>
          <w:tcPr>
            <w:tcW w:w="30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2015</w:t>
            </w:r>
          </w:p>
        </w:tc>
      </w:tr>
      <w:tr>
        <w:trPr>
          <w:trHeight w:val="196"/>
        </w:trPr>
        <w:tc>
          <w:tcPr>
            <w:tcW w:w="83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780" w:type="dxa"/>
            <w:vAlign w:val="bottom"/>
            <w:gridSpan w:val="3"/>
          </w:tcPr>
          <w:p>
            <w:pPr>
              <w:jc w:val="right"/>
              <w:ind w:right="994"/>
              <w:spacing w:after="0"/>
              <w:rPr>
                <w:sz w:val="20"/>
                <w:szCs w:val="20"/>
                <w:color w:val="auto"/>
              </w:rPr>
            </w:pPr>
            <w:r>
              <w:rPr>
                <w:rFonts w:ascii="Arial" w:cs="Arial" w:eastAsia="Arial" w:hAnsi="Arial"/>
                <w:sz w:val="14"/>
                <w:szCs w:val="14"/>
                <w:b w:val="1"/>
                <w:bCs w:val="1"/>
                <w:color w:val="auto"/>
              </w:rPr>
              <w:t>(in thousands)</w:t>
            </w:r>
          </w:p>
        </w:tc>
      </w:tr>
      <w:tr>
        <w:trPr>
          <w:trHeight w:val="256"/>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13,914</w:t>
            </w:r>
          </w:p>
        </w:tc>
        <w:tc>
          <w:tcPr>
            <w:tcW w:w="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19,547</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Marketable investments</w:t>
            </w:r>
          </w:p>
        </w:tc>
        <w:tc>
          <w:tcPr>
            <w:tcW w:w="300" w:type="dxa"/>
            <w:vAlign w:val="bottom"/>
          </w:tcPr>
          <w:p>
            <w:pPr>
              <w:spacing w:after="0"/>
              <w:rPr>
                <w:sz w:val="21"/>
                <w:szCs w:val="21"/>
                <w:color w:val="auto"/>
              </w:rPr>
            </w:pPr>
          </w:p>
        </w:tc>
        <w:tc>
          <w:tcPr>
            <w:tcW w:w="1220" w:type="dxa"/>
            <w:vAlign w:val="bottom"/>
          </w:tcPr>
          <w:p>
            <w:pPr>
              <w:jc w:val="right"/>
              <w:ind w:right="36"/>
              <w:spacing w:after="0"/>
              <w:rPr>
                <w:sz w:val="20"/>
                <w:szCs w:val="20"/>
                <w:color w:val="auto"/>
              </w:rPr>
            </w:pPr>
            <w:r>
              <w:rPr>
                <w:rFonts w:ascii="Arial" w:cs="Arial" w:eastAsia="Arial" w:hAnsi="Arial"/>
                <w:sz w:val="18"/>
                <w:szCs w:val="18"/>
                <w:color w:val="auto"/>
              </w:rPr>
              <w:t>125,949</w:t>
            </w:r>
          </w:p>
        </w:tc>
        <w:tc>
          <w:tcPr>
            <w:tcW w:w="30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129,257</w:t>
            </w:r>
          </w:p>
        </w:tc>
      </w:tr>
      <w:tr>
        <w:trPr>
          <w:trHeight w:val="27"/>
        </w:trPr>
        <w:tc>
          <w:tcPr>
            <w:tcW w:w="83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Accounts receivable, net</w:t>
            </w:r>
          </w:p>
        </w:tc>
        <w:tc>
          <w:tcPr>
            <w:tcW w:w="3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34,577</w:t>
            </w:r>
          </w:p>
        </w:tc>
        <w:tc>
          <w:tcPr>
            <w:tcW w:w="3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29,444</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Accounts payable</w:t>
            </w:r>
          </w:p>
        </w:tc>
        <w:tc>
          <w:tcPr>
            <w:tcW w:w="300" w:type="dxa"/>
            <w:vAlign w:val="bottom"/>
          </w:tcPr>
          <w:p>
            <w:pPr>
              <w:spacing w:after="0"/>
              <w:rPr>
                <w:sz w:val="21"/>
                <w:szCs w:val="21"/>
                <w:color w:val="auto"/>
              </w:rPr>
            </w:pPr>
          </w:p>
        </w:tc>
        <w:tc>
          <w:tcPr>
            <w:tcW w:w="1220" w:type="dxa"/>
            <w:vAlign w:val="bottom"/>
          </w:tcPr>
          <w:p>
            <w:pPr>
              <w:jc w:val="right"/>
              <w:ind w:right="36"/>
              <w:spacing w:after="0"/>
              <w:rPr>
                <w:sz w:val="20"/>
                <w:szCs w:val="20"/>
                <w:color w:val="auto"/>
              </w:rPr>
            </w:pPr>
            <w:r>
              <w:rPr>
                <w:rFonts w:ascii="Arial" w:cs="Arial" w:eastAsia="Arial" w:hAnsi="Arial"/>
                <w:sz w:val="18"/>
                <w:szCs w:val="18"/>
                <w:color w:val="auto"/>
              </w:rPr>
              <w:t>4,070</w:t>
            </w:r>
          </w:p>
        </w:tc>
        <w:tc>
          <w:tcPr>
            <w:tcW w:w="30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2,567</w:t>
            </w:r>
          </w:p>
        </w:tc>
      </w:tr>
      <w:tr>
        <w:trPr>
          <w:trHeight w:val="27"/>
        </w:trPr>
        <w:tc>
          <w:tcPr>
            <w:tcW w:w="83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liabilities</w:t>
            </w:r>
          </w:p>
        </w:tc>
        <w:tc>
          <w:tcPr>
            <w:tcW w:w="3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28,119</w:t>
            </w:r>
          </w:p>
        </w:tc>
        <w:tc>
          <w:tcPr>
            <w:tcW w:w="3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25,581</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Working capital</w:t>
            </w:r>
            <w:r>
              <w:rPr>
                <w:rFonts w:ascii="Arial" w:cs="Arial" w:eastAsia="Arial" w:hAnsi="Arial"/>
                <w:sz w:val="16"/>
                <w:szCs w:val="16"/>
                <w:color w:val="auto"/>
              </w:rPr>
              <w:t>(1)</w:t>
            </w:r>
          </w:p>
        </w:tc>
        <w:tc>
          <w:tcPr>
            <w:tcW w:w="300" w:type="dxa"/>
            <w:vAlign w:val="bottom"/>
          </w:tcPr>
          <w:p>
            <w:pPr>
              <w:spacing w:after="0"/>
              <w:rPr>
                <w:sz w:val="21"/>
                <w:szCs w:val="21"/>
                <w:color w:val="auto"/>
              </w:rPr>
            </w:pPr>
          </w:p>
        </w:tc>
        <w:tc>
          <w:tcPr>
            <w:tcW w:w="1220" w:type="dxa"/>
            <w:vAlign w:val="bottom"/>
          </w:tcPr>
          <w:p>
            <w:pPr>
              <w:jc w:val="right"/>
              <w:ind w:right="36"/>
              <w:spacing w:after="0"/>
              <w:rPr>
                <w:sz w:val="20"/>
                <w:szCs w:val="20"/>
                <w:color w:val="auto"/>
              </w:rPr>
            </w:pPr>
            <w:r>
              <w:rPr>
                <w:rFonts w:ascii="Arial" w:cs="Arial" w:eastAsia="Arial" w:hAnsi="Arial"/>
                <w:sz w:val="18"/>
                <w:szCs w:val="18"/>
                <w:color w:val="auto"/>
              </w:rPr>
              <w:t>228,063</w:t>
            </w:r>
          </w:p>
        </w:tc>
        <w:tc>
          <w:tcPr>
            <w:tcW w:w="30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216,213</w:t>
            </w:r>
          </w:p>
        </w:tc>
      </w:tr>
      <w:tr>
        <w:trPr>
          <w:trHeight w:val="243"/>
        </w:trPr>
        <w:tc>
          <w:tcPr>
            <w:tcW w:w="8340" w:type="dxa"/>
            <w:vAlign w:val="bottom"/>
          </w:tcPr>
          <w:p>
            <w:pPr>
              <w:spacing w:after="0"/>
              <w:rPr>
                <w:sz w:val="20"/>
                <w:szCs w:val="20"/>
                <w:color w:val="auto"/>
              </w:rPr>
            </w:pPr>
            <w:r>
              <w:rPr>
                <w:rFonts w:ascii="Arial" w:cs="Arial" w:eastAsia="Arial" w:hAnsi="Arial"/>
                <w:sz w:val="18"/>
                <w:szCs w:val="18"/>
                <w:color w:val="auto"/>
              </w:rPr>
              <w:t>__________________</w:t>
            </w:r>
          </w:p>
        </w:tc>
        <w:tc>
          <w:tcPr>
            <w:tcW w:w="30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60" w:type="dxa"/>
            <w:vAlign w:val="bottom"/>
          </w:tcPr>
          <w:p>
            <w:pPr>
              <w:spacing w:after="0"/>
              <w:rPr>
                <w:sz w:val="21"/>
                <w:szCs w:val="21"/>
                <w:color w:val="auto"/>
              </w:rPr>
            </w:pPr>
          </w:p>
        </w:tc>
      </w:tr>
    </w:tbl>
    <w:p>
      <w:pPr>
        <w:spacing w:after="0" w:line="98" w:lineRule="exact"/>
        <w:rPr>
          <w:sz w:val="20"/>
          <w:szCs w:val="20"/>
          <w:color w:val="auto"/>
        </w:rPr>
      </w:pPr>
    </w:p>
    <w:p>
      <w:pPr>
        <w:ind w:left="420" w:hanging="412"/>
        <w:spacing w:after="0"/>
        <w:tabs>
          <w:tab w:leader="none" w:pos="420" w:val="left"/>
        </w:tabs>
        <w:numPr>
          <w:ilvl w:val="0"/>
          <w:numId w:val="7"/>
        </w:numPr>
        <w:rPr>
          <w:rFonts w:ascii="Arial" w:cs="Arial" w:eastAsia="Arial" w:hAnsi="Arial"/>
          <w:sz w:val="16"/>
          <w:szCs w:val="16"/>
          <w:color w:val="auto"/>
        </w:rPr>
      </w:pPr>
      <w:r>
        <w:rPr>
          <w:rFonts w:ascii="Arial" w:cs="Arial" w:eastAsia="Arial" w:hAnsi="Arial"/>
          <w:sz w:val="16"/>
          <w:szCs w:val="16"/>
          <w:color w:val="auto"/>
        </w:rPr>
        <w:t>Working capital consists of total current assets less total current liabilities.</w:t>
      </w:r>
    </w:p>
    <w:p>
      <w:pPr>
        <w:spacing w:after="0" w:line="109"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table sets forth, for the periods indicated, our beginning balance of cash and cash equivalents, net cash flows provided by (used in)</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operating, investing and financing activities and our ending balance of cash and cash equivalents:</w:t>
      </w: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3"/>
          </w:tcPr>
          <w:p>
            <w:pPr>
              <w:jc w:val="center"/>
              <w:ind w:right="233"/>
              <w:spacing w:after="0"/>
              <w:rPr>
                <w:sz w:val="20"/>
                <w:szCs w:val="20"/>
                <w:color w:val="auto"/>
              </w:rPr>
            </w:pPr>
            <w:r>
              <w:rPr>
                <w:rFonts w:ascii="Arial" w:cs="Arial" w:eastAsia="Arial" w:hAnsi="Arial"/>
                <w:sz w:val="14"/>
                <w:szCs w:val="14"/>
                <w:b w:val="1"/>
                <w:bCs w:val="1"/>
                <w:color w:val="auto"/>
                <w:w w:val="92"/>
              </w:rPr>
              <w:t>Six Months Ended June 30,</w:t>
            </w:r>
          </w:p>
        </w:tc>
      </w:tr>
      <w:tr>
        <w:trPr>
          <w:trHeight w:val="264"/>
        </w:trPr>
        <w:tc>
          <w:tcPr>
            <w:tcW w:w="8340" w:type="dxa"/>
            <w:vAlign w:val="bottom"/>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557"/>
              <w:spacing w:after="0"/>
              <w:rPr>
                <w:sz w:val="20"/>
                <w:szCs w:val="20"/>
                <w:color w:val="auto"/>
              </w:rPr>
            </w:pPr>
            <w:r>
              <w:rPr>
                <w:rFonts w:ascii="Arial" w:cs="Arial" w:eastAsia="Arial" w:hAnsi="Arial"/>
                <w:sz w:val="14"/>
                <w:szCs w:val="14"/>
                <w:b w:val="1"/>
                <w:bCs w:val="1"/>
                <w:color w:val="auto"/>
              </w:rPr>
              <w:t>2016</w:t>
            </w:r>
          </w:p>
        </w:tc>
        <w:tc>
          <w:tcPr>
            <w:tcW w:w="56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2015</w:t>
            </w:r>
          </w:p>
        </w:tc>
      </w:tr>
      <w:tr>
        <w:trPr>
          <w:trHeight w:val="196"/>
        </w:trPr>
        <w:tc>
          <w:tcPr>
            <w:tcW w:w="83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740" w:type="dxa"/>
            <w:vAlign w:val="bottom"/>
            <w:gridSpan w:val="2"/>
          </w:tcPr>
          <w:p>
            <w:pPr>
              <w:jc w:val="center"/>
              <w:ind w:left="577"/>
              <w:spacing w:after="0"/>
              <w:rPr>
                <w:sz w:val="20"/>
                <w:szCs w:val="20"/>
                <w:color w:val="auto"/>
              </w:rPr>
            </w:pPr>
            <w:r>
              <w:rPr>
                <w:rFonts w:ascii="Arial" w:cs="Arial" w:eastAsia="Arial" w:hAnsi="Arial"/>
                <w:sz w:val="14"/>
                <w:szCs w:val="14"/>
                <w:b w:val="1"/>
                <w:bCs w:val="1"/>
                <w:color w:val="auto"/>
                <w:w w:val="91"/>
              </w:rPr>
              <w:t>(in thousands)</w:t>
            </w:r>
          </w:p>
        </w:tc>
        <w:tc>
          <w:tcPr>
            <w:tcW w:w="980" w:type="dxa"/>
            <w:vAlign w:val="bottom"/>
          </w:tcPr>
          <w:p>
            <w:pPr>
              <w:spacing w:after="0"/>
              <w:rPr>
                <w:sz w:val="17"/>
                <w:szCs w:val="17"/>
                <w:color w:val="auto"/>
              </w:rPr>
            </w:pPr>
          </w:p>
        </w:tc>
      </w:tr>
      <w:tr>
        <w:trPr>
          <w:trHeight w:val="256"/>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 at beginning of period</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57"/>
              <w:spacing w:after="0"/>
              <w:rPr>
                <w:sz w:val="20"/>
                <w:szCs w:val="20"/>
                <w:color w:val="auto"/>
              </w:rPr>
            </w:pPr>
            <w:r>
              <w:rPr>
                <w:rFonts w:ascii="Arial" w:cs="Arial" w:eastAsia="Arial" w:hAnsi="Arial"/>
                <w:sz w:val="18"/>
                <w:szCs w:val="18"/>
                <w:color w:val="auto"/>
              </w:rPr>
              <w:t>19,547</w:t>
            </w:r>
          </w:p>
        </w:tc>
        <w:tc>
          <w:tcPr>
            <w:tcW w:w="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3,290</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Net cash used in operating activities</w:t>
            </w:r>
          </w:p>
        </w:tc>
        <w:tc>
          <w:tcPr>
            <w:tcW w:w="36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(12,555)</w:t>
            </w:r>
          </w:p>
        </w:tc>
        <w:tc>
          <w:tcPr>
            <w:tcW w:w="5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(8,331)</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5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investing activities</w:t>
            </w:r>
          </w:p>
        </w:tc>
        <w:tc>
          <w:tcPr>
            <w:tcW w:w="3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57"/>
              <w:spacing w:after="0"/>
              <w:rPr>
                <w:sz w:val="20"/>
                <w:szCs w:val="20"/>
                <w:color w:val="auto"/>
              </w:rPr>
            </w:pPr>
            <w:r>
              <w:rPr>
                <w:rFonts w:ascii="Arial" w:cs="Arial" w:eastAsia="Arial" w:hAnsi="Arial"/>
                <w:sz w:val="18"/>
                <w:szCs w:val="18"/>
                <w:color w:val="auto"/>
              </w:rPr>
              <w:t>304</w:t>
            </w:r>
          </w:p>
        </w:tc>
        <w:tc>
          <w:tcPr>
            <w:tcW w:w="5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45,018</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Net cash provided by (used in) financing activities</w:t>
            </w:r>
          </w:p>
        </w:tc>
        <w:tc>
          <w:tcPr>
            <w:tcW w:w="360" w:type="dxa"/>
            <w:vAlign w:val="bottom"/>
          </w:tcPr>
          <w:p>
            <w:pPr>
              <w:spacing w:after="0"/>
              <w:rPr>
                <w:sz w:val="21"/>
                <w:szCs w:val="21"/>
                <w:color w:val="auto"/>
              </w:rPr>
            </w:pPr>
          </w:p>
        </w:tc>
        <w:tc>
          <w:tcPr>
            <w:tcW w:w="1180" w:type="dxa"/>
            <w:vAlign w:val="bottom"/>
          </w:tcPr>
          <w:p>
            <w:pPr>
              <w:jc w:val="right"/>
              <w:ind w:right="57"/>
              <w:spacing w:after="0"/>
              <w:rPr>
                <w:sz w:val="20"/>
                <w:szCs w:val="20"/>
                <w:color w:val="auto"/>
              </w:rPr>
            </w:pPr>
            <w:r>
              <w:rPr>
                <w:rFonts w:ascii="Arial" w:cs="Arial" w:eastAsia="Arial" w:hAnsi="Arial"/>
                <w:sz w:val="18"/>
                <w:szCs w:val="18"/>
                <w:color w:val="auto"/>
              </w:rPr>
              <w:t>7,803</w:t>
            </w:r>
          </w:p>
        </w:tc>
        <w:tc>
          <w:tcPr>
            <w:tcW w:w="5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(2,974)</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5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43"/>
        </w:trPr>
        <w:tc>
          <w:tcPr>
            <w:tcW w:w="8340" w:type="dxa"/>
            <w:vAlign w:val="bottom"/>
            <w:shd w:val="clear" w:color="auto" w:fill="CCEEFF"/>
          </w:tcPr>
          <w:p>
            <w:pPr>
              <w:ind w:left="40"/>
              <w:spacing w:after="0"/>
              <w:rPr>
                <w:sz w:val="20"/>
                <w:szCs w:val="20"/>
                <w:color w:val="auto"/>
              </w:rPr>
            </w:pPr>
            <w:r>
              <w:rPr>
                <w:rFonts w:ascii="Arial" w:cs="Arial" w:eastAsia="Arial" w:hAnsi="Arial"/>
                <w:sz w:val="18"/>
                <w:szCs w:val="18"/>
                <w:color w:val="auto"/>
              </w:rPr>
              <w:t>Cash and cash equivalents at end of period</w:t>
            </w:r>
          </w:p>
        </w:tc>
        <w:tc>
          <w:tcPr>
            <w:tcW w:w="360" w:type="dxa"/>
            <w:vAlign w:val="bottom"/>
            <w:shd w:val="clear" w:color="auto" w:fill="CCEEFF"/>
          </w:tcPr>
          <w:p>
            <w:pPr>
              <w:spacing w:after="0"/>
              <w:rPr>
                <w:sz w:val="21"/>
                <w:szCs w:val="21"/>
                <w:color w:val="auto"/>
              </w:rPr>
            </w:pPr>
          </w:p>
        </w:tc>
        <w:tc>
          <w:tcPr>
            <w:tcW w:w="1180" w:type="dxa"/>
            <w:vAlign w:val="bottom"/>
            <w:shd w:val="clear" w:color="auto" w:fill="CCEEFF"/>
          </w:tcPr>
          <w:p>
            <w:pPr>
              <w:jc w:val="right"/>
              <w:ind w:right="57"/>
              <w:spacing w:after="0"/>
              <w:rPr>
                <w:sz w:val="20"/>
                <w:szCs w:val="20"/>
                <w:color w:val="auto"/>
              </w:rPr>
            </w:pPr>
            <w:r>
              <w:rPr>
                <w:rFonts w:ascii="Arial" w:cs="Arial" w:eastAsia="Arial" w:hAnsi="Arial"/>
                <w:sz w:val="18"/>
                <w:szCs w:val="18"/>
                <w:color w:val="auto"/>
              </w:rPr>
              <w:t>13,914</w:t>
            </w:r>
          </w:p>
        </w:tc>
        <w:tc>
          <w:tcPr>
            <w:tcW w:w="560" w:type="dxa"/>
            <w:vAlign w:val="bottom"/>
            <w:shd w:val="clear" w:color="auto" w:fill="CCEEFF"/>
          </w:tcPr>
          <w:p>
            <w:pPr>
              <w:spacing w:after="0"/>
              <w:rPr>
                <w:sz w:val="21"/>
                <w:szCs w:val="21"/>
                <w:color w:val="auto"/>
              </w:rPr>
            </w:pPr>
          </w:p>
        </w:tc>
        <w:tc>
          <w:tcPr>
            <w:tcW w:w="9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36,764</w:t>
            </w:r>
          </w:p>
        </w:tc>
      </w:tr>
      <w:tr>
        <w:trPr>
          <w:trHeight w:val="27"/>
        </w:trPr>
        <w:tc>
          <w:tcPr>
            <w:tcW w:w="834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8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Used in Operating Activities</w:t>
      </w:r>
    </w:p>
    <w:p>
      <w:pPr>
        <w:spacing w:after="0" w:line="117" w:lineRule="exact"/>
        <w:rPr>
          <w:sz w:val="20"/>
          <w:szCs w:val="20"/>
          <w:color w:val="auto"/>
        </w:rPr>
      </w:pPr>
    </w:p>
    <w:p>
      <w:pPr>
        <w:ind w:firstLine="432"/>
        <w:spacing w:after="0" w:line="312" w:lineRule="auto"/>
        <w:rPr>
          <w:sz w:val="20"/>
          <w:szCs w:val="20"/>
          <w:color w:val="auto"/>
        </w:rPr>
      </w:pPr>
      <w:r>
        <w:rPr>
          <w:rFonts w:ascii="Arial" w:cs="Arial" w:eastAsia="Arial" w:hAnsi="Arial"/>
          <w:sz w:val="16"/>
          <w:szCs w:val="16"/>
          <w:color w:val="auto"/>
        </w:rPr>
        <w:t>Net cash used in operating activities consists primarily of net income adjusted for certain non-cash items (including depreciation and amortization, inventory write downs, stock-based compensation expense, amortization of premium on marketable investments, provision for doubtful accounts, provision for sales returns, loss on disposal of property and equipment, provision for product warranty), and the effect of changes in working capital and other activities.</w:t>
      </w:r>
    </w:p>
    <w:p>
      <w:pPr>
        <w:spacing w:after="0" w:line="39" w:lineRule="exact"/>
        <w:rPr>
          <w:sz w:val="20"/>
          <w:szCs w:val="20"/>
          <w:color w:val="auto"/>
        </w:rPr>
      </w:pPr>
    </w:p>
    <w:p>
      <w:pPr>
        <w:ind w:right="40" w:firstLine="432"/>
        <w:spacing w:after="0" w:line="276" w:lineRule="auto"/>
        <w:rPr>
          <w:sz w:val="20"/>
          <w:szCs w:val="20"/>
          <w:color w:val="auto"/>
        </w:rPr>
      </w:pPr>
      <w:r>
        <w:rPr>
          <w:rFonts w:ascii="Arial" w:cs="Arial" w:eastAsia="Arial" w:hAnsi="Arial"/>
          <w:sz w:val="17"/>
          <w:szCs w:val="17"/>
          <w:color w:val="auto"/>
        </w:rPr>
        <w:t>Net cash used in operating activities was $12.6 million during the six months ended June 30, 2016 and consisted of net income of $1.0 million and non-cash items of $4.3 million offset by net changes in operating assets and liabilities of $17.8 million. The change in operating assets and liabilities include the increase in inventories of $12.0 million to support our revenue growth, an increase in prepaid expenses and other current and non-current assets of $5.5 million and an increase in accounts receivable of $5.1 million, partially offset by an increase in accrued expenses and other non-current liabilities of $3.4 million and accounts payable of $1.3 million, as a result of the growth in our business activities.</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125" w:right="23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ind w:right="100" w:firstLine="432"/>
        <w:spacing w:after="0" w:line="276" w:lineRule="auto"/>
        <w:rPr>
          <w:sz w:val="20"/>
          <w:szCs w:val="20"/>
          <w:color w:val="auto"/>
        </w:rPr>
      </w:pPr>
      <w:r>
        <w:rPr>
          <w:rFonts w:ascii="Arial" w:cs="Arial" w:eastAsia="Arial" w:hAnsi="Arial"/>
          <w:sz w:val="17"/>
          <w:szCs w:val="17"/>
          <w:color w:val="auto"/>
        </w:rPr>
        <w:t>Net cash used in operating activities was $8.3 million during the six months ended June 30, 2015 and consisted of a net loss of $0.2 million and net changes in operating assets and liabilities of $13.8 million, partially offset by non-cash items of $5.6 million. The change in operating assets and liabilities include the increase in inventories of $11.3 million to support our revenue growth, an increase in accounts receivable of $4.9 million, an increase in prepaid expenses and other current assets of$2.8 million, partially offset by an increase in accrued expenses and other non-current liabilities of $4.7 million and accounts payable of $0.5 million, respectively, as a result of the growth in our business activities.</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Provided by Investing Activities</w:t>
      </w:r>
    </w:p>
    <w:p>
      <w:pPr>
        <w:spacing w:after="0" w:line="117" w:lineRule="exact"/>
        <w:rPr>
          <w:sz w:val="20"/>
          <w:szCs w:val="20"/>
          <w:color w:val="auto"/>
        </w:rPr>
      </w:pPr>
    </w:p>
    <w:p>
      <w:pPr>
        <w:ind w:right="900" w:firstLine="432"/>
        <w:spacing w:after="0" w:line="277" w:lineRule="auto"/>
        <w:rPr>
          <w:sz w:val="20"/>
          <w:szCs w:val="20"/>
          <w:color w:val="auto"/>
        </w:rPr>
      </w:pPr>
      <w:r>
        <w:rPr>
          <w:rFonts w:ascii="Arial" w:cs="Arial" w:eastAsia="Arial" w:hAnsi="Arial"/>
          <w:sz w:val="18"/>
          <w:szCs w:val="18"/>
          <w:color w:val="auto"/>
        </w:rPr>
        <w:t>Net cash provided by investing activities relates primarily to proceeds from sales or maturities of marketable investments, offset by capital expenditures.</w:t>
      </w:r>
    </w:p>
    <w:p>
      <w:pPr>
        <w:spacing w:after="0" w:line="62" w:lineRule="exact"/>
        <w:rPr>
          <w:sz w:val="20"/>
          <w:szCs w:val="20"/>
          <w:color w:val="auto"/>
        </w:rPr>
      </w:pPr>
    </w:p>
    <w:p>
      <w:pPr>
        <w:ind w:right="300" w:firstLine="432"/>
        <w:spacing w:after="0" w:line="277" w:lineRule="auto"/>
        <w:rPr>
          <w:sz w:val="20"/>
          <w:szCs w:val="20"/>
          <w:color w:val="auto"/>
        </w:rPr>
      </w:pPr>
      <w:r>
        <w:rPr>
          <w:rFonts w:ascii="Arial" w:cs="Arial" w:eastAsia="Arial" w:hAnsi="Arial"/>
          <w:sz w:val="18"/>
          <w:szCs w:val="18"/>
          <w:color w:val="auto"/>
        </w:rPr>
        <w:t>Net cash provided by investing activities was $0.3 million during the six months ended June 30, 2016 and consisted of net proceeds from sales and maturities of marketable investments of $4.0 million, offset by capital expenditures of $3.7 million.</w:t>
      </w:r>
    </w:p>
    <w:p>
      <w:pPr>
        <w:spacing w:after="0" w:line="62" w:lineRule="exact"/>
        <w:rPr>
          <w:sz w:val="20"/>
          <w:szCs w:val="20"/>
          <w:color w:val="auto"/>
        </w:rPr>
      </w:pPr>
    </w:p>
    <w:p>
      <w:pPr>
        <w:ind w:right="60" w:firstLine="432"/>
        <w:spacing w:after="0" w:line="277" w:lineRule="auto"/>
        <w:rPr>
          <w:sz w:val="20"/>
          <w:szCs w:val="20"/>
          <w:color w:val="auto"/>
        </w:rPr>
      </w:pPr>
      <w:r>
        <w:rPr>
          <w:rFonts w:ascii="Arial" w:cs="Arial" w:eastAsia="Arial" w:hAnsi="Arial"/>
          <w:sz w:val="18"/>
          <w:szCs w:val="18"/>
          <w:color w:val="auto"/>
        </w:rPr>
        <w:t>Net cash provided by investing activities was $45.0 million during the six months ended June 30, 2015 and consisted of the net proceeds from sales of marketable investments of $48.1 million partially offset by capital expenditures of $3.1 million.</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Provided by (Used in) Financing Activities</w:t>
      </w:r>
    </w:p>
    <w:p>
      <w:pPr>
        <w:spacing w:after="0" w:line="117" w:lineRule="exact"/>
        <w:rPr>
          <w:sz w:val="20"/>
          <w:szCs w:val="20"/>
          <w:color w:val="auto"/>
        </w:rPr>
      </w:pPr>
    </w:p>
    <w:p>
      <w:pPr>
        <w:ind w:right="240" w:firstLine="432"/>
        <w:spacing w:after="0" w:line="277" w:lineRule="auto"/>
        <w:rPr>
          <w:sz w:val="20"/>
          <w:szCs w:val="20"/>
          <w:color w:val="auto"/>
        </w:rPr>
      </w:pPr>
      <w:r>
        <w:rPr>
          <w:rFonts w:ascii="Arial" w:cs="Arial" w:eastAsia="Arial" w:hAnsi="Arial"/>
          <w:sz w:val="18"/>
          <w:szCs w:val="18"/>
          <w:color w:val="auto"/>
        </w:rPr>
        <w:t>Net cash from financing activities primarily relates to stock option exercises, issuance of stock under ESPP and excess tax benefit from stock-based compensation.</w:t>
      </w:r>
    </w:p>
    <w:p>
      <w:pPr>
        <w:spacing w:after="0" w:line="62" w:lineRule="exact"/>
        <w:rPr>
          <w:sz w:val="20"/>
          <w:szCs w:val="20"/>
          <w:color w:val="auto"/>
        </w:rPr>
      </w:pPr>
    </w:p>
    <w:p>
      <w:pPr>
        <w:ind w:right="20" w:firstLine="432"/>
        <w:spacing w:after="0" w:line="264" w:lineRule="auto"/>
        <w:rPr>
          <w:sz w:val="20"/>
          <w:szCs w:val="20"/>
          <w:color w:val="auto"/>
        </w:rPr>
      </w:pPr>
      <w:r>
        <w:rPr>
          <w:rFonts w:ascii="Arial" w:cs="Arial" w:eastAsia="Arial" w:hAnsi="Arial"/>
          <w:sz w:val="18"/>
          <w:szCs w:val="18"/>
          <w:color w:val="auto"/>
        </w:rPr>
        <w:t>Financing activities in the six months ended June 30, 2016 provided net cash of $7.8 million due to payment of employee taxes related to vested restricted stock of $1.8 million, offset by excess tax benefit from stock-based compensation of $4.4 million, proceeds from exercises of stock options of $1.5 million, and proceeds from issuance of stock under employee stock purchase plan of $3.8 million.</w:t>
      </w:r>
    </w:p>
    <w:p>
      <w:pPr>
        <w:spacing w:after="0" w:line="73" w:lineRule="exact"/>
        <w:rPr>
          <w:sz w:val="20"/>
          <w:szCs w:val="20"/>
          <w:color w:val="auto"/>
        </w:rPr>
      </w:pPr>
    </w:p>
    <w:p>
      <w:pPr>
        <w:ind w:right="80" w:firstLine="432"/>
        <w:spacing w:after="0" w:line="264" w:lineRule="auto"/>
        <w:rPr>
          <w:sz w:val="20"/>
          <w:szCs w:val="20"/>
          <w:color w:val="auto"/>
        </w:rPr>
      </w:pPr>
      <w:r>
        <w:rPr>
          <w:rFonts w:ascii="Arial" w:cs="Arial" w:eastAsia="Arial" w:hAnsi="Arial"/>
          <w:sz w:val="18"/>
          <w:szCs w:val="18"/>
          <w:color w:val="auto"/>
        </w:rPr>
        <w:t>Financing activities in the six months ended June 30, 2015 used net cash of $3.0 million and consisted of payment of employee taxes related to vested common and restricted stock of $2.5 million and payments of deferred issuance costs of $1.0 million, partially offset by proceeds from exercises of stock options of $0.5 million.</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121"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Our contractual obligations and commitments as of June 30, 2016 have not materially changed from those disclosed in our Annual Report on Form 10-K for the year ended December 31, 2015.</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do not have any off-balance sheet arrangements or any holdings in variable interest entities.</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21" w:lineRule="exact"/>
        <w:rPr>
          <w:sz w:val="20"/>
          <w:szCs w:val="20"/>
          <w:color w:val="auto"/>
        </w:rPr>
      </w:pPr>
    </w:p>
    <w:p>
      <w:pPr>
        <w:ind w:firstLine="432"/>
        <w:spacing w:after="0" w:line="273" w:lineRule="auto"/>
        <w:rPr>
          <w:sz w:val="20"/>
          <w:szCs w:val="20"/>
          <w:color w:val="auto"/>
        </w:rPr>
      </w:pPr>
      <w:r>
        <w:rPr>
          <w:rFonts w:ascii="Arial" w:cs="Arial" w:eastAsia="Arial" w:hAnsi="Arial"/>
          <w:sz w:val="17"/>
          <w:szCs w:val="17"/>
          <w:color w:val="auto"/>
        </w:rPr>
        <w:t>We have prepared our financial statements in accordance with U.S. GAAP. Our preparation of these financial statements requires us to make estimates, assumptions, and judgments that affect the reported amounts of assets, liabilities, expenses, and related disclosures at the date of the financial statements, as well as revenue and expenses recorded during the reporting periods. We evaluate our estimates and judgments on an ongoing basis. We base our estimates on historical experience and on various other factors that we believe are reasonable under the circumstances, the results of which form the basis for making judgments about the carrying value of assets and liabilities that are not readily apparent from other sources. Actual results could therefore differ materially from these estimates under different assumptions or conditions.</w:t>
      </w:r>
    </w:p>
    <w:p>
      <w:pPr>
        <w:spacing w:after="0" w:line="70" w:lineRule="exact"/>
        <w:rPr>
          <w:sz w:val="20"/>
          <w:szCs w:val="20"/>
          <w:color w:val="auto"/>
        </w:rPr>
      </w:pPr>
    </w:p>
    <w:p>
      <w:pPr>
        <w:ind w:right="100" w:firstLine="432"/>
        <w:spacing w:after="0" w:line="308" w:lineRule="auto"/>
        <w:rPr>
          <w:sz w:val="20"/>
          <w:szCs w:val="20"/>
          <w:color w:val="auto"/>
        </w:rPr>
      </w:pPr>
      <w:r>
        <w:rPr>
          <w:rFonts w:ascii="Arial" w:cs="Arial" w:eastAsia="Arial" w:hAnsi="Arial"/>
          <w:sz w:val="17"/>
          <w:szCs w:val="17"/>
          <w:color w:val="auto"/>
        </w:rPr>
        <w:t>There have been no material changes to our critical accounting policies from those described in “Management’s Discussion and Analysis of Financial Condition and Results of Operations” included in our Annual Report on Form 10-K for the year ended December 31, 2015.</w:t>
      </w:r>
    </w:p>
    <w:p>
      <w:pPr>
        <w:spacing w:after="0" w:line="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121" w:lineRule="exact"/>
        <w:rPr>
          <w:sz w:val="20"/>
          <w:szCs w:val="20"/>
          <w:color w:val="auto"/>
        </w:rPr>
      </w:pPr>
    </w:p>
    <w:p>
      <w:pPr>
        <w:ind w:right="80" w:firstLine="432"/>
        <w:spacing w:after="0" w:line="264" w:lineRule="auto"/>
        <w:rPr>
          <w:sz w:val="20"/>
          <w:szCs w:val="20"/>
          <w:color w:val="auto"/>
        </w:rPr>
      </w:pPr>
      <w:r>
        <w:rPr>
          <w:rFonts w:ascii="Arial" w:cs="Arial" w:eastAsia="Arial" w:hAnsi="Arial"/>
          <w:sz w:val="18"/>
          <w:szCs w:val="18"/>
          <w:color w:val="auto"/>
        </w:rPr>
        <w:t>For information with respect to recently issued accounting standards and the impact of these standards on our consolidated financial statements, see Note 2 “Summary of Significant Accounting Policies” to our condensed consolidated financial statements in Part I, Item 1 of this Quarterly Report on Form 10-Q.</w:t>
      </w:r>
    </w:p>
    <w:p>
      <w:pPr>
        <w:spacing w:after="0" w:line="200" w:lineRule="exact"/>
        <w:rPr>
          <w:sz w:val="20"/>
          <w:szCs w:val="20"/>
          <w:color w:val="auto"/>
        </w:rPr>
      </w:pPr>
    </w:p>
    <w:p>
      <w:pPr>
        <w:spacing w:after="0" w:line="33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320"/>
          </w:cols>
          <w:pgMar w:left="240" w:top="125" w:right="33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56"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21" w:lineRule="exact"/>
        <w:rPr>
          <w:sz w:val="20"/>
          <w:szCs w:val="20"/>
          <w:color w:val="auto"/>
        </w:rPr>
      </w:pPr>
    </w:p>
    <w:p>
      <w:pPr>
        <w:ind w:firstLine="432"/>
        <w:spacing w:after="0" w:line="264" w:lineRule="auto"/>
        <w:rPr>
          <w:sz w:val="20"/>
          <w:szCs w:val="20"/>
          <w:color w:val="auto"/>
        </w:rPr>
      </w:pPr>
      <w:r>
        <w:rPr>
          <w:rFonts w:ascii="Arial" w:cs="Arial" w:eastAsia="Arial" w:hAnsi="Arial"/>
          <w:sz w:val="18"/>
          <w:szCs w:val="18"/>
          <w:color w:val="auto"/>
        </w:rPr>
        <w:t>We are exposed to various market risks, which may result in potential losses arising from adverse changes in market rates, such as interest rates and foreign exchange rates. We do not enter into derivatives or other financial instruments for trading or speculative purposes and do not believe we are exposed to material market risk with respect to our cash and cash equivalents and/or our marketable investments.</w:t>
      </w:r>
    </w:p>
    <w:p>
      <w:pPr>
        <w:spacing w:after="0" w:line="73"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b w:val="1"/>
          <w:bCs w:val="1"/>
          <w:i w:val="1"/>
          <w:iCs w:val="1"/>
          <w:color w:val="auto"/>
        </w:rPr>
        <w:t xml:space="preserve">Interest Rate Risk. </w:t>
      </w:r>
      <w:r>
        <w:rPr>
          <w:rFonts w:ascii="Arial" w:cs="Arial" w:eastAsia="Arial" w:hAnsi="Arial"/>
          <w:sz w:val="18"/>
          <w:szCs w:val="18"/>
          <w:color w:val="auto"/>
        </w:rPr>
        <w:t>We had cash and cash equivalents of $13.9 million as of June 30, 2016, which consisted of funds held in general checking and savings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accounts. In addition, we had marketable investments of $125.9 million, which consisted primarily of corporate bonds, U.S. agency securities, commercial paper and U.S. Treasury. Our investment policy is focused on the preservation of capital and supporting our liquidity needs. Under the policy, we invest in highly rated securities, while limiting the amount of credit exposure to any one issuer other than the U.S. government. We do not invest in financial instruments for trading or speculative purposes, nor do we use leveraged financial instruments. We utilize external investment managers who adhere to the guidelines of our investment policy. A hypothetical 100 basis point change in interest rates would not have a material impact on the value of our cash and cash equivalents or marketable investments.</w:t>
      </w:r>
    </w:p>
    <w:p>
      <w:pPr>
        <w:spacing w:after="0" w:line="81" w:lineRule="exact"/>
        <w:rPr>
          <w:sz w:val="20"/>
          <w:szCs w:val="20"/>
          <w:color w:val="auto"/>
        </w:rPr>
      </w:pPr>
    </w:p>
    <w:p>
      <w:pPr>
        <w:spacing w:after="0" w:line="255" w:lineRule="auto"/>
        <w:rPr>
          <w:sz w:val="20"/>
          <w:szCs w:val="20"/>
          <w:color w:val="auto"/>
        </w:rPr>
      </w:pPr>
      <w:r>
        <w:rPr>
          <w:rFonts w:ascii="Arial" w:cs="Arial" w:eastAsia="Arial" w:hAnsi="Arial"/>
          <w:sz w:val="18"/>
          <w:szCs w:val="18"/>
          <w:b w:val="1"/>
          <w:bCs w:val="1"/>
          <w:i w:val="1"/>
          <w:iCs w:val="1"/>
          <w:color w:val="auto"/>
        </w:rPr>
        <w:t xml:space="preserve">Foreign Exchange Risk Management. </w:t>
      </w:r>
      <w:r>
        <w:rPr>
          <w:rFonts w:ascii="Arial" w:cs="Arial" w:eastAsia="Arial" w:hAnsi="Arial"/>
          <w:sz w:val="18"/>
          <w:szCs w:val="18"/>
          <w:color w:val="auto"/>
        </w:rPr>
        <w:t>We operate in countries other than the U. S., and, therefore, we are exposed to foreign currency risks. We bill most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sales outside of the U. S. in local currencies, primarily the Euro and Japanese Yen. We expect that the percentage of our sales denominated in foreign currencies may increase in the foreseeable future as we continue to expand into international markets. When sales or expenses are not denominated in U.S. Dollars, a fluctuation in exchange rates could affect our net income. We do not believe an immediate 10% adverse change in foreign exchange rates would have a material effect on our results of operations. We do not currently hedge our exposure to foreign currency exchange rate fluctuations; however, we may choose to hedge our exposure in the future.</w:t>
      </w:r>
    </w:p>
    <w:p>
      <w:pPr>
        <w:spacing w:after="0" w:line="85" w:lineRule="exact"/>
        <w:rPr>
          <w:sz w:val="20"/>
          <w:szCs w:val="20"/>
          <w:color w:val="auto"/>
        </w:rPr>
      </w:pPr>
    </w:p>
    <w:p>
      <w:pPr>
        <w:ind w:right="60" w:firstLine="432"/>
        <w:spacing w:after="0" w:line="277" w:lineRule="auto"/>
        <w:rPr>
          <w:sz w:val="20"/>
          <w:szCs w:val="20"/>
          <w:color w:val="auto"/>
        </w:rPr>
      </w:pPr>
      <w:r>
        <w:rPr>
          <w:rFonts w:ascii="Arial" w:cs="Arial" w:eastAsia="Arial" w:hAnsi="Arial"/>
          <w:sz w:val="18"/>
          <w:szCs w:val="18"/>
          <w:color w:val="auto"/>
        </w:rPr>
        <w:t>We do not believe that inflation and change in prices had a significant impact on our results of operations for any periods presented on our condensed consolidated financial statements.</w:t>
      </w:r>
    </w:p>
    <w:p>
      <w:pPr>
        <w:spacing w:after="0" w:line="197"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260"/>
          </w:cols>
          <w:pgMar w:left="240" w:top="125" w:right="39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4. CONTROLS AND PROCEDURES.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We have established disclosure controls and procedures that are designed to ensure that the information required to be disclosed by the Company in the reports that it files or submits under the Exchange Act is recorded, processed, summarized and reported within the time periods specified in SEC rules and forms and that such information is accumulated and communicated to management, including our principal executive officer and principal financial officer, as appropriate to allow timely decisions regarding required disclosure.</w:t>
      </w:r>
    </w:p>
    <w:p>
      <w:pPr>
        <w:spacing w:after="0" w:line="79" w:lineRule="exact"/>
        <w:rPr>
          <w:sz w:val="20"/>
          <w:szCs w:val="20"/>
          <w:color w:val="auto"/>
        </w:rPr>
      </w:pPr>
    </w:p>
    <w:p>
      <w:pPr>
        <w:ind w:firstLine="432"/>
        <w:spacing w:after="0" w:line="286" w:lineRule="auto"/>
        <w:rPr>
          <w:sz w:val="20"/>
          <w:szCs w:val="20"/>
          <w:color w:val="auto"/>
        </w:rPr>
      </w:pPr>
      <w:r>
        <w:rPr>
          <w:rFonts w:ascii="Arial" w:cs="Arial" w:eastAsia="Arial" w:hAnsi="Arial"/>
          <w:sz w:val="17"/>
          <w:szCs w:val="17"/>
          <w:color w:val="auto"/>
        </w:rPr>
        <w:t>Our management, including our principal executive officer and principal financial officer, evaluated the effectiveness of our disclosure controls and procedures. Based on this review, the principal executive officer and principal financial officer of the Company have concluded that the Company’s disclosure controls and procedures (as defined in Rules 13a-15(e) and 15d-15(e) under the Exchange Act) were effective as of June 30, 2016.</w:t>
      </w:r>
    </w:p>
    <w:p>
      <w:pPr>
        <w:spacing w:after="0" w:line="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121" w:lineRule="exact"/>
        <w:rPr>
          <w:sz w:val="20"/>
          <w:szCs w:val="20"/>
          <w:color w:val="auto"/>
        </w:rPr>
      </w:pPr>
    </w:p>
    <w:p>
      <w:pPr>
        <w:ind w:right="20" w:firstLine="432"/>
        <w:spacing w:after="0" w:line="264" w:lineRule="auto"/>
        <w:rPr>
          <w:sz w:val="20"/>
          <w:szCs w:val="20"/>
          <w:color w:val="auto"/>
        </w:rPr>
      </w:pPr>
      <w:r>
        <w:rPr>
          <w:rFonts w:ascii="Arial" w:cs="Arial" w:eastAsia="Arial" w:hAnsi="Arial"/>
          <w:sz w:val="18"/>
          <w:szCs w:val="18"/>
          <w:color w:val="auto"/>
        </w:rPr>
        <w:t>There was no change in our internal control over financial reporting (as defined in Rules 13a-15(f) and 15d-15(f) under the Exchange Act) that occurred during the quarterly period ended June 30, 2016 that has materially affected, or is reasonably likely to materially affect, our internal control over financial reporting.</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125" w:right="23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56" w:lineRule="exact"/>
        <w:rPr>
          <w:sz w:val="20"/>
          <w:szCs w:val="20"/>
          <w:color w:val="auto"/>
        </w:rPr>
      </w:pPr>
    </w:p>
    <w:p>
      <w:pPr>
        <w:ind w:left="4300"/>
        <w:spacing w:after="0"/>
        <w:rPr>
          <w:sz w:val="20"/>
          <w:szCs w:val="20"/>
          <w:color w:val="auto"/>
        </w:rPr>
      </w:pPr>
      <w:r>
        <w:rPr>
          <w:rFonts w:ascii="Arial" w:cs="Arial" w:eastAsia="Arial" w:hAnsi="Arial"/>
          <w:sz w:val="18"/>
          <w:szCs w:val="18"/>
          <w:b w:val="1"/>
          <w:bCs w:val="1"/>
          <w:color w:val="auto"/>
        </w:rPr>
        <w:t>PART II - OTHER INFORMATION</w:t>
      </w:r>
    </w:p>
    <w:p>
      <w:pPr>
        <w:spacing w:after="0" w:line="117"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ITEM 1. LEGAL PROCEEDINGS.</w:t>
      </w:r>
    </w:p>
    <w:p>
      <w:pPr>
        <w:spacing w:after="0" w:line="175" w:lineRule="exact"/>
        <w:rPr>
          <w:sz w:val="20"/>
          <w:szCs w:val="20"/>
          <w:color w:val="auto"/>
        </w:rPr>
      </w:pPr>
    </w:p>
    <w:p>
      <w:pPr>
        <w:ind w:firstLine="324"/>
        <w:spacing w:after="0" w:line="290" w:lineRule="auto"/>
        <w:rPr>
          <w:sz w:val="20"/>
          <w:szCs w:val="20"/>
          <w:color w:val="auto"/>
        </w:rPr>
      </w:pPr>
      <w:r>
        <w:rPr>
          <w:rFonts w:ascii="Arial" w:cs="Arial" w:eastAsia="Arial" w:hAnsi="Arial"/>
          <w:sz w:val="16"/>
          <w:szCs w:val="16"/>
          <w:color w:val="auto"/>
        </w:rPr>
        <w:t>We were contacted in 2015 by the attorney for a potential product liability claimant who allegedly suffered injuries as a result of an aneurysm procedure in which the Penumbra Coil 400 was used. On February 19, 2016, a complaint for damages was filed on behalf of this claimant against the Company and the hospital involved in the procedure (</w:t>
      </w:r>
      <w:r>
        <w:rPr>
          <w:rFonts w:ascii="Arial" w:cs="Arial" w:eastAsia="Arial" w:hAnsi="Arial"/>
          <w:sz w:val="16"/>
          <w:szCs w:val="16"/>
          <w:i w:val="1"/>
          <w:iCs w:val="1"/>
          <w:color w:val="auto"/>
        </w:rPr>
        <w:t>Montgomery v. Penumbra, Inc., et al.,</w:t>
      </w:r>
      <w:r>
        <w:rPr>
          <w:rFonts w:ascii="Arial" w:cs="Arial" w:eastAsia="Arial" w:hAnsi="Arial"/>
          <w:sz w:val="16"/>
          <w:szCs w:val="16"/>
          <w:color w:val="auto"/>
        </w:rPr>
        <w:t xml:space="preserve"> Case No. 16-2-04050-1 SEA, Superior Court of the State of Washington, King County). The suit alleges liability primarily under the Washington Product Liability Act and seeks both compensatory and punitive damages without a specific damages claim. Counsel for the claimant previously indicated that he expects that a jury could award $35 million in damages were this matter to go to trial. This amount is substantially in excess of our insurance coverage. The hospital defendant had requested indemnification from the Company, but was dismissed from the case in July 2016. As formal discovery has only recently commenced, we are unable to assess the merits of the plaintiff’s case. We intend to vigorously defend the litigation, as we believe there will be substantial questions regarding causation, liability and damages.</w:t>
      </w:r>
    </w:p>
    <w:p>
      <w:pPr>
        <w:spacing w:after="0" w:line="112" w:lineRule="exact"/>
        <w:rPr>
          <w:sz w:val="20"/>
          <w:szCs w:val="20"/>
          <w:color w:val="auto"/>
        </w:rPr>
      </w:pPr>
    </w:p>
    <w:p>
      <w:pPr>
        <w:ind w:right="120" w:firstLine="324"/>
        <w:spacing w:after="0" w:line="342" w:lineRule="auto"/>
        <w:rPr>
          <w:sz w:val="20"/>
          <w:szCs w:val="20"/>
          <w:color w:val="auto"/>
        </w:rPr>
      </w:pPr>
      <w:r>
        <w:rPr>
          <w:rFonts w:ascii="Arial" w:cs="Arial" w:eastAsia="Arial" w:hAnsi="Arial"/>
          <w:sz w:val="16"/>
          <w:szCs w:val="16"/>
          <w:color w:val="auto"/>
        </w:rPr>
        <w:t>From time to time, we are subject to claims and assessments in the ordinary course of business. We are not currently a party to any litigation matter that, individually or in the aggregate, is expected to have a material adverse effect on our business, financial condition, results of operations or cash flows.</w:t>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1A. RISK FACTORS.</w:t>
      </w:r>
    </w:p>
    <w:p>
      <w:pPr>
        <w:spacing w:after="0" w:line="175" w:lineRule="exact"/>
        <w:rPr>
          <w:sz w:val="20"/>
          <w:szCs w:val="20"/>
          <w:color w:val="auto"/>
        </w:rPr>
      </w:pPr>
    </w:p>
    <w:p>
      <w:pPr>
        <w:ind w:right="340" w:firstLine="324"/>
        <w:spacing w:after="0" w:line="277" w:lineRule="auto"/>
        <w:rPr>
          <w:sz w:val="20"/>
          <w:szCs w:val="20"/>
          <w:color w:val="auto"/>
        </w:rPr>
      </w:pPr>
      <w:r>
        <w:rPr>
          <w:rFonts w:ascii="Arial" w:cs="Arial" w:eastAsia="Arial" w:hAnsi="Arial"/>
          <w:sz w:val="18"/>
          <w:szCs w:val="18"/>
          <w:color w:val="auto"/>
        </w:rPr>
        <w:t>There have been no material changes to our risk factors reported or new factors identified since the filing of our Annual Report on Form 10-K for the year ended December 31, 2015, which was filed with the SEC on March 8, 2016.</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125" w:right="23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333" w:lineRule="exact"/>
        <w:rPr>
          <w:sz w:val="20"/>
          <w:szCs w:val="20"/>
          <w:color w:val="auto"/>
        </w:rPr>
      </w:pPr>
    </w:p>
    <w:p>
      <w:pPr>
        <w:ind w:left="440" w:right="8600" w:hanging="432"/>
        <w:spacing w:after="0" w:line="375" w:lineRule="auto"/>
        <w:tabs>
          <w:tab w:leader="none" w:pos="263"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Sales of Unregistered Securities </w:t>
      </w:r>
      <w:r>
        <w:rPr>
          <w:rFonts w:ascii="Arial" w:cs="Arial" w:eastAsia="Arial" w:hAnsi="Arial"/>
          <w:sz w:val="18"/>
          <w:szCs w:val="18"/>
          <w:color w:val="auto"/>
        </w:rPr>
        <w:t>None.</w:t>
      </w:r>
    </w:p>
    <w:p>
      <w:pPr>
        <w:spacing w:after="0" w:line="1" w:lineRule="exact"/>
        <w:rPr>
          <w:rFonts w:ascii="Arial" w:cs="Arial" w:eastAsia="Arial" w:hAnsi="Arial"/>
          <w:sz w:val="18"/>
          <w:szCs w:val="18"/>
          <w:b w:val="1"/>
          <w:bCs w:val="1"/>
          <w:color w:val="auto"/>
        </w:rPr>
      </w:pPr>
    </w:p>
    <w:p>
      <w:pPr>
        <w:ind w:left="280" w:hanging="272"/>
        <w:spacing w:after="0"/>
        <w:tabs>
          <w:tab w:leader="none" w:pos="28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Use of Proceeds from Public Offering of Common Stock</w:t>
      </w:r>
    </w:p>
    <w:p>
      <w:pPr>
        <w:spacing w:after="0" w:line="121" w:lineRule="exact"/>
        <w:rPr>
          <w:sz w:val="20"/>
          <w:szCs w:val="20"/>
          <w:color w:val="auto"/>
        </w:rPr>
      </w:pPr>
    </w:p>
    <w:p>
      <w:pPr>
        <w:ind w:firstLine="432"/>
        <w:spacing w:after="0" w:line="257" w:lineRule="auto"/>
        <w:rPr>
          <w:sz w:val="20"/>
          <w:szCs w:val="20"/>
          <w:color w:val="auto"/>
        </w:rPr>
      </w:pPr>
      <w:r>
        <w:rPr>
          <w:rFonts w:ascii="Arial" w:cs="Arial" w:eastAsia="Arial" w:hAnsi="Arial"/>
          <w:sz w:val="18"/>
          <w:szCs w:val="18"/>
          <w:color w:val="auto"/>
        </w:rPr>
        <w:t>Our Registration Statement on Form S-1 (File No. 333-206412) and our Registration Statement on Form S-1 (File No. 333-207000) filed pursuant to Rule 462(b) relating thereto, each relating to the initial public offering of shares of our common stock, became effective on September 17, 2015. There has been no material change in the planned use of proceeds from our initial public offering from that described in the prospectus dated September 17, 2015 filed with the SEC pursuant to Rule 424(b)(4) under the Securities Act. Pending the planned use of proceeds, we have invested the funds received from our initial public offering in marketable investments.</w:t>
      </w:r>
    </w:p>
    <w:p>
      <w:pPr>
        <w:spacing w:after="0" w:line="76" w:lineRule="exact"/>
        <w:rPr>
          <w:sz w:val="20"/>
          <w:szCs w:val="20"/>
          <w:color w:val="auto"/>
        </w:rPr>
      </w:pPr>
    </w:p>
    <w:p>
      <w:pPr>
        <w:ind w:left="440" w:right="8180" w:hanging="432"/>
        <w:spacing w:after="0" w:line="407" w:lineRule="auto"/>
        <w:tabs>
          <w:tab w:leader="none" w:pos="253"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Issuer Purchases of Equity Securities </w:t>
      </w:r>
      <w:r>
        <w:rPr>
          <w:rFonts w:ascii="Arial" w:cs="Arial" w:eastAsia="Arial" w:hAnsi="Arial"/>
          <w:sz w:val="18"/>
          <w:szCs w:val="18"/>
          <w:color w:val="auto"/>
        </w:rPr>
        <w:t>None.</w:t>
      </w:r>
    </w:p>
    <w:p>
      <w:pPr>
        <w:spacing w:after="0" w:line="85"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280"/>
          </w:cols>
          <w:pgMar w:left="240" w:top="125" w:right="37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56" w:lineRule="exact"/>
        <w:rPr>
          <w:sz w:val="20"/>
          <w:szCs w:val="20"/>
          <w:color w:val="auto"/>
        </w:rPr>
      </w:pPr>
    </w:p>
    <w:p>
      <w:pPr>
        <w:jc w:val="right"/>
        <w:ind w:right="4280"/>
        <w:spacing w:after="0"/>
        <w:rPr>
          <w:sz w:val="20"/>
          <w:szCs w:val="20"/>
          <w:color w:val="auto"/>
        </w:rPr>
      </w:pPr>
      <w:r>
        <w:rPr>
          <w:rFonts w:ascii="Arial" w:cs="Arial" w:eastAsia="Arial" w:hAnsi="Arial"/>
          <w:sz w:val="18"/>
          <w:szCs w:val="18"/>
          <w:b w:val="1"/>
          <w:bCs w:val="1"/>
          <w:color w:val="auto"/>
        </w:rPr>
        <w:t>ITEM 6. EXHIBITS.</w:t>
      </w:r>
    </w:p>
    <w:p>
      <w:pPr>
        <w:sectPr>
          <w:pgSz w:w="11900" w:h="16838" w:orient="portrait"/>
          <w:cols w:equalWidth="0" w:num="1">
            <w:col w:w="10800"/>
          </w:cols>
          <w:pgMar w:left="240" w:top="125" w:right="859" w:bottom="1440" w:gutter="0" w:footer="0" w:header="0"/>
        </w:sectPr>
      </w:pPr>
    </w:p>
    <w:p>
      <w:pPr>
        <w:spacing w:after="0" w:line="248" w:lineRule="exact"/>
        <w:rPr>
          <w:sz w:val="20"/>
          <w:szCs w:val="20"/>
          <w:color w:val="auto"/>
        </w:rPr>
      </w:pPr>
    </w:p>
    <w:p>
      <w:pPr>
        <w:ind w:left="120"/>
        <w:spacing w:after="0"/>
        <w:rPr>
          <w:sz w:val="20"/>
          <w:szCs w:val="20"/>
          <w:color w:val="auto"/>
        </w:rPr>
      </w:pPr>
      <w:r>
        <w:rPr>
          <w:rFonts w:ascii="Arial" w:cs="Arial" w:eastAsia="Arial" w:hAnsi="Arial"/>
          <w:sz w:val="14"/>
          <w:szCs w:val="14"/>
          <w:b w:val="1"/>
          <w:bCs w:val="1"/>
          <w:color w:val="auto"/>
        </w:rPr>
        <w:t>Exhibit</w:t>
      </w:r>
    </w:p>
    <w:p>
      <w:pPr>
        <w:spacing w:after="0" w:line="4" w:lineRule="exact"/>
        <w:rPr>
          <w:sz w:val="20"/>
          <w:szCs w:val="20"/>
          <w:color w:val="auto"/>
        </w:rPr>
      </w:pPr>
    </w:p>
    <w:p>
      <w:pPr>
        <w:jc w:val="right"/>
        <w:spacing w:after="0"/>
        <w:rPr>
          <w:sz w:val="20"/>
          <w:szCs w:val="20"/>
          <w:color w:val="auto"/>
        </w:rPr>
      </w:pPr>
      <w:r>
        <w:rPr>
          <w:rFonts w:ascii="Arial" w:cs="Arial" w:eastAsia="Arial" w:hAnsi="Arial"/>
          <w:sz w:val="14"/>
          <w:szCs w:val="14"/>
          <w:b w:val="1"/>
          <w:bCs w:val="1"/>
          <w:color w:val="auto"/>
        </w:rPr>
        <w:t>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64770</wp:posOffset>
            </wp:positionV>
            <wp:extent cx="43751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437515" cy="8890"/>
                    </a:xfrm>
                    <a:prstGeom prst="rect">
                      <a:avLst/>
                    </a:prstGeom>
                    <a:noFill/>
                  </pic:spPr>
                </pic:pic>
              </a:graphicData>
            </a:graphic>
          </wp:anchor>
        </w:drawing>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8"/>
          <w:szCs w:val="18"/>
          <w:color w:val="auto"/>
        </w:rPr>
        <w:t>31.1*</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7" w:lineRule="exact"/>
        <w:rPr>
          <w:sz w:val="20"/>
          <w:szCs w:val="20"/>
          <w:color w:val="auto"/>
        </w:rPr>
      </w:pPr>
    </w:p>
    <w:p>
      <w:pPr>
        <w:spacing w:after="0"/>
        <w:tabs>
          <w:tab w:leader="none" w:pos="5620" w:val="left"/>
          <w:tab w:leader="none" w:pos="6640" w:val="left"/>
          <w:tab w:leader="none" w:pos="7760" w:val="left"/>
          <w:tab w:leader="none" w:pos="9260" w:val="left"/>
        </w:tabs>
        <w:rPr>
          <w:sz w:val="20"/>
          <w:szCs w:val="20"/>
          <w:color w:val="auto"/>
        </w:rPr>
      </w:pPr>
      <w:r>
        <w:rPr>
          <w:rFonts w:ascii="Arial" w:cs="Arial" w:eastAsia="Arial" w:hAnsi="Arial"/>
          <w:sz w:val="14"/>
          <w:szCs w:val="14"/>
          <w:b w:val="1"/>
          <w:bCs w:val="1"/>
          <w:color w:val="auto"/>
        </w:rPr>
        <w:t>Description</w:t>
      </w:r>
      <w:r>
        <w:rPr>
          <w:sz w:val="20"/>
          <w:szCs w:val="20"/>
          <w:color w:val="auto"/>
        </w:rPr>
        <w:tab/>
      </w:r>
      <w:r>
        <w:rPr>
          <w:rFonts w:ascii="Arial" w:cs="Arial" w:eastAsia="Arial" w:hAnsi="Arial"/>
          <w:sz w:val="14"/>
          <w:szCs w:val="14"/>
          <w:b w:val="1"/>
          <w:bCs w:val="1"/>
          <w:color w:val="auto"/>
        </w:rPr>
        <w:t>Form</w:t>
      </w:r>
      <w:r>
        <w:rPr>
          <w:sz w:val="20"/>
          <w:szCs w:val="20"/>
          <w:color w:val="auto"/>
        </w:rPr>
        <w:tab/>
      </w:r>
      <w:r>
        <w:rPr>
          <w:rFonts w:ascii="Arial" w:cs="Arial" w:eastAsia="Arial" w:hAnsi="Arial"/>
          <w:sz w:val="14"/>
          <w:szCs w:val="14"/>
          <w:b w:val="1"/>
          <w:bCs w:val="1"/>
          <w:color w:val="auto"/>
        </w:rPr>
        <w:t>File No.</w:t>
      </w:r>
      <w:r>
        <w:rPr>
          <w:sz w:val="20"/>
          <w:szCs w:val="20"/>
          <w:color w:val="auto"/>
        </w:rPr>
        <w:tab/>
      </w:r>
      <w:r>
        <w:rPr>
          <w:rFonts w:ascii="Arial" w:cs="Arial" w:eastAsia="Arial" w:hAnsi="Arial"/>
          <w:sz w:val="14"/>
          <w:szCs w:val="14"/>
          <w:b w:val="1"/>
          <w:bCs w:val="1"/>
          <w:color w:val="auto"/>
        </w:rPr>
        <w:t>Exhibit(s)</w:t>
      </w:r>
      <w:r>
        <w:rPr>
          <w:sz w:val="20"/>
          <w:szCs w:val="20"/>
          <w:color w:val="auto"/>
        </w:rPr>
        <w:tab/>
      </w:r>
      <w:r>
        <w:rPr>
          <w:rFonts w:ascii="Arial" w:cs="Arial" w:eastAsia="Arial" w:hAnsi="Arial"/>
          <w:sz w:val="13"/>
          <w:szCs w:val="13"/>
          <w:b w:val="1"/>
          <w:bCs w:val="1"/>
          <w:color w:val="auto"/>
        </w:rPr>
        <w:t>Filing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23495</wp:posOffset>
            </wp:positionV>
            <wp:extent cx="673227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732270" cy="8890"/>
                    </a:xfrm>
                    <a:prstGeom prst="rect">
                      <a:avLst/>
                    </a:prstGeom>
                    <a:noFill/>
                  </pic:spPr>
                </pic:pic>
              </a:graphicData>
            </a:graphic>
          </wp:anchor>
        </w:drawing>
      </w:r>
    </w:p>
    <w:p>
      <w:pPr>
        <w:spacing w:after="0" w:line="43" w:lineRule="exact"/>
        <w:rPr>
          <w:sz w:val="20"/>
          <w:szCs w:val="20"/>
          <w:color w:val="auto"/>
        </w:rPr>
      </w:pPr>
    </w:p>
    <w:p>
      <w:pPr>
        <w:ind w:right="4660"/>
        <w:spacing w:after="0" w:line="317" w:lineRule="auto"/>
        <w:rPr>
          <w:sz w:val="20"/>
          <w:szCs w:val="20"/>
          <w:color w:val="auto"/>
        </w:rPr>
      </w:pPr>
      <w:r>
        <w:rPr>
          <w:rFonts w:ascii="Arial" w:cs="Arial" w:eastAsia="Arial" w:hAnsi="Arial"/>
          <w:sz w:val="16"/>
          <w:szCs w:val="16"/>
          <w:color w:val="auto"/>
        </w:rPr>
        <w:t>Certification of Principal Executive Officer Required Under Rule 13a-14(a) and 15d-14(a) of the Securities Exchange Act of 1934, as amended.</w:t>
      </w:r>
    </w:p>
    <w:p>
      <w:pPr>
        <w:spacing w:after="0" w:line="1" w:lineRule="exact"/>
        <w:rPr>
          <w:sz w:val="20"/>
          <w:szCs w:val="20"/>
          <w:color w:val="auto"/>
        </w:rPr>
      </w:pPr>
    </w:p>
    <w:p>
      <w:pPr>
        <w:sectPr>
          <w:pgSz w:w="11900" w:h="16838" w:orient="portrait"/>
          <w:cols w:equalWidth="0" w:num="2">
            <w:col w:w="600" w:space="240"/>
            <w:col w:w="9960"/>
          </w:cols>
          <w:pgMar w:left="240" w:top="125" w:right="859" w:bottom="1440" w:gutter="0" w:footer="0" w:header="0"/>
          <w:type w:val="continuous"/>
        </w:sectPr>
      </w:pPr>
    </w:p>
    <w:tbl>
      <w:tblPr>
        <w:tblLayout w:type="fixed"/>
        <w:tblInd w:w="40" w:type="dxa"/>
        <w:tblCellMar>
          <w:top w:w="0" w:type="dxa"/>
          <w:left w:w="0" w:type="dxa"/>
          <w:bottom w:w="0" w:type="dxa"/>
          <w:right w:w="0" w:type="dxa"/>
        </w:tblCellMar>
      </w:tblPr>
      <w:tr>
        <w:trPr>
          <w:trHeight w:val="216"/>
        </w:trPr>
        <w:tc>
          <w:tcPr>
            <w:tcW w:w="640" w:type="dxa"/>
            <w:vAlign w:val="bottom"/>
          </w:tcPr>
          <w:p>
            <w:pPr>
              <w:spacing w:after="0"/>
              <w:rPr>
                <w:sz w:val="20"/>
                <w:szCs w:val="20"/>
                <w:color w:val="auto"/>
              </w:rPr>
            </w:pPr>
            <w:r>
              <w:rPr>
                <w:rFonts w:ascii="Arial" w:cs="Arial" w:eastAsia="Arial" w:hAnsi="Arial"/>
                <w:sz w:val="18"/>
                <w:szCs w:val="18"/>
                <w:color w:val="auto"/>
              </w:rPr>
              <w:t>31.2*</w:t>
            </w:r>
          </w:p>
        </w:tc>
        <w:tc>
          <w:tcPr>
            <w:tcW w:w="5460" w:type="dxa"/>
            <w:vAlign w:val="bottom"/>
          </w:tcPr>
          <w:p>
            <w:pPr>
              <w:ind w:left="160"/>
              <w:spacing w:after="0"/>
              <w:rPr>
                <w:sz w:val="20"/>
                <w:szCs w:val="20"/>
                <w:color w:val="auto"/>
              </w:rPr>
            </w:pPr>
            <w:r>
              <w:rPr>
                <w:rFonts w:ascii="Arial" w:cs="Arial" w:eastAsia="Arial" w:hAnsi="Arial"/>
                <w:sz w:val="18"/>
                <w:szCs w:val="18"/>
                <w:color w:val="auto"/>
                <w:w w:val="97"/>
              </w:rPr>
              <w:t>Certification of Principal Financial Officer Required Under Rule 13a-</w:t>
            </w:r>
          </w:p>
        </w:tc>
      </w:tr>
      <w:tr>
        <w:trPr>
          <w:trHeight w:val="230"/>
        </w:trPr>
        <w:tc>
          <w:tcPr>
            <w:tcW w:w="640" w:type="dxa"/>
            <w:vAlign w:val="bottom"/>
          </w:tcPr>
          <w:p>
            <w:pPr>
              <w:spacing w:after="0"/>
              <w:rPr>
                <w:sz w:val="20"/>
                <w:szCs w:val="20"/>
                <w:color w:val="auto"/>
              </w:rPr>
            </w:pPr>
          </w:p>
        </w:tc>
        <w:tc>
          <w:tcPr>
            <w:tcW w:w="5460" w:type="dxa"/>
            <w:vAlign w:val="bottom"/>
          </w:tcPr>
          <w:p>
            <w:pPr>
              <w:ind w:left="160"/>
              <w:spacing w:after="0"/>
              <w:rPr>
                <w:sz w:val="20"/>
                <w:szCs w:val="20"/>
                <w:color w:val="auto"/>
              </w:rPr>
            </w:pPr>
            <w:r>
              <w:rPr>
                <w:rFonts w:ascii="Arial" w:cs="Arial" w:eastAsia="Arial" w:hAnsi="Arial"/>
                <w:sz w:val="18"/>
                <w:szCs w:val="18"/>
                <w:color w:val="auto"/>
                <w:w w:val="89"/>
              </w:rPr>
              <w:t>14(a) and 15d-14(a) of the Securities Exchange Act of 1934, as amended.</w:t>
            </w:r>
          </w:p>
        </w:tc>
      </w:tr>
      <w:tr>
        <w:trPr>
          <w:trHeight w:val="256"/>
        </w:trPr>
        <w:tc>
          <w:tcPr>
            <w:tcW w:w="640" w:type="dxa"/>
            <w:vAlign w:val="bottom"/>
          </w:tcPr>
          <w:p>
            <w:pPr>
              <w:spacing w:after="0"/>
              <w:rPr>
                <w:sz w:val="20"/>
                <w:szCs w:val="20"/>
                <w:color w:val="auto"/>
              </w:rPr>
            </w:pPr>
            <w:r>
              <w:rPr>
                <w:rFonts w:ascii="Arial" w:cs="Arial" w:eastAsia="Arial" w:hAnsi="Arial"/>
                <w:sz w:val="18"/>
                <w:szCs w:val="18"/>
                <w:color w:val="auto"/>
              </w:rPr>
              <w:t>32.1**</w:t>
            </w:r>
          </w:p>
        </w:tc>
        <w:tc>
          <w:tcPr>
            <w:tcW w:w="5460" w:type="dxa"/>
            <w:vAlign w:val="bottom"/>
          </w:tcPr>
          <w:p>
            <w:pPr>
              <w:ind w:left="160"/>
              <w:spacing w:after="0"/>
              <w:rPr>
                <w:sz w:val="20"/>
                <w:szCs w:val="20"/>
                <w:color w:val="auto"/>
              </w:rPr>
            </w:pPr>
            <w:r>
              <w:rPr>
                <w:rFonts w:ascii="Arial" w:cs="Arial" w:eastAsia="Arial" w:hAnsi="Arial"/>
                <w:sz w:val="18"/>
                <w:szCs w:val="18"/>
                <w:color w:val="auto"/>
              </w:rPr>
              <w:t>Certification of Principal Executive Officer and Principal Financial</w:t>
            </w:r>
          </w:p>
        </w:tc>
      </w:tr>
      <w:tr>
        <w:trPr>
          <w:trHeight w:val="216"/>
        </w:trPr>
        <w:tc>
          <w:tcPr>
            <w:tcW w:w="640" w:type="dxa"/>
            <w:vAlign w:val="bottom"/>
          </w:tcPr>
          <w:p>
            <w:pPr>
              <w:spacing w:after="0"/>
              <w:rPr>
                <w:sz w:val="18"/>
                <w:szCs w:val="18"/>
                <w:color w:val="auto"/>
              </w:rPr>
            </w:pPr>
          </w:p>
        </w:tc>
        <w:tc>
          <w:tcPr>
            <w:tcW w:w="5460" w:type="dxa"/>
            <w:vAlign w:val="bottom"/>
          </w:tcPr>
          <w:p>
            <w:pPr>
              <w:ind w:left="160"/>
              <w:spacing w:after="0"/>
              <w:rPr>
                <w:sz w:val="20"/>
                <w:szCs w:val="20"/>
                <w:color w:val="auto"/>
              </w:rPr>
            </w:pPr>
            <w:r>
              <w:rPr>
                <w:rFonts w:ascii="Arial" w:cs="Arial" w:eastAsia="Arial" w:hAnsi="Arial"/>
                <w:sz w:val="18"/>
                <w:szCs w:val="18"/>
                <w:color w:val="auto"/>
                <w:w w:val="94"/>
              </w:rPr>
              <w:t>Officer Required Under Rule 13a-14(b) of the Securities Exchange Act</w:t>
            </w:r>
          </w:p>
        </w:tc>
      </w:tr>
      <w:tr>
        <w:trPr>
          <w:trHeight w:val="230"/>
        </w:trPr>
        <w:tc>
          <w:tcPr>
            <w:tcW w:w="640" w:type="dxa"/>
            <w:vAlign w:val="bottom"/>
          </w:tcPr>
          <w:p>
            <w:pPr>
              <w:spacing w:after="0"/>
              <w:rPr>
                <w:sz w:val="20"/>
                <w:szCs w:val="20"/>
                <w:color w:val="auto"/>
              </w:rPr>
            </w:pPr>
          </w:p>
        </w:tc>
        <w:tc>
          <w:tcPr>
            <w:tcW w:w="5460" w:type="dxa"/>
            <w:vAlign w:val="bottom"/>
          </w:tcPr>
          <w:p>
            <w:pPr>
              <w:ind w:left="160"/>
              <w:spacing w:after="0"/>
              <w:rPr>
                <w:sz w:val="20"/>
                <w:szCs w:val="20"/>
                <w:color w:val="auto"/>
              </w:rPr>
            </w:pPr>
            <w:r>
              <w:rPr>
                <w:rFonts w:ascii="Arial" w:cs="Arial" w:eastAsia="Arial" w:hAnsi="Arial"/>
                <w:sz w:val="18"/>
                <w:szCs w:val="18"/>
                <w:color w:val="auto"/>
              </w:rPr>
              <w:t>of 1934, as amended, and 18 U.S.C. §1350.</w:t>
            </w:r>
          </w:p>
        </w:tc>
      </w:tr>
      <w:tr>
        <w:trPr>
          <w:trHeight w:val="256"/>
        </w:trPr>
        <w:tc>
          <w:tcPr>
            <w:tcW w:w="640" w:type="dxa"/>
            <w:vAlign w:val="bottom"/>
          </w:tcPr>
          <w:p>
            <w:pPr>
              <w:spacing w:after="0"/>
              <w:rPr>
                <w:sz w:val="20"/>
                <w:szCs w:val="20"/>
                <w:color w:val="auto"/>
              </w:rPr>
            </w:pPr>
            <w:r>
              <w:rPr>
                <w:rFonts w:ascii="Arial" w:cs="Arial" w:eastAsia="Arial" w:hAnsi="Arial"/>
                <w:sz w:val="18"/>
                <w:szCs w:val="18"/>
                <w:color w:val="auto"/>
              </w:rPr>
              <w:t>101*</w:t>
            </w:r>
          </w:p>
        </w:tc>
        <w:tc>
          <w:tcPr>
            <w:tcW w:w="5460" w:type="dxa"/>
            <w:vAlign w:val="bottom"/>
          </w:tcPr>
          <w:p>
            <w:pPr>
              <w:ind w:left="160"/>
              <w:spacing w:after="0"/>
              <w:rPr>
                <w:sz w:val="20"/>
                <w:szCs w:val="20"/>
                <w:color w:val="auto"/>
              </w:rPr>
            </w:pPr>
            <w:r>
              <w:rPr>
                <w:rFonts w:ascii="Arial" w:cs="Arial" w:eastAsia="Arial" w:hAnsi="Arial"/>
                <w:sz w:val="18"/>
                <w:szCs w:val="18"/>
                <w:color w:val="auto"/>
                <w:w w:val="94"/>
              </w:rPr>
              <w:t>The following materials from the Company’s Quarterly Report on Form</w:t>
            </w:r>
          </w:p>
        </w:tc>
      </w:tr>
      <w:tr>
        <w:trPr>
          <w:trHeight w:val="230"/>
        </w:trPr>
        <w:tc>
          <w:tcPr>
            <w:tcW w:w="640" w:type="dxa"/>
            <w:vAlign w:val="bottom"/>
          </w:tcPr>
          <w:p>
            <w:pPr>
              <w:spacing w:after="0"/>
              <w:rPr>
                <w:sz w:val="20"/>
                <w:szCs w:val="20"/>
                <w:color w:val="auto"/>
              </w:rPr>
            </w:pPr>
          </w:p>
        </w:tc>
        <w:tc>
          <w:tcPr>
            <w:tcW w:w="5460" w:type="dxa"/>
            <w:vAlign w:val="bottom"/>
          </w:tcPr>
          <w:p>
            <w:pPr>
              <w:ind w:left="160"/>
              <w:spacing w:after="0"/>
              <w:rPr>
                <w:sz w:val="20"/>
                <w:szCs w:val="20"/>
                <w:color w:val="auto"/>
              </w:rPr>
            </w:pPr>
            <w:r>
              <w:rPr>
                <w:rFonts w:ascii="Arial" w:cs="Arial" w:eastAsia="Arial" w:hAnsi="Arial"/>
                <w:sz w:val="18"/>
                <w:szCs w:val="18"/>
                <w:color w:val="auto"/>
              </w:rPr>
              <w:t>10-Q for the quarter ended June 30, 2016 formatted in Extensible</w:t>
            </w:r>
          </w:p>
        </w:tc>
      </w:tr>
    </w:tbl>
    <w:p>
      <w:pPr>
        <w:ind w:left="840"/>
        <w:spacing w:after="0"/>
        <w:rPr>
          <w:sz w:val="20"/>
          <w:szCs w:val="20"/>
          <w:color w:val="auto"/>
        </w:rPr>
      </w:pPr>
      <w:r>
        <w:rPr>
          <w:rFonts w:ascii="Arial" w:cs="Arial" w:eastAsia="Arial" w:hAnsi="Arial"/>
          <w:sz w:val="18"/>
          <w:szCs w:val="18"/>
          <w:color w:val="auto"/>
        </w:rPr>
        <w:t>Business Reporting Language (XBRL) includes: (i) Condensed</w:t>
      </w:r>
    </w:p>
    <w:p>
      <w:pPr>
        <w:spacing w:after="0" w:line="9" w:lineRule="exact"/>
        <w:rPr>
          <w:sz w:val="20"/>
          <w:szCs w:val="20"/>
          <w:color w:val="auto"/>
        </w:rPr>
      </w:pPr>
    </w:p>
    <w:p>
      <w:pPr>
        <w:ind w:left="840"/>
        <w:spacing w:after="0"/>
        <w:rPr>
          <w:sz w:val="20"/>
          <w:szCs w:val="20"/>
          <w:color w:val="auto"/>
        </w:rPr>
      </w:pPr>
      <w:r>
        <w:rPr>
          <w:rFonts w:ascii="Arial" w:cs="Arial" w:eastAsia="Arial" w:hAnsi="Arial"/>
          <w:sz w:val="17"/>
          <w:szCs w:val="17"/>
          <w:color w:val="auto"/>
        </w:rPr>
        <w:t>Consolidated Balance Sheets as of June 30, 2016 and December 31,</w:t>
      </w:r>
    </w:p>
    <w:p>
      <w:pPr>
        <w:spacing w:after="0" w:line="21" w:lineRule="exact"/>
        <w:rPr>
          <w:sz w:val="20"/>
          <w:szCs w:val="20"/>
          <w:color w:val="auto"/>
        </w:rPr>
      </w:pPr>
    </w:p>
    <w:p>
      <w:pPr>
        <w:ind w:left="840"/>
        <w:spacing w:after="0"/>
        <w:rPr>
          <w:sz w:val="20"/>
          <w:szCs w:val="20"/>
          <w:color w:val="auto"/>
        </w:rPr>
      </w:pPr>
      <w:r>
        <w:rPr>
          <w:rFonts w:ascii="Arial" w:cs="Arial" w:eastAsia="Arial" w:hAnsi="Arial"/>
          <w:sz w:val="18"/>
          <w:szCs w:val="18"/>
          <w:color w:val="auto"/>
        </w:rPr>
        <w:t>2015, (ii) Condensed Consolidated Statements of Income and</w:t>
      </w:r>
    </w:p>
    <w:p>
      <w:pPr>
        <w:spacing w:after="0" w:line="9" w:lineRule="exact"/>
        <w:rPr>
          <w:sz w:val="20"/>
          <w:szCs w:val="20"/>
          <w:color w:val="auto"/>
        </w:rPr>
      </w:pPr>
    </w:p>
    <w:p>
      <w:pPr>
        <w:ind w:left="840"/>
        <w:spacing w:after="0"/>
        <w:rPr>
          <w:sz w:val="20"/>
          <w:szCs w:val="20"/>
          <w:color w:val="auto"/>
        </w:rPr>
      </w:pPr>
      <w:r>
        <w:rPr>
          <w:rFonts w:ascii="Arial" w:cs="Arial" w:eastAsia="Arial" w:hAnsi="Arial"/>
          <w:sz w:val="16"/>
          <w:szCs w:val="16"/>
          <w:color w:val="auto"/>
        </w:rPr>
        <w:t>Comprehensive Income (Loss) for the three and six months ended June</w:t>
      </w:r>
    </w:p>
    <w:p>
      <w:pPr>
        <w:spacing w:after="0" w:line="32" w:lineRule="exact"/>
        <w:rPr>
          <w:sz w:val="20"/>
          <w:szCs w:val="20"/>
          <w:color w:val="auto"/>
        </w:rPr>
      </w:pPr>
    </w:p>
    <w:p>
      <w:pPr>
        <w:ind w:left="840"/>
        <w:spacing w:after="0"/>
        <w:rPr>
          <w:sz w:val="20"/>
          <w:szCs w:val="20"/>
          <w:color w:val="auto"/>
        </w:rPr>
      </w:pPr>
      <w:r>
        <w:rPr>
          <w:rFonts w:ascii="Arial" w:cs="Arial" w:eastAsia="Arial" w:hAnsi="Arial"/>
          <w:sz w:val="17"/>
          <w:szCs w:val="17"/>
          <w:color w:val="auto"/>
        </w:rPr>
        <w:t>30, 2016 and 2015, (iii) Condensed Consolidated Statements of Cash</w:t>
      </w:r>
    </w:p>
    <w:p>
      <w:pPr>
        <w:spacing w:after="0" w:line="21" w:lineRule="exact"/>
        <w:rPr>
          <w:sz w:val="20"/>
          <w:szCs w:val="20"/>
          <w:color w:val="auto"/>
        </w:rPr>
      </w:pPr>
    </w:p>
    <w:p>
      <w:pPr>
        <w:ind w:left="840"/>
        <w:spacing w:after="0"/>
        <w:rPr>
          <w:sz w:val="20"/>
          <w:szCs w:val="20"/>
          <w:color w:val="auto"/>
        </w:rPr>
      </w:pPr>
      <w:r>
        <w:rPr>
          <w:rFonts w:ascii="Arial" w:cs="Arial" w:eastAsia="Arial" w:hAnsi="Arial"/>
          <w:sz w:val="16"/>
          <w:szCs w:val="16"/>
          <w:color w:val="auto"/>
        </w:rPr>
        <w:t>Flows for the six months ended June 30, 2016 and 2015, and (iv) Notes</w:t>
      </w:r>
    </w:p>
    <w:p>
      <w:pPr>
        <w:spacing w:after="0" w:line="32" w:lineRule="exact"/>
        <w:rPr>
          <w:sz w:val="20"/>
          <w:szCs w:val="20"/>
          <w:color w:val="auto"/>
        </w:rPr>
      </w:pPr>
    </w:p>
    <w:p>
      <w:pPr>
        <w:ind w:left="840"/>
        <w:spacing w:after="0"/>
        <w:rPr>
          <w:sz w:val="20"/>
          <w:szCs w:val="20"/>
          <w:color w:val="auto"/>
        </w:rPr>
      </w:pPr>
      <w:r>
        <w:rPr>
          <w:rFonts w:ascii="Arial" w:cs="Arial" w:eastAsia="Arial" w:hAnsi="Arial"/>
          <w:sz w:val="18"/>
          <w:szCs w:val="18"/>
          <w:color w:val="auto"/>
        </w:rPr>
        <w:t>to Condensed Consolidated Financial Statements.</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color w:val="auto"/>
        </w:rPr>
        <w:t>* Filed herewith.</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 Furnished herewith.</w:t>
      </w:r>
    </w:p>
    <w:p>
      <w:pPr>
        <w:spacing w:after="0" w:line="33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0800"/>
          </w:cols>
          <w:pgMar w:left="240" w:top="125" w:right="859" w:bottom="1440" w:gutter="0" w:footer="0" w:header="0"/>
          <w:type w:val="continuous"/>
        </w:sectPr>
      </w:pPr>
    </w:p>
    <w:bookmarkStart w:id="32" w:name="page33"/>
    <w:bookmarkEnd w:id="3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29" w:lineRule="exact"/>
        <w:rPr>
          <w:sz w:val="20"/>
          <w:szCs w:val="20"/>
          <w:color w:val="auto"/>
        </w:rPr>
      </w:pPr>
    </w:p>
    <w:p>
      <w:pPr>
        <w:ind w:left="6880"/>
        <w:spacing w:after="0"/>
        <w:rPr>
          <w:sz w:val="20"/>
          <w:szCs w:val="20"/>
          <w:color w:val="auto"/>
        </w:rPr>
      </w:pPr>
      <w:r>
        <w:rPr>
          <w:rFonts w:ascii="Arial" w:cs="Arial" w:eastAsia="Arial" w:hAnsi="Arial"/>
          <w:sz w:val="18"/>
          <w:szCs w:val="18"/>
          <w:b w:val="1"/>
          <w:bCs w:val="1"/>
          <w:color w:val="auto"/>
        </w:rPr>
        <w:t>PENUMBRA, INC.</w:t>
      </w:r>
    </w:p>
    <w:p>
      <w:pPr>
        <w:spacing w:after="0" w:line="67"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 August 9, 2016</w:t>
      </w:r>
    </w:p>
    <w:p>
      <w:pPr>
        <w:spacing w:after="0" w:line="63" w:lineRule="exact"/>
        <w:rPr>
          <w:sz w:val="20"/>
          <w:szCs w:val="20"/>
          <w:color w:val="auto"/>
        </w:rPr>
      </w:pPr>
    </w:p>
    <w:p>
      <w:pPr>
        <w:ind w:left="6440"/>
        <w:spacing w:after="0"/>
        <w:tabs>
          <w:tab w:leader="none" w:pos="68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31750</wp:posOffset>
            </wp:positionV>
            <wp:extent cx="289877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53" w:lineRule="exact"/>
        <w:rPr>
          <w:sz w:val="20"/>
          <w:szCs w:val="20"/>
          <w:color w:val="auto"/>
        </w:rPr>
      </w:pPr>
    </w:p>
    <w:p>
      <w:pPr>
        <w:ind w:left="6880"/>
        <w:spacing w:after="0"/>
        <w:rPr>
          <w:sz w:val="20"/>
          <w:szCs w:val="20"/>
          <w:color w:val="auto"/>
        </w:rPr>
      </w:pPr>
      <w:r>
        <w:rPr>
          <w:rFonts w:ascii="Arial" w:cs="Arial" w:eastAsia="Arial" w:hAnsi="Arial"/>
          <w:sz w:val="18"/>
          <w:szCs w:val="18"/>
          <w:b w:val="1"/>
          <w:bCs w:val="1"/>
          <w:color w:val="auto"/>
        </w:rPr>
        <w:t>Sri Kosaraju</w:t>
      </w:r>
    </w:p>
    <w:p>
      <w:pPr>
        <w:spacing w:after="0" w:line="63" w:lineRule="exact"/>
        <w:rPr>
          <w:sz w:val="20"/>
          <w:szCs w:val="20"/>
          <w:color w:val="auto"/>
        </w:rPr>
      </w:pPr>
    </w:p>
    <w:p>
      <w:pPr>
        <w:ind w:left="6880"/>
        <w:spacing w:after="0"/>
        <w:rPr>
          <w:sz w:val="20"/>
          <w:szCs w:val="20"/>
          <w:color w:val="auto"/>
        </w:rPr>
      </w:pPr>
      <w:r>
        <w:rPr>
          <w:rFonts w:ascii="Arial" w:cs="Arial" w:eastAsia="Arial" w:hAnsi="Arial"/>
          <w:sz w:val="18"/>
          <w:szCs w:val="18"/>
          <w:b w:val="1"/>
          <w:bCs w:val="1"/>
          <w:color w:val="auto"/>
        </w:rPr>
        <w:t>Chief Financial Officer and Head of Strategy</w:t>
      </w:r>
    </w:p>
    <w:p>
      <w:pPr>
        <w:spacing w:after="0" w:line="63" w:lineRule="exact"/>
        <w:rPr>
          <w:sz w:val="20"/>
          <w:szCs w:val="20"/>
          <w:color w:val="auto"/>
        </w:rPr>
      </w:pPr>
    </w:p>
    <w:p>
      <w:pPr>
        <w:ind w:left="6880"/>
        <w:spacing w:after="0"/>
        <w:rPr>
          <w:sz w:val="20"/>
          <w:szCs w:val="20"/>
          <w:color w:val="auto"/>
        </w:rPr>
      </w:pPr>
      <w:r>
        <w:rPr>
          <w:rFonts w:ascii="Arial" w:cs="Arial" w:eastAsia="Arial" w:hAnsi="Arial"/>
          <w:sz w:val="18"/>
          <w:szCs w:val="18"/>
          <w:b w:val="1"/>
          <w:bCs w:val="1"/>
          <w:color w:val="auto"/>
        </w:rPr>
        <w:t>(Principal Financial and Accounting Officer)</w:t>
      </w:r>
    </w:p>
    <w:p>
      <w:pPr>
        <w:spacing w:after="0" w:line="28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220"/>
          </w:cols>
          <w:pgMar w:left="240" w:top="125" w:right="439" w:bottom="1440" w:gutter="0" w:footer="0" w:header="0"/>
        </w:sectPr>
      </w:pPr>
    </w:p>
    <w:bookmarkStart w:id="33" w:name="page34"/>
    <w:bookmarkEnd w:id="33"/>
    <w:p>
      <w:pPr>
        <w:jc w:val="right"/>
        <w:spacing w:after="0"/>
        <w:rPr>
          <w:sz w:val="20"/>
          <w:szCs w:val="20"/>
          <w:color w:val="auto"/>
        </w:rPr>
      </w:pPr>
      <w:r>
        <w:rPr>
          <w:rFonts w:ascii="Arial" w:cs="Arial" w:eastAsia="Arial" w:hAnsi="Arial"/>
          <w:sz w:val="18"/>
          <w:szCs w:val="18"/>
          <w:u w:val="single" w:color="auto"/>
          <w:color w:val="auto"/>
        </w:rPr>
        <w:t>Exhibit 31.1</w:t>
      </w:r>
    </w:p>
    <w:p>
      <w:pPr>
        <w:spacing w:after="0" w:line="113"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CERTIFICATION OF PRINCIPAL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PURSUANT TO RULE 13a-14(a) AND 15d-14(a) OF THE SECURITIES EXCHANGE ACT, AS ADOPTED PURSUANT TO SECTION 302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THE SARBANES-OXLEY ACT OF 2002</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I, Adam Elsesser, certify that:</w:t>
      </w:r>
    </w:p>
    <w:p>
      <w:pPr>
        <w:spacing w:after="0" w:line="171" w:lineRule="exact"/>
        <w:rPr>
          <w:sz w:val="20"/>
          <w:szCs w:val="20"/>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Penumbra, Inc.;</w:t>
      </w:r>
    </w:p>
    <w:p>
      <w:pPr>
        <w:spacing w:after="0" w:line="171" w:lineRule="exact"/>
        <w:rPr>
          <w:rFonts w:ascii="Arial" w:cs="Arial" w:eastAsia="Arial" w:hAnsi="Arial"/>
          <w:sz w:val="18"/>
          <w:szCs w:val="18"/>
          <w:color w:val="auto"/>
        </w:rPr>
      </w:pPr>
    </w:p>
    <w:p>
      <w:pPr>
        <w:jc w:val="both"/>
        <w:ind w:left="660" w:right="300" w:hanging="328"/>
        <w:spacing w:after="0" w:line="264"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7" w:lineRule="exact"/>
        <w:rPr>
          <w:rFonts w:ascii="Arial" w:cs="Arial" w:eastAsia="Arial" w:hAnsi="Arial"/>
          <w:sz w:val="18"/>
          <w:szCs w:val="18"/>
          <w:color w:val="auto"/>
        </w:rPr>
      </w:pPr>
    </w:p>
    <w:p>
      <w:pPr>
        <w:ind w:left="660" w:right="260" w:hanging="328"/>
        <w:spacing w:after="0" w:line="308" w:lineRule="auto"/>
        <w:tabs>
          <w:tab w:leader="none" w:pos="6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660" w:right="480" w:hanging="328"/>
        <w:spacing w:after="0" w:line="277"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116" w:lineRule="exact"/>
        <w:rPr>
          <w:rFonts w:ascii="Arial" w:cs="Arial" w:eastAsia="Arial" w:hAnsi="Arial"/>
          <w:sz w:val="18"/>
          <w:szCs w:val="18"/>
          <w:color w:val="auto"/>
        </w:rPr>
      </w:pPr>
    </w:p>
    <w:p>
      <w:pPr>
        <w:ind w:left="1300" w:right="80" w:hanging="320"/>
        <w:spacing w:after="0" w:line="264" w:lineRule="auto"/>
        <w:tabs>
          <w:tab w:leader="none" w:pos="1300" w:val="left"/>
        </w:tabs>
        <w:numPr>
          <w:ilvl w:val="1"/>
          <w:numId w:val="1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1300" w:hanging="320"/>
        <w:spacing w:after="0"/>
        <w:tabs>
          <w:tab w:leader="none" w:pos="1300" w:val="left"/>
        </w:tabs>
        <w:numPr>
          <w:ilvl w:val="1"/>
          <w:numId w:val="10"/>
        </w:numPr>
        <w:rPr>
          <w:rFonts w:ascii="Arial" w:cs="Arial" w:eastAsia="Arial" w:hAnsi="Arial"/>
          <w:sz w:val="18"/>
          <w:szCs w:val="18"/>
          <w:color w:val="auto"/>
        </w:rPr>
      </w:pPr>
      <w:r>
        <w:rPr>
          <w:rFonts w:ascii="Arial" w:cs="Arial" w:eastAsia="Arial" w:hAnsi="Arial"/>
          <w:sz w:val="18"/>
          <w:szCs w:val="18"/>
          <w:color w:val="auto"/>
        </w:rPr>
        <w:t>(Omitted pursuant to Exchange Act Rule 13a-14);</w:t>
      </w:r>
    </w:p>
    <w:p>
      <w:pPr>
        <w:spacing w:after="0" w:line="171" w:lineRule="exact"/>
        <w:rPr>
          <w:rFonts w:ascii="Arial" w:cs="Arial" w:eastAsia="Arial" w:hAnsi="Arial"/>
          <w:sz w:val="18"/>
          <w:szCs w:val="18"/>
          <w:color w:val="auto"/>
        </w:rPr>
      </w:pPr>
    </w:p>
    <w:p>
      <w:pPr>
        <w:jc w:val="both"/>
        <w:ind w:left="1300" w:right="380" w:hanging="320"/>
        <w:spacing w:after="0" w:line="342" w:lineRule="auto"/>
        <w:tabs>
          <w:tab w:leader="none" w:pos="1300" w:val="left"/>
        </w:tabs>
        <w:numPr>
          <w:ilvl w:val="1"/>
          <w:numId w:val="10"/>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1300" w:right="80" w:hanging="320"/>
        <w:spacing w:after="0" w:line="264" w:lineRule="auto"/>
        <w:tabs>
          <w:tab w:leader="none" w:pos="1300" w:val="left"/>
        </w:tabs>
        <w:numPr>
          <w:ilvl w:val="1"/>
          <w:numId w:val="1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7" w:lineRule="exact"/>
        <w:rPr>
          <w:rFonts w:ascii="Arial" w:cs="Arial" w:eastAsia="Arial" w:hAnsi="Arial"/>
          <w:sz w:val="18"/>
          <w:szCs w:val="18"/>
          <w:color w:val="auto"/>
        </w:rPr>
      </w:pPr>
    </w:p>
    <w:p>
      <w:pPr>
        <w:ind w:left="660" w:right="180" w:hanging="328"/>
        <w:spacing w:after="0" w:line="308" w:lineRule="auto"/>
        <w:tabs>
          <w:tab w:leader="none" w:pos="6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2" w:lineRule="exact"/>
        <w:rPr>
          <w:rFonts w:ascii="Arial" w:cs="Arial" w:eastAsia="Arial" w:hAnsi="Arial"/>
          <w:sz w:val="17"/>
          <w:szCs w:val="17"/>
          <w:color w:val="auto"/>
        </w:rPr>
      </w:pPr>
    </w:p>
    <w:p>
      <w:pPr>
        <w:ind w:left="1300" w:right="620" w:hanging="320"/>
        <w:spacing w:after="0" w:line="342" w:lineRule="auto"/>
        <w:tabs>
          <w:tab w:leader="none" w:pos="1300" w:val="left"/>
        </w:tabs>
        <w:numPr>
          <w:ilvl w:val="1"/>
          <w:numId w:val="10"/>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9" w:lineRule="exact"/>
        <w:rPr>
          <w:rFonts w:ascii="Arial" w:cs="Arial" w:eastAsia="Arial" w:hAnsi="Arial"/>
          <w:sz w:val="16"/>
          <w:szCs w:val="16"/>
          <w:color w:val="auto"/>
        </w:rPr>
      </w:pPr>
    </w:p>
    <w:p>
      <w:pPr>
        <w:ind w:left="1300" w:right="320" w:hanging="320"/>
        <w:spacing w:after="0" w:line="277" w:lineRule="auto"/>
        <w:tabs>
          <w:tab w:leader="none" w:pos="1300" w:val="left"/>
        </w:tabs>
        <w:numPr>
          <w:ilvl w:val="1"/>
          <w:numId w:val="1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Date: August 9, 2016</w:t>
      </w:r>
    </w:p>
    <w:p>
      <w:pPr>
        <w:spacing w:after="0" w:line="360" w:lineRule="exact"/>
        <w:rPr>
          <w:sz w:val="20"/>
          <w:szCs w:val="20"/>
          <w:color w:val="auto"/>
        </w:rPr>
      </w:pPr>
    </w:p>
    <w:p>
      <w:pPr>
        <w:ind w:left="6840"/>
        <w:spacing w:after="0"/>
        <w:rPr>
          <w:sz w:val="20"/>
          <w:szCs w:val="20"/>
          <w:color w:val="auto"/>
        </w:rPr>
      </w:pPr>
      <w:r>
        <w:rPr>
          <w:rFonts w:ascii="Arial" w:cs="Arial" w:eastAsia="Arial" w:hAnsi="Arial"/>
          <w:sz w:val="18"/>
          <w:szCs w:val="18"/>
          <w:color w:val="auto"/>
        </w:rPr>
        <w:t>/s/ Adam Elsesser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4327525</wp:posOffset>
            </wp:positionH>
            <wp:positionV relativeFrom="paragraph">
              <wp:posOffset>31750</wp:posOffset>
            </wp:positionV>
            <wp:extent cx="292417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924175" cy="8890"/>
                    </a:xfrm>
                    <a:prstGeom prst="rect">
                      <a:avLst/>
                    </a:prstGeom>
                    <a:noFill/>
                  </pic:spPr>
                </pic:pic>
              </a:graphicData>
            </a:graphic>
          </wp:anchor>
        </w:drawing>
      </w:r>
    </w:p>
    <w:p>
      <w:pPr>
        <w:spacing w:after="0" w:line="57" w:lineRule="exact"/>
        <w:rPr>
          <w:sz w:val="20"/>
          <w:szCs w:val="20"/>
          <w:color w:val="auto"/>
        </w:rPr>
      </w:pPr>
    </w:p>
    <w:p>
      <w:pPr>
        <w:ind w:left="6840"/>
        <w:spacing w:after="0"/>
        <w:rPr>
          <w:sz w:val="20"/>
          <w:szCs w:val="20"/>
          <w:color w:val="auto"/>
        </w:rPr>
      </w:pPr>
      <w:r>
        <w:rPr>
          <w:rFonts w:ascii="Arial" w:cs="Arial" w:eastAsia="Arial" w:hAnsi="Arial"/>
          <w:sz w:val="18"/>
          <w:szCs w:val="18"/>
          <w:color w:val="auto"/>
        </w:rPr>
        <w:t>Adam Elsesser</w:t>
      </w:r>
    </w:p>
    <w:p>
      <w:pPr>
        <w:spacing w:after="0" w:line="63" w:lineRule="exact"/>
        <w:rPr>
          <w:sz w:val="20"/>
          <w:szCs w:val="20"/>
          <w:color w:val="auto"/>
        </w:rPr>
      </w:pPr>
    </w:p>
    <w:p>
      <w:pPr>
        <w:ind w:left="6840"/>
        <w:spacing w:after="0"/>
        <w:rPr>
          <w:sz w:val="20"/>
          <w:szCs w:val="20"/>
          <w:color w:val="auto"/>
        </w:rPr>
      </w:pPr>
      <w:r>
        <w:rPr>
          <w:rFonts w:ascii="Arial" w:cs="Arial" w:eastAsia="Arial" w:hAnsi="Arial"/>
          <w:sz w:val="18"/>
          <w:szCs w:val="18"/>
          <w:color w:val="auto"/>
        </w:rPr>
        <w:t>Chairman, Chief Executive Officer and President</w:t>
      </w:r>
    </w:p>
    <w:p>
      <w:pPr>
        <w:sectPr>
          <w:pgSz w:w="11900" w:h="16838" w:orient="portrait"/>
          <w:cols w:equalWidth="0" w:num="1">
            <w:col w:w="11420"/>
          </w:cols>
          <w:pgMar w:left="240" w:top="584" w:right="239" w:bottom="1440" w:gutter="0" w:footer="0" w:header="0"/>
        </w:sectPr>
      </w:pPr>
    </w:p>
    <w:bookmarkStart w:id="34" w:name="page35"/>
    <w:bookmarkEnd w:id="34"/>
    <w:p>
      <w:pPr>
        <w:jc w:val="right"/>
        <w:spacing w:after="0"/>
        <w:rPr>
          <w:sz w:val="20"/>
          <w:szCs w:val="20"/>
          <w:color w:val="auto"/>
        </w:rPr>
      </w:pPr>
      <w:r>
        <w:rPr>
          <w:rFonts w:ascii="Arial" w:cs="Arial" w:eastAsia="Arial" w:hAnsi="Arial"/>
          <w:sz w:val="18"/>
          <w:szCs w:val="18"/>
          <w:u w:val="single" w:color="auto"/>
          <w:color w:val="auto"/>
        </w:rPr>
        <w:t>Exhibit 31.2</w:t>
      </w:r>
    </w:p>
    <w:p>
      <w:pPr>
        <w:spacing w:after="0" w:line="113"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CERTIFICATION OF PRINCIPAL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PURSUANT TO RULE 13a-14(a) AND 15d-14(a) OF THE SECURITIES EXCHANGE ACT, AS ADOPTED PURSUANT TO SECTION 302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THE SARBANES-OXLEY ACT OF 2002</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I, Sri Kosaraju, certify that:</w:t>
      </w:r>
    </w:p>
    <w:p>
      <w:pPr>
        <w:spacing w:after="0" w:line="171" w:lineRule="exact"/>
        <w:rPr>
          <w:sz w:val="20"/>
          <w:szCs w:val="20"/>
          <w:color w:val="auto"/>
        </w:rPr>
      </w:pPr>
    </w:p>
    <w:p>
      <w:pPr>
        <w:ind w:left="660" w:hanging="328"/>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Penumbra, Inc.;</w:t>
      </w:r>
    </w:p>
    <w:p>
      <w:pPr>
        <w:spacing w:after="0" w:line="171" w:lineRule="exact"/>
        <w:rPr>
          <w:rFonts w:ascii="Arial" w:cs="Arial" w:eastAsia="Arial" w:hAnsi="Arial"/>
          <w:sz w:val="18"/>
          <w:szCs w:val="18"/>
          <w:color w:val="auto"/>
        </w:rPr>
      </w:pPr>
    </w:p>
    <w:p>
      <w:pPr>
        <w:jc w:val="both"/>
        <w:ind w:left="660" w:right="300" w:hanging="328"/>
        <w:spacing w:after="0" w:line="264" w:lineRule="auto"/>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7" w:lineRule="exact"/>
        <w:rPr>
          <w:rFonts w:ascii="Arial" w:cs="Arial" w:eastAsia="Arial" w:hAnsi="Arial"/>
          <w:sz w:val="18"/>
          <w:szCs w:val="18"/>
          <w:color w:val="auto"/>
        </w:rPr>
      </w:pPr>
    </w:p>
    <w:p>
      <w:pPr>
        <w:ind w:left="660" w:right="260" w:hanging="328"/>
        <w:spacing w:after="0" w:line="308" w:lineRule="auto"/>
        <w:tabs>
          <w:tab w:leader="none" w:pos="6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660" w:right="480" w:hanging="328"/>
        <w:spacing w:after="0" w:line="277" w:lineRule="auto"/>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116" w:lineRule="exact"/>
        <w:rPr>
          <w:rFonts w:ascii="Arial" w:cs="Arial" w:eastAsia="Arial" w:hAnsi="Arial"/>
          <w:sz w:val="18"/>
          <w:szCs w:val="18"/>
          <w:color w:val="auto"/>
        </w:rPr>
      </w:pPr>
    </w:p>
    <w:p>
      <w:pPr>
        <w:ind w:left="1300" w:right="80" w:hanging="320"/>
        <w:spacing w:after="0" w:line="264" w:lineRule="auto"/>
        <w:tabs>
          <w:tab w:leader="none" w:pos="1300" w:val="left"/>
        </w:tabs>
        <w:numPr>
          <w:ilvl w:val="1"/>
          <w:numId w:val="1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1300" w:hanging="320"/>
        <w:spacing w:after="0"/>
        <w:tabs>
          <w:tab w:leader="none" w:pos="1300" w:val="left"/>
        </w:tabs>
        <w:numPr>
          <w:ilvl w:val="1"/>
          <w:numId w:val="11"/>
        </w:numPr>
        <w:rPr>
          <w:rFonts w:ascii="Arial" w:cs="Arial" w:eastAsia="Arial" w:hAnsi="Arial"/>
          <w:sz w:val="18"/>
          <w:szCs w:val="18"/>
          <w:color w:val="auto"/>
        </w:rPr>
      </w:pPr>
      <w:r>
        <w:rPr>
          <w:rFonts w:ascii="Arial" w:cs="Arial" w:eastAsia="Arial" w:hAnsi="Arial"/>
          <w:sz w:val="18"/>
          <w:szCs w:val="18"/>
          <w:color w:val="auto"/>
        </w:rPr>
        <w:t>(Omitted pursuant to Exchange Act Rule 13a-14);</w:t>
      </w:r>
    </w:p>
    <w:p>
      <w:pPr>
        <w:spacing w:after="0" w:line="171" w:lineRule="exact"/>
        <w:rPr>
          <w:rFonts w:ascii="Arial" w:cs="Arial" w:eastAsia="Arial" w:hAnsi="Arial"/>
          <w:sz w:val="18"/>
          <w:szCs w:val="18"/>
          <w:color w:val="auto"/>
        </w:rPr>
      </w:pPr>
    </w:p>
    <w:p>
      <w:pPr>
        <w:jc w:val="both"/>
        <w:ind w:left="1300" w:right="380" w:hanging="320"/>
        <w:spacing w:after="0" w:line="342" w:lineRule="auto"/>
        <w:tabs>
          <w:tab w:leader="none" w:pos="1300" w:val="left"/>
        </w:tabs>
        <w:numPr>
          <w:ilvl w:val="1"/>
          <w:numId w:val="1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1300" w:right="80" w:hanging="320"/>
        <w:spacing w:after="0" w:line="264" w:lineRule="auto"/>
        <w:tabs>
          <w:tab w:leader="none" w:pos="1300" w:val="left"/>
        </w:tabs>
        <w:numPr>
          <w:ilvl w:val="1"/>
          <w:numId w:val="1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7" w:lineRule="exact"/>
        <w:rPr>
          <w:rFonts w:ascii="Arial" w:cs="Arial" w:eastAsia="Arial" w:hAnsi="Arial"/>
          <w:sz w:val="18"/>
          <w:szCs w:val="18"/>
          <w:color w:val="auto"/>
        </w:rPr>
      </w:pPr>
    </w:p>
    <w:p>
      <w:pPr>
        <w:ind w:left="660" w:right="180" w:hanging="328"/>
        <w:spacing w:after="0" w:line="308" w:lineRule="auto"/>
        <w:tabs>
          <w:tab w:leader="none" w:pos="6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2" w:lineRule="exact"/>
        <w:rPr>
          <w:rFonts w:ascii="Arial" w:cs="Arial" w:eastAsia="Arial" w:hAnsi="Arial"/>
          <w:sz w:val="17"/>
          <w:szCs w:val="17"/>
          <w:color w:val="auto"/>
        </w:rPr>
      </w:pPr>
    </w:p>
    <w:p>
      <w:pPr>
        <w:ind w:left="1300" w:right="620" w:hanging="320"/>
        <w:spacing w:after="0" w:line="342" w:lineRule="auto"/>
        <w:tabs>
          <w:tab w:leader="none" w:pos="1300" w:val="left"/>
        </w:tabs>
        <w:numPr>
          <w:ilvl w:val="1"/>
          <w:numId w:val="11"/>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9" w:lineRule="exact"/>
        <w:rPr>
          <w:rFonts w:ascii="Arial" w:cs="Arial" w:eastAsia="Arial" w:hAnsi="Arial"/>
          <w:sz w:val="16"/>
          <w:szCs w:val="16"/>
          <w:color w:val="auto"/>
        </w:rPr>
      </w:pPr>
    </w:p>
    <w:p>
      <w:pPr>
        <w:ind w:left="1300" w:right="320" w:hanging="320"/>
        <w:spacing w:after="0" w:line="277" w:lineRule="auto"/>
        <w:tabs>
          <w:tab w:leader="none" w:pos="1300" w:val="left"/>
        </w:tabs>
        <w:numPr>
          <w:ilvl w:val="1"/>
          <w:numId w:val="1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Date: August 9, 2016</w:t>
      </w:r>
    </w:p>
    <w:p>
      <w:pPr>
        <w:spacing w:after="0" w:line="360" w:lineRule="exact"/>
        <w:rPr>
          <w:sz w:val="20"/>
          <w:szCs w:val="20"/>
          <w:color w:val="auto"/>
        </w:rPr>
      </w:pPr>
    </w:p>
    <w:p>
      <w:pPr>
        <w:ind w:left="7000"/>
        <w:spacing w:after="0"/>
        <w:rPr>
          <w:sz w:val="20"/>
          <w:szCs w:val="20"/>
          <w:color w:val="auto"/>
        </w:rPr>
      </w:pPr>
      <w:r>
        <w:rPr>
          <w:rFonts w:ascii="Arial" w:cs="Arial" w:eastAsia="Arial" w:hAnsi="Arial"/>
          <w:sz w:val="18"/>
          <w:szCs w:val="18"/>
          <w:color w:val="auto"/>
        </w:rPr>
        <w:t>/s/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4421505</wp:posOffset>
            </wp:positionH>
            <wp:positionV relativeFrom="paragraph">
              <wp:posOffset>31750</wp:posOffset>
            </wp:positionV>
            <wp:extent cx="283019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2830195" cy="8890"/>
                    </a:xfrm>
                    <a:prstGeom prst="rect">
                      <a:avLst/>
                    </a:prstGeom>
                    <a:noFill/>
                  </pic:spPr>
                </pic:pic>
              </a:graphicData>
            </a:graphic>
          </wp:anchor>
        </w:drawing>
      </w:r>
    </w:p>
    <w:p>
      <w:pPr>
        <w:spacing w:after="0" w:line="57" w:lineRule="exact"/>
        <w:rPr>
          <w:sz w:val="20"/>
          <w:szCs w:val="20"/>
          <w:color w:val="auto"/>
        </w:rPr>
      </w:pPr>
    </w:p>
    <w:p>
      <w:pPr>
        <w:ind w:left="7000"/>
        <w:spacing w:after="0"/>
        <w:rPr>
          <w:sz w:val="20"/>
          <w:szCs w:val="20"/>
          <w:color w:val="auto"/>
        </w:rPr>
      </w:pPr>
      <w:r>
        <w:rPr>
          <w:rFonts w:ascii="Arial" w:cs="Arial" w:eastAsia="Arial" w:hAnsi="Arial"/>
          <w:sz w:val="18"/>
          <w:szCs w:val="18"/>
          <w:color w:val="auto"/>
        </w:rPr>
        <w:t>Sri Kosaraju</w:t>
      </w:r>
    </w:p>
    <w:p>
      <w:pPr>
        <w:spacing w:after="0" w:line="63" w:lineRule="exact"/>
        <w:rPr>
          <w:sz w:val="20"/>
          <w:szCs w:val="20"/>
          <w:color w:val="auto"/>
        </w:rPr>
      </w:pPr>
    </w:p>
    <w:p>
      <w:pPr>
        <w:ind w:left="7000"/>
        <w:spacing w:after="0"/>
        <w:rPr>
          <w:sz w:val="20"/>
          <w:szCs w:val="20"/>
          <w:color w:val="auto"/>
        </w:rPr>
      </w:pPr>
      <w:r>
        <w:rPr>
          <w:rFonts w:ascii="Arial" w:cs="Arial" w:eastAsia="Arial" w:hAnsi="Arial"/>
          <w:sz w:val="18"/>
          <w:szCs w:val="18"/>
          <w:color w:val="auto"/>
        </w:rPr>
        <w:t>Chief Financial Officer and Head of Strategy</w:t>
      </w:r>
    </w:p>
    <w:p>
      <w:pPr>
        <w:sectPr>
          <w:pgSz w:w="11900" w:h="16838" w:orient="portrait"/>
          <w:cols w:equalWidth="0" w:num="1">
            <w:col w:w="11420"/>
          </w:cols>
          <w:pgMar w:left="240" w:top="584" w:right="239" w:bottom="1440" w:gutter="0" w:footer="0" w:header="0"/>
        </w:sectPr>
      </w:pPr>
    </w:p>
    <w:bookmarkStart w:id="35" w:name="page36"/>
    <w:bookmarkEnd w:id="35"/>
    <w:p>
      <w:pPr>
        <w:jc w:val="right"/>
        <w:spacing w:after="0"/>
        <w:rPr>
          <w:sz w:val="20"/>
          <w:szCs w:val="20"/>
          <w:color w:val="auto"/>
        </w:rPr>
      </w:pPr>
      <w:r>
        <w:rPr>
          <w:rFonts w:ascii="Arial" w:cs="Arial" w:eastAsia="Arial" w:hAnsi="Arial"/>
          <w:sz w:val="18"/>
          <w:szCs w:val="18"/>
          <w:u w:val="single" w:color="auto"/>
          <w:color w:val="auto"/>
        </w:rPr>
        <w:t>Exhibit 32.1</w:t>
      </w:r>
    </w:p>
    <w:p>
      <w:pPr>
        <w:spacing w:after="0" w:line="113" w:lineRule="exact"/>
        <w:rPr>
          <w:sz w:val="20"/>
          <w:szCs w:val="20"/>
          <w:color w:val="auto"/>
        </w:rPr>
      </w:pPr>
    </w:p>
    <w:p>
      <w:pPr>
        <w:ind w:left="4960"/>
        <w:spacing w:after="0"/>
        <w:rPr>
          <w:sz w:val="20"/>
          <w:szCs w:val="20"/>
          <w:color w:val="auto"/>
        </w:rPr>
      </w:pPr>
      <w:r>
        <w:rPr>
          <w:rFonts w:ascii="Arial" w:cs="Arial" w:eastAsia="Arial" w:hAnsi="Arial"/>
          <w:sz w:val="18"/>
          <w:szCs w:val="18"/>
          <w:b w:val="1"/>
          <w:bCs w:val="1"/>
          <w:color w:val="auto"/>
        </w:rPr>
        <w:t>PENUMBRA, INC.</w:t>
      </w:r>
    </w:p>
    <w:p>
      <w:pPr>
        <w:spacing w:after="0" w:line="117" w:lineRule="exact"/>
        <w:rPr>
          <w:sz w:val="20"/>
          <w:szCs w:val="20"/>
          <w:color w:val="auto"/>
        </w:rPr>
      </w:pPr>
    </w:p>
    <w:p>
      <w:pPr>
        <w:ind w:left="4320"/>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57"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In connection with the Quarterly Report of Penumbra, Inc. (the “Company”) on Form 10-Q for the fiscal quarter ended June 30, 2016, as filed with the Securities and Exchange Commission (the “Report”), Adam Elsesser, Chairman, Chief Executive Officer and President of the Company, and Sri Kosaraju, Chief Financial Officer and Head of Strategy of the Company, respectively, do each hereby certify, pursuant to 18 U.S.C. Section 1350, as adopted pursuant to Section 906 of the Sarbanes-Oxley Act of 2002, that:</w:t>
      </w:r>
    </w:p>
    <w:p>
      <w:pPr>
        <w:spacing w:after="0" w:line="133" w:lineRule="exact"/>
        <w:rPr>
          <w:sz w:val="20"/>
          <w:szCs w:val="20"/>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71" w:lineRule="exact"/>
        <w:rPr>
          <w:rFonts w:ascii="Arial" w:cs="Arial" w:eastAsia="Arial" w:hAnsi="Arial"/>
          <w:sz w:val="18"/>
          <w:szCs w:val="18"/>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information in the Report fairly presents, in all material respects, the financial condition and results of operations of the Company.</w:t>
      </w:r>
    </w:p>
    <w:p>
      <w:pPr>
        <w:spacing w:after="0" w:line="320"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 August 9, 2016</w:t>
      </w:r>
    </w:p>
    <w:p>
      <w:pPr>
        <w:spacing w:after="0" w:line="171"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Adam Elsesser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47345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Adam Elsesser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Chairman, Chief Executive Officer and President</w:t>
      </w:r>
    </w:p>
    <w:p>
      <w:pPr>
        <w:spacing w:after="0" w:line="347"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47345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Sri Kosaraju</w:t>
      </w:r>
    </w:p>
    <w:p>
      <w:pPr>
        <w:spacing w:after="0" w:line="117"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Chief Financial Officer and Head of Strategy</w:t>
      </w:r>
    </w:p>
    <w:sectPr>
      <w:pgSz w:w="11900" w:h="16838" w:orient="portrait"/>
      <w:cols w:equalWidth="0" w:num="1">
        <w:col w:w="11420"/>
      </w:cols>
      <w:pgMar w:left="240" w:top="58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EB141F2"/>
    <w:multiLevelType w:val="hybridMultilevel"/>
    <w:lvl w:ilvl="0">
      <w:lvlJc w:val="left"/>
      <w:lvlText w:val="x"/>
      <w:numFmt w:val="bullet"/>
      <w:start w:val="1"/>
    </w:lvl>
  </w:abstractNum>
  <w:abstractNum w:abstractNumId="1">
    <w:nsid w:val="41B71EFB"/>
    <w:multiLevelType w:val="hybridMultilevel"/>
    <w:lvl w:ilvl="0">
      <w:lvlJc w:val="left"/>
      <w:lvlText w:val="o"/>
      <w:numFmt w:val="bullet"/>
      <w:start w:val="1"/>
    </w:lvl>
  </w:abstractNum>
  <w:abstractNum w:abstractNumId="2">
    <w:nsid w:val="79E2A9E3"/>
    <w:multiLevelType w:val="hybridMultilevel"/>
    <w:lvl w:ilvl="0">
      <w:lvlJc w:val="left"/>
      <w:lvlText w:val="%1."/>
      <w:numFmt w:val="decimal"/>
      <w:start w:val="2"/>
    </w:lvl>
  </w:abstractNum>
  <w:abstractNum w:abstractNumId="3">
    <w:nsid w:val="7545E146"/>
    <w:multiLevelType w:val="hybridMultilevel"/>
    <w:lvl w:ilvl="0">
      <w:lvlJc w:val="left"/>
      <w:lvlText w:val="%1."/>
      <w:numFmt w:val="decimal"/>
      <w:start w:val="5"/>
    </w:lvl>
  </w:abstractNum>
  <w:abstractNum w:abstractNumId="4">
    <w:nsid w:val="515F007C"/>
    <w:multiLevelType w:val="hybridMultilevel"/>
    <w:lvl w:ilvl="0">
      <w:lvlJc w:val="left"/>
      <w:lvlText w:val="%1."/>
      <w:numFmt w:val="decimal"/>
      <w:start w:val="6"/>
    </w:lvl>
  </w:abstractNum>
  <w:abstractNum w:abstractNumId="5">
    <w:nsid w:val="5BD062C2"/>
    <w:multiLevelType w:val="hybridMultilevel"/>
    <w:lvl w:ilvl="0">
      <w:lvlJc w:val="left"/>
      <w:lvlText w:val="•"/>
      <w:numFmt w:val="bullet"/>
      <w:start w:val="1"/>
    </w:lvl>
  </w:abstractNum>
  <w:abstractNum w:abstractNumId="6">
    <w:nsid w:val="12200854"/>
    <w:multiLevelType w:val="hybridMultilevel"/>
    <w:lvl w:ilvl="0">
      <w:lvlJc w:val="left"/>
      <w:lvlText w:val="(%1)"/>
      <w:numFmt w:val="decimal"/>
      <w:start w:val="1"/>
    </w:lvl>
  </w:abstractNum>
  <w:abstractNum w:abstractNumId="7">
    <w:nsid w:val="4DB127F8"/>
    <w:multiLevelType w:val="hybridMultilevel"/>
    <w:lvl w:ilvl="0">
      <w:lvlJc w:val="left"/>
      <w:lvlText w:val="(%1)"/>
      <w:numFmt w:val="lowerLetter"/>
      <w:start w:val="1"/>
    </w:lvl>
  </w:abstractNum>
  <w:abstractNum w:abstractNumId="8">
    <w:nsid w:val="216231B"/>
    <w:multiLevelType w:val="hybridMultilevel"/>
    <w:lvl w:ilvl="0">
      <w:lvlJc w:val="left"/>
      <w:lvlText w:val="(%1)"/>
      <w:numFmt w:val="lowerLetter"/>
      <w:start w:val="3"/>
    </w:lvl>
  </w:abstractNum>
  <w:abstractNum w:abstractNumId="9">
    <w:nsid w:val="1F16E9E8"/>
    <w:multiLevelType w:val="hybridMultilevel"/>
    <w:lvl w:ilvl="0">
      <w:lvlJc w:val="left"/>
      <w:lvlText w:val="%1."/>
      <w:numFmt w:val="decimal"/>
      <w:start w:val="1"/>
    </w:lvl>
    <w:lvl w:ilvl="1">
      <w:lvlJc w:val="left"/>
      <w:lvlText w:val="(%2)"/>
      <w:numFmt w:val="lowerLetter"/>
      <w:start w:val="1"/>
    </w:lvl>
  </w:abstractNum>
  <w:abstractNum w:abstractNumId="10">
    <w:nsid w:val="1190CDE7"/>
    <w:multiLevelType w:val="hybridMultilevel"/>
    <w:lvl w:ilvl="0">
      <w:lvlJc w:val="left"/>
      <w:lvlText w:val="%1."/>
      <w:numFmt w:val="decimal"/>
      <w:start w:val="1"/>
    </w:lvl>
    <w:lvl w:ilvl="1">
      <w:lvlJc w:val="left"/>
      <w:lvlText w:val="(%2)"/>
      <w:numFmt w:val="lowerLetter"/>
      <w:start w:val="1"/>
    </w:lvl>
  </w:abstractNum>
  <w:abstractNum w:abstractNumId="11">
    <w:nsid w:val="66EF438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2020-01-21T02:37:28Z</dcterms:created>
  <dcterms:modified xsi:type="dcterms:W3CDTF">2020-01-21T02:37:28Z</dcterms:modified>
</cp:coreProperties>
</file>