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144780</wp:posOffset>
            </wp:positionH>
            <wp:positionV relativeFrom="page">
              <wp:posOffset>504825</wp:posOffset>
            </wp:positionV>
            <wp:extent cx="727202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72020" cy="42545"/>
                    </a:xfrm>
                    <a:prstGeom prst="rect">
                      <a:avLst/>
                    </a:prstGeom>
                    <a:noFill/>
                  </pic:spPr>
                </pic:pic>
              </a:graphicData>
            </a:graphic>
          </wp:anchor>
        </w:drawing>
        <w:t>UNITED STATES</w:t>
      </w:r>
    </w:p>
    <w:p>
      <w:pPr>
        <w:spacing w:after="0" w:line="46" w:lineRule="exact"/>
        <w:rPr>
          <w:sz w:val="24"/>
          <w:szCs w:val="24"/>
          <w:color w:val="auto"/>
        </w:rPr>
      </w:pPr>
    </w:p>
    <w:p>
      <w:pPr>
        <w:jc w:val="center"/>
        <w:ind w:right="-39"/>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ind w:left="4780"/>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60325</wp:posOffset>
            </wp:positionV>
            <wp:extent cx="7272020"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114300</wp:posOffset>
            </wp:positionV>
            <wp:extent cx="727202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4"/>
          <w:szCs w:val="24"/>
          <w:color w:val="auto"/>
        </w:rPr>
      </w:pPr>
    </w:p>
    <w:p>
      <w:pPr>
        <w:spacing w:after="0" w:line="317" w:lineRule="exact"/>
        <w:rPr>
          <w:sz w:val="24"/>
          <w:szCs w:val="24"/>
          <w:color w:val="auto"/>
        </w:rPr>
      </w:pPr>
    </w:p>
    <w:p>
      <w:pPr>
        <w:jc w:val="center"/>
        <w:ind w:right="-39"/>
        <w:spacing w:after="0"/>
        <w:rPr>
          <w:sz w:val="20"/>
          <w:szCs w:val="20"/>
          <w:color w:val="auto"/>
        </w:rPr>
      </w:pPr>
      <w:r>
        <w:rPr>
          <w:rFonts w:ascii="Arial" w:cs="Arial" w:eastAsia="Arial" w:hAnsi="Arial"/>
          <w:sz w:val="22"/>
          <w:szCs w:val="22"/>
          <w:b w:val="1"/>
          <w:bCs w:val="1"/>
          <w:color w:val="auto"/>
        </w:rPr>
        <w:t>CURRENT REPORT</w:t>
      </w:r>
    </w:p>
    <w:p>
      <w:pPr>
        <w:spacing w:after="0" w:line="215"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Pursuant to Section 13 or 15(d) of the</w:t>
      </w:r>
    </w:p>
    <w:p>
      <w:pPr>
        <w:spacing w:after="0" w:line="27"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Securities Exchange Act of 1934</w:t>
      </w:r>
    </w:p>
    <w:p>
      <w:pPr>
        <w:spacing w:after="0" w:line="207"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March 8, 2016</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Date of Report (Date of earliest event reported)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130175</wp:posOffset>
            </wp:positionV>
            <wp:extent cx="727202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310" w:lineRule="exact"/>
        <w:rPr>
          <w:sz w:val="24"/>
          <w:szCs w:val="24"/>
          <w:color w:val="auto"/>
        </w:rPr>
      </w:pPr>
    </w:p>
    <w:p>
      <w:pPr>
        <w:jc w:val="center"/>
        <w:ind w:right="-39"/>
        <w:spacing w:after="0"/>
        <w:rPr>
          <w:sz w:val="20"/>
          <w:szCs w:val="20"/>
          <w:color w:val="auto"/>
        </w:rPr>
      </w:pPr>
      <w:r>
        <w:rPr>
          <w:rFonts w:ascii="Arial" w:cs="Arial" w:eastAsia="Arial" w:hAnsi="Arial"/>
          <w:sz w:val="43"/>
          <w:szCs w:val="43"/>
          <w:b w:val="1"/>
          <w:bCs w:val="1"/>
          <w:color w:val="auto"/>
        </w:rPr>
        <w:t>Penumbra, Inc.</w:t>
      </w:r>
    </w:p>
    <w:p>
      <w:pPr>
        <w:spacing w:after="0" w:line="50"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198120</wp:posOffset>
            </wp:positionV>
            <wp:extent cx="727202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922" w:right="27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6" w:lineRule="exact"/>
        <w:rPr>
          <w:sz w:val="24"/>
          <w:szCs w:val="24"/>
          <w:color w:val="auto"/>
        </w:rPr>
      </w:pPr>
    </w:p>
    <w:p>
      <w:pPr>
        <w:ind w:left="176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6" w:lineRule="exact"/>
        <w:rPr>
          <w:sz w:val="24"/>
          <w:szCs w:val="24"/>
          <w:color w:val="auto"/>
        </w:rPr>
      </w:pPr>
    </w:p>
    <w:p>
      <w:pPr>
        <w:jc w:val="center"/>
        <w:ind w:right="2040"/>
        <w:spacing w:after="0"/>
        <w:rPr>
          <w:sz w:val="20"/>
          <w:szCs w:val="20"/>
          <w:color w:val="auto"/>
        </w:rPr>
      </w:pPr>
      <w:r>
        <w:rPr>
          <w:rFonts w:ascii="Arial" w:cs="Arial" w:eastAsia="Arial" w:hAnsi="Arial"/>
          <w:sz w:val="16"/>
          <w:szCs w:val="16"/>
          <w:b w:val="1"/>
          <w:bCs w:val="1"/>
          <w:color w:val="auto"/>
        </w:rPr>
        <w:t>001-37557</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6"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05-0605598</w:t>
      </w:r>
    </w:p>
    <w:p>
      <w:pPr>
        <w:spacing w:after="0" w:line="86" w:lineRule="exact"/>
        <w:rPr>
          <w:sz w:val="24"/>
          <w:szCs w:val="24"/>
          <w:color w:val="auto"/>
        </w:rPr>
      </w:pPr>
    </w:p>
    <w:p>
      <w:pPr>
        <w:sectPr>
          <w:pgSz w:w="11900" w:h="16838" w:orient="portrait"/>
          <w:cols w:equalWidth="0" w:num="3">
            <w:col w:w="4620" w:space="720"/>
            <w:col w:w="2820" w:space="720"/>
            <w:col w:w="2500"/>
          </w:cols>
          <w:pgMar w:left="240" w:top="922" w:right="279" w:bottom="1440" w:gutter="0" w:footer="0" w:header="0"/>
          <w:type w:val="continuous"/>
        </w:sectPr>
      </w:pPr>
    </w:p>
    <w:p>
      <w:pPr>
        <w:ind w:left="340"/>
        <w:spacing w:after="0"/>
        <w:rPr>
          <w:sz w:val="20"/>
          <w:szCs w:val="20"/>
          <w:color w:val="auto"/>
        </w:rPr>
      </w:pPr>
      <w:r>
        <w:rPr>
          <w:rFonts w:ascii="Arial" w:cs="Arial" w:eastAsia="Arial" w:hAnsi="Arial"/>
          <w:sz w:val="16"/>
          <w:szCs w:val="16"/>
          <w:b w:val="1"/>
          <w:bCs w:val="1"/>
          <w:color w:val="auto"/>
        </w:rPr>
        <w:t>(State or other jurisdiction of incorporation or</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b w:val="1"/>
          <w:bCs w:val="1"/>
          <w:color w:val="auto"/>
        </w:rPr>
        <w:t>(Commission File No.)</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b w:val="1"/>
          <w:bCs w:val="1"/>
          <w:color w:val="auto"/>
        </w:rPr>
        <w:t>(I.R.S. employer identification number)</w:t>
      </w:r>
    </w:p>
    <w:p>
      <w:pPr>
        <w:spacing w:after="0" w:line="50" w:lineRule="exact"/>
        <w:rPr>
          <w:sz w:val="24"/>
          <w:szCs w:val="24"/>
          <w:color w:val="auto"/>
        </w:rPr>
      </w:pPr>
    </w:p>
    <w:p>
      <w:pPr>
        <w:sectPr>
          <w:pgSz w:w="11900" w:h="16838" w:orient="portrait"/>
          <w:cols w:equalWidth="0" w:num="3">
            <w:col w:w="4140" w:space="720"/>
            <w:col w:w="2220" w:space="720"/>
            <w:col w:w="3580"/>
          </w:cols>
          <w:pgMar w:left="240" w:top="922" w:right="279" w:bottom="1440" w:gutter="0" w:footer="0" w:header="0"/>
          <w:type w:val="continuous"/>
        </w:sectPr>
      </w:pPr>
    </w:p>
    <w:p>
      <w:pPr>
        <w:ind w:left="1600"/>
        <w:spacing w:after="0"/>
        <w:rPr>
          <w:sz w:val="20"/>
          <w:szCs w:val="20"/>
          <w:color w:val="auto"/>
        </w:rPr>
      </w:pPr>
      <w:r>
        <w:rPr>
          <w:rFonts w:ascii="Arial" w:cs="Arial" w:eastAsia="Arial" w:hAnsi="Arial"/>
          <w:sz w:val="16"/>
          <w:szCs w:val="16"/>
          <w:b w:val="1"/>
          <w:bCs w:val="1"/>
          <w:color w:val="auto"/>
        </w:rPr>
        <w:t>organization)</w:t>
      </w:r>
    </w:p>
    <w:p>
      <w:pPr>
        <w:sectPr>
          <w:pgSz w:w="11900" w:h="16838" w:orient="portrait"/>
          <w:cols w:equalWidth="0" w:num="1">
            <w:col w:w="11380"/>
          </w:cols>
          <w:pgMar w:left="240" w:top="922" w:right="279" w:bottom="1440" w:gutter="0" w:footer="0" w:header="0"/>
          <w:type w:val="continuous"/>
        </w:sectPr>
      </w:pPr>
    </w:p>
    <w:p>
      <w:pPr>
        <w:spacing w:after="0" w:line="203"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One Penumbra Place</w:t>
      </w:r>
    </w:p>
    <w:p>
      <w:pPr>
        <w:spacing w:after="0" w:line="27"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1351 Harbor Bay Parkway</w:t>
      </w:r>
    </w:p>
    <w:p>
      <w:pPr>
        <w:spacing w:after="0" w:line="9"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Alameda, CA 94502</w:t>
      </w:r>
    </w:p>
    <w:p>
      <w:pPr>
        <w:spacing w:after="0" w:line="9"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(Address of principal executive offices, including zip code)</w:t>
      </w:r>
    </w:p>
    <w:p>
      <w:pPr>
        <w:spacing w:after="0" w:line="207"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(510) 748-3200</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(Registrant’s telephone number, including area code)</w:t>
      </w:r>
    </w:p>
    <w:p>
      <w:pPr>
        <w:spacing w:after="0" w:line="211"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obligations of the registrant under any of the following provisions:</w:t>
      </w:r>
    </w:p>
    <w:p>
      <w:pPr>
        <w:spacing w:after="0" w:line="116" w:lineRule="exact"/>
        <w:rPr>
          <w:sz w:val="24"/>
          <w:szCs w:val="24"/>
          <w:color w:val="auto"/>
        </w:rPr>
      </w:pPr>
    </w:p>
    <w:p>
      <w:pPr>
        <w:ind w:left="720" w:hanging="685"/>
        <w:spacing w:after="0"/>
        <w:tabs>
          <w:tab w:leader="none" w:pos="7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63" w:lineRule="exact"/>
        <w:rPr>
          <w:rFonts w:ascii="MS PGothic" w:cs="MS PGothic" w:eastAsia="MS PGothic" w:hAnsi="MS PGothic"/>
          <w:sz w:val="18"/>
          <w:szCs w:val="18"/>
          <w:color w:val="auto"/>
        </w:rPr>
      </w:pPr>
    </w:p>
    <w:p>
      <w:pPr>
        <w:ind w:left="720" w:hanging="685"/>
        <w:spacing w:after="0"/>
        <w:tabs>
          <w:tab w:leader="none" w:pos="7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63" w:lineRule="exact"/>
        <w:rPr>
          <w:rFonts w:ascii="MS PGothic" w:cs="MS PGothic" w:eastAsia="MS PGothic" w:hAnsi="MS PGothic"/>
          <w:sz w:val="18"/>
          <w:szCs w:val="18"/>
          <w:color w:val="auto"/>
        </w:rPr>
      </w:pPr>
    </w:p>
    <w:p>
      <w:pPr>
        <w:ind w:left="720" w:hanging="685"/>
        <w:spacing w:after="0"/>
        <w:tabs>
          <w:tab w:leader="none" w:pos="7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63" w:lineRule="exact"/>
        <w:rPr>
          <w:rFonts w:ascii="MS PGothic" w:cs="MS PGothic" w:eastAsia="MS PGothic" w:hAnsi="MS PGothic"/>
          <w:sz w:val="18"/>
          <w:szCs w:val="18"/>
          <w:color w:val="auto"/>
        </w:rPr>
      </w:pPr>
    </w:p>
    <w:p>
      <w:pPr>
        <w:ind w:left="720" w:hanging="685"/>
        <w:spacing w:after="0"/>
        <w:tabs>
          <w:tab w:leader="none" w:pos="7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225425</wp:posOffset>
            </wp:positionV>
            <wp:extent cx="727202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380"/>
          </w:cols>
          <w:pgMar w:left="240" w:top="922" w:right="279" w:bottom="1440" w:gutter="0" w:footer="0" w:header="0"/>
          <w:type w:val="continuous"/>
        </w:sectPr>
      </w:pPr>
    </w:p>
    <w:bookmarkStart w:id="1" w:name="page2"/>
    <w:bookmarkEnd w:id="1"/>
    <w:p>
      <w:pPr>
        <w:ind w:left="40"/>
        <w:spacing w:after="0"/>
        <w:tabs>
          <w:tab w:leader="none" w:pos="1400" w:val="left"/>
        </w:tabs>
        <w:rPr>
          <w:sz w:val="20"/>
          <w:szCs w:val="20"/>
          <w:color w:val="auto"/>
        </w:rPr>
      </w:pPr>
      <w:r>
        <w:rPr>
          <w:rFonts w:ascii="Arial" w:cs="Arial" w:eastAsia="Arial" w:hAnsi="Arial"/>
          <w:sz w:val="18"/>
          <w:szCs w:val="18"/>
          <w:b w:val="1"/>
          <w:bCs w:val="1"/>
          <w:color w:val="auto"/>
        </w:rPr>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200" w:lineRule="exact"/>
        <w:rPr>
          <w:sz w:val="20"/>
          <w:szCs w:val="20"/>
          <w:color w:val="auto"/>
        </w:rPr>
      </w:pPr>
    </w:p>
    <w:p>
      <w:pPr>
        <w:spacing w:after="0" w:line="218" w:lineRule="exact"/>
        <w:rPr>
          <w:sz w:val="20"/>
          <w:szCs w:val="20"/>
          <w:color w:val="auto"/>
        </w:rPr>
      </w:pPr>
    </w:p>
    <w:p>
      <w:pPr>
        <w:ind w:left="500"/>
        <w:spacing w:after="0"/>
        <w:rPr>
          <w:sz w:val="20"/>
          <w:szCs w:val="20"/>
          <w:color w:val="auto"/>
        </w:rPr>
      </w:pPr>
      <w:r>
        <w:rPr>
          <w:rFonts w:ascii="Arial" w:cs="Arial" w:eastAsia="Arial" w:hAnsi="Arial"/>
          <w:sz w:val="16"/>
          <w:szCs w:val="16"/>
          <w:color w:val="auto"/>
        </w:rPr>
        <w:t>On March 8, 2016, Penumbra, Inc. issued a press release announcing financial results for the fourth fiscal quarter and year ended December 31, 2015.</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A copy of the press release is furnished as Exhibit 99.1 to this Current Report on Form 8-K and is incorporated herein by reference.</w:t>
      </w:r>
    </w:p>
    <w:p>
      <w:pPr>
        <w:spacing w:after="0" w:line="157" w:lineRule="exact"/>
        <w:rPr>
          <w:sz w:val="20"/>
          <w:szCs w:val="20"/>
          <w:color w:val="auto"/>
        </w:rPr>
      </w:pPr>
    </w:p>
    <w:p>
      <w:pPr>
        <w:ind w:right="20" w:firstLine="486"/>
        <w:spacing w:after="0" w:line="259" w:lineRule="auto"/>
        <w:rPr>
          <w:sz w:val="20"/>
          <w:szCs w:val="20"/>
          <w:color w:val="auto"/>
        </w:rPr>
      </w:pPr>
      <w:r>
        <w:rPr>
          <w:rFonts w:ascii="Arial" w:cs="Arial" w:eastAsia="Arial" w:hAnsi="Arial"/>
          <w:sz w:val="18"/>
          <w:szCs w:val="18"/>
          <w:color w:val="auto"/>
        </w:rPr>
        <w:t>The information furnished on this Current Report on Form 8-K, including the attached exhibit, shall not be deemed “filed” for purposes of Section 18 of the Securities Exchange Act of 1934, as amended (the “Exchange Act”), or otherwise subject to the liabilities of that section, nor shall it be deemed incorporated by reference into any other filing under the Securities Act of 1933, as amended, or the Exchange Act, except as expressly set forth by specific reference in such a filing.</w:t>
      </w:r>
    </w:p>
    <w:p>
      <w:pPr>
        <w:spacing w:after="0" w:line="200" w:lineRule="exact"/>
        <w:rPr>
          <w:sz w:val="20"/>
          <w:szCs w:val="20"/>
          <w:color w:val="auto"/>
        </w:rPr>
      </w:pPr>
    </w:p>
    <w:p>
      <w:pPr>
        <w:spacing w:after="0" w:line="307" w:lineRule="exact"/>
        <w:rPr>
          <w:sz w:val="20"/>
          <w:szCs w:val="20"/>
          <w:color w:val="auto"/>
        </w:rPr>
      </w:pPr>
    </w:p>
    <w:tbl>
      <w:tblPr>
        <w:tblLayout w:type="fixed"/>
        <w:tblInd w:w="40" w:type="dxa"/>
        <w:tblCellMar>
          <w:top w:w="0" w:type="dxa"/>
          <w:left w:w="0" w:type="dxa"/>
          <w:bottom w:w="0" w:type="dxa"/>
          <w:right w:w="0" w:type="dxa"/>
        </w:tblCellMar>
      </w:tblPr>
      <w:tr>
        <w:trPr>
          <w:trHeight w:val="234"/>
        </w:trPr>
        <w:tc>
          <w:tcPr>
            <w:tcW w:w="1320" w:type="dxa"/>
            <w:vAlign w:val="bottom"/>
            <w:gridSpan w:val="2"/>
          </w:tcPr>
          <w:p>
            <w:pPr>
              <w:spacing w:after="0"/>
              <w:rPr>
                <w:sz w:val="20"/>
                <w:szCs w:val="20"/>
                <w:color w:val="auto"/>
              </w:rPr>
            </w:pPr>
            <w:r>
              <w:rPr>
                <w:rFonts w:ascii="Arial" w:cs="Arial" w:eastAsia="Arial" w:hAnsi="Arial"/>
                <w:sz w:val="18"/>
                <w:szCs w:val="18"/>
                <w:b w:val="1"/>
                <w:bCs w:val="1"/>
                <w:color w:val="auto"/>
              </w:rPr>
              <w:t>Item 9.01.</w:t>
            </w:r>
          </w:p>
        </w:tc>
        <w:tc>
          <w:tcPr>
            <w:tcW w:w="4580" w:type="dxa"/>
            <w:vAlign w:val="bottom"/>
            <w:gridSpan w:val="3"/>
          </w:tcPr>
          <w:p>
            <w:pPr>
              <w:ind w:left="160"/>
              <w:spacing w:after="0"/>
              <w:rPr>
                <w:sz w:val="20"/>
                <w:szCs w:val="20"/>
                <w:color w:val="auto"/>
              </w:rPr>
            </w:pPr>
            <w:r>
              <w:rPr>
                <w:rFonts w:ascii="Arial" w:cs="Arial" w:eastAsia="Arial" w:hAnsi="Arial"/>
                <w:sz w:val="18"/>
                <w:szCs w:val="18"/>
                <w:b w:val="1"/>
                <w:bCs w:val="1"/>
                <w:color w:val="auto"/>
              </w:rPr>
              <w:t>Financial Statements and Exhibits.</w:t>
            </w:r>
          </w:p>
        </w:tc>
      </w:tr>
      <w:tr>
        <w:trPr>
          <w:trHeight w:val="581"/>
        </w:trPr>
        <w:tc>
          <w:tcPr>
            <w:tcW w:w="1160" w:type="dxa"/>
            <w:vAlign w:val="bottom"/>
          </w:tcPr>
          <w:p>
            <w:pPr>
              <w:spacing w:after="0"/>
              <w:rPr>
                <w:sz w:val="20"/>
                <w:szCs w:val="20"/>
                <w:color w:val="auto"/>
              </w:rPr>
            </w:pPr>
            <w:r>
              <w:rPr>
                <w:rFonts w:ascii="Arial" w:cs="Arial" w:eastAsia="Arial" w:hAnsi="Arial"/>
                <w:sz w:val="18"/>
                <w:szCs w:val="18"/>
                <w:color w:val="auto"/>
                <w:w w:val="92"/>
              </w:rPr>
              <w:t>Exhibit Number</w:t>
            </w:r>
          </w:p>
        </w:tc>
        <w:tc>
          <w:tcPr>
            <w:tcW w:w="1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840" w:type="dxa"/>
            <w:vAlign w:val="bottom"/>
            <w:gridSpan w:val="2"/>
          </w:tcPr>
          <w:p>
            <w:pPr>
              <w:spacing w:after="0"/>
              <w:rPr>
                <w:sz w:val="20"/>
                <w:szCs w:val="20"/>
                <w:color w:val="auto"/>
              </w:rPr>
            </w:pPr>
            <w:r>
              <w:rPr>
                <w:rFonts w:ascii="Arial" w:cs="Arial" w:eastAsia="Arial" w:hAnsi="Arial"/>
                <w:sz w:val="18"/>
                <w:szCs w:val="18"/>
                <w:color w:val="auto"/>
              </w:rPr>
              <w:t>Description</w:t>
            </w:r>
          </w:p>
        </w:tc>
      </w:tr>
      <w:tr>
        <w:trPr>
          <w:trHeight w:val="20"/>
        </w:trPr>
        <w:tc>
          <w:tcPr>
            <w:tcW w:w="11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3000" w:type="dxa"/>
            <w:vAlign w:val="bottom"/>
          </w:tcPr>
          <w:p>
            <w:pPr>
              <w:spacing w:after="0" w:line="20" w:lineRule="exact"/>
              <w:rPr>
                <w:sz w:val="1"/>
                <w:szCs w:val="1"/>
                <w:color w:val="auto"/>
              </w:rPr>
            </w:pPr>
          </w:p>
        </w:tc>
      </w:tr>
      <w:tr>
        <w:trPr>
          <w:trHeight w:val="291"/>
        </w:trPr>
        <w:tc>
          <w:tcPr>
            <w:tcW w:w="1160" w:type="dxa"/>
            <w:vAlign w:val="bottom"/>
          </w:tcPr>
          <w:p>
            <w:pPr>
              <w:spacing w:after="0"/>
              <w:rPr>
                <w:sz w:val="20"/>
                <w:szCs w:val="20"/>
                <w:color w:val="auto"/>
              </w:rPr>
            </w:pPr>
            <w:r>
              <w:rPr>
                <w:rFonts w:ascii="Arial" w:cs="Arial" w:eastAsia="Arial" w:hAnsi="Arial"/>
                <w:sz w:val="18"/>
                <w:szCs w:val="18"/>
                <w:color w:val="auto"/>
              </w:rPr>
              <w:t>99.1</w:t>
            </w:r>
          </w:p>
        </w:tc>
        <w:tc>
          <w:tcPr>
            <w:tcW w:w="1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840" w:type="dxa"/>
            <w:vAlign w:val="bottom"/>
            <w:gridSpan w:val="2"/>
          </w:tcPr>
          <w:p>
            <w:pPr>
              <w:spacing w:after="0"/>
              <w:rPr>
                <w:sz w:val="20"/>
                <w:szCs w:val="20"/>
                <w:color w:val="auto"/>
              </w:rPr>
            </w:pPr>
            <w:r>
              <w:rPr>
                <w:rFonts w:ascii="Arial" w:cs="Arial" w:eastAsia="Arial" w:hAnsi="Arial"/>
                <w:sz w:val="18"/>
                <w:szCs w:val="18"/>
                <w:color w:val="auto"/>
                <w:w w:val="88"/>
              </w:rPr>
              <w:t>Press release of Penumbra, Inc. dated March 8, 2016.</w:t>
            </w:r>
          </w:p>
        </w:tc>
      </w:tr>
    </w:tbl>
    <w:p>
      <w:pPr>
        <w:sectPr>
          <w:pgSz w:w="11900" w:h="16838" w:orient="portrait"/>
          <w:cols w:equalWidth="0" w:num="1">
            <w:col w:w="11280"/>
          </w:cols>
          <w:pgMar w:left="240" w:top="742" w:right="379" w:bottom="1440" w:gutter="0" w:footer="0" w:header="0"/>
        </w:sectPr>
      </w:pPr>
    </w:p>
    <w:bookmarkStart w:id="2" w:name="page3"/>
    <w:bookmarkEnd w:id="2"/>
    <w:p>
      <w:pPr>
        <w:jc w:val="center"/>
        <w:ind w:right="-65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486"/>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29" w:lineRule="exact"/>
        <w:rPr>
          <w:sz w:val="20"/>
          <w:szCs w:val="20"/>
          <w:color w:val="auto"/>
        </w:rPr>
      </w:pPr>
    </w:p>
    <w:p>
      <w:pPr>
        <w:jc w:val="center"/>
        <w:ind w:right="160"/>
        <w:spacing w:after="0"/>
        <w:rPr>
          <w:sz w:val="20"/>
          <w:szCs w:val="20"/>
          <w:color w:val="auto"/>
        </w:rPr>
      </w:pPr>
      <w:r>
        <w:rPr>
          <w:rFonts w:ascii="Arial" w:cs="Arial" w:eastAsia="Arial" w:hAnsi="Arial"/>
          <w:sz w:val="18"/>
          <w:szCs w:val="18"/>
          <w:b w:val="1"/>
          <w:bCs w:val="1"/>
          <w:color w:val="auto"/>
        </w:rPr>
        <w:t>Penumbra, Inc.</w:t>
      </w:r>
    </w:p>
    <w:p>
      <w:pPr>
        <w:spacing w:after="0" w:line="337" w:lineRule="exact"/>
        <w:rPr>
          <w:sz w:val="20"/>
          <w:szCs w:val="20"/>
          <w:color w:val="auto"/>
        </w:rPr>
      </w:pPr>
    </w:p>
    <w:p>
      <w:pPr>
        <w:ind w:left="40"/>
        <w:spacing w:after="0"/>
        <w:tabs>
          <w:tab w:leader="none" w:pos="4700" w:val="left"/>
          <w:tab w:leader="none" w:pos="5500" w:val="left"/>
        </w:tabs>
        <w:rPr>
          <w:sz w:val="20"/>
          <w:szCs w:val="20"/>
          <w:color w:val="auto"/>
        </w:rPr>
      </w:pPr>
      <w:r>
        <w:rPr>
          <w:rFonts w:ascii="Arial" w:cs="Arial" w:eastAsia="Arial" w:hAnsi="Arial"/>
          <w:sz w:val="18"/>
          <w:szCs w:val="18"/>
          <w:color w:val="auto"/>
        </w:rPr>
        <w:t>Date: March 8, 2016</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Sri Kosaraju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3486785</wp:posOffset>
            </wp:positionH>
            <wp:positionV relativeFrom="paragraph">
              <wp:posOffset>31750</wp:posOffset>
            </wp:positionV>
            <wp:extent cx="376491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764915" cy="8890"/>
                    </a:xfrm>
                    <a:prstGeom prst="rect">
                      <a:avLst/>
                    </a:prstGeom>
                    <a:noFill/>
                  </pic:spPr>
                </pic:pic>
              </a:graphicData>
            </a:graphic>
          </wp:anchor>
        </w:drawing>
      </w:r>
    </w:p>
    <w:p>
      <w:pPr>
        <w:spacing w:after="0" w:line="57"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Sri Kosaraju</w:t>
      </w:r>
    </w:p>
    <w:p>
      <w:pPr>
        <w:spacing w:after="0" w:line="63"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Chief Financial Officer and Head of Strategy</w:t>
      </w:r>
    </w:p>
    <w:p>
      <w:pPr>
        <w:sectPr>
          <w:pgSz w:w="11900" w:h="16838" w:orient="portrait"/>
          <w:cols w:equalWidth="0" w:num="1">
            <w:col w:w="10780"/>
          </w:cols>
          <w:pgMar w:left="240" w:top="742" w:right="87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34"/>
        </w:trPr>
        <w:tc>
          <w:tcPr>
            <w:tcW w:w="116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3480" w:type="dxa"/>
            <w:vAlign w:val="bottom"/>
          </w:tcPr>
          <w:p>
            <w:pPr>
              <w:ind w:left="2080"/>
              <w:spacing w:after="0"/>
              <w:rPr>
                <w:sz w:val="20"/>
                <w:szCs w:val="20"/>
                <w:color w:val="auto"/>
              </w:rPr>
            </w:pPr>
            <w:r>
              <w:rPr>
                <w:rFonts w:ascii="Arial" w:cs="Arial" w:eastAsia="Arial" w:hAnsi="Arial"/>
                <w:sz w:val="18"/>
                <w:szCs w:val="18"/>
                <w:b w:val="1"/>
                <w:bCs w:val="1"/>
                <w:color w:val="auto"/>
              </w:rPr>
              <w:t>EXHIBIT INDEX</w:t>
            </w:r>
          </w:p>
        </w:tc>
      </w:tr>
      <w:tr>
        <w:trPr>
          <w:trHeight w:val="338"/>
        </w:trPr>
        <w:tc>
          <w:tcPr>
            <w:tcW w:w="1160" w:type="dxa"/>
            <w:vAlign w:val="bottom"/>
          </w:tcPr>
          <w:p>
            <w:pPr>
              <w:spacing w:after="0"/>
              <w:rPr>
                <w:sz w:val="20"/>
                <w:szCs w:val="20"/>
                <w:color w:val="auto"/>
              </w:rPr>
            </w:pPr>
            <w:r>
              <w:rPr>
                <w:rFonts w:ascii="Arial" w:cs="Arial" w:eastAsia="Arial" w:hAnsi="Arial"/>
                <w:sz w:val="18"/>
                <w:szCs w:val="18"/>
                <w:color w:val="auto"/>
                <w:w w:val="92"/>
              </w:rPr>
              <w:t>Exhibit Number</w:t>
            </w:r>
          </w:p>
        </w:tc>
        <w:tc>
          <w:tcPr>
            <w:tcW w:w="900" w:type="dxa"/>
            <w:vAlign w:val="bottom"/>
          </w:tcPr>
          <w:p>
            <w:pPr>
              <w:spacing w:after="0"/>
              <w:rPr>
                <w:sz w:val="24"/>
                <w:szCs w:val="24"/>
                <w:color w:val="auto"/>
              </w:rPr>
            </w:pPr>
          </w:p>
        </w:tc>
        <w:tc>
          <w:tcPr>
            <w:tcW w:w="4320" w:type="dxa"/>
            <w:vAlign w:val="bottom"/>
            <w:gridSpan w:val="2"/>
          </w:tcPr>
          <w:p>
            <w:pPr>
              <w:spacing w:after="0"/>
              <w:rPr>
                <w:sz w:val="20"/>
                <w:szCs w:val="20"/>
                <w:color w:val="auto"/>
              </w:rPr>
            </w:pPr>
            <w:r>
              <w:rPr>
                <w:rFonts w:ascii="Arial" w:cs="Arial" w:eastAsia="Arial" w:hAnsi="Arial"/>
                <w:sz w:val="18"/>
                <w:szCs w:val="18"/>
                <w:color w:val="auto"/>
              </w:rPr>
              <w:t>Description</w:t>
            </w:r>
          </w:p>
        </w:tc>
      </w:tr>
      <w:tr>
        <w:trPr>
          <w:trHeight w:val="20"/>
        </w:trPr>
        <w:tc>
          <w:tcPr>
            <w:tcW w:w="1160" w:type="dxa"/>
            <w:vAlign w:val="bottom"/>
            <w:shd w:val="clear" w:color="auto" w:fill="000000"/>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r>
      <w:tr>
        <w:trPr>
          <w:trHeight w:val="291"/>
        </w:trPr>
        <w:tc>
          <w:tcPr>
            <w:tcW w:w="1160" w:type="dxa"/>
            <w:vAlign w:val="bottom"/>
          </w:tcPr>
          <w:p>
            <w:pPr>
              <w:spacing w:after="0"/>
              <w:rPr>
                <w:sz w:val="20"/>
                <w:szCs w:val="20"/>
                <w:color w:val="auto"/>
              </w:rPr>
            </w:pPr>
            <w:r>
              <w:rPr>
                <w:rFonts w:ascii="Arial" w:cs="Arial" w:eastAsia="Arial" w:hAnsi="Arial"/>
                <w:sz w:val="18"/>
                <w:szCs w:val="18"/>
                <w:color w:val="auto"/>
              </w:rPr>
              <w:t>99.1</w:t>
            </w:r>
          </w:p>
        </w:tc>
        <w:tc>
          <w:tcPr>
            <w:tcW w:w="900" w:type="dxa"/>
            <w:vAlign w:val="bottom"/>
          </w:tcPr>
          <w:p>
            <w:pPr>
              <w:spacing w:after="0"/>
              <w:rPr>
                <w:sz w:val="24"/>
                <w:szCs w:val="24"/>
                <w:color w:val="auto"/>
              </w:rPr>
            </w:pPr>
          </w:p>
        </w:tc>
        <w:tc>
          <w:tcPr>
            <w:tcW w:w="4320" w:type="dxa"/>
            <w:vAlign w:val="bottom"/>
            <w:gridSpan w:val="2"/>
          </w:tcPr>
          <w:p>
            <w:pPr>
              <w:spacing w:after="0"/>
              <w:rPr>
                <w:sz w:val="20"/>
                <w:szCs w:val="20"/>
                <w:color w:val="auto"/>
              </w:rPr>
            </w:pPr>
            <w:r>
              <w:rPr>
                <w:rFonts w:ascii="Arial" w:cs="Arial" w:eastAsia="Arial" w:hAnsi="Arial"/>
                <w:sz w:val="18"/>
                <w:szCs w:val="18"/>
                <w:color w:val="auto"/>
                <w:w w:val="99"/>
              </w:rPr>
              <w:t>Press release of Penumbra, Inc. dated March 8, 2016.</w:t>
            </w:r>
          </w:p>
        </w:tc>
      </w:tr>
    </w:tbl>
    <w:p>
      <w:pPr>
        <w:sectPr>
          <w:pgSz w:w="11900" w:h="16838" w:orient="portrait"/>
          <w:cols w:equalWidth="0" w:num="1">
            <w:col w:w="10179"/>
          </w:cols>
          <w:pgMar w:left="280" w:top="742" w:right="1440" w:bottom="1440" w:gutter="0" w:footer="0" w:header="0"/>
        </w:sectPr>
      </w:pPr>
    </w:p>
    <w:bookmarkStart w:id="4" w:name="page5"/>
    <w:bookmarkEnd w:id="4"/>
    <w:p>
      <w:pPr>
        <w:jc w:val="right"/>
        <w:spacing w:after="0"/>
        <w:rPr>
          <w:sz w:val="20"/>
          <w:szCs w:val="20"/>
          <w:color w:val="auto"/>
        </w:rPr>
      </w:pPr>
      <w:r>
        <w:rPr>
          <w:rFonts w:ascii="Arial" w:cs="Arial" w:eastAsia="Arial" w:hAnsi="Arial"/>
          <w:sz w:val="18"/>
          <w:szCs w:val="18"/>
          <w:b w:val="1"/>
          <w:bCs w:val="1"/>
          <w:u w:val="single" w:color="auto"/>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545465</wp:posOffset>
            </wp:positionH>
            <wp:positionV relativeFrom="paragraph">
              <wp:posOffset>154940</wp:posOffset>
            </wp:positionV>
            <wp:extent cx="6174740" cy="8058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174740" cy="8058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Penumbra, Inc. Reports Fourth Quarter and Full Year 2015 Financial Results</w:t>
      </w:r>
    </w:p>
    <w:p>
      <w:pPr>
        <w:spacing w:after="0" w:line="230" w:lineRule="exact"/>
        <w:rPr>
          <w:sz w:val="20"/>
          <w:szCs w:val="20"/>
          <w:color w:val="auto"/>
        </w:rPr>
      </w:pPr>
    </w:p>
    <w:p>
      <w:pPr>
        <w:ind w:right="460"/>
        <w:spacing w:after="0" w:line="282" w:lineRule="auto"/>
        <w:rPr>
          <w:sz w:val="20"/>
          <w:szCs w:val="20"/>
          <w:color w:val="auto"/>
        </w:rPr>
      </w:pPr>
      <w:r>
        <w:rPr>
          <w:rFonts w:ascii="Arial" w:cs="Arial" w:eastAsia="Arial" w:hAnsi="Arial"/>
          <w:sz w:val="18"/>
          <w:szCs w:val="18"/>
          <w:color w:val="auto"/>
        </w:rPr>
        <w:t xml:space="preserve">ALAMEDA, Calif., March 8, 2016 (PR Newswire) - Penumbra, Inc. </w:t>
      </w:r>
      <w:r>
        <w:rPr>
          <w:rFonts w:ascii="Arial" w:cs="Arial" w:eastAsia="Arial" w:hAnsi="Arial"/>
          <w:sz w:val="18"/>
          <w:szCs w:val="18"/>
          <w:b w:val="1"/>
          <w:bCs w:val="1"/>
          <w:color w:val="auto"/>
        </w:rPr>
        <w:t>(NYSE: PEN)</w:t>
      </w:r>
      <w:r>
        <w:rPr>
          <w:rFonts w:ascii="Arial" w:cs="Arial" w:eastAsia="Arial" w:hAnsi="Arial"/>
          <w:sz w:val="18"/>
          <w:szCs w:val="18"/>
          <w:color w:val="auto"/>
        </w:rPr>
        <w:t>, a global interventional therapies company, today reported financial results for the fourth quarter and full year ended December 31, 2015.</w:t>
      </w:r>
    </w:p>
    <w:p>
      <w:pPr>
        <w:spacing w:after="0" w:line="157" w:lineRule="exact"/>
        <w:rPr>
          <w:sz w:val="20"/>
          <w:szCs w:val="20"/>
          <w:color w:val="auto"/>
        </w:rPr>
      </w:pPr>
    </w:p>
    <w:p>
      <w:pPr>
        <w:ind w:left="660" w:right="260" w:hanging="328"/>
        <w:spacing w:after="0" w:line="223" w:lineRule="auto"/>
        <w:tabs>
          <w:tab w:leader="none" w:pos="660" w:val="left"/>
        </w:tabs>
        <w:numPr>
          <w:ilvl w:val="0"/>
          <w:numId w:val="2"/>
        </w:numPr>
        <w:rPr>
          <w:rFonts w:ascii="Arial" w:cs="Arial" w:eastAsia="Arial" w:hAnsi="Arial"/>
          <w:sz w:val="18"/>
          <w:szCs w:val="18"/>
          <w:color w:val="auto"/>
        </w:rPr>
      </w:pPr>
      <w:r>
        <w:rPr>
          <w:rFonts w:ascii="Arial" w:cs="Arial" w:eastAsia="Arial" w:hAnsi="Arial"/>
          <w:sz w:val="20"/>
          <w:szCs w:val="20"/>
          <w:b w:val="1"/>
          <w:bCs w:val="1"/>
          <w:color w:val="auto"/>
        </w:rPr>
        <w:t>Revenue of $54.4 million in the fourth quarter of 2015, an increase of 53.7%, or 58.5% in constant currency</w:t>
      </w:r>
      <w:r>
        <w:rPr>
          <w:rFonts w:ascii="Arial" w:cs="Arial" w:eastAsia="Arial" w:hAnsi="Arial"/>
          <w:sz w:val="25"/>
          <w:szCs w:val="25"/>
          <w:b w:val="1"/>
          <w:bCs w:val="1"/>
          <w:color w:val="auto"/>
          <w:vertAlign w:val="superscript"/>
        </w:rPr>
        <w:t>1</w:t>
      </w:r>
      <w:r>
        <w:rPr>
          <w:rFonts w:ascii="Arial" w:cs="Arial" w:eastAsia="Arial" w:hAnsi="Arial"/>
          <w:sz w:val="20"/>
          <w:szCs w:val="20"/>
          <w:b w:val="1"/>
          <w:bCs w:val="1"/>
          <w:color w:val="auto"/>
        </w:rPr>
        <w:t>, over the fourth quarter of 2014.</w:t>
      </w:r>
    </w:p>
    <w:p>
      <w:pPr>
        <w:ind w:left="660" w:hanging="328"/>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20"/>
          <w:szCs w:val="20"/>
          <w:b w:val="1"/>
          <w:bCs w:val="1"/>
          <w:color w:val="auto"/>
        </w:rPr>
        <w:t>Revenue of $186.1 million in 2015, an increase of 48.3%, or 53.9% in constant currency</w:t>
      </w:r>
      <w:r>
        <w:rPr>
          <w:rFonts w:ascii="Arial" w:cs="Arial" w:eastAsia="Arial" w:hAnsi="Arial"/>
          <w:sz w:val="25"/>
          <w:szCs w:val="25"/>
          <w:b w:val="1"/>
          <w:bCs w:val="1"/>
          <w:color w:val="auto"/>
          <w:vertAlign w:val="superscript"/>
        </w:rPr>
        <w:t>1</w:t>
      </w:r>
      <w:r>
        <w:rPr>
          <w:rFonts w:ascii="Arial" w:cs="Arial" w:eastAsia="Arial" w:hAnsi="Arial"/>
          <w:sz w:val="20"/>
          <w:szCs w:val="20"/>
          <w:b w:val="1"/>
          <w:bCs w:val="1"/>
          <w:color w:val="auto"/>
        </w:rPr>
        <w:t>, over the prior year.</w:t>
      </w:r>
    </w:p>
    <w:p>
      <w:pPr>
        <w:spacing w:after="0" w:line="15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Fourth Quarter 2015 Financial Results</w:t>
      </w:r>
    </w:p>
    <w:p>
      <w:pPr>
        <w:spacing w:after="0" w:line="24" w:lineRule="exact"/>
        <w:rPr>
          <w:sz w:val="20"/>
          <w:szCs w:val="20"/>
          <w:color w:val="auto"/>
        </w:rPr>
      </w:pPr>
    </w:p>
    <w:p>
      <w:pPr>
        <w:ind w:right="60"/>
        <w:spacing w:after="0" w:line="252" w:lineRule="auto"/>
        <w:rPr>
          <w:sz w:val="20"/>
          <w:szCs w:val="20"/>
          <w:color w:val="auto"/>
        </w:rPr>
      </w:pPr>
      <w:r>
        <w:rPr>
          <w:rFonts w:ascii="Arial" w:cs="Arial" w:eastAsia="Arial" w:hAnsi="Arial"/>
          <w:sz w:val="18"/>
          <w:szCs w:val="18"/>
          <w:color w:val="auto"/>
        </w:rPr>
        <w:t>Total revenue grew to $54.4 million for the fourth quarter of 2015 compared to $35.4 million for the fourth quarter of 2014, an increase of 53.7%, or 58.5% on a constant currency basis. The U.S. represented 69.7% of total revenue and international represented 30.3% of total revenue for the fourth quarter of 2015. Revenue from sales of neuro products grew to $39.0 million for the fourth quarter of 2015, an increase of 33.8%, or 38.9% on a constant currency basis. Revenue from sales of peripheral vascular products grew to $15.4 million for the fourth quarter of 2015, an increase of 147.2%, or 150.5% on a constant currency basis.</w:t>
      </w:r>
    </w:p>
    <w:p>
      <w:pPr>
        <w:spacing w:after="0" w:line="194"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Gross profit was $36.5 million, or 67.0% of total revenue, for the fourth quarter of 2015, compared to $23.9 million, or 67.5% of total revenue, for the fourth quarter of 2014.</w:t>
      </w:r>
    </w:p>
    <w:p>
      <w:pPr>
        <w:spacing w:after="0" w:line="170"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auto"/>
        </w:rPr>
        <w:t>Total operating expenses were $34.6 million, or 63.7% of total revenue, for the fourth quarter of 2015, compared to $23.6 million, or 66.6% of total revenue, for the fourth quarter of 2014. R&amp;D expenses were $5.5 million for the fourth quarter of 2015, compared to $4.1 million for the fourth quarter of 2014. The increase was primarily due to increases in headcount and related compensation expense. SG&amp;A expenses were $29.2 million for the fourth quarter of 2015, compared to $19.4 million for the fourth quarter of 2014. The increase was primarily due to increases in headcount and related compensation expense as well as increases associated with operating as a public company.</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Net income for the fourth quarter of 2015 was $1.6 million, compared to $0.4 million for the fourth quarter of 2014.</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As of December 31, 2015, cash and cash equivalents and marketable investments totaled $148.8 million.</w:t>
      </w:r>
    </w:p>
    <w:p>
      <w:pPr>
        <w:spacing w:after="0" w:line="21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Full Year 2015 Financial Results</w:t>
      </w:r>
    </w:p>
    <w:p>
      <w:pPr>
        <w:spacing w:after="0" w:line="24" w:lineRule="exact"/>
        <w:rPr>
          <w:sz w:val="20"/>
          <w:szCs w:val="20"/>
          <w:color w:val="auto"/>
        </w:rPr>
      </w:pPr>
    </w:p>
    <w:p>
      <w:pPr>
        <w:ind w:right="220"/>
        <w:spacing w:after="0" w:line="295" w:lineRule="auto"/>
        <w:rPr>
          <w:sz w:val="20"/>
          <w:szCs w:val="20"/>
          <w:color w:val="auto"/>
        </w:rPr>
      </w:pPr>
      <w:r>
        <w:rPr>
          <w:rFonts w:ascii="Arial" w:cs="Arial" w:eastAsia="Arial" w:hAnsi="Arial"/>
          <w:sz w:val="16"/>
          <w:szCs w:val="16"/>
          <w:color w:val="auto"/>
        </w:rPr>
        <w:t>Total revenue grew to $186.1 million for the year ended December 31, 2015, compared to $125.5 million for 2014, an increase of 48.3%, or 53.9% on a constant currency basis. The U.S. represented 68.4% of total revenue and international represented 31.6% of total revenue for the year ended December 31, 2015. Revenue from sales of neuro products grew to $141.4 million for 2015, an increase of 33.1%, or 39.2% on a constant currency basis. Revenue from sales of peripheral vascular products grew to $44.7 million for 2015, an increase of 131.9%, or 134.9% on a constant currency basis.</w:t>
      </w:r>
    </w:p>
    <w:p>
      <w:pPr>
        <w:spacing w:after="0" w:line="160"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Gross profit was $124.1 million, or 66.7% of total revenue, for the year ended December 31, 2015, compared to $82.8 million, or 66.0% of total revenue, for the year ended December 31, 2014.</w:t>
      </w:r>
    </w:p>
    <w:p>
      <w:pPr>
        <w:spacing w:after="0" w:line="170" w:lineRule="exact"/>
        <w:rPr>
          <w:sz w:val="20"/>
          <w:szCs w:val="20"/>
          <w:color w:val="auto"/>
        </w:rPr>
      </w:pPr>
    </w:p>
    <w:p>
      <w:pPr>
        <w:ind w:right="40"/>
        <w:spacing w:after="0" w:line="276" w:lineRule="auto"/>
        <w:rPr>
          <w:sz w:val="20"/>
          <w:szCs w:val="20"/>
          <w:color w:val="auto"/>
        </w:rPr>
      </w:pPr>
      <w:r>
        <w:rPr>
          <w:rFonts w:ascii="Arial" w:cs="Arial" w:eastAsia="Arial" w:hAnsi="Arial"/>
          <w:sz w:val="17"/>
          <w:szCs w:val="17"/>
          <w:color w:val="auto"/>
        </w:rPr>
        <w:t>Total operating expenses were $119.9 million, or 64.4% of total revenue, for the year ended December 31, 2015, compared to $79.8 million, or 63.6% of total revenue, for the year ended December 31, 2014. R&amp;D expenses were $18.0 million for the year ended December 31, 2015, compared to $15.6 million for the year ended December 31, 2014. The increase was primarily due to increases in headcount and related compensation expense. SG&amp;A expenses were $101.9 million for the year ended December 31, 2015, compared to $64.3 million for the year ended December 31, 2014. The increase was primarily due to increases in headcount and related compensation expense as well as increases associated with operating as a public company.</w:t>
      </w:r>
    </w:p>
    <w:p>
      <w:pPr>
        <w:spacing w:after="0" w:line="200" w:lineRule="exact"/>
        <w:rPr>
          <w:sz w:val="20"/>
          <w:szCs w:val="20"/>
          <w:color w:val="auto"/>
        </w:rPr>
      </w:pPr>
    </w:p>
    <w:p>
      <w:pPr>
        <w:spacing w:after="0" w:line="270" w:lineRule="exact"/>
        <w:rPr>
          <w:sz w:val="20"/>
          <w:szCs w:val="20"/>
          <w:color w:val="auto"/>
        </w:rPr>
      </w:pPr>
    </w:p>
    <w:p>
      <w:pPr>
        <w:ind w:right="240" w:firstLine="8"/>
        <w:spacing w:after="0" w:line="244" w:lineRule="auto"/>
        <w:tabs>
          <w:tab w:leader="none" w:pos="94" w:val="left"/>
        </w:tabs>
        <w:numPr>
          <w:ilvl w:val="0"/>
          <w:numId w:val="3"/>
        </w:numPr>
        <w:rPr>
          <w:rFonts w:ascii="Arial" w:cs="Arial" w:eastAsia="Arial" w:hAnsi="Arial"/>
          <w:sz w:val="22"/>
          <w:szCs w:val="22"/>
          <w:color w:val="auto"/>
          <w:vertAlign w:val="superscript"/>
        </w:rPr>
      </w:pPr>
      <w:r>
        <w:rPr>
          <w:rFonts w:ascii="Arial" w:cs="Arial" w:eastAsia="Arial" w:hAnsi="Arial"/>
          <w:sz w:val="14"/>
          <w:szCs w:val="14"/>
          <w:color w:val="auto"/>
        </w:rPr>
        <w:t>C</w:t>
      </w:r>
      <w:r>
        <w:rPr>
          <w:rFonts w:ascii="Arial" w:cs="Arial" w:eastAsia="Arial" w:hAnsi="Arial"/>
          <w:sz w:val="16"/>
          <w:szCs w:val="16"/>
          <w:color w:val="auto"/>
        </w:rPr>
        <w:t>onstant currency results are non-GAAP financial measures. Please refer to “Non-GAAP Financial Measures” below for important information about our</w:t>
      </w:r>
      <w:r>
        <w:rPr>
          <w:rFonts w:ascii="Arial" w:cs="Arial" w:eastAsia="Arial" w:hAnsi="Arial"/>
          <w:sz w:val="14"/>
          <w:szCs w:val="14"/>
          <w:color w:val="auto"/>
        </w:rPr>
        <w:t xml:space="preserve"> </w:t>
      </w:r>
      <w:r>
        <w:rPr>
          <w:rFonts w:ascii="Arial" w:cs="Arial" w:eastAsia="Arial" w:hAnsi="Arial"/>
          <w:sz w:val="16"/>
          <w:szCs w:val="16"/>
          <w:color w:val="auto"/>
        </w:rPr>
        <w:t>use of constant currency results and other non-GAAP financial measures (including reconciliations to the most comparable GAAP measures).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-280670</wp:posOffset>
            </wp:positionV>
            <wp:extent cx="147510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475105" cy="8890"/>
                    </a:xfrm>
                    <a:prstGeom prst="rect">
                      <a:avLst/>
                    </a:prstGeom>
                    <a:noFill/>
                  </pic:spPr>
                </pic:pic>
              </a:graphicData>
            </a:graphic>
          </wp:anchor>
        </w:drawing>
      </w:r>
    </w:p>
    <w:p>
      <w:pPr>
        <w:jc w:val="center"/>
        <w:ind w:right="20"/>
        <w:spacing w:after="0"/>
        <w:rPr>
          <w:sz w:val="20"/>
          <w:szCs w:val="20"/>
          <w:color w:val="auto"/>
        </w:rPr>
      </w:pPr>
      <w:r>
        <w:rPr>
          <w:rFonts w:ascii="Arial" w:cs="Arial" w:eastAsia="Arial" w:hAnsi="Arial"/>
          <w:sz w:val="20"/>
          <w:szCs w:val="20"/>
          <w:color w:val="auto"/>
        </w:rPr>
        <w:t>1</w:t>
      </w:r>
    </w:p>
    <w:p>
      <w:pPr>
        <w:sectPr>
          <w:pgSz w:w="11900" w:h="16838" w:orient="portrait"/>
          <w:cols w:equalWidth="0" w:num="1">
            <w:col w:w="11420"/>
          </w:cols>
          <w:pgMar w:left="240" w:top="621" w:right="239" w:bottom="1440" w:gutter="0" w:footer="0" w:header="0"/>
        </w:sectPr>
      </w:pPr>
    </w:p>
    <w:bookmarkStart w:id="5" w:name="page6"/>
    <w:bookmarkEnd w:id="5"/>
    <w:p>
      <w:pPr>
        <w:spacing w:after="0"/>
        <w:rPr>
          <w:sz w:val="20"/>
          <w:szCs w:val="20"/>
          <w:color w:val="auto"/>
        </w:rPr>
      </w:pPr>
      <w:r>
        <w:rPr>
          <w:rFonts w:ascii="Arial" w:cs="Arial" w:eastAsia="Arial" w:hAnsi="Arial"/>
          <w:sz w:val="18"/>
          <w:szCs w:val="18"/>
          <w:color w:val="auto"/>
        </w:rPr>
        <w:t>Net income for the year ended December 31, 2015 was $2.4 million, compared to $2.2 million for the year ended December 31, 2014.</w:t>
      </w:r>
    </w:p>
    <w:p>
      <w:pPr>
        <w:spacing w:after="0" w:line="21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Full Year 2016 Financial Outlook</w:t>
      </w:r>
    </w:p>
    <w:p>
      <w:pPr>
        <w:spacing w:after="0" w:line="24" w:lineRule="exact"/>
        <w:rPr>
          <w:sz w:val="20"/>
          <w:szCs w:val="20"/>
          <w:color w:val="auto"/>
        </w:rPr>
      </w:pPr>
    </w:p>
    <w:p>
      <w:pPr>
        <w:spacing w:after="0"/>
        <w:rPr>
          <w:sz w:val="20"/>
          <w:szCs w:val="20"/>
          <w:color w:val="auto"/>
        </w:rPr>
      </w:pPr>
      <w:r>
        <w:rPr>
          <w:rFonts w:ascii="Arial" w:cs="Arial" w:eastAsia="Arial" w:hAnsi="Arial"/>
          <w:sz w:val="18"/>
          <w:szCs w:val="18"/>
          <w:color w:val="auto"/>
        </w:rPr>
        <w:t>Penumbra projects total revenue for 2016 to be in the range of $230 to $235 million.</w:t>
      </w:r>
    </w:p>
    <w:p>
      <w:pPr>
        <w:spacing w:after="0" w:line="20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Webcast and Conference Call Information</w:t>
      </w:r>
    </w:p>
    <w:p>
      <w:pPr>
        <w:spacing w:after="0" w:line="24" w:lineRule="exact"/>
        <w:rPr>
          <w:sz w:val="20"/>
          <w:szCs w:val="20"/>
          <w:color w:val="auto"/>
        </w:rPr>
      </w:pPr>
    </w:p>
    <w:p>
      <w:pPr>
        <w:ind w:right="240"/>
        <w:spacing w:after="0" w:line="273" w:lineRule="auto"/>
        <w:rPr>
          <w:sz w:val="20"/>
          <w:szCs w:val="20"/>
          <w:color w:val="auto"/>
        </w:rPr>
      </w:pPr>
      <w:r>
        <w:rPr>
          <w:rFonts w:ascii="Arial" w:cs="Arial" w:eastAsia="Arial" w:hAnsi="Arial"/>
          <w:sz w:val="17"/>
          <w:szCs w:val="17"/>
          <w:color w:val="auto"/>
        </w:rPr>
        <w:t xml:space="preserve">Penumbra, Inc. will host a conference call to discuss the fourth quarter and full year 2015 financial results after market close on Tuesday, March 8, 2016 at 4:30 PM Eastern Time. The conference call can be accessed live over the phone by dialing (877) 201-0168 for domestic callers or (647) 788-4901 for international callers (conference id: 31760674), or the webcast can be accessed on the “Investors” section of the Company’s website at: </w:t>
      </w:r>
      <w:r>
        <w:rPr>
          <w:rFonts w:ascii="Arial" w:cs="Arial" w:eastAsia="Arial" w:hAnsi="Arial"/>
          <w:sz w:val="17"/>
          <w:szCs w:val="17"/>
          <w:u w:val="single" w:color="auto"/>
          <w:color w:val="0000FF"/>
        </w:rPr>
        <w:t>www.penumbrainc.com</w:t>
      </w:r>
      <w:r>
        <w:rPr>
          <w:rFonts w:ascii="Arial" w:cs="Arial" w:eastAsia="Arial" w:hAnsi="Arial"/>
          <w:sz w:val="17"/>
          <w:szCs w:val="17"/>
          <w:color w:val="000000"/>
        </w:rPr>
        <w:t>. The webcast will be available on the Company’s website for two weeks following the completion of the call.</w:t>
      </w:r>
    </w:p>
    <w:p>
      <w:pPr>
        <w:spacing w:after="0" w:line="16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About Penumbra</w:t>
      </w:r>
    </w:p>
    <w:p>
      <w:pPr>
        <w:spacing w:after="0" w:line="24" w:lineRule="exact"/>
        <w:rPr>
          <w:sz w:val="20"/>
          <w:szCs w:val="20"/>
          <w:color w:val="auto"/>
        </w:rPr>
      </w:pPr>
    </w:p>
    <w:p>
      <w:pPr>
        <w:ind w:right="120"/>
        <w:spacing w:after="0" w:line="295" w:lineRule="auto"/>
        <w:rPr>
          <w:sz w:val="20"/>
          <w:szCs w:val="20"/>
          <w:color w:val="auto"/>
        </w:rPr>
      </w:pPr>
      <w:r>
        <w:rPr>
          <w:rFonts w:ascii="Arial" w:cs="Arial" w:eastAsia="Arial" w:hAnsi="Arial"/>
          <w:sz w:val="16"/>
          <w:szCs w:val="16"/>
          <w:color w:val="auto"/>
        </w:rPr>
        <w:t>Penumbra, Inc., headquartered in Alameda, California is a global interventional therapies company that designs, develops, manufactures and markets innovative medical devices. The company has a broad portfolio of products that address challenging medical conditions and significant clinical needs across two major markets, neuro and peripheral vascular. Penumbra sells its products to hospitals primarily through its direct sales organization in the U.S., most of Europe, Canada and Australia, and through distributors in select international markets. Penumbra and the Penumbra logo are trademarks of Penumbra, Inc.</w:t>
      </w:r>
    </w:p>
    <w:p>
      <w:pPr>
        <w:spacing w:after="0" w:line="15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Non-GAAP Financial Measures</w:t>
      </w:r>
    </w:p>
    <w:p>
      <w:pPr>
        <w:spacing w:after="0" w:line="24" w:lineRule="exact"/>
        <w:rPr>
          <w:sz w:val="20"/>
          <w:szCs w:val="20"/>
          <w:color w:val="auto"/>
        </w:rPr>
      </w:pPr>
    </w:p>
    <w:p>
      <w:pPr>
        <w:spacing w:after="0" w:line="301" w:lineRule="auto"/>
        <w:rPr>
          <w:sz w:val="20"/>
          <w:szCs w:val="20"/>
          <w:color w:val="auto"/>
        </w:rPr>
      </w:pPr>
      <w:r>
        <w:rPr>
          <w:rFonts w:ascii="Arial" w:cs="Arial" w:eastAsia="Arial" w:hAnsi="Arial"/>
          <w:sz w:val="16"/>
          <w:szCs w:val="16"/>
          <w:color w:val="auto"/>
        </w:rPr>
        <w:t>In addition to financial measures prepared in accordance with U.S. generally accepted accounting principles (GAAP), the Company has disclosed the following non-GAAP financial measures in this press release: constant currency revenue, non-GAAP net income per share (basic and diluted), non-GAAP net income attributable to common stockholders and non-GAAP weighted average shares used to compute non-GAAP net income per share (basic and diluted).</w:t>
      </w:r>
    </w:p>
    <w:p>
      <w:pPr>
        <w:spacing w:after="0" w:line="183" w:lineRule="exact"/>
        <w:rPr>
          <w:sz w:val="20"/>
          <w:szCs w:val="20"/>
          <w:color w:val="auto"/>
        </w:rPr>
      </w:pPr>
    </w:p>
    <w:p>
      <w:pPr>
        <w:ind w:right="40"/>
        <w:spacing w:after="0" w:line="308" w:lineRule="auto"/>
        <w:rPr>
          <w:sz w:val="20"/>
          <w:szCs w:val="20"/>
          <w:color w:val="auto"/>
        </w:rPr>
      </w:pPr>
      <w:r>
        <w:rPr>
          <w:rFonts w:ascii="Arial" w:cs="Arial" w:eastAsia="Arial" w:hAnsi="Arial"/>
          <w:sz w:val="18"/>
          <w:szCs w:val="18"/>
          <w:color w:val="auto"/>
        </w:rPr>
        <w:t>Our constant currency revenue disclosures estimate the impact of changes in foreign currency rates on the translation of the Company’s current period revenue as compared to the applicable comparable period in the prior year. This impact is derived by taking the current local currency revenue and translating it into U.S. Dollars based upon the foreign currency exchange rates used to translate the local currency revenue for the applicable comparable period in the prior year, rather than the actual exchange rates in effect during the current period. It does not include any other effect of changes in foreign currency rates on the Company’s results or business.</w:t>
      </w:r>
    </w:p>
    <w:p>
      <w:pPr>
        <w:spacing w:after="0" w:line="157" w:lineRule="exact"/>
        <w:rPr>
          <w:sz w:val="20"/>
          <w:szCs w:val="20"/>
          <w:color w:val="auto"/>
        </w:rPr>
      </w:pPr>
    </w:p>
    <w:p>
      <w:pPr>
        <w:ind w:right="40"/>
        <w:spacing w:after="0" w:line="302" w:lineRule="auto"/>
        <w:rPr>
          <w:sz w:val="20"/>
          <w:szCs w:val="20"/>
          <w:color w:val="auto"/>
        </w:rPr>
      </w:pPr>
      <w:r>
        <w:rPr>
          <w:rFonts w:ascii="Arial" w:cs="Arial" w:eastAsia="Arial" w:hAnsi="Arial"/>
          <w:sz w:val="16"/>
          <w:szCs w:val="16"/>
          <w:color w:val="auto"/>
        </w:rPr>
        <w:t>Non-GAAP net income per share (basic and diluted) and its components, non-GAAP net income attributable to common stockholders and non-GAAP weighted average shares used to compute non-GAAP net income per share (basic and diluted), (1) exclude the effect of allocating net income (loss) between common stock and participating convertible preferred stock under the two-class method to allocate earnings, and (2) reflect the conversion of our outstanding convertible preferred stock upon the closing of our IPO as if such conversion occurred on a one-for-one basis as of the beginning of the applicable period(s).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color w:val="auto"/>
        </w:rPr>
        <w:t>Full reconciliation of these non-GAAP measures to the most comparable GAAP measures is set forth in the tables below.</w:t>
      </w:r>
    </w:p>
    <w:p>
      <w:pPr>
        <w:spacing w:after="0" w:line="225" w:lineRule="exact"/>
        <w:rPr>
          <w:sz w:val="20"/>
          <w:szCs w:val="20"/>
          <w:color w:val="auto"/>
        </w:rPr>
      </w:pPr>
    </w:p>
    <w:p>
      <w:pPr>
        <w:ind w:right="40"/>
        <w:spacing w:after="0" w:line="297" w:lineRule="auto"/>
        <w:rPr>
          <w:sz w:val="20"/>
          <w:szCs w:val="20"/>
          <w:color w:val="auto"/>
        </w:rPr>
      </w:pPr>
      <w:r>
        <w:rPr>
          <w:rFonts w:ascii="Arial" w:cs="Arial" w:eastAsia="Arial" w:hAnsi="Arial"/>
          <w:sz w:val="16"/>
          <w:szCs w:val="16"/>
          <w:color w:val="auto"/>
        </w:rPr>
        <w:t>Our management believes the non-GAAP financial measures disclosed in this press release are useful to investors in assessing the operating performance of our business and provide meaningful comparisons to prior periods and thus a more complete understanding of our business than could be obtained absent this disclosure. Specifically, we consider the change in constant currency revenue as a useful metric as it provides an alternative framework for assessing how our underlying business performed excluding the effect of foreign currency rate fluctuations. We consider non-GAAP net income per share (basic and diluted), and its components, as useful metrics as they provide an alternative framework for assessing our profitability as compared to periods prior to our IPO.</w:t>
      </w:r>
    </w:p>
    <w:p>
      <w:pPr>
        <w:spacing w:after="0" w:line="158"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The non-GAAP financial measures included in this press release may be different from, and therefore may not be comparable to, similarly titled measures used by other companies. These non-GAAP measures should not be considered in isolation or as alternatives to GAAP measures. We urge investors to review the reconciliation of these non-GAAP financial measures to the comparable GAAP financial measures included in this press release, and not to rely on any single financial measure to evaluate our business.</w:t>
      </w:r>
    </w:p>
    <w:p>
      <w:pPr>
        <w:spacing w:after="0" w:line="17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Forward-Looking Statements</w:t>
      </w:r>
    </w:p>
    <w:p>
      <w:pPr>
        <w:spacing w:after="0" w:line="24" w:lineRule="exact"/>
        <w:rPr>
          <w:sz w:val="20"/>
          <w:szCs w:val="20"/>
          <w:color w:val="auto"/>
        </w:rPr>
      </w:pPr>
    </w:p>
    <w:p>
      <w:pPr>
        <w:ind w:right="80"/>
        <w:spacing w:after="0" w:line="254" w:lineRule="auto"/>
        <w:rPr>
          <w:sz w:val="20"/>
          <w:szCs w:val="20"/>
          <w:color w:val="auto"/>
        </w:rPr>
      </w:pPr>
      <w:r>
        <w:rPr>
          <w:rFonts w:ascii="Arial" w:cs="Arial" w:eastAsia="Arial" w:hAnsi="Arial"/>
          <w:sz w:val="18"/>
          <w:szCs w:val="18"/>
          <w:color w:val="auto"/>
        </w:rPr>
        <w:t>Except for historical information, certain statements in this press release are forward-looking in nature and are subject to risks, uncertainties and assumptions about us. Our business and operations are subject to a variety of risks and uncertainties and, consequently, actual results may differ materially from those projected by any forward-looking statements. Factors that could cause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00"/>
          </w:cols>
          <w:pgMar w:left="240" w:top="625" w:right="259" w:bottom="1440" w:gutter="0" w:footer="0" w:header="0"/>
        </w:sectPr>
      </w:pPr>
    </w:p>
    <w:bookmarkStart w:id="6" w:name="page7"/>
    <w:bookmarkEnd w:id="6"/>
    <w:p>
      <w:pPr>
        <w:spacing w:after="0" w:line="270" w:lineRule="auto"/>
        <w:rPr>
          <w:sz w:val="20"/>
          <w:szCs w:val="20"/>
          <w:color w:val="auto"/>
        </w:rPr>
      </w:pPr>
      <w:r>
        <w:rPr>
          <w:rFonts w:ascii="Arial" w:cs="Arial" w:eastAsia="Arial" w:hAnsi="Arial"/>
          <w:sz w:val="17"/>
          <w:szCs w:val="17"/>
          <w:color w:val="auto"/>
        </w:rPr>
        <w:t>actual results to differ from those projected include, but are not limited to: failure to sustain or grow profitability or generate positive cash flows; failure to effectively introduce and market new products; delays in product introductions; significant competition; inability to further penetrate our current customer base, expand our user base and increase the frequency of use of our products by our customers; inability to achieve or maintain satisfactory pricing and margins; manufacturing difficulties; permanent write-downs or write-offs of our inventory; product defects or failures; unfavorable outcomes in clinical trials; inability to maintain our culture as we grow; fluctuations in foreign currency exchange rates; and potential adverse regulatory actions. These risks and uncertainties, as well as others, are discussed in greater detail in our filings with the Securities and Exchange Commission, including our prospectus dated September 17, 2015. There may be additional risks of which we are not presently aware or that we currently believe are immaterial which could have an adverse impact on our business. Any forward-looking statements are based on our current expectations, estimates and assumptions regarding future events and are applicable only as of the dates of such statements. We make no commitment to revise or update any forward-looking statements in order to reflect events or circumstances that may change.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00"/>
          </w:cols>
          <w:pgMar w:left="240" w:top="625" w:right="25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t>Penumbra,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5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640" w:type="dxa"/>
            <w:vAlign w:val="bottom"/>
            <w:gridSpan w:val="3"/>
          </w:tcPr>
          <w:p>
            <w:pPr>
              <w:jc w:val="right"/>
              <w:spacing w:after="0"/>
              <w:rPr>
                <w:sz w:val="20"/>
                <w:szCs w:val="20"/>
                <w:color w:val="auto"/>
              </w:rPr>
            </w:pPr>
            <w:r>
              <w:rPr>
                <w:rFonts w:ascii="Arial" w:cs="Arial" w:eastAsia="Arial" w:hAnsi="Arial"/>
                <w:sz w:val="18"/>
                <w:szCs w:val="18"/>
                <w:b w:val="1"/>
                <w:bCs w:val="1"/>
                <w:color w:val="auto"/>
              </w:rPr>
              <w:t>December 31,</w:t>
            </w:r>
          </w:p>
        </w:tc>
        <w:tc>
          <w:tcPr>
            <w:tcW w:w="8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85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jc w:val="right"/>
              <w:ind w:right="410"/>
              <w:spacing w:after="0"/>
              <w:rPr>
                <w:sz w:val="20"/>
                <w:szCs w:val="20"/>
                <w:color w:val="auto"/>
              </w:rPr>
            </w:pPr>
            <w:r>
              <w:rPr>
                <w:rFonts w:ascii="Arial" w:cs="Arial" w:eastAsia="Arial" w:hAnsi="Arial"/>
                <w:sz w:val="18"/>
                <w:szCs w:val="18"/>
                <w:b w:val="1"/>
                <w:bCs w:val="1"/>
                <w:color w:val="auto"/>
              </w:rPr>
              <w:t>2015</w:t>
            </w:r>
          </w:p>
        </w:tc>
        <w:tc>
          <w:tcPr>
            <w:tcW w:w="1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880" w:type="dxa"/>
            <w:vAlign w:val="bottom"/>
          </w:tcPr>
          <w:p>
            <w:pPr>
              <w:jc w:val="right"/>
              <w:ind w:right="410"/>
              <w:spacing w:after="0"/>
              <w:rPr>
                <w:sz w:val="20"/>
                <w:szCs w:val="20"/>
                <w:color w:val="auto"/>
              </w:rPr>
            </w:pPr>
            <w:r>
              <w:rPr>
                <w:rFonts w:ascii="Arial" w:cs="Arial" w:eastAsia="Arial" w:hAnsi="Arial"/>
                <w:sz w:val="18"/>
                <w:szCs w:val="18"/>
                <w:b w:val="1"/>
                <w:bCs w:val="1"/>
                <w:color w:val="auto"/>
                <w:w w:val="89"/>
              </w:rPr>
              <w:t>2014</w:t>
            </w:r>
          </w:p>
        </w:tc>
        <w:tc>
          <w:tcPr>
            <w:tcW w:w="0" w:type="dxa"/>
            <w:vAlign w:val="bottom"/>
          </w:tcPr>
          <w:p>
            <w:pPr>
              <w:spacing w:after="0"/>
              <w:rPr>
                <w:sz w:val="1"/>
                <w:szCs w:val="1"/>
                <w:color w:val="auto"/>
              </w:rPr>
            </w:pPr>
          </w:p>
        </w:tc>
      </w:tr>
      <w:tr>
        <w:trPr>
          <w:trHeight w:val="27"/>
        </w:trPr>
        <w:tc>
          <w:tcPr>
            <w:tcW w:w="85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Assets</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580" w:type="dxa"/>
            <w:vAlign w:val="bottom"/>
          </w:tcPr>
          <w:p>
            <w:pPr>
              <w:ind w:left="40"/>
              <w:spacing w:after="0"/>
              <w:rPr>
                <w:sz w:val="20"/>
                <w:szCs w:val="20"/>
                <w:color w:val="auto"/>
              </w:rPr>
            </w:pPr>
            <w:r>
              <w:rPr>
                <w:rFonts w:ascii="Arial" w:cs="Arial" w:eastAsia="Arial" w:hAnsi="Arial"/>
                <w:sz w:val="18"/>
                <w:szCs w:val="18"/>
                <w:color w:val="auto"/>
              </w:rPr>
              <w:t>Current assets:</w:t>
            </w:r>
          </w:p>
        </w:tc>
        <w:tc>
          <w:tcPr>
            <w:tcW w:w="32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Cash and cash equivalents</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19,547</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3,290</w:t>
            </w:r>
          </w:p>
        </w:tc>
        <w:tc>
          <w:tcPr>
            <w:tcW w:w="0" w:type="dxa"/>
            <w:vAlign w:val="bottom"/>
          </w:tcPr>
          <w:p>
            <w:pPr>
              <w:spacing w:after="0"/>
              <w:rPr>
                <w:sz w:val="1"/>
                <w:szCs w:val="1"/>
                <w:color w:val="auto"/>
              </w:rPr>
            </w:pPr>
          </w:p>
        </w:tc>
      </w:tr>
      <w:tr>
        <w:trPr>
          <w:trHeight w:val="243"/>
        </w:trPr>
        <w:tc>
          <w:tcPr>
            <w:tcW w:w="8580" w:type="dxa"/>
            <w:vAlign w:val="bottom"/>
          </w:tcPr>
          <w:p>
            <w:pPr>
              <w:ind w:left="260"/>
              <w:spacing w:after="0"/>
              <w:rPr>
                <w:sz w:val="20"/>
                <w:szCs w:val="20"/>
                <w:color w:val="auto"/>
              </w:rPr>
            </w:pPr>
            <w:r>
              <w:rPr>
                <w:rFonts w:ascii="Arial" w:cs="Arial" w:eastAsia="Arial" w:hAnsi="Arial"/>
                <w:sz w:val="18"/>
                <w:szCs w:val="18"/>
                <w:color w:val="auto"/>
              </w:rPr>
              <w:t>Marketable investments</w:t>
            </w:r>
          </w:p>
        </w:tc>
        <w:tc>
          <w:tcPr>
            <w:tcW w:w="32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129,257</w:t>
            </w:r>
          </w:p>
        </w:tc>
        <w:tc>
          <w:tcPr>
            <w:tcW w:w="1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48,253</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Accounts receivable, net of doubtful accounts of $589 and $602</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29,444</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18,912</w:t>
            </w:r>
          </w:p>
        </w:tc>
        <w:tc>
          <w:tcPr>
            <w:tcW w:w="0" w:type="dxa"/>
            <w:vAlign w:val="bottom"/>
          </w:tcPr>
          <w:p>
            <w:pPr>
              <w:spacing w:after="0"/>
              <w:rPr>
                <w:sz w:val="1"/>
                <w:szCs w:val="1"/>
                <w:color w:val="auto"/>
              </w:rPr>
            </w:pPr>
          </w:p>
        </w:tc>
      </w:tr>
      <w:tr>
        <w:trPr>
          <w:trHeight w:val="243"/>
        </w:trPr>
        <w:tc>
          <w:tcPr>
            <w:tcW w:w="8580" w:type="dxa"/>
            <w:vAlign w:val="bottom"/>
          </w:tcPr>
          <w:p>
            <w:pPr>
              <w:ind w:left="260"/>
              <w:spacing w:after="0"/>
              <w:rPr>
                <w:sz w:val="20"/>
                <w:szCs w:val="20"/>
                <w:color w:val="auto"/>
              </w:rPr>
            </w:pPr>
            <w:r>
              <w:rPr>
                <w:rFonts w:ascii="Arial" w:cs="Arial" w:eastAsia="Arial" w:hAnsi="Arial"/>
                <w:sz w:val="18"/>
                <w:szCs w:val="18"/>
                <w:color w:val="auto"/>
              </w:rPr>
              <w:t>Inventories</w:t>
            </w:r>
          </w:p>
        </w:tc>
        <w:tc>
          <w:tcPr>
            <w:tcW w:w="32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56,761</w:t>
            </w:r>
          </w:p>
        </w:tc>
        <w:tc>
          <w:tcPr>
            <w:tcW w:w="1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33,451</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Deferred taxes</w:t>
            </w:r>
          </w:p>
        </w:tc>
        <w:tc>
          <w:tcPr>
            <w:tcW w:w="3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6,280</w:t>
            </w:r>
          </w:p>
        </w:tc>
        <w:tc>
          <w:tcPr>
            <w:tcW w:w="0" w:type="dxa"/>
            <w:vAlign w:val="bottom"/>
          </w:tcPr>
          <w:p>
            <w:pPr>
              <w:spacing w:after="0"/>
              <w:rPr>
                <w:sz w:val="1"/>
                <w:szCs w:val="1"/>
                <w:color w:val="auto"/>
              </w:rPr>
            </w:pPr>
          </w:p>
        </w:tc>
      </w:tr>
      <w:tr>
        <w:trPr>
          <w:trHeight w:val="243"/>
        </w:trPr>
        <w:tc>
          <w:tcPr>
            <w:tcW w:w="8580" w:type="dxa"/>
            <w:vAlign w:val="bottom"/>
          </w:tcPr>
          <w:p>
            <w:pPr>
              <w:ind w:left="260"/>
              <w:spacing w:after="0"/>
              <w:rPr>
                <w:sz w:val="20"/>
                <w:szCs w:val="20"/>
                <w:color w:val="auto"/>
              </w:rPr>
            </w:pPr>
            <w:r>
              <w:rPr>
                <w:rFonts w:ascii="Arial" w:cs="Arial" w:eastAsia="Arial" w:hAnsi="Arial"/>
                <w:sz w:val="18"/>
                <w:szCs w:val="18"/>
                <w:color w:val="auto"/>
              </w:rPr>
              <w:t>Prepaid expenses and other current assets</w:t>
            </w:r>
          </w:p>
        </w:tc>
        <w:tc>
          <w:tcPr>
            <w:tcW w:w="32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9,352</w:t>
            </w:r>
          </w:p>
        </w:tc>
        <w:tc>
          <w:tcPr>
            <w:tcW w:w="1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5,115</w:t>
            </w:r>
          </w:p>
        </w:tc>
        <w:tc>
          <w:tcPr>
            <w:tcW w:w="0" w:type="dxa"/>
            <w:vAlign w:val="bottom"/>
          </w:tcPr>
          <w:p>
            <w:pPr>
              <w:spacing w:after="0"/>
              <w:rPr>
                <w:sz w:val="1"/>
                <w:szCs w:val="1"/>
                <w:color w:val="auto"/>
              </w:rPr>
            </w:pPr>
          </w:p>
        </w:tc>
      </w:tr>
      <w:tr>
        <w:trPr>
          <w:trHeight w:val="27"/>
        </w:trPr>
        <w:tc>
          <w:tcPr>
            <w:tcW w:w="85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58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Total current assets</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244,361</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115,301</w:t>
            </w:r>
          </w:p>
        </w:tc>
        <w:tc>
          <w:tcPr>
            <w:tcW w:w="0" w:type="dxa"/>
            <w:vAlign w:val="bottom"/>
          </w:tcPr>
          <w:p>
            <w:pPr>
              <w:spacing w:after="0"/>
              <w:rPr>
                <w:sz w:val="1"/>
                <w:szCs w:val="1"/>
                <w:color w:val="auto"/>
              </w:rPr>
            </w:pPr>
          </w:p>
        </w:tc>
      </w:tr>
      <w:tr>
        <w:trPr>
          <w:trHeight w:val="243"/>
        </w:trPr>
        <w:tc>
          <w:tcPr>
            <w:tcW w:w="8580" w:type="dxa"/>
            <w:vAlign w:val="bottom"/>
          </w:tcPr>
          <w:p>
            <w:pPr>
              <w:ind w:left="40"/>
              <w:spacing w:after="0"/>
              <w:rPr>
                <w:sz w:val="20"/>
                <w:szCs w:val="20"/>
                <w:color w:val="auto"/>
              </w:rPr>
            </w:pPr>
            <w:r>
              <w:rPr>
                <w:rFonts w:ascii="Arial" w:cs="Arial" w:eastAsia="Arial" w:hAnsi="Arial"/>
                <w:sz w:val="18"/>
                <w:szCs w:val="18"/>
                <w:color w:val="auto"/>
              </w:rPr>
              <w:t>Property and Equipment, net</w:t>
            </w:r>
          </w:p>
        </w:tc>
        <w:tc>
          <w:tcPr>
            <w:tcW w:w="32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8,951</w:t>
            </w:r>
          </w:p>
        </w:tc>
        <w:tc>
          <w:tcPr>
            <w:tcW w:w="1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5,181</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taxes</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10,143</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571</w:t>
            </w:r>
          </w:p>
        </w:tc>
        <w:tc>
          <w:tcPr>
            <w:tcW w:w="0" w:type="dxa"/>
            <w:vAlign w:val="bottom"/>
          </w:tcPr>
          <w:p>
            <w:pPr>
              <w:spacing w:after="0"/>
              <w:rPr>
                <w:sz w:val="1"/>
                <w:szCs w:val="1"/>
                <w:color w:val="auto"/>
              </w:rPr>
            </w:pPr>
          </w:p>
        </w:tc>
      </w:tr>
      <w:tr>
        <w:trPr>
          <w:trHeight w:val="243"/>
        </w:trPr>
        <w:tc>
          <w:tcPr>
            <w:tcW w:w="8580" w:type="dxa"/>
            <w:vAlign w:val="bottom"/>
          </w:tcPr>
          <w:p>
            <w:pPr>
              <w:ind w:left="40"/>
              <w:spacing w:after="0"/>
              <w:rPr>
                <w:sz w:val="20"/>
                <w:szCs w:val="20"/>
                <w:color w:val="auto"/>
              </w:rPr>
            </w:pPr>
            <w:r>
              <w:rPr>
                <w:rFonts w:ascii="Arial" w:cs="Arial" w:eastAsia="Arial" w:hAnsi="Arial"/>
                <w:sz w:val="18"/>
                <w:szCs w:val="18"/>
                <w:color w:val="auto"/>
              </w:rPr>
              <w:t>Other non-current assets</w:t>
            </w:r>
          </w:p>
        </w:tc>
        <w:tc>
          <w:tcPr>
            <w:tcW w:w="32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393</w:t>
            </w:r>
          </w:p>
        </w:tc>
        <w:tc>
          <w:tcPr>
            <w:tcW w:w="1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328</w:t>
            </w:r>
          </w:p>
        </w:tc>
        <w:tc>
          <w:tcPr>
            <w:tcW w:w="0" w:type="dxa"/>
            <w:vAlign w:val="bottom"/>
          </w:tcPr>
          <w:p>
            <w:pPr>
              <w:spacing w:after="0"/>
              <w:rPr>
                <w:sz w:val="1"/>
                <w:szCs w:val="1"/>
                <w:color w:val="auto"/>
              </w:rPr>
            </w:pPr>
          </w:p>
        </w:tc>
      </w:tr>
      <w:tr>
        <w:trPr>
          <w:trHeight w:val="27"/>
        </w:trPr>
        <w:tc>
          <w:tcPr>
            <w:tcW w:w="85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8580" w:type="dxa"/>
            <w:vAlign w:val="bottom"/>
            <w:tcBorders>
              <w:bottom w:val="single" w:sz="8" w:color="CCEEFF"/>
            </w:tcBorders>
            <w:shd w:val="clear" w:color="auto" w:fill="CCEEFF"/>
          </w:tcPr>
          <w:p>
            <w:pPr>
              <w:ind w:left="440"/>
              <w:spacing w:after="0"/>
              <w:rPr>
                <w:sz w:val="20"/>
                <w:szCs w:val="20"/>
                <w:color w:val="auto"/>
              </w:rPr>
            </w:pPr>
            <w:r>
              <w:rPr>
                <w:rFonts w:ascii="Arial" w:cs="Arial" w:eastAsia="Arial" w:hAnsi="Arial"/>
                <w:sz w:val="18"/>
                <w:szCs w:val="18"/>
                <w:color w:val="auto"/>
              </w:rPr>
              <w:t>Total assets</w:t>
            </w:r>
          </w:p>
        </w:tc>
        <w:tc>
          <w:tcPr>
            <w:tcW w:w="3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263,848</w:t>
            </w:r>
          </w:p>
        </w:tc>
        <w:tc>
          <w:tcPr>
            <w:tcW w:w="120" w:type="dxa"/>
            <w:vAlign w:val="bottom"/>
            <w:tcBorders>
              <w:bottom w:val="single" w:sz="8" w:color="CCEEFF"/>
            </w:tcBorders>
            <w:shd w:val="clear" w:color="auto" w:fill="CCEEFF"/>
          </w:tcPr>
          <w:p>
            <w:pPr>
              <w:spacing w:after="0"/>
              <w:rPr>
                <w:sz w:val="22"/>
                <w:szCs w:val="22"/>
                <w:color w:val="auto"/>
              </w:rPr>
            </w:pPr>
          </w:p>
        </w:tc>
        <w:tc>
          <w:tcPr>
            <w:tcW w:w="480" w:type="dxa"/>
            <w:vAlign w:val="bottom"/>
            <w:tcBorders>
              <w:bottom w:val="single" w:sz="8" w:color="auto"/>
            </w:tcBorders>
            <w:shd w:val="clear" w:color="auto" w:fill="CCEEFF"/>
          </w:tcPr>
          <w:p>
            <w:pPr>
              <w:jc w:val="right"/>
              <w:ind w:right="27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121,381</w:t>
            </w:r>
          </w:p>
        </w:tc>
        <w:tc>
          <w:tcPr>
            <w:tcW w:w="0" w:type="dxa"/>
            <w:vAlign w:val="bottom"/>
          </w:tcPr>
          <w:p>
            <w:pPr>
              <w:spacing w:after="0"/>
              <w:rPr>
                <w:sz w:val="1"/>
                <w:szCs w:val="1"/>
                <w:color w:val="auto"/>
              </w:rPr>
            </w:pPr>
          </w:p>
        </w:tc>
      </w:tr>
      <w:tr>
        <w:trPr>
          <w:trHeight w:val="20"/>
        </w:trPr>
        <w:tc>
          <w:tcPr>
            <w:tcW w:w="8580" w:type="dxa"/>
            <w:vAlign w:val="bottom"/>
            <w:vMerge w:val="restart"/>
          </w:tcPr>
          <w:p>
            <w:pPr>
              <w:ind w:left="40"/>
              <w:spacing w:after="0"/>
              <w:rPr>
                <w:sz w:val="20"/>
                <w:szCs w:val="20"/>
                <w:color w:val="auto"/>
              </w:rPr>
            </w:pPr>
            <w:r>
              <w:rPr>
                <w:rFonts w:ascii="Arial" w:cs="Arial" w:eastAsia="Arial" w:hAnsi="Arial"/>
                <w:sz w:val="18"/>
                <w:szCs w:val="18"/>
                <w:b w:val="1"/>
                <w:bCs w:val="1"/>
                <w:color w:val="auto"/>
              </w:rPr>
              <w:t>Liabilities, Convertible Preferred Stock and Stockholders’ Equity (Deficit)</w:t>
            </w: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8580" w:type="dxa"/>
            <w:vAlign w:val="bottom"/>
            <w:vMerge w:val="continue"/>
          </w:tcPr>
          <w:p>
            <w:pPr>
              <w:spacing w:after="0"/>
              <w:rPr>
                <w:sz w:val="20"/>
                <w:szCs w:val="20"/>
                <w:color w:val="auto"/>
              </w:rPr>
            </w:pPr>
          </w:p>
        </w:tc>
        <w:tc>
          <w:tcPr>
            <w:tcW w:w="32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Current Liabilities:</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580" w:type="dxa"/>
            <w:vAlign w:val="bottom"/>
          </w:tcPr>
          <w:p>
            <w:pPr>
              <w:ind w:left="260"/>
              <w:spacing w:after="0"/>
              <w:rPr>
                <w:sz w:val="20"/>
                <w:szCs w:val="20"/>
                <w:color w:val="auto"/>
              </w:rPr>
            </w:pPr>
            <w:r>
              <w:rPr>
                <w:rFonts w:ascii="Arial" w:cs="Arial" w:eastAsia="Arial" w:hAnsi="Arial"/>
                <w:sz w:val="18"/>
                <w:szCs w:val="18"/>
                <w:color w:val="auto"/>
              </w:rPr>
              <w:t>Accounts payable</w:t>
            </w: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2,567</w:t>
            </w:r>
          </w:p>
        </w:tc>
        <w:tc>
          <w:tcPr>
            <w:tcW w:w="120" w:type="dxa"/>
            <w:vAlign w:val="bottom"/>
          </w:tcPr>
          <w:p>
            <w:pPr>
              <w:spacing w:after="0"/>
              <w:rPr>
                <w:sz w:val="21"/>
                <w:szCs w:val="21"/>
                <w:color w:val="auto"/>
              </w:rPr>
            </w:pPr>
          </w:p>
        </w:tc>
        <w:tc>
          <w:tcPr>
            <w:tcW w:w="480" w:type="dxa"/>
            <w:vAlign w:val="bottom"/>
          </w:tcPr>
          <w:p>
            <w:pPr>
              <w:jc w:val="right"/>
              <w:ind w:right="270"/>
              <w:spacing w:after="0"/>
              <w:rPr>
                <w:sz w:val="20"/>
                <w:szCs w:val="20"/>
                <w:color w:val="auto"/>
              </w:rPr>
            </w:pPr>
            <w:r>
              <w:rPr>
                <w:rFonts w:ascii="Arial" w:cs="Arial" w:eastAsia="Arial" w:hAnsi="Arial"/>
                <w:sz w:val="18"/>
                <w:szCs w:val="18"/>
                <w:color w:val="auto"/>
                <w:w w:val="99"/>
              </w:rPr>
              <w:t>$</w:t>
            </w: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2,348</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5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Accrued liabilities</w:t>
            </w:r>
          </w:p>
        </w:tc>
        <w:tc>
          <w:tcPr>
            <w:tcW w:w="3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25,581</w:t>
            </w:r>
          </w:p>
        </w:tc>
        <w:tc>
          <w:tcPr>
            <w:tcW w:w="12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18,475</w:t>
            </w:r>
          </w:p>
        </w:tc>
        <w:tc>
          <w:tcPr>
            <w:tcW w:w="0" w:type="dxa"/>
            <w:vAlign w:val="bottom"/>
          </w:tcPr>
          <w:p>
            <w:pPr>
              <w:spacing w:after="0"/>
              <w:rPr>
                <w:sz w:val="1"/>
                <w:szCs w:val="1"/>
                <w:color w:val="auto"/>
              </w:rPr>
            </w:pPr>
          </w:p>
        </w:tc>
      </w:tr>
      <w:tr>
        <w:trPr>
          <w:trHeight w:val="237"/>
        </w:trPr>
        <w:tc>
          <w:tcPr>
            <w:tcW w:w="8580" w:type="dxa"/>
            <w:vAlign w:val="bottom"/>
          </w:tcPr>
          <w:p>
            <w:pPr>
              <w:ind w:left="480"/>
              <w:spacing w:after="0"/>
              <w:rPr>
                <w:sz w:val="20"/>
                <w:szCs w:val="20"/>
                <w:color w:val="auto"/>
              </w:rPr>
            </w:pPr>
            <w:r>
              <w:rPr>
                <w:rFonts w:ascii="Arial" w:cs="Arial" w:eastAsia="Arial" w:hAnsi="Arial"/>
                <w:sz w:val="18"/>
                <w:szCs w:val="18"/>
                <w:color w:val="auto"/>
              </w:rPr>
              <w:t>Total current liabilities</w:t>
            </w:r>
          </w:p>
        </w:tc>
        <w:tc>
          <w:tcPr>
            <w:tcW w:w="32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28,148</w:t>
            </w:r>
          </w:p>
        </w:tc>
        <w:tc>
          <w:tcPr>
            <w:tcW w:w="12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8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20,823</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non-current liabilities</w:t>
            </w:r>
          </w:p>
        </w:tc>
        <w:tc>
          <w:tcPr>
            <w:tcW w:w="3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3,178</w:t>
            </w:r>
          </w:p>
        </w:tc>
        <w:tc>
          <w:tcPr>
            <w:tcW w:w="12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1,461</w:t>
            </w:r>
          </w:p>
        </w:tc>
        <w:tc>
          <w:tcPr>
            <w:tcW w:w="0" w:type="dxa"/>
            <w:vAlign w:val="bottom"/>
          </w:tcPr>
          <w:p>
            <w:pPr>
              <w:spacing w:after="0"/>
              <w:rPr>
                <w:sz w:val="1"/>
                <w:szCs w:val="1"/>
                <w:color w:val="auto"/>
              </w:rPr>
            </w:pPr>
          </w:p>
        </w:tc>
      </w:tr>
      <w:tr>
        <w:trPr>
          <w:trHeight w:val="237"/>
        </w:trPr>
        <w:tc>
          <w:tcPr>
            <w:tcW w:w="8580" w:type="dxa"/>
            <w:vAlign w:val="bottom"/>
          </w:tcPr>
          <w:p>
            <w:pPr>
              <w:ind w:left="480"/>
              <w:spacing w:after="0"/>
              <w:rPr>
                <w:sz w:val="20"/>
                <w:szCs w:val="20"/>
                <w:color w:val="auto"/>
              </w:rPr>
            </w:pPr>
            <w:r>
              <w:rPr>
                <w:rFonts w:ascii="Arial" w:cs="Arial" w:eastAsia="Arial" w:hAnsi="Arial"/>
                <w:sz w:val="18"/>
                <w:szCs w:val="18"/>
                <w:color w:val="auto"/>
              </w:rPr>
              <w:t>Total liabilities</w:t>
            </w:r>
          </w:p>
        </w:tc>
        <w:tc>
          <w:tcPr>
            <w:tcW w:w="32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31,326</w:t>
            </w:r>
          </w:p>
        </w:tc>
        <w:tc>
          <w:tcPr>
            <w:tcW w:w="12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8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22,284</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Convertible preferred stock</w:t>
            </w:r>
          </w:p>
        </w:tc>
        <w:tc>
          <w:tcPr>
            <w:tcW w:w="3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111,467</w:t>
            </w:r>
          </w:p>
        </w:tc>
        <w:tc>
          <w:tcPr>
            <w:tcW w:w="0" w:type="dxa"/>
            <w:vAlign w:val="bottom"/>
          </w:tcPr>
          <w:p>
            <w:pPr>
              <w:spacing w:after="0"/>
              <w:rPr>
                <w:sz w:val="1"/>
                <w:szCs w:val="1"/>
                <w:color w:val="auto"/>
              </w:rPr>
            </w:pPr>
          </w:p>
        </w:tc>
      </w:tr>
      <w:tr>
        <w:trPr>
          <w:trHeight w:val="243"/>
        </w:trPr>
        <w:tc>
          <w:tcPr>
            <w:tcW w:w="8580" w:type="dxa"/>
            <w:vAlign w:val="bottom"/>
          </w:tcPr>
          <w:p>
            <w:pPr>
              <w:ind w:left="40"/>
              <w:spacing w:after="0"/>
              <w:rPr>
                <w:sz w:val="20"/>
                <w:szCs w:val="20"/>
                <w:color w:val="auto"/>
              </w:rPr>
            </w:pPr>
            <w:r>
              <w:rPr>
                <w:rFonts w:ascii="Arial" w:cs="Arial" w:eastAsia="Arial" w:hAnsi="Arial"/>
                <w:sz w:val="18"/>
                <w:szCs w:val="18"/>
                <w:color w:val="auto"/>
              </w:rPr>
              <w:t>Stockholders’ Equity (Deficit):</w:t>
            </w:r>
          </w:p>
        </w:tc>
        <w:tc>
          <w:tcPr>
            <w:tcW w:w="32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Common stock</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30</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43"/>
        </w:trPr>
        <w:tc>
          <w:tcPr>
            <w:tcW w:w="8580" w:type="dxa"/>
            <w:vAlign w:val="bottom"/>
          </w:tcPr>
          <w:p>
            <w:pPr>
              <w:ind w:left="40"/>
              <w:spacing w:after="0"/>
              <w:rPr>
                <w:sz w:val="20"/>
                <w:szCs w:val="20"/>
                <w:color w:val="auto"/>
              </w:rPr>
            </w:pPr>
            <w:r>
              <w:rPr>
                <w:rFonts w:ascii="Arial" w:cs="Arial" w:eastAsia="Arial" w:hAnsi="Arial"/>
                <w:sz w:val="18"/>
                <w:szCs w:val="18"/>
                <w:color w:val="auto"/>
              </w:rPr>
              <w:t>Additional paid-in capital</w:t>
            </w:r>
          </w:p>
        </w:tc>
        <w:tc>
          <w:tcPr>
            <w:tcW w:w="32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252,087</w:t>
            </w:r>
          </w:p>
        </w:tc>
        <w:tc>
          <w:tcPr>
            <w:tcW w:w="1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8,446</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Notes receivable from stockholders</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12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(117)</w:t>
            </w:r>
          </w:p>
        </w:tc>
        <w:tc>
          <w:tcPr>
            <w:tcW w:w="0" w:type="dxa"/>
            <w:vAlign w:val="bottom"/>
          </w:tcPr>
          <w:p>
            <w:pPr>
              <w:spacing w:after="0"/>
              <w:rPr>
                <w:sz w:val="1"/>
                <w:szCs w:val="1"/>
                <w:color w:val="auto"/>
              </w:rPr>
            </w:pPr>
          </w:p>
        </w:tc>
      </w:tr>
      <w:tr>
        <w:trPr>
          <w:trHeight w:val="243"/>
        </w:trPr>
        <w:tc>
          <w:tcPr>
            <w:tcW w:w="8580" w:type="dxa"/>
            <w:vAlign w:val="bottom"/>
          </w:tcPr>
          <w:p>
            <w:pPr>
              <w:ind w:left="40"/>
              <w:spacing w:after="0"/>
              <w:rPr>
                <w:sz w:val="20"/>
                <w:szCs w:val="20"/>
                <w:color w:val="auto"/>
              </w:rPr>
            </w:pPr>
            <w:r>
              <w:rPr>
                <w:rFonts w:ascii="Arial" w:cs="Arial" w:eastAsia="Arial" w:hAnsi="Arial"/>
                <w:sz w:val="18"/>
                <w:szCs w:val="18"/>
                <w:color w:val="auto"/>
              </w:rPr>
              <w:t>Accumulated other comprehensive loss</w:t>
            </w:r>
          </w:p>
        </w:tc>
        <w:tc>
          <w:tcPr>
            <w:tcW w:w="3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(2,115)</w:t>
            </w:r>
          </w:p>
        </w:tc>
        <w:tc>
          <w:tcPr>
            <w:tcW w:w="1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(864)</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8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Accumulated deficit</w:t>
            </w:r>
          </w:p>
        </w:tc>
        <w:tc>
          <w:tcPr>
            <w:tcW w:w="3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(17,475)</w:t>
            </w:r>
          </w:p>
        </w:tc>
        <w:tc>
          <w:tcPr>
            <w:tcW w:w="12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(19,840)</w:t>
            </w:r>
          </w:p>
        </w:tc>
        <w:tc>
          <w:tcPr>
            <w:tcW w:w="0" w:type="dxa"/>
            <w:vAlign w:val="bottom"/>
          </w:tcPr>
          <w:p>
            <w:pPr>
              <w:spacing w:after="0"/>
              <w:rPr>
                <w:sz w:val="1"/>
                <w:szCs w:val="1"/>
                <w:color w:val="auto"/>
              </w:rPr>
            </w:pPr>
          </w:p>
        </w:tc>
      </w:tr>
      <w:tr>
        <w:trPr>
          <w:trHeight w:val="237"/>
        </w:trPr>
        <w:tc>
          <w:tcPr>
            <w:tcW w:w="8580" w:type="dxa"/>
            <w:vAlign w:val="bottom"/>
          </w:tcPr>
          <w:p>
            <w:pPr>
              <w:ind w:left="260"/>
              <w:spacing w:after="0"/>
              <w:rPr>
                <w:sz w:val="20"/>
                <w:szCs w:val="20"/>
                <w:color w:val="auto"/>
              </w:rPr>
            </w:pPr>
            <w:r>
              <w:rPr>
                <w:rFonts w:ascii="Arial" w:cs="Arial" w:eastAsia="Arial" w:hAnsi="Arial"/>
                <w:sz w:val="18"/>
                <w:szCs w:val="18"/>
                <w:color w:val="auto"/>
              </w:rPr>
              <w:t>Total stockholders’ equity (deficit)</w:t>
            </w:r>
          </w:p>
        </w:tc>
        <w:tc>
          <w:tcPr>
            <w:tcW w:w="32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232,522</w:t>
            </w:r>
          </w:p>
        </w:tc>
        <w:tc>
          <w:tcPr>
            <w:tcW w:w="12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(12,370)</w:t>
            </w:r>
          </w:p>
        </w:tc>
        <w:tc>
          <w:tcPr>
            <w:tcW w:w="0" w:type="dxa"/>
            <w:vAlign w:val="bottom"/>
          </w:tcPr>
          <w:p>
            <w:pPr>
              <w:spacing w:after="0"/>
              <w:rPr>
                <w:sz w:val="1"/>
                <w:szCs w:val="1"/>
                <w:color w:val="auto"/>
              </w:rPr>
            </w:pPr>
          </w:p>
        </w:tc>
      </w:tr>
      <w:tr>
        <w:trPr>
          <w:trHeight w:val="27"/>
        </w:trPr>
        <w:tc>
          <w:tcPr>
            <w:tcW w:w="85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858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Total liabilities, convertible preferred stock and stockholders’ equity (deficit)</w:t>
            </w:r>
          </w:p>
        </w:tc>
        <w:tc>
          <w:tcPr>
            <w:tcW w:w="3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263,848</w:t>
            </w:r>
          </w:p>
        </w:tc>
        <w:tc>
          <w:tcPr>
            <w:tcW w:w="120" w:type="dxa"/>
            <w:vAlign w:val="bottom"/>
            <w:tcBorders>
              <w:bottom w:val="single" w:sz="8" w:color="CCEEFF"/>
            </w:tcBorders>
            <w:shd w:val="clear" w:color="auto" w:fill="CCEEFF"/>
          </w:tcPr>
          <w:p>
            <w:pPr>
              <w:spacing w:after="0"/>
              <w:rPr>
                <w:sz w:val="22"/>
                <w:szCs w:val="22"/>
                <w:color w:val="auto"/>
              </w:rPr>
            </w:pPr>
          </w:p>
        </w:tc>
        <w:tc>
          <w:tcPr>
            <w:tcW w:w="480" w:type="dxa"/>
            <w:vAlign w:val="bottom"/>
            <w:tcBorders>
              <w:bottom w:val="single" w:sz="8" w:color="auto"/>
            </w:tcBorders>
            <w:shd w:val="clear" w:color="auto" w:fill="CCEEFF"/>
          </w:tcPr>
          <w:p>
            <w:pPr>
              <w:jc w:val="right"/>
              <w:ind w:right="27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121,381</w:t>
            </w:r>
          </w:p>
        </w:tc>
        <w:tc>
          <w:tcPr>
            <w:tcW w:w="0" w:type="dxa"/>
            <w:vAlign w:val="bottom"/>
          </w:tcPr>
          <w:p>
            <w:pPr>
              <w:spacing w:after="0"/>
              <w:rPr>
                <w:sz w:val="1"/>
                <w:szCs w:val="1"/>
                <w:color w:val="auto"/>
              </w:rPr>
            </w:pPr>
          </w:p>
        </w:tc>
      </w:tr>
      <w:tr>
        <w:trPr>
          <w:trHeight w:val="20"/>
        </w:trPr>
        <w:tc>
          <w:tcPr>
            <w:tcW w:w="85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621" w:right="239" w:bottom="1440" w:gutter="0" w:footer="0" w:header="0"/>
        </w:sectPr>
      </w:pPr>
    </w:p>
    <w:bookmarkStart w:id="8" w:name="page9"/>
    <w:bookmarkEnd w:id="8"/>
    <w:p>
      <w:pPr>
        <w:jc w:val="center"/>
        <w:spacing w:after="0"/>
        <w:rPr>
          <w:sz w:val="20"/>
          <w:szCs w:val="20"/>
          <w:color w:val="auto"/>
        </w:rPr>
      </w:pPr>
      <w:r>
        <w:rPr>
          <w:rFonts w:ascii="Arial" w:cs="Arial" w:eastAsia="Arial" w:hAnsi="Arial"/>
          <w:sz w:val="18"/>
          <w:szCs w:val="18"/>
          <w:b w:val="1"/>
          <w:bCs w:val="1"/>
          <w:color w:val="auto"/>
        </w:rPr>
        <w:t>Penumbra,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share and per share amounts)</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1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220" w:type="dxa"/>
            <w:vAlign w:val="bottom"/>
            <w:gridSpan w:val="5"/>
          </w:tcPr>
          <w:p>
            <w:pPr>
              <w:ind w:left="100"/>
              <w:spacing w:after="0"/>
              <w:rPr>
                <w:sz w:val="20"/>
                <w:szCs w:val="20"/>
                <w:color w:val="auto"/>
              </w:rPr>
            </w:pPr>
            <w:r>
              <w:rPr>
                <w:rFonts w:ascii="Arial" w:cs="Arial" w:eastAsia="Arial" w:hAnsi="Arial"/>
                <w:sz w:val="18"/>
                <w:szCs w:val="18"/>
                <w:b w:val="1"/>
                <w:bCs w:val="1"/>
                <w:color w:val="auto"/>
              </w:rPr>
              <w:t>Three Months Ended December 31,</w:t>
            </w:r>
          </w:p>
        </w:tc>
        <w:tc>
          <w:tcPr>
            <w:tcW w:w="280" w:type="dxa"/>
            <w:vAlign w:val="bottom"/>
          </w:tcPr>
          <w:p>
            <w:pPr>
              <w:spacing w:after="0"/>
              <w:rPr>
                <w:sz w:val="20"/>
                <w:szCs w:val="20"/>
                <w:color w:val="auto"/>
              </w:rPr>
            </w:pPr>
          </w:p>
        </w:tc>
        <w:tc>
          <w:tcPr>
            <w:tcW w:w="2560" w:type="dxa"/>
            <w:vAlign w:val="bottom"/>
            <w:gridSpan w:val="4"/>
          </w:tcPr>
          <w:p>
            <w:pPr>
              <w:jc w:val="right"/>
              <w:ind w:right="310"/>
              <w:spacing w:after="0"/>
              <w:rPr>
                <w:sz w:val="20"/>
                <w:szCs w:val="20"/>
                <w:color w:val="auto"/>
              </w:rPr>
            </w:pPr>
            <w:r>
              <w:rPr>
                <w:rFonts w:ascii="Arial" w:cs="Arial" w:eastAsia="Arial" w:hAnsi="Arial"/>
                <w:sz w:val="18"/>
                <w:szCs w:val="18"/>
                <w:b w:val="1"/>
                <w:bCs w:val="1"/>
                <w:color w:val="auto"/>
                <w:w w:val="96"/>
              </w:rPr>
              <w:t>Year Ended December 31,</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1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20" w:type="dxa"/>
            <w:vAlign w:val="bottom"/>
          </w:tcPr>
          <w:p>
            <w:pPr>
              <w:jc w:val="right"/>
              <w:ind w:right="550"/>
              <w:spacing w:after="0"/>
              <w:rPr>
                <w:sz w:val="20"/>
                <w:szCs w:val="20"/>
                <w:color w:val="auto"/>
              </w:rPr>
            </w:pPr>
            <w:r>
              <w:rPr>
                <w:rFonts w:ascii="Arial" w:cs="Arial" w:eastAsia="Arial" w:hAnsi="Arial"/>
                <w:sz w:val="18"/>
                <w:szCs w:val="18"/>
                <w:b w:val="1"/>
                <w:bCs w:val="1"/>
                <w:color w:val="auto"/>
              </w:rPr>
              <w:t>2015</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40" w:type="dxa"/>
            <w:vAlign w:val="bottom"/>
          </w:tcPr>
          <w:p>
            <w:pPr>
              <w:jc w:val="right"/>
              <w:ind w:right="530"/>
              <w:spacing w:after="0"/>
              <w:rPr>
                <w:sz w:val="20"/>
                <w:szCs w:val="20"/>
                <w:color w:val="auto"/>
              </w:rPr>
            </w:pPr>
            <w:r>
              <w:rPr>
                <w:rFonts w:ascii="Arial" w:cs="Arial" w:eastAsia="Arial" w:hAnsi="Arial"/>
                <w:sz w:val="18"/>
                <w:szCs w:val="18"/>
                <w:b w:val="1"/>
                <w:bCs w:val="1"/>
                <w:color w:val="auto"/>
              </w:rPr>
              <w:t>2014</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jc w:val="right"/>
              <w:ind w:right="410"/>
              <w:spacing w:after="0"/>
              <w:rPr>
                <w:sz w:val="20"/>
                <w:szCs w:val="20"/>
                <w:color w:val="auto"/>
              </w:rPr>
            </w:pPr>
            <w:r>
              <w:rPr>
                <w:rFonts w:ascii="Arial" w:cs="Arial" w:eastAsia="Arial" w:hAnsi="Arial"/>
                <w:sz w:val="18"/>
                <w:szCs w:val="18"/>
                <w:b w:val="1"/>
                <w:bCs w:val="1"/>
                <w:color w:val="auto"/>
              </w:rPr>
              <w:t>2015</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60" w:type="dxa"/>
            <w:vAlign w:val="bottom"/>
          </w:tcPr>
          <w:p>
            <w:pPr>
              <w:jc w:val="right"/>
              <w:ind w:right="410"/>
              <w:spacing w:after="0"/>
              <w:rPr>
                <w:sz w:val="20"/>
                <w:szCs w:val="20"/>
                <w:color w:val="auto"/>
              </w:rPr>
            </w:pPr>
            <w:r>
              <w:rPr>
                <w:rFonts w:ascii="Arial" w:cs="Arial" w:eastAsia="Arial" w:hAnsi="Arial"/>
                <w:sz w:val="18"/>
                <w:szCs w:val="18"/>
                <w:b w:val="1"/>
                <w:bCs w:val="1"/>
                <w:color w:val="auto"/>
              </w:rPr>
              <w:t>2014</w:t>
            </w:r>
          </w:p>
        </w:tc>
        <w:tc>
          <w:tcPr>
            <w:tcW w:w="0" w:type="dxa"/>
            <w:vAlign w:val="bottom"/>
          </w:tcPr>
          <w:p>
            <w:pPr>
              <w:spacing w:after="0"/>
              <w:rPr>
                <w:sz w:val="1"/>
                <w:szCs w:val="1"/>
                <w:color w:val="auto"/>
              </w:rPr>
            </w:pPr>
          </w:p>
        </w:tc>
      </w:tr>
      <w:tr>
        <w:trPr>
          <w:trHeight w:val="27"/>
        </w:trPr>
        <w:tc>
          <w:tcPr>
            <w:tcW w:w="516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54,416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35,403</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186,095</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125,510</w:t>
            </w:r>
          </w:p>
        </w:tc>
        <w:tc>
          <w:tcPr>
            <w:tcW w:w="0" w:type="dxa"/>
            <w:vAlign w:val="bottom"/>
          </w:tcPr>
          <w:p>
            <w:pPr>
              <w:spacing w:after="0"/>
              <w:rPr>
                <w:sz w:val="1"/>
                <w:szCs w:val="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Cost of revenue</w:t>
            </w:r>
          </w:p>
        </w:tc>
        <w:tc>
          <w:tcPr>
            <w:tcW w:w="200" w:type="dxa"/>
            <w:vAlign w:val="bottom"/>
          </w:tcPr>
          <w:p>
            <w:pPr>
              <w:spacing w:after="0"/>
              <w:rPr>
                <w:sz w:val="21"/>
                <w:szCs w:val="21"/>
                <w:color w:val="auto"/>
              </w:rPr>
            </w:pPr>
          </w:p>
        </w:tc>
        <w:tc>
          <w:tcPr>
            <w:tcW w:w="1420" w:type="dxa"/>
            <w:vAlign w:val="bottom"/>
          </w:tcPr>
          <w:p>
            <w:pPr>
              <w:jc w:val="right"/>
              <w:ind w:right="30"/>
              <w:spacing w:after="0"/>
              <w:rPr>
                <w:sz w:val="20"/>
                <w:szCs w:val="20"/>
                <w:color w:val="auto"/>
              </w:rPr>
            </w:pPr>
            <w:r>
              <w:rPr>
                <w:rFonts w:ascii="Arial" w:cs="Arial" w:eastAsia="Arial" w:hAnsi="Arial"/>
                <w:sz w:val="18"/>
                <w:szCs w:val="18"/>
                <w:color w:val="auto"/>
              </w:rPr>
              <w:t>17,958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40" w:type="dxa"/>
            <w:vAlign w:val="bottom"/>
          </w:tcPr>
          <w:p>
            <w:pPr>
              <w:jc w:val="right"/>
              <w:ind w:right="30"/>
              <w:spacing w:after="0"/>
              <w:rPr>
                <w:sz w:val="20"/>
                <w:szCs w:val="20"/>
                <w:color w:val="auto"/>
              </w:rPr>
            </w:pPr>
            <w:r>
              <w:rPr>
                <w:rFonts w:ascii="Arial" w:cs="Arial" w:eastAsia="Arial" w:hAnsi="Arial"/>
                <w:sz w:val="18"/>
                <w:szCs w:val="18"/>
                <w:color w:val="auto"/>
              </w:rPr>
              <w:t>11,512</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62,037</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42,668</w:t>
            </w:r>
          </w:p>
        </w:tc>
        <w:tc>
          <w:tcPr>
            <w:tcW w:w="0" w:type="dxa"/>
            <w:vAlign w:val="bottom"/>
          </w:tcPr>
          <w:p>
            <w:pPr>
              <w:spacing w:after="0"/>
              <w:rPr>
                <w:sz w:val="1"/>
                <w:szCs w:val="1"/>
                <w:color w:val="auto"/>
              </w:rPr>
            </w:pPr>
          </w:p>
        </w:tc>
      </w:tr>
      <w:tr>
        <w:trPr>
          <w:trHeight w:val="27"/>
        </w:trPr>
        <w:tc>
          <w:tcPr>
            <w:tcW w:w="516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516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Gross profit</w:t>
            </w:r>
          </w:p>
        </w:tc>
        <w:tc>
          <w:tcPr>
            <w:tcW w:w="20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36,458</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23,891</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124,058</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82,842</w:t>
            </w:r>
          </w:p>
        </w:tc>
        <w:tc>
          <w:tcPr>
            <w:tcW w:w="0" w:type="dxa"/>
            <w:vAlign w:val="bottom"/>
          </w:tcPr>
          <w:p>
            <w:pPr>
              <w:spacing w:after="0"/>
              <w:rPr>
                <w:sz w:val="1"/>
                <w:szCs w:val="1"/>
                <w:color w:val="auto"/>
              </w:rPr>
            </w:pPr>
          </w:p>
        </w:tc>
      </w:tr>
      <w:tr>
        <w:trPr>
          <w:trHeight w:val="237"/>
        </w:trPr>
        <w:tc>
          <w:tcPr>
            <w:tcW w:w="5160" w:type="dxa"/>
            <w:vAlign w:val="bottom"/>
          </w:tcPr>
          <w:p>
            <w:pPr>
              <w:ind w:left="40"/>
              <w:spacing w:after="0"/>
              <w:rPr>
                <w:sz w:val="20"/>
                <w:szCs w:val="20"/>
                <w:color w:val="auto"/>
              </w:rPr>
            </w:pPr>
            <w:r>
              <w:rPr>
                <w:rFonts w:ascii="Arial" w:cs="Arial" w:eastAsia="Arial" w:hAnsi="Arial"/>
                <w:sz w:val="18"/>
                <w:szCs w:val="18"/>
                <w:color w:val="auto"/>
              </w:rPr>
              <w:t>Operating expenses:</w:t>
            </w:r>
          </w:p>
        </w:tc>
        <w:tc>
          <w:tcPr>
            <w:tcW w:w="20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2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Research and development</w:t>
            </w:r>
          </w:p>
        </w:tc>
        <w:tc>
          <w:tcPr>
            <w:tcW w:w="20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5,484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4,140</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18,027</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15,575</w:t>
            </w:r>
          </w:p>
        </w:tc>
        <w:tc>
          <w:tcPr>
            <w:tcW w:w="0" w:type="dxa"/>
            <w:vAlign w:val="bottom"/>
          </w:tcPr>
          <w:p>
            <w:pPr>
              <w:spacing w:after="0"/>
              <w:rPr>
                <w:sz w:val="1"/>
                <w:szCs w:val="1"/>
                <w:color w:val="auto"/>
              </w:rPr>
            </w:pPr>
          </w:p>
        </w:tc>
      </w:tr>
      <w:tr>
        <w:trPr>
          <w:trHeight w:val="243"/>
        </w:trPr>
        <w:tc>
          <w:tcPr>
            <w:tcW w:w="5160" w:type="dxa"/>
            <w:vAlign w:val="bottom"/>
          </w:tcPr>
          <w:p>
            <w:pPr>
              <w:ind w:left="260"/>
              <w:spacing w:after="0"/>
              <w:rPr>
                <w:sz w:val="20"/>
                <w:szCs w:val="20"/>
                <w:color w:val="auto"/>
              </w:rPr>
            </w:pPr>
            <w:r>
              <w:rPr>
                <w:rFonts w:ascii="Arial" w:cs="Arial" w:eastAsia="Arial" w:hAnsi="Arial"/>
                <w:sz w:val="18"/>
                <w:szCs w:val="18"/>
                <w:color w:val="auto"/>
              </w:rPr>
              <w:t>Sales, general and administrative</w:t>
            </w:r>
          </w:p>
        </w:tc>
        <w:tc>
          <w:tcPr>
            <w:tcW w:w="200" w:type="dxa"/>
            <w:vAlign w:val="bottom"/>
          </w:tcPr>
          <w:p>
            <w:pPr>
              <w:spacing w:after="0"/>
              <w:rPr>
                <w:sz w:val="21"/>
                <w:szCs w:val="21"/>
                <w:color w:val="auto"/>
              </w:rPr>
            </w:pPr>
          </w:p>
        </w:tc>
        <w:tc>
          <w:tcPr>
            <w:tcW w:w="1420" w:type="dxa"/>
            <w:vAlign w:val="bottom"/>
          </w:tcPr>
          <w:p>
            <w:pPr>
              <w:jc w:val="right"/>
              <w:ind w:right="30"/>
              <w:spacing w:after="0"/>
              <w:rPr>
                <w:sz w:val="20"/>
                <w:szCs w:val="20"/>
                <w:color w:val="auto"/>
              </w:rPr>
            </w:pPr>
            <w:r>
              <w:rPr>
                <w:rFonts w:ascii="Arial" w:cs="Arial" w:eastAsia="Arial" w:hAnsi="Arial"/>
                <w:sz w:val="18"/>
                <w:szCs w:val="18"/>
                <w:color w:val="auto"/>
              </w:rPr>
              <w:t>29,154</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40" w:type="dxa"/>
            <w:vAlign w:val="bottom"/>
          </w:tcPr>
          <w:p>
            <w:pPr>
              <w:jc w:val="right"/>
              <w:ind w:right="30"/>
              <w:spacing w:after="0"/>
              <w:rPr>
                <w:sz w:val="20"/>
                <w:szCs w:val="20"/>
                <w:color w:val="auto"/>
              </w:rPr>
            </w:pPr>
            <w:r>
              <w:rPr>
                <w:rFonts w:ascii="Arial" w:cs="Arial" w:eastAsia="Arial" w:hAnsi="Arial"/>
                <w:sz w:val="18"/>
                <w:szCs w:val="18"/>
                <w:color w:val="auto"/>
              </w:rPr>
              <w:t>19,429</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101,852</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64,258</w:t>
            </w:r>
          </w:p>
        </w:tc>
        <w:tc>
          <w:tcPr>
            <w:tcW w:w="0" w:type="dxa"/>
            <w:vAlign w:val="bottom"/>
          </w:tcPr>
          <w:p>
            <w:pPr>
              <w:spacing w:after="0"/>
              <w:rPr>
                <w:sz w:val="1"/>
                <w:szCs w:val="1"/>
                <w:color w:val="auto"/>
              </w:rPr>
            </w:pPr>
          </w:p>
        </w:tc>
      </w:tr>
      <w:tr>
        <w:trPr>
          <w:trHeight w:val="27"/>
        </w:trPr>
        <w:tc>
          <w:tcPr>
            <w:tcW w:w="516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516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Total operating expenses</w:t>
            </w:r>
          </w:p>
        </w:tc>
        <w:tc>
          <w:tcPr>
            <w:tcW w:w="20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34,638</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23,569</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119,879</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79,833</w:t>
            </w:r>
          </w:p>
        </w:tc>
        <w:tc>
          <w:tcPr>
            <w:tcW w:w="0" w:type="dxa"/>
            <w:vAlign w:val="bottom"/>
          </w:tcPr>
          <w:p>
            <w:pPr>
              <w:spacing w:after="0"/>
              <w:rPr>
                <w:sz w:val="1"/>
                <w:szCs w:val="1"/>
                <w:color w:val="auto"/>
              </w:rPr>
            </w:pPr>
          </w:p>
        </w:tc>
      </w:tr>
      <w:tr>
        <w:trPr>
          <w:trHeight w:val="237"/>
        </w:trPr>
        <w:tc>
          <w:tcPr>
            <w:tcW w:w="5160" w:type="dxa"/>
            <w:vAlign w:val="bottom"/>
          </w:tcPr>
          <w:p>
            <w:pPr>
              <w:ind w:left="40"/>
              <w:spacing w:after="0"/>
              <w:rPr>
                <w:sz w:val="20"/>
                <w:szCs w:val="20"/>
                <w:color w:val="auto"/>
              </w:rPr>
            </w:pPr>
            <w:r>
              <w:rPr>
                <w:rFonts w:ascii="Arial" w:cs="Arial" w:eastAsia="Arial" w:hAnsi="Arial"/>
                <w:sz w:val="18"/>
                <w:szCs w:val="18"/>
                <w:color w:val="auto"/>
              </w:rPr>
              <w:t>Income from operations</w:t>
            </w:r>
          </w:p>
        </w:tc>
        <w:tc>
          <w:tcPr>
            <w:tcW w:w="20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1,820</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322</w:t>
            </w:r>
          </w:p>
        </w:tc>
        <w:tc>
          <w:tcPr>
            <w:tcW w:w="1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4,179</w:t>
            </w:r>
          </w:p>
        </w:tc>
        <w:tc>
          <w:tcPr>
            <w:tcW w:w="12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3,009</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income (expense), net</w:t>
            </w:r>
          </w:p>
        </w:tc>
        <w:tc>
          <w:tcPr>
            <w:tcW w:w="20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139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256</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541</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439</w:t>
            </w:r>
          </w:p>
        </w:tc>
        <w:tc>
          <w:tcPr>
            <w:tcW w:w="0" w:type="dxa"/>
            <w:vAlign w:val="bottom"/>
          </w:tcPr>
          <w:p>
            <w:pPr>
              <w:spacing w:after="0"/>
              <w:rPr>
                <w:sz w:val="1"/>
                <w:szCs w:val="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Other income (expense), net</w:t>
            </w:r>
          </w:p>
        </w:tc>
        <w:tc>
          <w:tcPr>
            <w:tcW w:w="200" w:type="dxa"/>
            <w:vAlign w:val="bottom"/>
          </w:tcPr>
          <w:p>
            <w:pPr>
              <w:spacing w:after="0"/>
              <w:rPr>
                <w:sz w:val="21"/>
                <w:szCs w:val="21"/>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(83)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(161)</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(696)</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(309)</w:t>
            </w:r>
          </w:p>
        </w:tc>
        <w:tc>
          <w:tcPr>
            <w:tcW w:w="0" w:type="dxa"/>
            <w:vAlign w:val="bottom"/>
          </w:tcPr>
          <w:p>
            <w:pPr>
              <w:spacing w:after="0"/>
              <w:rPr>
                <w:sz w:val="1"/>
                <w:szCs w:val="1"/>
                <w:color w:val="auto"/>
              </w:rPr>
            </w:pPr>
          </w:p>
        </w:tc>
      </w:tr>
      <w:tr>
        <w:trPr>
          <w:trHeight w:val="27"/>
        </w:trPr>
        <w:tc>
          <w:tcPr>
            <w:tcW w:w="516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before provision for income taxes</w:t>
            </w:r>
          </w:p>
        </w:tc>
        <w:tc>
          <w:tcPr>
            <w:tcW w:w="20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1,876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417</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4,024</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3,139</w:t>
            </w:r>
          </w:p>
        </w:tc>
        <w:tc>
          <w:tcPr>
            <w:tcW w:w="0" w:type="dxa"/>
            <w:vAlign w:val="bottom"/>
          </w:tcPr>
          <w:p>
            <w:pPr>
              <w:spacing w:after="0"/>
              <w:rPr>
                <w:sz w:val="1"/>
                <w:szCs w:val="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Provision for income taxes</w:t>
            </w:r>
          </w:p>
        </w:tc>
        <w:tc>
          <w:tcPr>
            <w:tcW w:w="200" w:type="dxa"/>
            <w:vAlign w:val="bottom"/>
          </w:tcPr>
          <w:p>
            <w:pPr>
              <w:spacing w:after="0"/>
              <w:rPr>
                <w:sz w:val="21"/>
                <w:szCs w:val="21"/>
                <w:color w:val="auto"/>
              </w:rPr>
            </w:pPr>
          </w:p>
        </w:tc>
        <w:tc>
          <w:tcPr>
            <w:tcW w:w="1420" w:type="dxa"/>
            <w:vAlign w:val="bottom"/>
          </w:tcPr>
          <w:p>
            <w:pPr>
              <w:jc w:val="right"/>
              <w:ind w:right="30"/>
              <w:spacing w:after="0"/>
              <w:rPr>
                <w:sz w:val="20"/>
                <w:szCs w:val="20"/>
                <w:color w:val="auto"/>
              </w:rPr>
            </w:pPr>
            <w:r>
              <w:rPr>
                <w:rFonts w:ascii="Arial" w:cs="Arial" w:eastAsia="Arial" w:hAnsi="Arial"/>
                <w:sz w:val="18"/>
                <w:szCs w:val="18"/>
                <w:color w:val="auto"/>
              </w:rPr>
              <w:t>243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40" w:type="dxa"/>
            <w:vAlign w:val="bottom"/>
          </w:tcPr>
          <w:p>
            <w:pPr>
              <w:jc w:val="right"/>
              <w:ind w:right="30"/>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jc w:val="right"/>
              <w:ind w:right="10"/>
              <w:spacing w:after="0"/>
              <w:rPr>
                <w:sz w:val="20"/>
                <w:szCs w:val="20"/>
                <w:color w:val="auto"/>
              </w:rPr>
            </w:pPr>
            <w:r>
              <w:rPr>
                <w:rFonts w:ascii="Arial" w:cs="Arial" w:eastAsia="Arial" w:hAnsi="Arial"/>
                <w:sz w:val="18"/>
                <w:szCs w:val="18"/>
                <w:color w:val="auto"/>
              </w:rPr>
              <w:t>1,659</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894</w:t>
            </w:r>
          </w:p>
        </w:tc>
        <w:tc>
          <w:tcPr>
            <w:tcW w:w="0" w:type="dxa"/>
            <w:vAlign w:val="bottom"/>
          </w:tcPr>
          <w:p>
            <w:pPr>
              <w:spacing w:after="0"/>
              <w:rPr>
                <w:sz w:val="1"/>
                <w:szCs w:val="1"/>
                <w:color w:val="auto"/>
              </w:rPr>
            </w:pPr>
          </w:p>
        </w:tc>
      </w:tr>
      <w:tr>
        <w:trPr>
          <w:trHeight w:val="27"/>
        </w:trPr>
        <w:tc>
          <w:tcPr>
            <w:tcW w:w="516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1,633</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416</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2,365</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2,245</w:t>
            </w:r>
          </w:p>
        </w:tc>
        <w:tc>
          <w:tcPr>
            <w:tcW w:w="0" w:type="dxa"/>
            <w:vAlign w:val="bottom"/>
          </w:tcPr>
          <w:p>
            <w:pPr>
              <w:spacing w:after="0"/>
              <w:rPr>
                <w:sz w:val="1"/>
                <w:szCs w:val="1"/>
                <w:color w:val="auto"/>
              </w:rPr>
            </w:pPr>
          </w:p>
        </w:tc>
      </w:tr>
      <w:tr>
        <w:trPr>
          <w:trHeight w:val="20"/>
        </w:trPr>
        <w:tc>
          <w:tcPr>
            <w:tcW w:w="5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516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Net income (loss) attributable to common stockholders</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1,633</w:t>
            </w:r>
          </w:p>
        </w:tc>
        <w:tc>
          <w:tcPr>
            <w:tcW w:w="100" w:type="dxa"/>
            <w:vAlign w:val="bottom"/>
            <w:tcBorders>
              <w:bottom w:val="single" w:sz="8" w:color="CCEEFF"/>
            </w:tcBorders>
          </w:tcPr>
          <w:p>
            <w:pPr>
              <w:spacing w:after="0"/>
              <w:rPr>
                <w:sz w:val="24"/>
                <w:szCs w:val="24"/>
                <w:color w:val="auto"/>
              </w:rPr>
            </w:pPr>
          </w:p>
        </w:tc>
        <w:tc>
          <w:tcPr>
            <w:tcW w:w="36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81</w:t>
            </w:r>
          </w:p>
        </w:tc>
        <w:tc>
          <w:tcPr>
            <w:tcW w:w="100" w:type="dxa"/>
            <w:vAlign w:val="bottom"/>
            <w:tcBorders>
              <w:bottom w:val="single" w:sz="8" w:color="CCEEFF"/>
            </w:tcBorders>
          </w:tcPr>
          <w:p>
            <w:pPr>
              <w:spacing w:after="0"/>
              <w:rPr>
                <w:sz w:val="24"/>
                <w:szCs w:val="24"/>
                <w:color w:val="auto"/>
              </w:rPr>
            </w:pPr>
          </w:p>
        </w:tc>
        <w:tc>
          <w:tcPr>
            <w:tcW w:w="28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1,084</w:t>
            </w:r>
          </w:p>
        </w:tc>
        <w:tc>
          <w:tcPr>
            <w:tcW w:w="120" w:type="dxa"/>
            <w:vAlign w:val="bottom"/>
            <w:tcBorders>
              <w:bottom w:val="single" w:sz="8" w:color="CCEEFF"/>
            </w:tcBorders>
          </w:tcPr>
          <w:p>
            <w:pPr>
              <w:spacing w:after="0"/>
              <w:rPr>
                <w:sz w:val="24"/>
                <w:szCs w:val="24"/>
                <w:color w:val="auto"/>
              </w:rPr>
            </w:pPr>
          </w:p>
        </w:tc>
        <w:tc>
          <w:tcPr>
            <w:tcW w:w="30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(833)</w:t>
            </w:r>
          </w:p>
        </w:tc>
        <w:tc>
          <w:tcPr>
            <w:tcW w:w="0" w:type="dxa"/>
            <w:vAlign w:val="bottom"/>
          </w:tcPr>
          <w:p>
            <w:pPr>
              <w:spacing w:after="0"/>
              <w:rPr>
                <w:sz w:val="1"/>
                <w:szCs w:val="1"/>
                <w:color w:val="auto"/>
              </w:rPr>
            </w:pPr>
          </w:p>
        </w:tc>
      </w:tr>
      <w:tr>
        <w:trPr>
          <w:trHeight w:val="189"/>
        </w:trPr>
        <w:tc>
          <w:tcPr>
            <w:tcW w:w="5160" w:type="dxa"/>
            <w:vAlign w:val="bottom"/>
            <w:shd w:val="clear" w:color="auto" w:fill="CCEEFF"/>
          </w:tcPr>
          <w:p>
            <w:pPr>
              <w:ind w:left="40"/>
              <w:spacing w:after="0" w:line="189" w:lineRule="exact"/>
              <w:rPr>
                <w:sz w:val="20"/>
                <w:szCs w:val="20"/>
                <w:color w:val="auto"/>
              </w:rPr>
            </w:pPr>
            <w:r>
              <w:rPr>
                <w:rFonts w:ascii="Arial" w:cs="Arial" w:eastAsia="Arial" w:hAnsi="Arial"/>
                <w:sz w:val="18"/>
                <w:szCs w:val="18"/>
                <w:color w:val="auto"/>
                <w:w w:val="98"/>
              </w:rPr>
              <w:t>Net income (loss) per share attributable to common stockholders</w:t>
            </w:r>
          </w:p>
        </w:tc>
        <w:tc>
          <w:tcPr>
            <w:tcW w:w="20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20" w:type="dxa"/>
            <w:vAlign w:val="bottom"/>
            <w:vMerge w:val="restart"/>
            <w:shd w:val="clear" w:color="auto" w:fill="CCEEFF"/>
          </w:tcPr>
          <w:p>
            <w:pPr>
              <w:jc w:val="right"/>
              <w:ind w:right="30"/>
              <w:spacing w:after="0"/>
              <w:rPr>
                <w:sz w:val="20"/>
                <w:szCs w:val="20"/>
                <w:color w:val="auto"/>
              </w:rPr>
            </w:pPr>
            <w:r>
              <w:rPr>
                <w:rFonts w:ascii="Arial" w:cs="Arial" w:eastAsia="Arial" w:hAnsi="Arial"/>
                <w:sz w:val="18"/>
                <w:szCs w:val="18"/>
                <w:color w:val="auto"/>
              </w:rPr>
              <w:t>0.05</w:t>
            </w:r>
          </w:p>
        </w:tc>
        <w:tc>
          <w:tcPr>
            <w:tcW w:w="100" w:type="dxa"/>
            <w:vAlign w:val="bottom"/>
            <w:shd w:val="clear" w:color="auto" w:fill="CCEEFF"/>
          </w:tcPr>
          <w:p>
            <w:pPr>
              <w:spacing w:after="0"/>
              <w:rPr>
                <w:sz w:val="16"/>
                <w:szCs w:val="16"/>
                <w:color w:val="auto"/>
              </w:rPr>
            </w:pPr>
          </w:p>
        </w:tc>
        <w:tc>
          <w:tcPr>
            <w:tcW w:w="360" w:type="dxa"/>
            <w:vAlign w:val="bottom"/>
            <w:vMerge w:val="restart"/>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240" w:type="dxa"/>
            <w:vAlign w:val="bottom"/>
            <w:vMerge w:val="restart"/>
            <w:shd w:val="clear" w:color="auto" w:fill="CCEEFF"/>
          </w:tcPr>
          <w:p>
            <w:pPr>
              <w:jc w:val="right"/>
              <w:ind w:right="30"/>
              <w:spacing w:after="0"/>
              <w:rPr>
                <w:sz w:val="20"/>
                <w:szCs w:val="20"/>
                <w:color w:val="auto"/>
              </w:rPr>
            </w:pPr>
            <w:r>
              <w:rPr>
                <w:rFonts w:ascii="Arial" w:cs="Arial" w:eastAsia="Arial" w:hAnsi="Arial"/>
                <w:sz w:val="18"/>
                <w:szCs w:val="18"/>
                <w:color w:val="auto"/>
              </w:rPr>
              <w:t>0.02</w:t>
            </w:r>
          </w:p>
        </w:tc>
        <w:tc>
          <w:tcPr>
            <w:tcW w:w="100" w:type="dxa"/>
            <w:vAlign w:val="bottom"/>
            <w:shd w:val="clear" w:color="auto" w:fill="CCEEFF"/>
          </w:tcPr>
          <w:p>
            <w:pPr>
              <w:spacing w:after="0"/>
              <w:rPr>
                <w:sz w:val="16"/>
                <w:szCs w:val="16"/>
                <w:color w:val="auto"/>
              </w:rPr>
            </w:pPr>
          </w:p>
        </w:tc>
        <w:tc>
          <w:tcPr>
            <w:tcW w:w="280" w:type="dxa"/>
            <w:vAlign w:val="bottom"/>
            <w:vMerge w:val="restart"/>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vMerge w:val="restart"/>
            <w:shd w:val="clear" w:color="auto" w:fill="CCEEFF"/>
          </w:tcPr>
          <w:p>
            <w:pPr>
              <w:jc w:val="right"/>
              <w:ind w:right="10"/>
              <w:spacing w:after="0"/>
              <w:rPr>
                <w:sz w:val="20"/>
                <w:szCs w:val="20"/>
                <w:color w:val="auto"/>
              </w:rPr>
            </w:pPr>
            <w:r>
              <w:rPr>
                <w:rFonts w:ascii="Arial" w:cs="Arial" w:eastAsia="Arial" w:hAnsi="Arial"/>
                <w:sz w:val="18"/>
                <w:szCs w:val="18"/>
                <w:color w:val="auto"/>
              </w:rPr>
              <w:t>0.09</w:t>
            </w:r>
          </w:p>
        </w:tc>
        <w:tc>
          <w:tcPr>
            <w:tcW w:w="120" w:type="dxa"/>
            <w:vAlign w:val="bottom"/>
            <w:shd w:val="clear" w:color="auto" w:fill="CCEEFF"/>
          </w:tcPr>
          <w:p>
            <w:pPr>
              <w:spacing w:after="0"/>
              <w:rPr>
                <w:sz w:val="16"/>
                <w:szCs w:val="16"/>
                <w:color w:val="auto"/>
              </w:rPr>
            </w:pPr>
          </w:p>
        </w:tc>
        <w:tc>
          <w:tcPr>
            <w:tcW w:w="300" w:type="dxa"/>
            <w:vAlign w:val="bottom"/>
            <w:vMerge w:val="restart"/>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6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(0.18)</w:t>
            </w:r>
          </w:p>
        </w:tc>
        <w:tc>
          <w:tcPr>
            <w:tcW w:w="0" w:type="dxa"/>
            <w:vAlign w:val="bottom"/>
          </w:tcPr>
          <w:p>
            <w:pPr>
              <w:spacing w:after="0"/>
              <w:rPr>
                <w:sz w:val="1"/>
                <w:szCs w:val="1"/>
                <w:color w:val="auto"/>
              </w:rPr>
            </w:pPr>
          </w:p>
        </w:tc>
      </w:tr>
      <w:tr>
        <w:trPr>
          <w:trHeight w:val="237"/>
        </w:trPr>
        <w:tc>
          <w:tcPr>
            <w:tcW w:w="516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—Basic</w:t>
            </w:r>
          </w:p>
        </w:tc>
        <w:tc>
          <w:tcPr>
            <w:tcW w:w="200" w:type="dxa"/>
            <w:vAlign w:val="bottom"/>
            <w:tcBorders>
              <w:bottom w:val="single" w:sz="8" w:color="auto"/>
            </w:tcBorders>
            <w:vMerge w:val="continue"/>
            <w:shd w:val="clear" w:color="auto" w:fill="CCEEFF"/>
          </w:tcPr>
          <w:p>
            <w:pPr>
              <w:spacing w:after="0"/>
              <w:rPr>
                <w:sz w:val="20"/>
                <w:szCs w:val="20"/>
                <w:color w:val="auto"/>
              </w:rPr>
            </w:pPr>
          </w:p>
        </w:tc>
        <w:tc>
          <w:tcPr>
            <w:tcW w:w="1420" w:type="dxa"/>
            <w:vAlign w:val="bottom"/>
            <w:tcBorders>
              <w:bottom w:val="single" w:sz="8" w:color="auto"/>
            </w:tcBorders>
            <w:vMerge w:val="continue"/>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auto"/>
            </w:tcBorders>
            <w:vMerge w:val="continue"/>
            <w:shd w:val="clear" w:color="auto" w:fill="CCEEFF"/>
          </w:tcPr>
          <w:p>
            <w:pPr>
              <w:spacing w:after="0"/>
              <w:rPr>
                <w:sz w:val="20"/>
                <w:szCs w:val="20"/>
                <w:color w:val="auto"/>
              </w:rPr>
            </w:pPr>
          </w:p>
        </w:tc>
        <w:tc>
          <w:tcPr>
            <w:tcW w:w="1240" w:type="dxa"/>
            <w:vAlign w:val="bottom"/>
            <w:tcBorders>
              <w:bottom w:val="single" w:sz="8" w:color="auto"/>
            </w:tcBorders>
            <w:vMerge w:val="continue"/>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vMerge w:val="continue"/>
            <w:shd w:val="clear" w:color="auto" w:fill="CCEEFF"/>
          </w:tcPr>
          <w:p>
            <w:pPr>
              <w:spacing w:after="0"/>
              <w:rPr>
                <w:sz w:val="20"/>
                <w:szCs w:val="20"/>
                <w:color w:val="auto"/>
              </w:rPr>
            </w:pPr>
          </w:p>
        </w:tc>
        <w:tc>
          <w:tcPr>
            <w:tcW w:w="1080" w:type="dxa"/>
            <w:vAlign w:val="bottom"/>
            <w:tcBorders>
              <w:bottom w:val="single" w:sz="8" w:color="auto"/>
            </w:tcBorders>
            <w:vMerge w:val="continue"/>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auto"/>
            </w:tcBorders>
            <w:vMerge w:val="continue"/>
            <w:shd w:val="clear" w:color="auto" w:fill="CCEEFF"/>
          </w:tcPr>
          <w:p>
            <w:pPr>
              <w:spacing w:after="0"/>
              <w:rPr>
                <w:sz w:val="20"/>
                <w:szCs w:val="20"/>
                <w:color w:val="auto"/>
              </w:rPr>
            </w:pPr>
          </w:p>
        </w:tc>
        <w:tc>
          <w:tcPr>
            <w:tcW w:w="1060" w:type="dxa"/>
            <w:vAlign w:val="bottom"/>
            <w:tcBorders>
              <w:bottom w:val="single" w:sz="8" w:color="auto"/>
            </w:tcBorders>
            <w:vMerge w:val="continue"/>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5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5160" w:type="dxa"/>
            <w:vAlign w:val="bottom"/>
            <w:tcBorders>
              <w:bottom w:val="single" w:sz="8" w:color="CCEEFF"/>
            </w:tcBorders>
          </w:tcPr>
          <w:p>
            <w:pPr>
              <w:ind w:left="480"/>
              <w:spacing w:after="0"/>
              <w:rPr>
                <w:sz w:val="20"/>
                <w:szCs w:val="20"/>
                <w:color w:val="auto"/>
              </w:rPr>
            </w:pPr>
            <w:r>
              <w:rPr>
                <w:rFonts w:ascii="Arial" w:cs="Arial" w:eastAsia="Arial" w:hAnsi="Arial"/>
                <w:sz w:val="18"/>
                <w:szCs w:val="18"/>
                <w:color w:val="auto"/>
              </w:rPr>
              <w:t>—Diluted</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0.05</w:t>
            </w:r>
          </w:p>
        </w:tc>
        <w:tc>
          <w:tcPr>
            <w:tcW w:w="100" w:type="dxa"/>
            <w:vAlign w:val="bottom"/>
            <w:tcBorders>
              <w:bottom w:val="single" w:sz="8" w:color="CCEEFF"/>
            </w:tcBorders>
          </w:tcPr>
          <w:p>
            <w:pPr>
              <w:spacing w:after="0"/>
              <w:rPr>
                <w:sz w:val="24"/>
                <w:szCs w:val="24"/>
                <w:color w:val="auto"/>
              </w:rPr>
            </w:pPr>
          </w:p>
        </w:tc>
        <w:tc>
          <w:tcPr>
            <w:tcW w:w="36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0.01</w:t>
            </w:r>
          </w:p>
        </w:tc>
        <w:tc>
          <w:tcPr>
            <w:tcW w:w="100" w:type="dxa"/>
            <w:vAlign w:val="bottom"/>
            <w:tcBorders>
              <w:bottom w:val="single" w:sz="8" w:color="CCEEFF"/>
            </w:tcBorders>
          </w:tcPr>
          <w:p>
            <w:pPr>
              <w:spacing w:after="0"/>
              <w:rPr>
                <w:sz w:val="24"/>
                <w:szCs w:val="24"/>
                <w:color w:val="auto"/>
              </w:rPr>
            </w:pPr>
          </w:p>
        </w:tc>
        <w:tc>
          <w:tcPr>
            <w:tcW w:w="28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0.08</w:t>
            </w:r>
          </w:p>
        </w:tc>
        <w:tc>
          <w:tcPr>
            <w:tcW w:w="120" w:type="dxa"/>
            <w:vAlign w:val="bottom"/>
            <w:tcBorders>
              <w:bottom w:val="single" w:sz="8" w:color="CCEEFF"/>
            </w:tcBorders>
          </w:tcPr>
          <w:p>
            <w:pPr>
              <w:spacing w:after="0"/>
              <w:rPr>
                <w:sz w:val="24"/>
                <w:szCs w:val="24"/>
                <w:color w:val="auto"/>
              </w:rPr>
            </w:pPr>
          </w:p>
        </w:tc>
        <w:tc>
          <w:tcPr>
            <w:tcW w:w="30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(0.18)</w:t>
            </w:r>
          </w:p>
        </w:tc>
        <w:tc>
          <w:tcPr>
            <w:tcW w:w="0" w:type="dxa"/>
            <w:vAlign w:val="bottom"/>
          </w:tcPr>
          <w:p>
            <w:pPr>
              <w:spacing w:after="0"/>
              <w:rPr>
                <w:sz w:val="1"/>
                <w:szCs w:val="1"/>
                <w:color w:val="auto"/>
              </w:rPr>
            </w:pPr>
          </w:p>
        </w:tc>
      </w:tr>
      <w:tr>
        <w:trPr>
          <w:trHeight w:val="189"/>
        </w:trPr>
        <w:tc>
          <w:tcPr>
            <w:tcW w:w="5160" w:type="dxa"/>
            <w:vAlign w:val="bottom"/>
            <w:shd w:val="clear" w:color="auto" w:fill="CCEEFF"/>
          </w:tcPr>
          <w:p>
            <w:pPr>
              <w:ind w:left="40"/>
              <w:spacing w:after="0" w:line="189" w:lineRule="exact"/>
              <w:rPr>
                <w:sz w:val="20"/>
                <w:szCs w:val="20"/>
                <w:color w:val="auto"/>
              </w:rPr>
            </w:pPr>
            <w:r>
              <w:rPr>
                <w:rFonts w:ascii="Arial" w:cs="Arial" w:eastAsia="Arial" w:hAnsi="Arial"/>
                <w:sz w:val="18"/>
                <w:szCs w:val="18"/>
                <w:color w:val="auto"/>
                <w:w w:val="98"/>
              </w:rPr>
              <w:t>Weighted average shares used to compute net income (loss) per</w:t>
            </w:r>
          </w:p>
        </w:tc>
        <w:tc>
          <w:tcPr>
            <w:tcW w:w="200" w:type="dxa"/>
            <w:vAlign w:val="bottom"/>
            <w:shd w:val="clear" w:color="auto" w:fill="CCEEFF"/>
          </w:tcPr>
          <w:p>
            <w:pPr>
              <w:spacing w:after="0"/>
              <w:rPr>
                <w:sz w:val="16"/>
                <w:szCs w:val="16"/>
                <w:color w:val="auto"/>
              </w:rPr>
            </w:pPr>
          </w:p>
        </w:tc>
        <w:tc>
          <w:tcPr>
            <w:tcW w:w="14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12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10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10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5160" w:type="dxa"/>
            <w:vAlign w:val="bottom"/>
            <w:shd w:val="clear" w:color="auto" w:fill="CCEEFF"/>
          </w:tcPr>
          <w:p>
            <w:pPr>
              <w:ind w:left="40"/>
              <w:spacing w:after="0"/>
              <w:rPr>
                <w:sz w:val="20"/>
                <w:szCs w:val="20"/>
                <w:color w:val="auto"/>
              </w:rPr>
            </w:pPr>
            <w:r>
              <w:rPr>
                <w:rFonts w:ascii="Arial" w:cs="Arial" w:eastAsia="Arial" w:hAnsi="Arial"/>
                <w:sz w:val="18"/>
                <w:szCs w:val="18"/>
                <w:color w:val="auto"/>
              </w:rPr>
              <w:t>share attributable to common stockholders</w:t>
            </w:r>
          </w:p>
        </w:tc>
        <w:tc>
          <w:tcPr>
            <w:tcW w:w="200" w:type="dxa"/>
            <w:vAlign w:val="bottom"/>
            <w:shd w:val="clear" w:color="auto" w:fill="CCEEFF"/>
          </w:tcPr>
          <w:p>
            <w:pPr>
              <w:spacing w:after="0"/>
              <w:rPr>
                <w:sz w:val="18"/>
                <w:szCs w:val="18"/>
                <w:color w:val="auto"/>
              </w:rPr>
            </w:pPr>
          </w:p>
        </w:tc>
        <w:tc>
          <w:tcPr>
            <w:tcW w:w="1420" w:type="dxa"/>
            <w:vAlign w:val="bottom"/>
            <w:vMerge w:val="restart"/>
            <w:shd w:val="clear" w:color="auto" w:fill="CCEEFF"/>
          </w:tcPr>
          <w:p>
            <w:pPr>
              <w:jc w:val="right"/>
              <w:ind w:right="30"/>
              <w:spacing w:after="0"/>
              <w:rPr>
                <w:sz w:val="20"/>
                <w:szCs w:val="20"/>
                <w:color w:val="auto"/>
              </w:rPr>
            </w:pPr>
            <w:r>
              <w:rPr>
                <w:rFonts w:ascii="Arial" w:cs="Arial" w:eastAsia="Arial" w:hAnsi="Arial"/>
                <w:sz w:val="18"/>
                <w:szCs w:val="18"/>
                <w:color w:val="auto"/>
              </w:rPr>
              <w:t>29,890,944</w:t>
            </w: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40" w:type="dxa"/>
            <w:vAlign w:val="bottom"/>
            <w:vMerge w:val="restart"/>
            <w:shd w:val="clear" w:color="auto" w:fill="CCEEFF"/>
          </w:tcPr>
          <w:p>
            <w:pPr>
              <w:jc w:val="right"/>
              <w:ind w:right="30"/>
              <w:spacing w:after="0"/>
              <w:rPr>
                <w:sz w:val="20"/>
                <w:szCs w:val="20"/>
                <w:color w:val="auto"/>
              </w:rPr>
            </w:pPr>
            <w:r>
              <w:rPr>
                <w:rFonts w:ascii="Arial" w:cs="Arial" w:eastAsia="Arial" w:hAnsi="Arial"/>
                <w:sz w:val="18"/>
                <w:szCs w:val="18"/>
                <w:color w:val="auto"/>
              </w:rPr>
              <w:t>4,701,999</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80" w:type="dxa"/>
            <w:vAlign w:val="bottom"/>
            <w:vMerge w:val="restart"/>
            <w:shd w:val="clear" w:color="auto" w:fill="CCEEFF"/>
          </w:tcPr>
          <w:p>
            <w:pPr>
              <w:jc w:val="right"/>
              <w:ind w:right="10"/>
              <w:spacing w:after="0"/>
              <w:rPr>
                <w:sz w:val="20"/>
                <w:szCs w:val="20"/>
                <w:color w:val="auto"/>
              </w:rPr>
            </w:pPr>
            <w:r>
              <w:rPr>
                <w:rFonts w:ascii="Arial" w:cs="Arial" w:eastAsia="Arial" w:hAnsi="Arial"/>
                <w:sz w:val="18"/>
                <w:szCs w:val="18"/>
                <w:color w:val="auto"/>
              </w:rPr>
              <w:t>11,993,429</w:t>
            </w:r>
          </w:p>
        </w:tc>
        <w:tc>
          <w:tcPr>
            <w:tcW w:w="1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60" w:type="dxa"/>
            <w:vAlign w:val="bottom"/>
            <w:vMerge w:val="restart"/>
            <w:shd w:val="clear" w:color="auto" w:fill="CCEEFF"/>
          </w:tcPr>
          <w:p>
            <w:pPr>
              <w:jc w:val="right"/>
              <w:ind w:right="10"/>
              <w:spacing w:after="0"/>
              <w:rPr>
                <w:sz w:val="20"/>
                <w:szCs w:val="20"/>
                <w:color w:val="auto"/>
              </w:rPr>
            </w:pPr>
            <w:r>
              <w:rPr>
                <w:rFonts w:ascii="Arial" w:cs="Arial" w:eastAsia="Arial" w:hAnsi="Arial"/>
                <w:sz w:val="18"/>
                <w:szCs w:val="18"/>
                <w:color w:val="auto"/>
              </w:rPr>
              <w:t>4,609,375</w:t>
            </w:r>
          </w:p>
        </w:tc>
        <w:tc>
          <w:tcPr>
            <w:tcW w:w="0" w:type="dxa"/>
            <w:vAlign w:val="bottom"/>
          </w:tcPr>
          <w:p>
            <w:pPr>
              <w:spacing w:after="0"/>
              <w:rPr>
                <w:sz w:val="1"/>
                <w:szCs w:val="1"/>
                <w:color w:val="auto"/>
              </w:rPr>
            </w:pPr>
          </w:p>
        </w:tc>
      </w:tr>
      <w:tr>
        <w:trPr>
          <w:trHeight w:val="237"/>
        </w:trPr>
        <w:tc>
          <w:tcPr>
            <w:tcW w:w="516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—Basic</w:t>
            </w:r>
          </w:p>
        </w:tc>
        <w:tc>
          <w:tcPr>
            <w:tcW w:w="200" w:type="dxa"/>
            <w:vAlign w:val="bottom"/>
            <w:tcBorders>
              <w:bottom w:val="single" w:sz="8" w:color="auto"/>
            </w:tcBorders>
            <w:shd w:val="clear" w:color="auto" w:fill="CCEEFF"/>
          </w:tcPr>
          <w:p>
            <w:pPr>
              <w:spacing w:after="0"/>
              <w:rPr>
                <w:sz w:val="20"/>
                <w:szCs w:val="20"/>
                <w:color w:val="auto"/>
              </w:rPr>
            </w:pPr>
          </w:p>
        </w:tc>
        <w:tc>
          <w:tcPr>
            <w:tcW w:w="1420" w:type="dxa"/>
            <w:vAlign w:val="bottom"/>
            <w:tcBorders>
              <w:bottom w:val="single" w:sz="8" w:color="auto"/>
            </w:tcBorders>
            <w:vMerge w:val="continue"/>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auto"/>
            </w:tcBorders>
            <w:shd w:val="clear" w:color="auto" w:fill="CCEEFF"/>
          </w:tcPr>
          <w:p>
            <w:pPr>
              <w:spacing w:after="0"/>
              <w:rPr>
                <w:sz w:val="20"/>
                <w:szCs w:val="20"/>
                <w:color w:val="auto"/>
              </w:rPr>
            </w:pPr>
          </w:p>
        </w:tc>
        <w:tc>
          <w:tcPr>
            <w:tcW w:w="1240" w:type="dxa"/>
            <w:vAlign w:val="bottom"/>
            <w:tcBorders>
              <w:bottom w:val="single" w:sz="8" w:color="auto"/>
            </w:tcBorders>
            <w:vMerge w:val="continue"/>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spacing w:after="0"/>
              <w:rPr>
                <w:sz w:val="20"/>
                <w:szCs w:val="20"/>
                <w:color w:val="auto"/>
              </w:rPr>
            </w:pPr>
          </w:p>
        </w:tc>
        <w:tc>
          <w:tcPr>
            <w:tcW w:w="1080" w:type="dxa"/>
            <w:vAlign w:val="bottom"/>
            <w:tcBorders>
              <w:bottom w:val="single" w:sz="8" w:color="auto"/>
            </w:tcBorders>
            <w:vMerge w:val="continue"/>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auto"/>
            </w:tcBorders>
            <w:shd w:val="clear" w:color="auto" w:fill="CCEEFF"/>
          </w:tcPr>
          <w:p>
            <w:pPr>
              <w:spacing w:after="0"/>
              <w:rPr>
                <w:sz w:val="20"/>
                <w:szCs w:val="20"/>
                <w:color w:val="auto"/>
              </w:rPr>
            </w:pPr>
          </w:p>
        </w:tc>
        <w:tc>
          <w:tcPr>
            <w:tcW w:w="1060" w:type="dxa"/>
            <w:vAlign w:val="bottom"/>
            <w:tcBorders>
              <w:bottom w:val="single" w:sz="8" w:color="auto"/>
            </w:tcBorders>
            <w:vMerge w:val="continue"/>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5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1"/>
        </w:trPr>
        <w:tc>
          <w:tcPr>
            <w:tcW w:w="5160" w:type="dxa"/>
            <w:vAlign w:val="bottom"/>
          </w:tcPr>
          <w:p>
            <w:pPr>
              <w:ind w:left="480"/>
              <w:spacing w:after="0"/>
              <w:rPr>
                <w:sz w:val="20"/>
                <w:szCs w:val="20"/>
                <w:color w:val="auto"/>
              </w:rPr>
            </w:pPr>
            <w:r>
              <w:rPr>
                <w:rFonts w:ascii="Arial" w:cs="Arial" w:eastAsia="Arial" w:hAnsi="Arial"/>
                <w:sz w:val="18"/>
                <w:szCs w:val="18"/>
                <w:color w:val="auto"/>
              </w:rPr>
              <w:t>—Diluted</w:t>
            </w:r>
          </w:p>
        </w:tc>
        <w:tc>
          <w:tcPr>
            <w:tcW w:w="200" w:type="dxa"/>
            <w:vAlign w:val="bottom"/>
            <w:tcBorders>
              <w:bottom w:val="single" w:sz="8" w:color="auto"/>
            </w:tcBorders>
          </w:tcPr>
          <w:p>
            <w:pPr>
              <w:spacing w:after="0"/>
              <w:rPr>
                <w:sz w:val="21"/>
                <w:szCs w:val="21"/>
                <w:color w:val="auto"/>
              </w:rPr>
            </w:pPr>
          </w:p>
        </w:tc>
        <w:tc>
          <w:tcPr>
            <w:tcW w:w="14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32,321,410</w:t>
            </w:r>
          </w:p>
        </w:tc>
        <w:tc>
          <w:tcPr>
            <w:tcW w:w="100" w:type="dxa"/>
            <w:vAlign w:val="bottom"/>
          </w:tcPr>
          <w:p>
            <w:pPr>
              <w:spacing w:after="0"/>
              <w:rPr>
                <w:sz w:val="21"/>
                <w:szCs w:val="21"/>
                <w:color w:val="auto"/>
              </w:rPr>
            </w:pPr>
          </w:p>
        </w:tc>
        <w:tc>
          <w:tcPr>
            <w:tcW w:w="360" w:type="dxa"/>
            <w:vAlign w:val="bottom"/>
            <w:tcBorders>
              <w:bottom w:val="single" w:sz="8" w:color="auto"/>
            </w:tcBorders>
          </w:tcPr>
          <w:p>
            <w:pPr>
              <w:spacing w:after="0"/>
              <w:rPr>
                <w:sz w:val="21"/>
                <w:szCs w:val="21"/>
                <w:color w:val="auto"/>
              </w:rPr>
            </w:pPr>
          </w:p>
        </w:tc>
        <w:tc>
          <w:tcPr>
            <w:tcW w:w="12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7,102,885</w:t>
            </w:r>
          </w:p>
        </w:tc>
        <w:tc>
          <w:tcPr>
            <w:tcW w:w="100" w:type="dxa"/>
            <w:vAlign w:val="bottom"/>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10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14,219,650</w:t>
            </w:r>
          </w:p>
        </w:tc>
        <w:tc>
          <w:tcPr>
            <w:tcW w:w="120" w:type="dxa"/>
            <w:vAlign w:val="bottom"/>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10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4,609,375</w:t>
            </w:r>
          </w:p>
        </w:tc>
        <w:tc>
          <w:tcPr>
            <w:tcW w:w="0" w:type="dxa"/>
            <w:vAlign w:val="bottom"/>
          </w:tcPr>
          <w:p>
            <w:pPr>
              <w:spacing w:after="0"/>
              <w:rPr>
                <w:sz w:val="1"/>
                <w:szCs w:val="1"/>
                <w:color w:val="auto"/>
              </w:rPr>
            </w:pPr>
          </w:p>
        </w:tc>
      </w:tr>
      <w:tr>
        <w:trPr>
          <w:trHeight w:val="20"/>
        </w:trPr>
        <w:tc>
          <w:tcPr>
            <w:tcW w:w="5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621" w:right="239" w:bottom="1440" w:gutter="0" w:footer="0" w:header="0"/>
        </w:sectPr>
      </w:pPr>
    </w:p>
    <w:bookmarkStart w:id="9" w:name="page10"/>
    <w:bookmarkEnd w:id="9"/>
    <w:p>
      <w:pPr>
        <w:jc w:val="center"/>
        <w:spacing w:after="0"/>
        <w:rPr>
          <w:sz w:val="20"/>
          <w:szCs w:val="20"/>
          <w:color w:val="auto"/>
        </w:rPr>
      </w:pPr>
      <w:r>
        <w:rPr>
          <w:rFonts w:ascii="Arial" w:cs="Arial" w:eastAsia="Arial" w:hAnsi="Arial"/>
          <w:sz w:val="18"/>
          <w:szCs w:val="18"/>
          <w:b w:val="1"/>
          <w:bCs w:val="1"/>
          <w:color w:val="auto"/>
        </w:rPr>
        <w:t>Penumbra, Inc.</w:t>
      </w:r>
    </w:p>
    <w:p>
      <w:pPr>
        <w:jc w:val="center"/>
        <w:ind w:right="40"/>
        <w:spacing w:after="0" w:line="204" w:lineRule="auto"/>
        <w:rPr>
          <w:sz w:val="20"/>
          <w:szCs w:val="20"/>
          <w:color w:val="auto"/>
        </w:rPr>
      </w:pPr>
      <w:r>
        <w:rPr>
          <w:rFonts w:ascii="Arial" w:cs="Arial" w:eastAsia="Arial" w:hAnsi="Arial"/>
          <w:sz w:val="18"/>
          <w:szCs w:val="18"/>
          <w:b w:val="1"/>
          <w:bCs w:val="1"/>
          <w:color w:val="auto"/>
        </w:rPr>
        <w:t>Reconciliation of Revenue Growth by Geographic Regions to Constant Currency Revenue Growth</w:t>
      </w:r>
      <w:r>
        <w:rPr>
          <w:rFonts w:ascii="Arial" w:cs="Arial" w:eastAsia="Arial" w:hAnsi="Arial"/>
          <w:sz w:val="25"/>
          <w:szCs w:val="25"/>
          <w:b w:val="1"/>
          <w:bCs w:val="1"/>
          <w:color w:val="auto"/>
          <w:vertAlign w:val="superscript"/>
        </w:rPr>
        <w:t>1</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120" w:type="dxa"/>
            <w:vAlign w:val="bottom"/>
            <w:gridSpan w:val="4"/>
          </w:tcPr>
          <w:p>
            <w:pPr>
              <w:jc w:val="right"/>
              <w:ind w:right="150"/>
              <w:spacing w:after="0"/>
              <w:rPr>
                <w:sz w:val="20"/>
                <w:szCs w:val="20"/>
                <w:color w:val="auto"/>
              </w:rPr>
            </w:pPr>
            <w:r>
              <w:rPr>
                <w:rFonts w:ascii="Arial" w:cs="Arial" w:eastAsia="Arial" w:hAnsi="Arial"/>
                <w:sz w:val="18"/>
                <w:szCs w:val="18"/>
                <w:b w:val="1"/>
                <w:bCs w:val="1"/>
                <w:color w:val="auto"/>
                <w:w w:val="95"/>
              </w:rPr>
              <w:t>Three Months Ended December 31,</w:t>
            </w: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240" w:type="dxa"/>
            <w:vAlign w:val="bottom"/>
            <w:gridSpan w:val="4"/>
          </w:tcPr>
          <w:p>
            <w:pPr>
              <w:ind w:left="240"/>
              <w:spacing w:after="0"/>
              <w:rPr>
                <w:sz w:val="20"/>
                <w:szCs w:val="20"/>
                <w:color w:val="auto"/>
              </w:rPr>
            </w:pPr>
            <w:r>
              <w:rPr>
                <w:rFonts w:ascii="Arial" w:cs="Arial" w:eastAsia="Arial" w:hAnsi="Arial"/>
                <w:sz w:val="18"/>
                <w:szCs w:val="18"/>
                <w:b w:val="1"/>
                <w:bCs w:val="1"/>
                <w:color w:val="auto"/>
              </w:rPr>
              <w:t>Reported Change</w:t>
            </w:r>
          </w:p>
        </w:tc>
        <w:tc>
          <w:tcPr>
            <w:tcW w:w="140" w:type="dxa"/>
            <w:vAlign w:val="bottom"/>
          </w:tcPr>
          <w:p>
            <w:pPr>
              <w:spacing w:after="0"/>
              <w:rPr>
                <w:sz w:val="20"/>
                <w:szCs w:val="20"/>
                <w:color w:val="auto"/>
              </w:rPr>
            </w:pPr>
          </w:p>
        </w:tc>
        <w:tc>
          <w:tcPr>
            <w:tcW w:w="110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5"/>
              </w:rPr>
              <w:t>FX Impact</w:t>
            </w:r>
          </w:p>
        </w:tc>
        <w:tc>
          <w:tcPr>
            <w:tcW w:w="160" w:type="dxa"/>
            <w:vAlign w:val="bottom"/>
          </w:tcPr>
          <w:p>
            <w:pPr>
              <w:spacing w:after="0"/>
              <w:rPr>
                <w:sz w:val="20"/>
                <w:szCs w:val="20"/>
                <w:color w:val="auto"/>
              </w:rPr>
            </w:pPr>
          </w:p>
        </w:tc>
        <w:tc>
          <w:tcPr>
            <w:tcW w:w="2300" w:type="dxa"/>
            <w:vAlign w:val="bottom"/>
            <w:gridSpan w:val="3"/>
          </w:tcPr>
          <w:p>
            <w:pPr>
              <w:jc w:val="right"/>
              <w:ind w:right="160"/>
              <w:spacing w:after="0"/>
              <w:rPr>
                <w:sz w:val="20"/>
                <w:szCs w:val="20"/>
                <w:color w:val="auto"/>
              </w:rPr>
            </w:pPr>
            <w:r>
              <w:rPr>
                <w:rFonts w:ascii="Arial" w:cs="Arial" w:eastAsia="Arial" w:hAnsi="Arial"/>
                <w:sz w:val="18"/>
                <w:szCs w:val="18"/>
                <w:b w:val="1"/>
                <w:bCs w:val="1"/>
                <w:color w:val="auto"/>
                <w:w w:val="90"/>
              </w:rPr>
              <w:t>Constant Currency Change</w:t>
            </w:r>
          </w:p>
        </w:tc>
      </w:tr>
      <w:tr>
        <w:trPr>
          <w:trHeight w:val="27"/>
        </w:trPr>
        <w:tc>
          <w:tcPr>
            <w:tcW w:w="178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gridSpan w:val="2"/>
          </w:tcPr>
          <w:p>
            <w:pPr>
              <w:spacing w:after="0"/>
              <w:rPr>
                <w:sz w:val="2"/>
                <w:szCs w:val="2"/>
                <w:color w:val="auto"/>
              </w:rPr>
            </w:pPr>
          </w:p>
        </w:tc>
      </w:tr>
      <w:tr>
        <w:trPr>
          <w:trHeight w:val="237"/>
        </w:trPr>
        <w:tc>
          <w:tcPr>
            <w:tcW w:w="1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40" w:type="dxa"/>
            <w:vAlign w:val="bottom"/>
          </w:tcPr>
          <w:p>
            <w:pPr>
              <w:jc w:val="right"/>
              <w:ind w:right="510"/>
              <w:spacing w:after="0"/>
              <w:rPr>
                <w:sz w:val="20"/>
                <w:szCs w:val="20"/>
                <w:color w:val="auto"/>
              </w:rPr>
            </w:pPr>
            <w:r>
              <w:rPr>
                <w:rFonts w:ascii="Arial" w:cs="Arial" w:eastAsia="Arial" w:hAnsi="Arial"/>
                <w:sz w:val="18"/>
                <w:szCs w:val="18"/>
                <w:b w:val="1"/>
                <w:bCs w:val="1"/>
                <w:color w:val="auto"/>
              </w:rPr>
              <w:t>2015</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20" w:type="dxa"/>
            <w:vAlign w:val="bottom"/>
          </w:tcPr>
          <w:p>
            <w:pPr>
              <w:jc w:val="right"/>
              <w:ind w:right="510"/>
              <w:spacing w:after="0"/>
              <w:rPr>
                <w:sz w:val="20"/>
                <w:szCs w:val="20"/>
                <w:color w:val="auto"/>
              </w:rPr>
            </w:pPr>
            <w:r>
              <w:rPr>
                <w:rFonts w:ascii="Arial" w:cs="Arial" w:eastAsia="Arial" w:hAnsi="Arial"/>
                <w:sz w:val="18"/>
                <w:szCs w:val="18"/>
                <w:b w:val="1"/>
                <w:bCs w:val="1"/>
                <w:color w:val="auto"/>
              </w:rPr>
              <w:t>2014</w:t>
            </w: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0" w:type="dxa"/>
            <w:vAlign w:val="bottom"/>
          </w:tcPr>
          <w:p>
            <w:pPr>
              <w:jc w:val="center"/>
              <w:ind w:right="230"/>
              <w:spacing w:after="0"/>
              <w:rPr>
                <w:sz w:val="20"/>
                <w:szCs w:val="20"/>
                <w:color w:val="auto"/>
              </w:rPr>
            </w:pPr>
            <w:r>
              <w:rPr>
                <w:rFonts w:ascii="Arial" w:cs="Arial" w:eastAsia="Arial" w:hAnsi="Arial"/>
                <w:sz w:val="18"/>
                <w:szCs w:val="18"/>
                <w:b w:val="1"/>
                <w:bCs w:val="1"/>
                <w:color w:val="auto"/>
                <w:w w:val="79"/>
              </w:rPr>
              <w:t>$</w:t>
            </w:r>
          </w:p>
        </w:tc>
        <w:tc>
          <w:tcPr>
            <w:tcW w:w="120" w:type="dxa"/>
            <w:vAlign w:val="bottom"/>
          </w:tcPr>
          <w:p>
            <w:pPr>
              <w:spacing w:after="0"/>
              <w:rPr>
                <w:sz w:val="20"/>
                <w:szCs w:val="20"/>
                <w:color w:val="auto"/>
              </w:rPr>
            </w:pPr>
          </w:p>
        </w:tc>
        <w:tc>
          <w:tcPr>
            <w:tcW w:w="1220" w:type="dxa"/>
            <w:vAlign w:val="bottom"/>
          </w:tcPr>
          <w:p>
            <w:pPr>
              <w:jc w:val="right"/>
              <w:ind w:right="43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0" w:type="dxa"/>
            <w:vAlign w:val="bottom"/>
          </w:tcPr>
          <w:p>
            <w:pPr>
              <w:jc w:val="center"/>
              <w:ind w:right="10"/>
              <w:spacing w:after="0"/>
              <w:rPr>
                <w:sz w:val="20"/>
                <w:szCs w:val="20"/>
                <w:color w:val="auto"/>
              </w:rPr>
            </w:pPr>
            <w:r>
              <w:rPr>
                <w:rFonts w:ascii="Arial" w:cs="Arial" w:eastAsia="Arial" w:hAnsi="Arial"/>
                <w:sz w:val="18"/>
                <w:szCs w:val="18"/>
                <w:b w:val="1"/>
                <w:bCs w:val="1"/>
                <w:color w:val="auto"/>
                <w:w w:val="99"/>
              </w:rPr>
              <w:t>$</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80" w:type="dxa"/>
            <w:vAlign w:val="bottom"/>
          </w:tcPr>
          <w:p>
            <w:pPr>
              <w:jc w:val="right"/>
              <w:ind w:right="430"/>
              <w:spacing w:after="0"/>
              <w:rPr>
                <w:sz w:val="20"/>
                <w:szCs w:val="20"/>
                <w:color w:val="auto"/>
              </w:rPr>
            </w:pPr>
            <w:r>
              <w:rPr>
                <w:rFonts w:ascii="Arial" w:cs="Arial" w:eastAsia="Arial" w:hAnsi="Arial"/>
                <w:sz w:val="18"/>
                <w:szCs w:val="18"/>
                <w:b w:val="1"/>
                <w:bCs w:val="1"/>
                <w:color w:val="auto"/>
              </w:rPr>
              <w:t>$</w:t>
            </w:r>
          </w:p>
        </w:tc>
        <w:tc>
          <w:tcPr>
            <w:tcW w:w="1320" w:type="dxa"/>
            <w:vAlign w:val="bottom"/>
            <w:gridSpan w:val="2"/>
          </w:tcPr>
          <w:p>
            <w:pPr>
              <w:jc w:val="right"/>
              <w:ind w:right="520"/>
              <w:spacing w:after="0"/>
              <w:rPr>
                <w:sz w:val="20"/>
                <w:szCs w:val="20"/>
                <w:color w:val="auto"/>
              </w:rPr>
            </w:pPr>
            <w:r>
              <w:rPr>
                <w:rFonts w:ascii="Arial" w:cs="Arial" w:eastAsia="Arial" w:hAnsi="Arial"/>
                <w:sz w:val="18"/>
                <w:szCs w:val="18"/>
                <w:b w:val="1"/>
                <w:bCs w:val="1"/>
                <w:color w:val="auto"/>
              </w:rPr>
              <w:t>%</w:t>
            </w:r>
          </w:p>
        </w:tc>
      </w:tr>
      <w:tr>
        <w:trPr>
          <w:trHeight w:val="27"/>
        </w:trPr>
        <w:tc>
          <w:tcPr>
            <w:tcW w:w="178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44"/>
        </w:trPr>
        <w:tc>
          <w:tcPr>
            <w:tcW w:w="18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United States</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37,947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23,684</w:t>
            </w:r>
          </w:p>
        </w:tc>
        <w:tc>
          <w:tcPr>
            <w:tcW w:w="440" w:type="dxa"/>
            <w:vAlign w:val="bottom"/>
            <w:tcBorders>
              <w:bottom w:val="single" w:sz="8" w:color="CCEEFF"/>
            </w:tcBorders>
            <w:gridSpan w:val="2"/>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14,263</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60.2%</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14,263</w:t>
            </w:r>
          </w:p>
        </w:tc>
        <w:tc>
          <w:tcPr>
            <w:tcW w:w="132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60.2%</w:t>
            </w:r>
          </w:p>
        </w:tc>
      </w:tr>
      <w:tr>
        <w:trPr>
          <w:trHeight w:val="243"/>
        </w:trPr>
        <w:tc>
          <w:tcPr>
            <w:tcW w:w="1800" w:type="dxa"/>
            <w:vAlign w:val="bottom"/>
            <w:gridSpan w:val="2"/>
          </w:tcPr>
          <w:p>
            <w:pPr>
              <w:ind w:left="40"/>
              <w:spacing w:after="0"/>
              <w:rPr>
                <w:sz w:val="20"/>
                <w:szCs w:val="20"/>
                <w:color w:val="auto"/>
              </w:rPr>
            </w:pPr>
            <w:r>
              <w:rPr>
                <w:rFonts w:ascii="Arial" w:cs="Arial" w:eastAsia="Arial" w:hAnsi="Arial"/>
                <w:sz w:val="18"/>
                <w:szCs w:val="18"/>
                <w:color w:val="auto"/>
              </w:rPr>
              <w:t>International</w:t>
            </w:r>
          </w:p>
        </w:tc>
        <w:tc>
          <w:tcPr>
            <w:tcW w:w="120" w:type="dxa"/>
            <w:vAlign w:val="bottom"/>
          </w:tcPr>
          <w:p>
            <w:pPr>
              <w:spacing w:after="0"/>
              <w:rPr>
                <w:sz w:val="21"/>
                <w:szCs w:val="21"/>
                <w:color w:val="auto"/>
              </w:rPr>
            </w:pPr>
          </w:p>
        </w:tc>
        <w:tc>
          <w:tcPr>
            <w:tcW w:w="1440" w:type="dxa"/>
            <w:vAlign w:val="bottom"/>
          </w:tcPr>
          <w:p>
            <w:pPr>
              <w:jc w:val="right"/>
              <w:ind w:right="30"/>
              <w:spacing w:after="0"/>
              <w:rPr>
                <w:sz w:val="20"/>
                <w:szCs w:val="20"/>
                <w:color w:val="auto"/>
              </w:rPr>
            </w:pPr>
            <w:r>
              <w:rPr>
                <w:rFonts w:ascii="Arial" w:cs="Arial" w:eastAsia="Arial" w:hAnsi="Arial"/>
                <w:sz w:val="18"/>
                <w:szCs w:val="18"/>
                <w:color w:val="auto"/>
              </w:rPr>
              <w:t>16,469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11,719</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4,750</w:t>
            </w:r>
          </w:p>
        </w:tc>
        <w:tc>
          <w:tcPr>
            <w:tcW w:w="12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40.5%</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1,706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6,456</w:t>
            </w:r>
          </w:p>
        </w:tc>
        <w:tc>
          <w:tcPr>
            <w:tcW w:w="1320" w:type="dxa"/>
            <w:vAlign w:val="bottom"/>
            <w:gridSpan w:val="2"/>
          </w:tcPr>
          <w:p>
            <w:pPr>
              <w:jc w:val="right"/>
              <w:ind w:right="40"/>
              <w:spacing w:after="0"/>
              <w:rPr>
                <w:sz w:val="20"/>
                <w:szCs w:val="20"/>
                <w:color w:val="auto"/>
              </w:rPr>
            </w:pPr>
            <w:r>
              <w:rPr>
                <w:rFonts w:ascii="Arial" w:cs="Arial" w:eastAsia="Arial" w:hAnsi="Arial"/>
                <w:sz w:val="18"/>
                <w:szCs w:val="18"/>
                <w:color w:val="auto"/>
              </w:rPr>
              <w:t>55.1%</w:t>
            </w:r>
          </w:p>
        </w:tc>
      </w:tr>
      <w:tr>
        <w:trPr>
          <w:trHeight w:val="27"/>
        </w:trPr>
        <w:tc>
          <w:tcPr>
            <w:tcW w:w="1780" w:type="dxa"/>
            <w:vAlign w:val="bottom"/>
            <w:tcBorders>
              <w:bottom w:val="single" w:sz="8" w:color="CCEEFF"/>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98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20" w:type="dxa"/>
            <w:vAlign w:val="bottom"/>
            <w:tcBorders>
              <w:bottom w:val="single" w:sz="8" w:color="CCEEFF"/>
            </w:tcBorders>
          </w:tcPr>
          <w:p>
            <w:pPr>
              <w:spacing w:after="0"/>
              <w:rPr>
                <w:sz w:val="2"/>
                <w:szCs w:val="2"/>
                <w:color w:val="auto"/>
              </w:rPr>
            </w:pPr>
          </w:p>
        </w:tc>
      </w:tr>
      <w:tr>
        <w:trPr>
          <w:trHeight w:val="257"/>
        </w:trPr>
        <w:tc>
          <w:tcPr>
            <w:tcW w:w="180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Total</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54,416</w:t>
            </w:r>
          </w:p>
        </w:tc>
        <w:tc>
          <w:tcPr>
            <w:tcW w:w="100" w:type="dxa"/>
            <w:vAlign w:val="bottom"/>
            <w:shd w:val="clear" w:color="auto" w:fill="CCEEFF"/>
          </w:tcPr>
          <w:p>
            <w:pPr>
              <w:spacing w:after="0"/>
              <w:rPr>
                <w:sz w:val="22"/>
                <w:szCs w:val="22"/>
                <w:color w:val="auto"/>
              </w:rPr>
            </w:pP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35,403</w:t>
            </w:r>
          </w:p>
        </w:tc>
        <w:tc>
          <w:tcPr>
            <w:tcW w:w="44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19,013</w:t>
            </w:r>
          </w:p>
        </w:tc>
        <w:tc>
          <w:tcPr>
            <w:tcW w:w="120" w:type="dxa"/>
            <w:vAlign w:val="bottom"/>
            <w:shd w:val="clear" w:color="auto" w:fill="CCEEFF"/>
          </w:tcPr>
          <w:p>
            <w:pPr>
              <w:spacing w:after="0"/>
              <w:rPr>
                <w:sz w:val="22"/>
                <w:szCs w:val="22"/>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53.7%</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1,706</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20,719</w:t>
            </w:r>
          </w:p>
        </w:tc>
        <w:tc>
          <w:tcPr>
            <w:tcW w:w="13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58.5%</w:t>
            </w:r>
          </w:p>
        </w:tc>
      </w:tr>
      <w:tr>
        <w:trPr>
          <w:trHeight w:val="20"/>
        </w:trPr>
        <w:tc>
          <w:tcPr>
            <w:tcW w:w="17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auto"/>
              <w:bottom w:val="single" w:sz="8" w:color="auto"/>
            </w:tcBorders>
            <w:gridSpan w:val="2"/>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CCEEFF"/>
            </w:tcBorders>
          </w:tcPr>
          <w:p>
            <w:pPr>
              <w:spacing w:after="0" w:line="20" w:lineRule="exact"/>
              <w:rPr>
                <w:sz w:val="1"/>
                <w:szCs w:val="1"/>
                <w:color w:val="auto"/>
              </w:rPr>
            </w:pPr>
          </w:p>
        </w:tc>
      </w:tr>
      <w:tr>
        <w:trPr>
          <w:trHeight w:val="347"/>
        </w:trPr>
        <w:tc>
          <w:tcPr>
            <w:tcW w:w="1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360" w:type="dxa"/>
            <w:vAlign w:val="bottom"/>
            <w:gridSpan w:val="4"/>
          </w:tcPr>
          <w:p>
            <w:pPr>
              <w:jc w:val="center"/>
              <w:spacing w:after="0"/>
              <w:rPr>
                <w:sz w:val="20"/>
                <w:szCs w:val="20"/>
                <w:color w:val="auto"/>
              </w:rPr>
            </w:pPr>
            <w:r>
              <w:rPr>
                <w:rFonts w:ascii="Arial" w:cs="Arial" w:eastAsia="Arial" w:hAnsi="Arial"/>
                <w:sz w:val="18"/>
                <w:szCs w:val="18"/>
                <w:b w:val="1"/>
                <w:bCs w:val="1"/>
                <w:color w:val="auto"/>
                <w:w w:val="92"/>
              </w:rPr>
              <w:t>Penumbra, Inc.</w:t>
            </w: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16"/>
        </w:trPr>
        <w:tc>
          <w:tcPr>
            <w:tcW w:w="1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180" w:type="dxa"/>
            <w:vAlign w:val="bottom"/>
            <w:gridSpan w:val="15"/>
          </w:tcPr>
          <w:p>
            <w:pPr>
              <w:jc w:val="right"/>
              <w:ind w:right="550"/>
              <w:spacing w:after="0" w:line="216" w:lineRule="exact"/>
              <w:rPr>
                <w:sz w:val="20"/>
                <w:szCs w:val="20"/>
                <w:color w:val="auto"/>
              </w:rPr>
            </w:pPr>
            <w:r>
              <w:rPr>
                <w:rFonts w:ascii="Arial" w:cs="Arial" w:eastAsia="Arial" w:hAnsi="Arial"/>
                <w:sz w:val="18"/>
                <w:szCs w:val="18"/>
                <w:b w:val="1"/>
                <w:bCs w:val="1"/>
                <w:color w:val="auto"/>
                <w:w w:val="89"/>
              </w:rPr>
              <w:t>Reconciliation of Revenue Growth by Product Categories to Constant Currency Revenue Growth</w:t>
            </w:r>
            <w:r>
              <w:rPr>
                <w:rFonts w:ascii="Arial" w:cs="Arial" w:eastAsia="Arial" w:hAnsi="Arial"/>
                <w:sz w:val="25"/>
                <w:szCs w:val="25"/>
                <w:b w:val="1"/>
                <w:bCs w:val="1"/>
                <w:color w:val="auto"/>
                <w:w w:val="89"/>
                <w:vertAlign w:val="superscript"/>
              </w:rPr>
              <w:t>1</w:t>
            </w:r>
          </w:p>
        </w:tc>
        <w:tc>
          <w:tcPr>
            <w:tcW w:w="100" w:type="dxa"/>
            <w:vAlign w:val="bottom"/>
          </w:tcPr>
          <w:p>
            <w:pPr>
              <w:spacing w:after="0"/>
              <w:rPr>
                <w:sz w:val="18"/>
                <w:szCs w:val="18"/>
                <w:color w:val="auto"/>
              </w:rPr>
            </w:pPr>
          </w:p>
        </w:tc>
        <w:tc>
          <w:tcPr>
            <w:tcW w:w="1220" w:type="dxa"/>
            <w:vAlign w:val="bottom"/>
          </w:tcPr>
          <w:p>
            <w:pPr>
              <w:spacing w:after="0"/>
              <w:rPr>
                <w:sz w:val="18"/>
                <w:szCs w:val="18"/>
                <w:color w:val="auto"/>
              </w:rPr>
            </w:pPr>
          </w:p>
        </w:tc>
      </w:tr>
      <w:tr>
        <w:trPr>
          <w:trHeight w:val="216"/>
        </w:trPr>
        <w:tc>
          <w:tcPr>
            <w:tcW w:w="1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3"/>
          </w:tcPr>
          <w:p>
            <w:pPr>
              <w:jc w:val="center"/>
              <w:ind w:right="140"/>
              <w:spacing w:after="0"/>
              <w:rPr>
                <w:sz w:val="20"/>
                <w:szCs w:val="20"/>
                <w:color w:val="auto"/>
              </w:rPr>
            </w:pPr>
            <w:r>
              <w:rPr>
                <w:rFonts w:ascii="Arial" w:cs="Arial" w:eastAsia="Arial" w:hAnsi="Arial"/>
                <w:sz w:val="18"/>
                <w:szCs w:val="18"/>
                <w:b w:val="1"/>
                <w:bCs w:val="1"/>
                <w:color w:val="auto"/>
                <w:w w:val="91"/>
              </w:rPr>
              <w:t>(unaudited)</w:t>
            </w: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20" w:type="dxa"/>
            <w:vAlign w:val="bottom"/>
          </w:tcPr>
          <w:p>
            <w:pPr>
              <w:spacing w:after="0"/>
              <w:rPr>
                <w:sz w:val="18"/>
                <w:szCs w:val="18"/>
                <w:color w:val="auto"/>
              </w:rPr>
            </w:pPr>
          </w:p>
        </w:tc>
      </w:tr>
      <w:tr>
        <w:trPr>
          <w:trHeight w:val="234"/>
        </w:trPr>
        <w:tc>
          <w:tcPr>
            <w:tcW w:w="1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40" w:type="dxa"/>
            <w:vAlign w:val="bottom"/>
            <w:gridSpan w:val="3"/>
          </w:tcPr>
          <w:p>
            <w:pPr>
              <w:jc w:val="center"/>
              <w:ind w:right="140"/>
              <w:spacing w:after="0"/>
              <w:rPr>
                <w:sz w:val="20"/>
                <w:szCs w:val="20"/>
                <w:color w:val="auto"/>
              </w:rPr>
            </w:pPr>
            <w:r>
              <w:rPr>
                <w:rFonts w:ascii="Arial" w:cs="Arial" w:eastAsia="Arial" w:hAnsi="Arial"/>
                <w:sz w:val="18"/>
                <w:szCs w:val="18"/>
                <w:b w:val="1"/>
                <w:bCs w:val="1"/>
                <w:color w:val="auto"/>
                <w:w w:val="88"/>
              </w:rPr>
              <w:t>(in thousands)</w:t>
            </w: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20" w:type="dxa"/>
            <w:vAlign w:val="bottom"/>
          </w:tcPr>
          <w:p>
            <w:pPr>
              <w:spacing w:after="0"/>
              <w:rPr>
                <w:sz w:val="20"/>
                <w:szCs w:val="20"/>
                <w:color w:val="auto"/>
              </w:rPr>
            </w:pPr>
          </w:p>
        </w:tc>
      </w:tr>
      <w:tr>
        <w:trPr>
          <w:trHeight w:val="378"/>
        </w:trPr>
        <w:tc>
          <w:tcPr>
            <w:tcW w:w="1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120" w:type="dxa"/>
            <w:vAlign w:val="bottom"/>
            <w:gridSpan w:val="4"/>
          </w:tcPr>
          <w:p>
            <w:pPr>
              <w:jc w:val="right"/>
              <w:ind w:right="150"/>
              <w:spacing w:after="0"/>
              <w:rPr>
                <w:sz w:val="20"/>
                <w:szCs w:val="20"/>
                <w:color w:val="auto"/>
              </w:rPr>
            </w:pPr>
            <w:r>
              <w:rPr>
                <w:rFonts w:ascii="Arial" w:cs="Arial" w:eastAsia="Arial" w:hAnsi="Arial"/>
                <w:sz w:val="18"/>
                <w:szCs w:val="18"/>
                <w:b w:val="1"/>
                <w:bCs w:val="1"/>
                <w:color w:val="auto"/>
                <w:w w:val="95"/>
              </w:rPr>
              <w:t>Three Months Ended December 31,</w:t>
            </w: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240" w:type="dxa"/>
            <w:vAlign w:val="bottom"/>
            <w:gridSpan w:val="4"/>
          </w:tcPr>
          <w:p>
            <w:pPr>
              <w:ind w:left="240"/>
              <w:spacing w:after="0"/>
              <w:rPr>
                <w:sz w:val="20"/>
                <w:szCs w:val="20"/>
                <w:color w:val="auto"/>
              </w:rPr>
            </w:pPr>
            <w:r>
              <w:rPr>
                <w:rFonts w:ascii="Arial" w:cs="Arial" w:eastAsia="Arial" w:hAnsi="Arial"/>
                <w:sz w:val="18"/>
                <w:szCs w:val="18"/>
                <w:b w:val="1"/>
                <w:bCs w:val="1"/>
                <w:color w:val="auto"/>
              </w:rPr>
              <w:t>Reported Change</w:t>
            </w:r>
          </w:p>
        </w:tc>
        <w:tc>
          <w:tcPr>
            <w:tcW w:w="140" w:type="dxa"/>
            <w:vAlign w:val="bottom"/>
          </w:tcPr>
          <w:p>
            <w:pPr>
              <w:spacing w:after="0"/>
              <w:rPr>
                <w:sz w:val="24"/>
                <w:szCs w:val="24"/>
                <w:color w:val="auto"/>
              </w:rPr>
            </w:pPr>
          </w:p>
        </w:tc>
        <w:tc>
          <w:tcPr>
            <w:tcW w:w="110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5"/>
              </w:rPr>
              <w:t>FX Impact</w:t>
            </w:r>
          </w:p>
        </w:tc>
        <w:tc>
          <w:tcPr>
            <w:tcW w:w="160" w:type="dxa"/>
            <w:vAlign w:val="bottom"/>
          </w:tcPr>
          <w:p>
            <w:pPr>
              <w:spacing w:after="0"/>
              <w:rPr>
                <w:sz w:val="24"/>
                <w:szCs w:val="24"/>
                <w:color w:val="auto"/>
              </w:rPr>
            </w:pPr>
          </w:p>
        </w:tc>
        <w:tc>
          <w:tcPr>
            <w:tcW w:w="2300" w:type="dxa"/>
            <w:vAlign w:val="bottom"/>
            <w:gridSpan w:val="3"/>
          </w:tcPr>
          <w:p>
            <w:pPr>
              <w:jc w:val="right"/>
              <w:ind w:right="160"/>
              <w:spacing w:after="0"/>
              <w:rPr>
                <w:sz w:val="20"/>
                <w:szCs w:val="20"/>
                <w:color w:val="auto"/>
              </w:rPr>
            </w:pPr>
            <w:r>
              <w:rPr>
                <w:rFonts w:ascii="Arial" w:cs="Arial" w:eastAsia="Arial" w:hAnsi="Arial"/>
                <w:sz w:val="18"/>
                <w:szCs w:val="18"/>
                <w:b w:val="1"/>
                <w:bCs w:val="1"/>
                <w:color w:val="auto"/>
                <w:w w:val="90"/>
              </w:rPr>
              <w:t>Constant Currency Change</w:t>
            </w:r>
          </w:p>
        </w:tc>
      </w:tr>
      <w:tr>
        <w:trPr>
          <w:trHeight w:val="27"/>
        </w:trPr>
        <w:tc>
          <w:tcPr>
            <w:tcW w:w="178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gridSpan w:val="2"/>
          </w:tcPr>
          <w:p>
            <w:pPr>
              <w:spacing w:after="0"/>
              <w:rPr>
                <w:sz w:val="2"/>
                <w:szCs w:val="2"/>
                <w:color w:val="auto"/>
              </w:rPr>
            </w:pPr>
          </w:p>
        </w:tc>
      </w:tr>
      <w:tr>
        <w:trPr>
          <w:trHeight w:val="237"/>
        </w:trPr>
        <w:tc>
          <w:tcPr>
            <w:tcW w:w="1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40" w:type="dxa"/>
            <w:vAlign w:val="bottom"/>
          </w:tcPr>
          <w:p>
            <w:pPr>
              <w:jc w:val="right"/>
              <w:ind w:right="530"/>
              <w:spacing w:after="0"/>
              <w:rPr>
                <w:sz w:val="20"/>
                <w:szCs w:val="20"/>
                <w:color w:val="auto"/>
              </w:rPr>
            </w:pPr>
            <w:r>
              <w:rPr>
                <w:rFonts w:ascii="Arial" w:cs="Arial" w:eastAsia="Arial" w:hAnsi="Arial"/>
                <w:sz w:val="18"/>
                <w:szCs w:val="18"/>
                <w:b w:val="1"/>
                <w:bCs w:val="1"/>
                <w:color w:val="auto"/>
              </w:rPr>
              <w:t>2015</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20" w:type="dxa"/>
            <w:vAlign w:val="bottom"/>
          </w:tcPr>
          <w:p>
            <w:pPr>
              <w:jc w:val="right"/>
              <w:ind w:right="510"/>
              <w:spacing w:after="0"/>
              <w:rPr>
                <w:sz w:val="20"/>
                <w:szCs w:val="20"/>
                <w:color w:val="auto"/>
              </w:rPr>
            </w:pPr>
            <w:r>
              <w:rPr>
                <w:rFonts w:ascii="Arial" w:cs="Arial" w:eastAsia="Arial" w:hAnsi="Arial"/>
                <w:sz w:val="18"/>
                <w:szCs w:val="18"/>
                <w:b w:val="1"/>
                <w:bCs w:val="1"/>
                <w:color w:val="auto"/>
              </w:rPr>
              <w:t>2014</w:t>
            </w: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0" w:type="dxa"/>
            <w:vAlign w:val="bottom"/>
          </w:tcPr>
          <w:p>
            <w:pPr>
              <w:jc w:val="center"/>
              <w:ind w:right="230"/>
              <w:spacing w:after="0"/>
              <w:rPr>
                <w:sz w:val="20"/>
                <w:szCs w:val="20"/>
                <w:color w:val="auto"/>
              </w:rPr>
            </w:pPr>
            <w:r>
              <w:rPr>
                <w:rFonts w:ascii="Arial" w:cs="Arial" w:eastAsia="Arial" w:hAnsi="Arial"/>
                <w:sz w:val="18"/>
                <w:szCs w:val="18"/>
                <w:b w:val="1"/>
                <w:bCs w:val="1"/>
                <w:color w:val="auto"/>
                <w:w w:val="79"/>
              </w:rPr>
              <w:t>$</w:t>
            </w:r>
          </w:p>
        </w:tc>
        <w:tc>
          <w:tcPr>
            <w:tcW w:w="120" w:type="dxa"/>
            <w:vAlign w:val="bottom"/>
          </w:tcPr>
          <w:p>
            <w:pPr>
              <w:spacing w:after="0"/>
              <w:rPr>
                <w:sz w:val="20"/>
                <w:szCs w:val="20"/>
                <w:color w:val="auto"/>
              </w:rPr>
            </w:pPr>
          </w:p>
        </w:tc>
        <w:tc>
          <w:tcPr>
            <w:tcW w:w="1220" w:type="dxa"/>
            <w:vAlign w:val="bottom"/>
          </w:tcPr>
          <w:p>
            <w:pPr>
              <w:jc w:val="right"/>
              <w:ind w:right="43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0" w:type="dxa"/>
            <w:vAlign w:val="bottom"/>
          </w:tcPr>
          <w:p>
            <w:pPr>
              <w:jc w:val="center"/>
              <w:ind w:right="10"/>
              <w:spacing w:after="0"/>
              <w:rPr>
                <w:sz w:val="20"/>
                <w:szCs w:val="20"/>
                <w:color w:val="auto"/>
              </w:rPr>
            </w:pPr>
            <w:r>
              <w:rPr>
                <w:rFonts w:ascii="Arial" w:cs="Arial" w:eastAsia="Arial" w:hAnsi="Arial"/>
                <w:sz w:val="18"/>
                <w:szCs w:val="18"/>
                <w:b w:val="1"/>
                <w:bCs w:val="1"/>
                <w:color w:val="auto"/>
                <w:w w:val="99"/>
              </w:rPr>
              <w:t>$</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80" w:type="dxa"/>
            <w:vAlign w:val="bottom"/>
          </w:tcPr>
          <w:p>
            <w:pPr>
              <w:jc w:val="right"/>
              <w:ind w:right="430"/>
              <w:spacing w:after="0"/>
              <w:rPr>
                <w:sz w:val="20"/>
                <w:szCs w:val="20"/>
                <w:color w:val="auto"/>
              </w:rPr>
            </w:pPr>
            <w:r>
              <w:rPr>
                <w:rFonts w:ascii="Arial" w:cs="Arial" w:eastAsia="Arial" w:hAnsi="Arial"/>
                <w:sz w:val="18"/>
                <w:szCs w:val="18"/>
                <w:b w:val="1"/>
                <w:bCs w:val="1"/>
                <w:color w:val="auto"/>
              </w:rPr>
              <w:t>$</w:t>
            </w:r>
          </w:p>
        </w:tc>
        <w:tc>
          <w:tcPr>
            <w:tcW w:w="1320" w:type="dxa"/>
            <w:vAlign w:val="bottom"/>
            <w:gridSpan w:val="2"/>
          </w:tcPr>
          <w:p>
            <w:pPr>
              <w:jc w:val="right"/>
              <w:ind w:right="520"/>
              <w:spacing w:after="0"/>
              <w:rPr>
                <w:sz w:val="20"/>
                <w:szCs w:val="20"/>
                <w:color w:val="auto"/>
              </w:rPr>
            </w:pPr>
            <w:r>
              <w:rPr>
                <w:rFonts w:ascii="Arial" w:cs="Arial" w:eastAsia="Arial" w:hAnsi="Arial"/>
                <w:sz w:val="18"/>
                <w:szCs w:val="18"/>
                <w:b w:val="1"/>
                <w:bCs w:val="1"/>
                <w:color w:val="auto"/>
              </w:rPr>
              <w:t>%</w:t>
            </w:r>
          </w:p>
        </w:tc>
      </w:tr>
      <w:tr>
        <w:trPr>
          <w:trHeight w:val="27"/>
        </w:trPr>
        <w:tc>
          <w:tcPr>
            <w:tcW w:w="178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44"/>
        </w:trPr>
        <w:tc>
          <w:tcPr>
            <w:tcW w:w="18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Neuro</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39,047</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29,186</w:t>
            </w:r>
          </w:p>
        </w:tc>
        <w:tc>
          <w:tcPr>
            <w:tcW w:w="440" w:type="dxa"/>
            <w:vAlign w:val="bottom"/>
            <w:tcBorders>
              <w:bottom w:val="single" w:sz="8" w:color="CCEEFF"/>
            </w:tcBorders>
            <w:gridSpan w:val="2"/>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9,861</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33.8%</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1,504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11,365</w:t>
            </w:r>
          </w:p>
        </w:tc>
        <w:tc>
          <w:tcPr>
            <w:tcW w:w="132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38.9%</w:t>
            </w:r>
          </w:p>
        </w:tc>
      </w:tr>
      <w:tr>
        <w:trPr>
          <w:trHeight w:val="243"/>
        </w:trPr>
        <w:tc>
          <w:tcPr>
            <w:tcW w:w="1800" w:type="dxa"/>
            <w:vAlign w:val="bottom"/>
            <w:gridSpan w:val="2"/>
          </w:tcPr>
          <w:p>
            <w:pPr>
              <w:ind w:left="40"/>
              <w:spacing w:after="0"/>
              <w:rPr>
                <w:sz w:val="20"/>
                <w:szCs w:val="20"/>
                <w:color w:val="auto"/>
              </w:rPr>
            </w:pPr>
            <w:r>
              <w:rPr>
                <w:rFonts w:ascii="Arial" w:cs="Arial" w:eastAsia="Arial" w:hAnsi="Arial"/>
                <w:sz w:val="18"/>
                <w:szCs w:val="18"/>
                <w:color w:val="auto"/>
              </w:rPr>
              <w:t>Peripheral Vascular</w:t>
            </w:r>
          </w:p>
        </w:tc>
        <w:tc>
          <w:tcPr>
            <w:tcW w:w="120" w:type="dxa"/>
            <w:vAlign w:val="bottom"/>
          </w:tcPr>
          <w:p>
            <w:pPr>
              <w:spacing w:after="0"/>
              <w:rPr>
                <w:sz w:val="21"/>
                <w:szCs w:val="21"/>
                <w:color w:val="auto"/>
              </w:rPr>
            </w:pPr>
          </w:p>
        </w:tc>
        <w:tc>
          <w:tcPr>
            <w:tcW w:w="1440" w:type="dxa"/>
            <w:vAlign w:val="bottom"/>
          </w:tcPr>
          <w:p>
            <w:pPr>
              <w:jc w:val="right"/>
              <w:ind w:right="30"/>
              <w:spacing w:after="0"/>
              <w:rPr>
                <w:sz w:val="20"/>
                <w:szCs w:val="20"/>
                <w:color w:val="auto"/>
              </w:rPr>
            </w:pPr>
            <w:r>
              <w:rPr>
                <w:rFonts w:ascii="Arial" w:cs="Arial" w:eastAsia="Arial" w:hAnsi="Arial"/>
                <w:sz w:val="18"/>
                <w:szCs w:val="18"/>
                <w:color w:val="auto"/>
              </w:rPr>
              <w:t>15,369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6,217</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9,152</w:t>
            </w:r>
          </w:p>
        </w:tc>
        <w:tc>
          <w:tcPr>
            <w:tcW w:w="12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147.2%</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202</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9,354</w:t>
            </w:r>
          </w:p>
        </w:tc>
        <w:tc>
          <w:tcPr>
            <w:tcW w:w="1320" w:type="dxa"/>
            <w:vAlign w:val="bottom"/>
            <w:gridSpan w:val="2"/>
          </w:tcPr>
          <w:p>
            <w:pPr>
              <w:jc w:val="right"/>
              <w:ind w:right="40"/>
              <w:spacing w:after="0"/>
              <w:rPr>
                <w:sz w:val="20"/>
                <w:szCs w:val="20"/>
                <w:color w:val="auto"/>
              </w:rPr>
            </w:pPr>
            <w:r>
              <w:rPr>
                <w:rFonts w:ascii="Arial" w:cs="Arial" w:eastAsia="Arial" w:hAnsi="Arial"/>
                <w:sz w:val="18"/>
                <w:szCs w:val="18"/>
                <w:color w:val="auto"/>
              </w:rPr>
              <w:t>150.5%</w:t>
            </w:r>
          </w:p>
        </w:tc>
      </w:tr>
      <w:tr>
        <w:trPr>
          <w:trHeight w:val="27"/>
        </w:trPr>
        <w:tc>
          <w:tcPr>
            <w:tcW w:w="178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320" w:type="dxa"/>
            <w:vAlign w:val="bottom"/>
            <w:tcBorders>
              <w:bottom w:val="single" w:sz="8" w:color="CCEEFF"/>
            </w:tcBorders>
            <w:gridSpan w:val="2"/>
          </w:tcPr>
          <w:p>
            <w:pPr>
              <w:spacing w:after="0"/>
              <w:rPr>
                <w:sz w:val="2"/>
                <w:szCs w:val="2"/>
                <w:color w:val="auto"/>
              </w:rPr>
            </w:pPr>
          </w:p>
        </w:tc>
      </w:tr>
      <w:tr>
        <w:trPr>
          <w:trHeight w:val="257"/>
        </w:trPr>
        <w:tc>
          <w:tcPr>
            <w:tcW w:w="17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Total</w:t>
            </w:r>
          </w:p>
        </w:tc>
        <w:tc>
          <w:tcPr>
            <w:tcW w:w="20" w:type="dxa"/>
            <w:vAlign w:val="bottom"/>
            <w:tcBorders>
              <w:bottom w:val="single" w:sz="8" w:color="auto"/>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54,416</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35,403</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19,013</w:t>
            </w:r>
          </w:p>
        </w:tc>
        <w:tc>
          <w:tcPr>
            <w:tcW w:w="12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53.7%</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1,706</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20,719</w:t>
            </w:r>
          </w:p>
        </w:tc>
        <w:tc>
          <w:tcPr>
            <w:tcW w:w="132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58.5%</w:t>
            </w:r>
          </w:p>
        </w:tc>
      </w:tr>
      <w:tr>
        <w:trPr>
          <w:trHeight w:val="20"/>
        </w:trPr>
        <w:tc>
          <w:tcPr>
            <w:tcW w:w="17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r>
      <w:tr>
        <w:trPr>
          <w:trHeight w:val="401"/>
        </w:trPr>
        <w:tc>
          <w:tcPr>
            <w:tcW w:w="1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360" w:type="dxa"/>
            <w:vAlign w:val="bottom"/>
            <w:gridSpan w:val="4"/>
          </w:tcPr>
          <w:p>
            <w:pPr>
              <w:jc w:val="center"/>
              <w:spacing w:after="0"/>
              <w:rPr>
                <w:sz w:val="20"/>
                <w:szCs w:val="20"/>
                <w:color w:val="auto"/>
              </w:rPr>
            </w:pPr>
            <w:r>
              <w:rPr>
                <w:rFonts w:ascii="Arial" w:cs="Arial" w:eastAsia="Arial" w:hAnsi="Arial"/>
                <w:sz w:val="18"/>
                <w:szCs w:val="18"/>
                <w:b w:val="1"/>
                <w:bCs w:val="1"/>
                <w:color w:val="auto"/>
                <w:w w:val="92"/>
              </w:rPr>
              <w:t>Penumbra, Inc.</w:t>
            </w: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16"/>
        </w:trPr>
        <w:tc>
          <w:tcPr>
            <w:tcW w:w="1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300" w:type="dxa"/>
            <w:vAlign w:val="bottom"/>
            <w:gridSpan w:val="16"/>
          </w:tcPr>
          <w:p>
            <w:pPr>
              <w:jc w:val="right"/>
              <w:ind w:right="510"/>
              <w:spacing w:after="0" w:line="216" w:lineRule="exact"/>
              <w:rPr>
                <w:sz w:val="20"/>
                <w:szCs w:val="20"/>
                <w:color w:val="auto"/>
              </w:rPr>
            </w:pPr>
            <w:r>
              <w:rPr>
                <w:rFonts w:ascii="Arial" w:cs="Arial" w:eastAsia="Arial" w:hAnsi="Arial"/>
                <w:sz w:val="18"/>
                <w:szCs w:val="18"/>
                <w:b w:val="1"/>
                <w:bCs w:val="1"/>
                <w:color w:val="auto"/>
                <w:w w:val="90"/>
              </w:rPr>
              <w:t>Reconciliation of Revenue Growth by Geographic Regions to Constant Currency Revenue Growth</w:t>
            </w:r>
            <w:r>
              <w:rPr>
                <w:rFonts w:ascii="Arial" w:cs="Arial" w:eastAsia="Arial" w:hAnsi="Arial"/>
                <w:sz w:val="25"/>
                <w:szCs w:val="25"/>
                <w:b w:val="1"/>
                <w:bCs w:val="1"/>
                <w:color w:val="auto"/>
                <w:w w:val="90"/>
                <w:vertAlign w:val="superscript"/>
              </w:rPr>
              <w:t>1</w:t>
            </w:r>
          </w:p>
        </w:tc>
        <w:tc>
          <w:tcPr>
            <w:tcW w:w="100" w:type="dxa"/>
            <w:vAlign w:val="bottom"/>
          </w:tcPr>
          <w:p>
            <w:pPr>
              <w:spacing w:after="0"/>
              <w:rPr>
                <w:sz w:val="18"/>
                <w:szCs w:val="18"/>
                <w:color w:val="auto"/>
              </w:rPr>
            </w:pPr>
          </w:p>
        </w:tc>
        <w:tc>
          <w:tcPr>
            <w:tcW w:w="1220" w:type="dxa"/>
            <w:vAlign w:val="bottom"/>
          </w:tcPr>
          <w:p>
            <w:pPr>
              <w:spacing w:after="0"/>
              <w:rPr>
                <w:sz w:val="18"/>
                <w:szCs w:val="18"/>
                <w:color w:val="auto"/>
              </w:rPr>
            </w:pPr>
          </w:p>
        </w:tc>
      </w:tr>
      <w:tr>
        <w:trPr>
          <w:trHeight w:val="216"/>
        </w:trPr>
        <w:tc>
          <w:tcPr>
            <w:tcW w:w="1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3"/>
          </w:tcPr>
          <w:p>
            <w:pPr>
              <w:jc w:val="center"/>
              <w:ind w:right="140"/>
              <w:spacing w:after="0"/>
              <w:rPr>
                <w:sz w:val="20"/>
                <w:szCs w:val="20"/>
                <w:color w:val="auto"/>
              </w:rPr>
            </w:pPr>
            <w:r>
              <w:rPr>
                <w:rFonts w:ascii="Arial" w:cs="Arial" w:eastAsia="Arial" w:hAnsi="Arial"/>
                <w:sz w:val="18"/>
                <w:szCs w:val="18"/>
                <w:b w:val="1"/>
                <w:bCs w:val="1"/>
                <w:color w:val="auto"/>
                <w:w w:val="91"/>
              </w:rPr>
              <w:t>(unaudited)</w:t>
            </w: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20" w:type="dxa"/>
            <w:vAlign w:val="bottom"/>
          </w:tcPr>
          <w:p>
            <w:pPr>
              <w:spacing w:after="0"/>
              <w:rPr>
                <w:sz w:val="18"/>
                <w:szCs w:val="18"/>
                <w:color w:val="auto"/>
              </w:rPr>
            </w:pPr>
          </w:p>
        </w:tc>
      </w:tr>
      <w:tr>
        <w:trPr>
          <w:trHeight w:val="234"/>
        </w:trPr>
        <w:tc>
          <w:tcPr>
            <w:tcW w:w="1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40" w:type="dxa"/>
            <w:vAlign w:val="bottom"/>
            <w:gridSpan w:val="3"/>
          </w:tcPr>
          <w:p>
            <w:pPr>
              <w:jc w:val="center"/>
              <w:ind w:right="140"/>
              <w:spacing w:after="0"/>
              <w:rPr>
                <w:sz w:val="20"/>
                <w:szCs w:val="20"/>
                <w:color w:val="auto"/>
              </w:rPr>
            </w:pPr>
            <w:r>
              <w:rPr>
                <w:rFonts w:ascii="Arial" w:cs="Arial" w:eastAsia="Arial" w:hAnsi="Arial"/>
                <w:sz w:val="18"/>
                <w:szCs w:val="18"/>
                <w:b w:val="1"/>
                <w:bCs w:val="1"/>
                <w:color w:val="auto"/>
                <w:w w:val="88"/>
              </w:rPr>
              <w:t>(in thousands)</w:t>
            </w: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20" w:type="dxa"/>
            <w:vAlign w:val="bottom"/>
          </w:tcPr>
          <w:p>
            <w:pPr>
              <w:spacing w:after="0"/>
              <w:rPr>
                <w:sz w:val="20"/>
                <w:szCs w:val="20"/>
                <w:color w:val="auto"/>
              </w:rPr>
            </w:pPr>
          </w:p>
        </w:tc>
      </w:tr>
      <w:tr>
        <w:trPr>
          <w:trHeight w:val="378"/>
        </w:trPr>
        <w:tc>
          <w:tcPr>
            <w:tcW w:w="1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120" w:type="dxa"/>
            <w:vAlign w:val="bottom"/>
            <w:gridSpan w:val="4"/>
          </w:tcPr>
          <w:p>
            <w:pPr>
              <w:jc w:val="right"/>
              <w:ind w:right="510"/>
              <w:spacing w:after="0"/>
              <w:rPr>
                <w:sz w:val="20"/>
                <w:szCs w:val="20"/>
                <w:color w:val="auto"/>
              </w:rPr>
            </w:pPr>
            <w:r>
              <w:rPr>
                <w:rFonts w:ascii="Arial" w:cs="Arial" w:eastAsia="Arial" w:hAnsi="Arial"/>
                <w:sz w:val="18"/>
                <w:szCs w:val="18"/>
                <w:b w:val="1"/>
                <w:bCs w:val="1"/>
                <w:color w:val="auto"/>
              </w:rPr>
              <w:t>Year Ended December 31,</w:t>
            </w: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240" w:type="dxa"/>
            <w:vAlign w:val="bottom"/>
            <w:gridSpan w:val="4"/>
          </w:tcPr>
          <w:p>
            <w:pPr>
              <w:ind w:left="240"/>
              <w:spacing w:after="0"/>
              <w:rPr>
                <w:sz w:val="20"/>
                <w:szCs w:val="20"/>
                <w:color w:val="auto"/>
              </w:rPr>
            </w:pPr>
            <w:r>
              <w:rPr>
                <w:rFonts w:ascii="Arial" w:cs="Arial" w:eastAsia="Arial" w:hAnsi="Arial"/>
                <w:sz w:val="18"/>
                <w:szCs w:val="18"/>
                <w:b w:val="1"/>
                <w:bCs w:val="1"/>
                <w:color w:val="auto"/>
              </w:rPr>
              <w:t>Reported Change</w:t>
            </w:r>
          </w:p>
        </w:tc>
        <w:tc>
          <w:tcPr>
            <w:tcW w:w="140" w:type="dxa"/>
            <w:vAlign w:val="bottom"/>
          </w:tcPr>
          <w:p>
            <w:pPr>
              <w:spacing w:after="0"/>
              <w:rPr>
                <w:sz w:val="24"/>
                <w:szCs w:val="24"/>
                <w:color w:val="auto"/>
              </w:rPr>
            </w:pPr>
          </w:p>
        </w:tc>
        <w:tc>
          <w:tcPr>
            <w:tcW w:w="110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5"/>
              </w:rPr>
              <w:t>FX Impact</w:t>
            </w:r>
          </w:p>
        </w:tc>
        <w:tc>
          <w:tcPr>
            <w:tcW w:w="160" w:type="dxa"/>
            <w:vAlign w:val="bottom"/>
          </w:tcPr>
          <w:p>
            <w:pPr>
              <w:spacing w:after="0"/>
              <w:rPr>
                <w:sz w:val="24"/>
                <w:szCs w:val="24"/>
                <w:color w:val="auto"/>
              </w:rPr>
            </w:pPr>
          </w:p>
        </w:tc>
        <w:tc>
          <w:tcPr>
            <w:tcW w:w="2300" w:type="dxa"/>
            <w:vAlign w:val="bottom"/>
            <w:gridSpan w:val="3"/>
          </w:tcPr>
          <w:p>
            <w:pPr>
              <w:jc w:val="right"/>
              <w:ind w:right="160"/>
              <w:spacing w:after="0"/>
              <w:rPr>
                <w:sz w:val="20"/>
                <w:szCs w:val="20"/>
                <w:color w:val="auto"/>
              </w:rPr>
            </w:pPr>
            <w:r>
              <w:rPr>
                <w:rFonts w:ascii="Arial" w:cs="Arial" w:eastAsia="Arial" w:hAnsi="Arial"/>
                <w:sz w:val="18"/>
                <w:szCs w:val="18"/>
                <w:b w:val="1"/>
                <w:bCs w:val="1"/>
                <w:color w:val="auto"/>
                <w:w w:val="90"/>
              </w:rPr>
              <w:t>Constant Currency Change</w:t>
            </w:r>
          </w:p>
        </w:tc>
      </w:tr>
      <w:tr>
        <w:trPr>
          <w:trHeight w:val="27"/>
        </w:trPr>
        <w:tc>
          <w:tcPr>
            <w:tcW w:w="178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gridSpan w:val="2"/>
          </w:tcPr>
          <w:p>
            <w:pPr>
              <w:spacing w:after="0"/>
              <w:rPr>
                <w:sz w:val="2"/>
                <w:szCs w:val="2"/>
                <w:color w:val="auto"/>
              </w:rPr>
            </w:pPr>
          </w:p>
        </w:tc>
      </w:tr>
      <w:tr>
        <w:trPr>
          <w:trHeight w:val="237"/>
        </w:trPr>
        <w:tc>
          <w:tcPr>
            <w:tcW w:w="1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40" w:type="dxa"/>
            <w:vAlign w:val="bottom"/>
          </w:tcPr>
          <w:p>
            <w:pPr>
              <w:jc w:val="right"/>
              <w:ind w:right="510"/>
              <w:spacing w:after="0"/>
              <w:rPr>
                <w:sz w:val="20"/>
                <w:szCs w:val="20"/>
                <w:color w:val="auto"/>
              </w:rPr>
            </w:pPr>
            <w:r>
              <w:rPr>
                <w:rFonts w:ascii="Arial" w:cs="Arial" w:eastAsia="Arial" w:hAnsi="Arial"/>
                <w:sz w:val="18"/>
                <w:szCs w:val="18"/>
                <w:b w:val="1"/>
                <w:bCs w:val="1"/>
                <w:color w:val="auto"/>
              </w:rPr>
              <w:t>2015</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20" w:type="dxa"/>
            <w:vAlign w:val="bottom"/>
          </w:tcPr>
          <w:p>
            <w:pPr>
              <w:jc w:val="right"/>
              <w:ind w:right="510"/>
              <w:spacing w:after="0"/>
              <w:rPr>
                <w:sz w:val="20"/>
                <w:szCs w:val="20"/>
                <w:color w:val="auto"/>
              </w:rPr>
            </w:pPr>
            <w:r>
              <w:rPr>
                <w:rFonts w:ascii="Arial" w:cs="Arial" w:eastAsia="Arial" w:hAnsi="Arial"/>
                <w:sz w:val="18"/>
                <w:szCs w:val="18"/>
                <w:b w:val="1"/>
                <w:bCs w:val="1"/>
                <w:color w:val="auto"/>
              </w:rPr>
              <w:t>2014</w:t>
            </w: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0" w:type="dxa"/>
            <w:vAlign w:val="bottom"/>
          </w:tcPr>
          <w:p>
            <w:pPr>
              <w:jc w:val="center"/>
              <w:ind w:right="230"/>
              <w:spacing w:after="0"/>
              <w:rPr>
                <w:sz w:val="20"/>
                <w:szCs w:val="20"/>
                <w:color w:val="auto"/>
              </w:rPr>
            </w:pPr>
            <w:r>
              <w:rPr>
                <w:rFonts w:ascii="Arial" w:cs="Arial" w:eastAsia="Arial" w:hAnsi="Arial"/>
                <w:sz w:val="18"/>
                <w:szCs w:val="18"/>
                <w:b w:val="1"/>
                <w:bCs w:val="1"/>
                <w:color w:val="auto"/>
                <w:w w:val="79"/>
              </w:rPr>
              <w:t>$</w:t>
            </w:r>
          </w:p>
        </w:tc>
        <w:tc>
          <w:tcPr>
            <w:tcW w:w="120" w:type="dxa"/>
            <w:vAlign w:val="bottom"/>
          </w:tcPr>
          <w:p>
            <w:pPr>
              <w:spacing w:after="0"/>
              <w:rPr>
                <w:sz w:val="20"/>
                <w:szCs w:val="20"/>
                <w:color w:val="auto"/>
              </w:rPr>
            </w:pPr>
          </w:p>
        </w:tc>
        <w:tc>
          <w:tcPr>
            <w:tcW w:w="1220" w:type="dxa"/>
            <w:vAlign w:val="bottom"/>
          </w:tcPr>
          <w:p>
            <w:pPr>
              <w:jc w:val="right"/>
              <w:ind w:right="43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0" w:type="dxa"/>
            <w:vAlign w:val="bottom"/>
          </w:tcPr>
          <w:p>
            <w:pPr>
              <w:jc w:val="center"/>
              <w:ind w:right="10"/>
              <w:spacing w:after="0"/>
              <w:rPr>
                <w:sz w:val="20"/>
                <w:szCs w:val="20"/>
                <w:color w:val="auto"/>
              </w:rPr>
            </w:pPr>
            <w:r>
              <w:rPr>
                <w:rFonts w:ascii="Arial" w:cs="Arial" w:eastAsia="Arial" w:hAnsi="Arial"/>
                <w:sz w:val="18"/>
                <w:szCs w:val="18"/>
                <w:b w:val="1"/>
                <w:bCs w:val="1"/>
                <w:color w:val="auto"/>
                <w:w w:val="99"/>
              </w:rPr>
              <w:t>$</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80" w:type="dxa"/>
            <w:vAlign w:val="bottom"/>
          </w:tcPr>
          <w:p>
            <w:pPr>
              <w:jc w:val="right"/>
              <w:ind w:right="430"/>
              <w:spacing w:after="0"/>
              <w:rPr>
                <w:sz w:val="20"/>
                <w:szCs w:val="20"/>
                <w:color w:val="auto"/>
              </w:rPr>
            </w:pPr>
            <w:r>
              <w:rPr>
                <w:rFonts w:ascii="Arial" w:cs="Arial" w:eastAsia="Arial" w:hAnsi="Arial"/>
                <w:sz w:val="18"/>
                <w:szCs w:val="18"/>
                <w:b w:val="1"/>
                <w:bCs w:val="1"/>
                <w:color w:val="auto"/>
              </w:rPr>
              <w:t>$</w:t>
            </w:r>
          </w:p>
        </w:tc>
        <w:tc>
          <w:tcPr>
            <w:tcW w:w="1320" w:type="dxa"/>
            <w:vAlign w:val="bottom"/>
            <w:gridSpan w:val="2"/>
          </w:tcPr>
          <w:p>
            <w:pPr>
              <w:jc w:val="right"/>
              <w:ind w:right="520"/>
              <w:spacing w:after="0"/>
              <w:rPr>
                <w:sz w:val="20"/>
                <w:szCs w:val="20"/>
                <w:color w:val="auto"/>
              </w:rPr>
            </w:pPr>
            <w:r>
              <w:rPr>
                <w:rFonts w:ascii="Arial" w:cs="Arial" w:eastAsia="Arial" w:hAnsi="Arial"/>
                <w:sz w:val="18"/>
                <w:szCs w:val="18"/>
                <w:b w:val="1"/>
                <w:bCs w:val="1"/>
                <w:color w:val="auto"/>
              </w:rPr>
              <w:t>%</w:t>
            </w:r>
          </w:p>
        </w:tc>
      </w:tr>
      <w:tr>
        <w:trPr>
          <w:trHeight w:val="27"/>
        </w:trPr>
        <w:tc>
          <w:tcPr>
            <w:tcW w:w="1800" w:type="dxa"/>
            <w:vAlign w:val="bottom"/>
            <w:tcBorders>
              <w:bottom w:val="single" w:sz="8" w:color="CCEEFF"/>
            </w:tcBorders>
            <w:gridSpan w:val="2"/>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44"/>
        </w:trPr>
        <w:tc>
          <w:tcPr>
            <w:tcW w:w="18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United States</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127,311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82,965</w:t>
            </w:r>
          </w:p>
        </w:tc>
        <w:tc>
          <w:tcPr>
            <w:tcW w:w="440" w:type="dxa"/>
            <w:vAlign w:val="bottom"/>
            <w:tcBorders>
              <w:bottom w:val="single" w:sz="8" w:color="CCEEFF"/>
            </w:tcBorders>
            <w:gridSpan w:val="2"/>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44,346</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53.5%</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44,346</w:t>
            </w:r>
          </w:p>
        </w:tc>
        <w:tc>
          <w:tcPr>
            <w:tcW w:w="132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53.5%</w:t>
            </w:r>
          </w:p>
        </w:tc>
      </w:tr>
      <w:tr>
        <w:trPr>
          <w:trHeight w:val="243"/>
        </w:trPr>
        <w:tc>
          <w:tcPr>
            <w:tcW w:w="1800" w:type="dxa"/>
            <w:vAlign w:val="bottom"/>
            <w:gridSpan w:val="2"/>
          </w:tcPr>
          <w:p>
            <w:pPr>
              <w:ind w:left="40"/>
              <w:spacing w:after="0"/>
              <w:rPr>
                <w:sz w:val="20"/>
                <w:szCs w:val="20"/>
                <w:color w:val="auto"/>
              </w:rPr>
            </w:pPr>
            <w:r>
              <w:rPr>
                <w:rFonts w:ascii="Arial" w:cs="Arial" w:eastAsia="Arial" w:hAnsi="Arial"/>
                <w:sz w:val="18"/>
                <w:szCs w:val="18"/>
                <w:color w:val="auto"/>
              </w:rPr>
              <w:t>International</w:t>
            </w:r>
          </w:p>
        </w:tc>
        <w:tc>
          <w:tcPr>
            <w:tcW w:w="120" w:type="dxa"/>
            <w:vAlign w:val="bottom"/>
          </w:tcPr>
          <w:p>
            <w:pPr>
              <w:spacing w:after="0"/>
              <w:rPr>
                <w:sz w:val="21"/>
                <w:szCs w:val="21"/>
                <w:color w:val="auto"/>
              </w:rPr>
            </w:pPr>
          </w:p>
        </w:tc>
        <w:tc>
          <w:tcPr>
            <w:tcW w:w="1440" w:type="dxa"/>
            <w:vAlign w:val="bottom"/>
          </w:tcPr>
          <w:p>
            <w:pPr>
              <w:jc w:val="right"/>
              <w:ind w:right="30"/>
              <w:spacing w:after="0"/>
              <w:rPr>
                <w:sz w:val="20"/>
                <w:szCs w:val="20"/>
                <w:color w:val="auto"/>
              </w:rPr>
            </w:pPr>
            <w:r>
              <w:rPr>
                <w:rFonts w:ascii="Arial" w:cs="Arial" w:eastAsia="Arial" w:hAnsi="Arial"/>
                <w:sz w:val="18"/>
                <w:szCs w:val="18"/>
                <w:color w:val="auto"/>
              </w:rPr>
              <w:t>58,784</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42,545</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16,239</w:t>
            </w:r>
          </w:p>
        </w:tc>
        <w:tc>
          <w:tcPr>
            <w:tcW w:w="12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38.2%</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7,065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23,304</w:t>
            </w:r>
          </w:p>
        </w:tc>
        <w:tc>
          <w:tcPr>
            <w:tcW w:w="1320" w:type="dxa"/>
            <w:vAlign w:val="bottom"/>
            <w:gridSpan w:val="2"/>
          </w:tcPr>
          <w:p>
            <w:pPr>
              <w:jc w:val="right"/>
              <w:ind w:right="40"/>
              <w:spacing w:after="0"/>
              <w:rPr>
                <w:sz w:val="20"/>
                <w:szCs w:val="20"/>
                <w:color w:val="auto"/>
              </w:rPr>
            </w:pPr>
            <w:r>
              <w:rPr>
                <w:rFonts w:ascii="Arial" w:cs="Arial" w:eastAsia="Arial" w:hAnsi="Arial"/>
                <w:sz w:val="18"/>
                <w:szCs w:val="18"/>
                <w:color w:val="auto"/>
              </w:rPr>
              <w:t>54.8%</w:t>
            </w:r>
          </w:p>
        </w:tc>
      </w:tr>
      <w:tr>
        <w:trPr>
          <w:trHeight w:val="27"/>
        </w:trPr>
        <w:tc>
          <w:tcPr>
            <w:tcW w:w="1800" w:type="dxa"/>
            <w:vAlign w:val="bottom"/>
            <w:tcBorders>
              <w:bottom w:val="single" w:sz="8" w:color="CCEEFF"/>
            </w:tcBorders>
            <w:gridSpan w:val="2"/>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980" w:type="dxa"/>
            <w:vAlign w:val="bottom"/>
            <w:tcBorders>
              <w:bottom w:val="single" w:sz="8" w:color="CCEEFF"/>
            </w:tcBorders>
          </w:tcPr>
          <w:p>
            <w:pPr>
              <w:spacing w:after="0"/>
              <w:rPr>
                <w:sz w:val="2"/>
                <w:szCs w:val="2"/>
                <w:color w:val="auto"/>
              </w:rPr>
            </w:pPr>
          </w:p>
        </w:tc>
        <w:tc>
          <w:tcPr>
            <w:tcW w:w="1320" w:type="dxa"/>
            <w:vAlign w:val="bottom"/>
            <w:tcBorders>
              <w:bottom w:val="single" w:sz="8" w:color="CCEEFF"/>
            </w:tcBorders>
            <w:gridSpan w:val="2"/>
          </w:tcPr>
          <w:p>
            <w:pPr>
              <w:spacing w:after="0"/>
              <w:rPr>
                <w:sz w:val="2"/>
                <w:szCs w:val="2"/>
                <w:color w:val="auto"/>
              </w:rPr>
            </w:pPr>
          </w:p>
        </w:tc>
      </w:tr>
      <w:tr>
        <w:trPr>
          <w:trHeight w:val="257"/>
        </w:trPr>
        <w:tc>
          <w:tcPr>
            <w:tcW w:w="1800" w:type="dxa"/>
            <w:vAlign w:val="bottom"/>
            <w:tcBorders>
              <w:bottom w:val="single" w:sz="8" w:color="CCEEFF"/>
            </w:tcBorders>
            <w:gridSpan w:val="2"/>
            <w:shd w:val="clear" w:color="auto" w:fill="CCEEFF"/>
          </w:tcPr>
          <w:p>
            <w:pPr>
              <w:ind w:left="260"/>
              <w:spacing w:after="0"/>
              <w:rPr>
                <w:sz w:val="20"/>
                <w:szCs w:val="20"/>
                <w:color w:val="auto"/>
              </w:rPr>
            </w:pPr>
            <w:r>
              <w:rPr>
                <w:rFonts w:ascii="Arial" w:cs="Arial" w:eastAsia="Arial" w:hAnsi="Arial"/>
                <w:sz w:val="18"/>
                <w:szCs w:val="18"/>
                <w:color w:val="auto"/>
              </w:rPr>
              <w:t>Total</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186,095</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125,510</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60,585</w:t>
            </w:r>
          </w:p>
        </w:tc>
        <w:tc>
          <w:tcPr>
            <w:tcW w:w="12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48.3%</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7,065</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67,650</w:t>
            </w:r>
          </w:p>
        </w:tc>
        <w:tc>
          <w:tcPr>
            <w:tcW w:w="132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53.9%</w:t>
            </w:r>
          </w:p>
        </w:tc>
      </w:tr>
      <w:tr>
        <w:trPr>
          <w:trHeight w:val="20"/>
        </w:trPr>
        <w:tc>
          <w:tcPr>
            <w:tcW w:w="17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r>
      <w:tr>
        <w:trPr>
          <w:trHeight w:val="347"/>
        </w:trPr>
        <w:tc>
          <w:tcPr>
            <w:tcW w:w="1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360" w:type="dxa"/>
            <w:vAlign w:val="bottom"/>
            <w:gridSpan w:val="4"/>
          </w:tcPr>
          <w:p>
            <w:pPr>
              <w:jc w:val="center"/>
              <w:spacing w:after="0"/>
              <w:rPr>
                <w:sz w:val="20"/>
                <w:szCs w:val="20"/>
                <w:color w:val="auto"/>
              </w:rPr>
            </w:pPr>
            <w:r>
              <w:rPr>
                <w:rFonts w:ascii="Arial" w:cs="Arial" w:eastAsia="Arial" w:hAnsi="Arial"/>
                <w:sz w:val="18"/>
                <w:szCs w:val="18"/>
                <w:b w:val="1"/>
                <w:bCs w:val="1"/>
                <w:color w:val="auto"/>
                <w:w w:val="92"/>
              </w:rPr>
              <w:t>Penumbra, Inc.</w:t>
            </w: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16"/>
        </w:trPr>
        <w:tc>
          <w:tcPr>
            <w:tcW w:w="1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180" w:type="dxa"/>
            <w:vAlign w:val="bottom"/>
            <w:gridSpan w:val="15"/>
          </w:tcPr>
          <w:p>
            <w:pPr>
              <w:jc w:val="right"/>
              <w:ind w:right="550"/>
              <w:spacing w:after="0" w:line="216" w:lineRule="exact"/>
              <w:rPr>
                <w:sz w:val="20"/>
                <w:szCs w:val="20"/>
                <w:color w:val="auto"/>
              </w:rPr>
            </w:pPr>
            <w:r>
              <w:rPr>
                <w:rFonts w:ascii="Arial" w:cs="Arial" w:eastAsia="Arial" w:hAnsi="Arial"/>
                <w:sz w:val="18"/>
                <w:szCs w:val="18"/>
                <w:b w:val="1"/>
                <w:bCs w:val="1"/>
                <w:color w:val="auto"/>
                <w:w w:val="89"/>
              </w:rPr>
              <w:t>Reconciliation of Revenue Growth by Product Categories to Constant Currency Revenue Growth</w:t>
            </w:r>
            <w:r>
              <w:rPr>
                <w:rFonts w:ascii="Arial" w:cs="Arial" w:eastAsia="Arial" w:hAnsi="Arial"/>
                <w:sz w:val="25"/>
                <w:szCs w:val="25"/>
                <w:b w:val="1"/>
                <w:bCs w:val="1"/>
                <w:color w:val="auto"/>
                <w:w w:val="89"/>
                <w:vertAlign w:val="superscript"/>
              </w:rPr>
              <w:t>1</w:t>
            </w:r>
          </w:p>
        </w:tc>
        <w:tc>
          <w:tcPr>
            <w:tcW w:w="100" w:type="dxa"/>
            <w:vAlign w:val="bottom"/>
          </w:tcPr>
          <w:p>
            <w:pPr>
              <w:spacing w:after="0"/>
              <w:rPr>
                <w:sz w:val="18"/>
                <w:szCs w:val="18"/>
                <w:color w:val="auto"/>
              </w:rPr>
            </w:pPr>
          </w:p>
        </w:tc>
        <w:tc>
          <w:tcPr>
            <w:tcW w:w="1220" w:type="dxa"/>
            <w:vAlign w:val="bottom"/>
          </w:tcPr>
          <w:p>
            <w:pPr>
              <w:spacing w:after="0"/>
              <w:rPr>
                <w:sz w:val="18"/>
                <w:szCs w:val="18"/>
                <w:color w:val="auto"/>
              </w:rPr>
            </w:pPr>
          </w:p>
        </w:tc>
      </w:tr>
      <w:tr>
        <w:trPr>
          <w:trHeight w:val="216"/>
        </w:trPr>
        <w:tc>
          <w:tcPr>
            <w:tcW w:w="1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3"/>
          </w:tcPr>
          <w:p>
            <w:pPr>
              <w:jc w:val="center"/>
              <w:ind w:right="140"/>
              <w:spacing w:after="0"/>
              <w:rPr>
                <w:sz w:val="20"/>
                <w:szCs w:val="20"/>
                <w:color w:val="auto"/>
              </w:rPr>
            </w:pPr>
            <w:r>
              <w:rPr>
                <w:rFonts w:ascii="Arial" w:cs="Arial" w:eastAsia="Arial" w:hAnsi="Arial"/>
                <w:sz w:val="18"/>
                <w:szCs w:val="18"/>
                <w:b w:val="1"/>
                <w:bCs w:val="1"/>
                <w:color w:val="auto"/>
                <w:w w:val="91"/>
              </w:rPr>
              <w:t>(unaudited)</w:t>
            </w: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20" w:type="dxa"/>
            <w:vAlign w:val="bottom"/>
          </w:tcPr>
          <w:p>
            <w:pPr>
              <w:spacing w:after="0"/>
              <w:rPr>
                <w:sz w:val="18"/>
                <w:szCs w:val="18"/>
                <w:color w:val="auto"/>
              </w:rPr>
            </w:pPr>
          </w:p>
        </w:tc>
      </w:tr>
      <w:tr>
        <w:trPr>
          <w:trHeight w:val="234"/>
        </w:trPr>
        <w:tc>
          <w:tcPr>
            <w:tcW w:w="1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40" w:type="dxa"/>
            <w:vAlign w:val="bottom"/>
            <w:gridSpan w:val="3"/>
          </w:tcPr>
          <w:p>
            <w:pPr>
              <w:jc w:val="center"/>
              <w:ind w:right="140"/>
              <w:spacing w:after="0"/>
              <w:rPr>
                <w:sz w:val="20"/>
                <w:szCs w:val="20"/>
                <w:color w:val="auto"/>
              </w:rPr>
            </w:pPr>
            <w:r>
              <w:rPr>
                <w:rFonts w:ascii="Arial" w:cs="Arial" w:eastAsia="Arial" w:hAnsi="Arial"/>
                <w:sz w:val="18"/>
                <w:szCs w:val="18"/>
                <w:b w:val="1"/>
                <w:bCs w:val="1"/>
                <w:color w:val="auto"/>
                <w:w w:val="88"/>
              </w:rPr>
              <w:t>(in thousands)</w:t>
            </w: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20" w:type="dxa"/>
            <w:vAlign w:val="bottom"/>
          </w:tcPr>
          <w:p>
            <w:pPr>
              <w:spacing w:after="0"/>
              <w:rPr>
                <w:sz w:val="20"/>
                <w:szCs w:val="20"/>
                <w:color w:val="auto"/>
              </w:rPr>
            </w:pPr>
          </w:p>
        </w:tc>
      </w:tr>
      <w:tr>
        <w:trPr>
          <w:trHeight w:val="378"/>
        </w:trPr>
        <w:tc>
          <w:tcPr>
            <w:tcW w:w="1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120" w:type="dxa"/>
            <w:vAlign w:val="bottom"/>
            <w:gridSpan w:val="4"/>
          </w:tcPr>
          <w:p>
            <w:pPr>
              <w:jc w:val="right"/>
              <w:ind w:right="530"/>
              <w:spacing w:after="0"/>
              <w:rPr>
                <w:sz w:val="20"/>
                <w:szCs w:val="20"/>
                <w:color w:val="auto"/>
              </w:rPr>
            </w:pPr>
            <w:r>
              <w:rPr>
                <w:rFonts w:ascii="Arial" w:cs="Arial" w:eastAsia="Arial" w:hAnsi="Arial"/>
                <w:sz w:val="18"/>
                <w:szCs w:val="18"/>
                <w:b w:val="1"/>
                <w:bCs w:val="1"/>
                <w:color w:val="auto"/>
              </w:rPr>
              <w:t>Year Ended December 31,</w:t>
            </w: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240" w:type="dxa"/>
            <w:vAlign w:val="bottom"/>
            <w:gridSpan w:val="4"/>
          </w:tcPr>
          <w:p>
            <w:pPr>
              <w:ind w:left="240"/>
              <w:spacing w:after="0"/>
              <w:rPr>
                <w:sz w:val="20"/>
                <w:szCs w:val="20"/>
                <w:color w:val="auto"/>
              </w:rPr>
            </w:pPr>
            <w:r>
              <w:rPr>
                <w:rFonts w:ascii="Arial" w:cs="Arial" w:eastAsia="Arial" w:hAnsi="Arial"/>
                <w:sz w:val="18"/>
                <w:szCs w:val="18"/>
                <w:b w:val="1"/>
                <w:bCs w:val="1"/>
                <w:color w:val="auto"/>
              </w:rPr>
              <w:t>Reported Change</w:t>
            </w:r>
          </w:p>
        </w:tc>
        <w:tc>
          <w:tcPr>
            <w:tcW w:w="140" w:type="dxa"/>
            <w:vAlign w:val="bottom"/>
          </w:tcPr>
          <w:p>
            <w:pPr>
              <w:spacing w:after="0"/>
              <w:rPr>
                <w:sz w:val="24"/>
                <w:szCs w:val="24"/>
                <w:color w:val="auto"/>
              </w:rPr>
            </w:pPr>
          </w:p>
        </w:tc>
        <w:tc>
          <w:tcPr>
            <w:tcW w:w="110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5"/>
              </w:rPr>
              <w:t>FX Impact</w:t>
            </w:r>
          </w:p>
        </w:tc>
        <w:tc>
          <w:tcPr>
            <w:tcW w:w="160" w:type="dxa"/>
            <w:vAlign w:val="bottom"/>
          </w:tcPr>
          <w:p>
            <w:pPr>
              <w:spacing w:after="0"/>
              <w:rPr>
                <w:sz w:val="24"/>
                <w:szCs w:val="24"/>
                <w:color w:val="auto"/>
              </w:rPr>
            </w:pPr>
          </w:p>
        </w:tc>
        <w:tc>
          <w:tcPr>
            <w:tcW w:w="2300" w:type="dxa"/>
            <w:vAlign w:val="bottom"/>
            <w:gridSpan w:val="3"/>
          </w:tcPr>
          <w:p>
            <w:pPr>
              <w:jc w:val="right"/>
              <w:ind w:right="160"/>
              <w:spacing w:after="0"/>
              <w:rPr>
                <w:sz w:val="20"/>
                <w:szCs w:val="20"/>
                <w:color w:val="auto"/>
              </w:rPr>
            </w:pPr>
            <w:r>
              <w:rPr>
                <w:rFonts w:ascii="Arial" w:cs="Arial" w:eastAsia="Arial" w:hAnsi="Arial"/>
                <w:sz w:val="18"/>
                <w:szCs w:val="18"/>
                <w:b w:val="1"/>
                <w:bCs w:val="1"/>
                <w:color w:val="auto"/>
                <w:w w:val="90"/>
              </w:rPr>
              <w:t>Constant Currency Change</w:t>
            </w:r>
          </w:p>
        </w:tc>
      </w:tr>
      <w:tr>
        <w:trPr>
          <w:trHeight w:val="27"/>
        </w:trPr>
        <w:tc>
          <w:tcPr>
            <w:tcW w:w="178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gridSpan w:val="2"/>
          </w:tcPr>
          <w:p>
            <w:pPr>
              <w:spacing w:after="0"/>
              <w:rPr>
                <w:sz w:val="2"/>
                <w:szCs w:val="2"/>
                <w:color w:val="auto"/>
              </w:rPr>
            </w:pPr>
          </w:p>
        </w:tc>
      </w:tr>
      <w:tr>
        <w:trPr>
          <w:trHeight w:val="237"/>
        </w:trPr>
        <w:tc>
          <w:tcPr>
            <w:tcW w:w="1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40" w:type="dxa"/>
            <w:vAlign w:val="bottom"/>
          </w:tcPr>
          <w:p>
            <w:pPr>
              <w:jc w:val="right"/>
              <w:ind w:right="530"/>
              <w:spacing w:after="0"/>
              <w:rPr>
                <w:sz w:val="20"/>
                <w:szCs w:val="20"/>
                <w:color w:val="auto"/>
              </w:rPr>
            </w:pPr>
            <w:r>
              <w:rPr>
                <w:rFonts w:ascii="Arial" w:cs="Arial" w:eastAsia="Arial" w:hAnsi="Arial"/>
                <w:sz w:val="18"/>
                <w:szCs w:val="18"/>
                <w:b w:val="1"/>
                <w:bCs w:val="1"/>
                <w:color w:val="auto"/>
              </w:rPr>
              <w:t>2015</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20" w:type="dxa"/>
            <w:vAlign w:val="bottom"/>
          </w:tcPr>
          <w:p>
            <w:pPr>
              <w:jc w:val="right"/>
              <w:ind w:right="510"/>
              <w:spacing w:after="0"/>
              <w:rPr>
                <w:sz w:val="20"/>
                <w:szCs w:val="20"/>
                <w:color w:val="auto"/>
              </w:rPr>
            </w:pPr>
            <w:r>
              <w:rPr>
                <w:rFonts w:ascii="Arial" w:cs="Arial" w:eastAsia="Arial" w:hAnsi="Arial"/>
                <w:sz w:val="18"/>
                <w:szCs w:val="18"/>
                <w:b w:val="1"/>
                <w:bCs w:val="1"/>
                <w:color w:val="auto"/>
              </w:rPr>
              <w:t>2014</w:t>
            </w: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0" w:type="dxa"/>
            <w:vAlign w:val="bottom"/>
          </w:tcPr>
          <w:p>
            <w:pPr>
              <w:jc w:val="center"/>
              <w:ind w:right="230"/>
              <w:spacing w:after="0"/>
              <w:rPr>
                <w:sz w:val="20"/>
                <w:szCs w:val="20"/>
                <w:color w:val="auto"/>
              </w:rPr>
            </w:pPr>
            <w:r>
              <w:rPr>
                <w:rFonts w:ascii="Arial" w:cs="Arial" w:eastAsia="Arial" w:hAnsi="Arial"/>
                <w:sz w:val="18"/>
                <w:szCs w:val="18"/>
                <w:b w:val="1"/>
                <w:bCs w:val="1"/>
                <w:color w:val="auto"/>
                <w:w w:val="79"/>
              </w:rPr>
              <w:t>$</w:t>
            </w:r>
          </w:p>
        </w:tc>
        <w:tc>
          <w:tcPr>
            <w:tcW w:w="120" w:type="dxa"/>
            <w:vAlign w:val="bottom"/>
          </w:tcPr>
          <w:p>
            <w:pPr>
              <w:spacing w:after="0"/>
              <w:rPr>
                <w:sz w:val="20"/>
                <w:szCs w:val="20"/>
                <w:color w:val="auto"/>
              </w:rPr>
            </w:pPr>
          </w:p>
        </w:tc>
        <w:tc>
          <w:tcPr>
            <w:tcW w:w="1220" w:type="dxa"/>
            <w:vAlign w:val="bottom"/>
          </w:tcPr>
          <w:p>
            <w:pPr>
              <w:jc w:val="right"/>
              <w:ind w:right="43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0" w:type="dxa"/>
            <w:vAlign w:val="bottom"/>
          </w:tcPr>
          <w:p>
            <w:pPr>
              <w:jc w:val="center"/>
              <w:ind w:right="10"/>
              <w:spacing w:after="0"/>
              <w:rPr>
                <w:sz w:val="20"/>
                <w:szCs w:val="20"/>
                <w:color w:val="auto"/>
              </w:rPr>
            </w:pPr>
            <w:r>
              <w:rPr>
                <w:rFonts w:ascii="Arial" w:cs="Arial" w:eastAsia="Arial" w:hAnsi="Arial"/>
                <w:sz w:val="18"/>
                <w:szCs w:val="18"/>
                <w:b w:val="1"/>
                <w:bCs w:val="1"/>
                <w:color w:val="auto"/>
                <w:w w:val="99"/>
              </w:rPr>
              <w:t>$</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80" w:type="dxa"/>
            <w:vAlign w:val="bottom"/>
          </w:tcPr>
          <w:p>
            <w:pPr>
              <w:jc w:val="right"/>
              <w:ind w:right="430"/>
              <w:spacing w:after="0"/>
              <w:rPr>
                <w:sz w:val="20"/>
                <w:szCs w:val="20"/>
                <w:color w:val="auto"/>
              </w:rPr>
            </w:pPr>
            <w:r>
              <w:rPr>
                <w:rFonts w:ascii="Arial" w:cs="Arial" w:eastAsia="Arial" w:hAnsi="Arial"/>
                <w:sz w:val="18"/>
                <w:szCs w:val="18"/>
                <w:b w:val="1"/>
                <w:bCs w:val="1"/>
                <w:color w:val="auto"/>
              </w:rPr>
              <w:t>$</w:t>
            </w:r>
          </w:p>
        </w:tc>
        <w:tc>
          <w:tcPr>
            <w:tcW w:w="1320" w:type="dxa"/>
            <w:vAlign w:val="bottom"/>
            <w:gridSpan w:val="2"/>
          </w:tcPr>
          <w:p>
            <w:pPr>
              <w:jc w:val="right"/>
              <w:ind w:right="520"/>
              <w:spacing w:after="0"/>
              <w:rPr>
                <w:sz w:val="20"/>
                <w:szCs w:val="20"/>
                <w:color w:val="auto"/>
              </w:rPr>
            </w:pPr>
            <w:r>
              <w:rPr>
                <w:rFonts w:ascii="Arial" w:cs="Arial" w:eastAsia="Arial" w:hAnsi="Arial"/>
                <w:sz w:val="18"/>
                <w:szCs w:val="18"/>
                <w:b w:val="1"/>
                <w:bCs w:val="1"/>
                <w:color w:val="auto"/>
              </w:rPr>
              <w:t>%</w:t>
            </w:r>
          </w:p>
        </w:tc>
      </w:tr>
      <w:tr>
        <w:trPr>
          <w:trHeight w:val="27"/>
        </w:trPr>
        <w:tc>
          <w:tcPr>
            <w:tcW w:w="178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44"/>
        </w:trPr>
        <w:tc>
          <w:tcPr>
            <w:tcW w:w="18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Neuro</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141,410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106,242</w:t>
            </w:r>
          </w:p>
        </w:tc>
        <w:tc>
          <w:tcPr>
            <w:tcW w:w="440" w:type="dxa"/>
            <w:vAlign w:val="bottom"/>
            <w:tcBorders>
              <w:bottom w:val="single" w:sz="8" w:color="CCEEFF"/>
            </w:tcBorders>
            <w:gridSpan w:val="2"/>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35,168</w:t>
            </w:r>
          </w:p>
        </w:tc>
        <w:tc>
          <w:tcPr>
            <w:tcW w:w="12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33.1%</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6,496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41,664</w:t>
            </w:r>
          </w:p>
        </w:tc>
        <w:tc>
          <w:tcPr>
            <w:tcW w:w="132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39.2%</w:t>
            </w:r>
          </w:p>
        </w:tc>
      </w:tr>
      <w:tr>
        <w:trPr>
          <w:trHeight w:val="243"/>
        </w:trPr>
        <w:tc>
          <w:tcPr>
            <w:tcW w:w="1800" w:type="dxa"/>
            <w:vAlign w:val="bottom"/>
            <w:gridSpan w:val="2"/>
          </w:tcPr>
          <w:p>
            <w:pPr>
              <w:ind w:left="40"/>
              <w:spacing w:after="0"/>
              <w:rPr>
                <w:sz w:val="20"/>
                <w:szCs w:val="20"/>
                <w:color w:val="auto"/>
              </w:rPr>
            </w:pPr>
            <w:r>
              <w:rPr>
                <w:rFonts w:ascii="Arial" w:cs="Arial" w:eastAsia="Arial" w:hAnsi="Arial"/>
                <w:sz w:val="18"/>
                <w:szCs w:val="18"/>
                <w:color w:val="auto"/>
              </w:rPr>
              <w:t>Peripheral Vascular</w:t>
            </w:r>
          </w:p>
        </w:tc>
        <w:tc>
          <w:tcPr>
            <w:tcW w:w="120" w:type="dxa"/>
            <w:vAlign w:val="bottom"/>
          </w:tcPr>
          <w:p>
            <w:pPr>
              <w:spacing w:after="0"/>
              <w:rPr>
                <w:sz w:val="21"/>
                <w:szCs w:val="21"/>
                <w:color w:val="auto"/>
              </w:rPr>
            </w:pPr>
          </w:p>
        </w:tc>
        <w:tc>
          <w:tcPr>
            <w:tcW w:w="1440" w:type="dxa"/>
            <w:vAlign w:val="bottom"/>
          </w:tcPr>
          <w:p>
            <w:pPr>
              <w:jc w:val="right"/>
              <w:ind w:right="30"/>
              <w:spacing w:after="0"/>
              <w:rPr>
                <w:sz w:val="20"/>
                <w:szCs w:val="20"/>
                <w:color w:val="auto"/>
              </w:rPr>
            </w:pPr>
            <w:r>
              <w:rPr>
                <w:rFonts w:ascii="Arial" w:cs="Arial" w:eastAsia="Arial" w:hAnsi="Arial"/>
                <w:sz w:val="18"/>
                <w:szCs w:val="18"/>
                <w:color w:val="auto"/>
              </w:rPr>
              <w:t>44,685</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20" w:type="dxa"/>
            <w:vAlign w:val="bottom"/>
          </w:tcPr>
          <w:p>
            <w:pPr>
              <w:jc w:val="right"/>
              <w:ind w:right="10"/>
              <w:spacing w:after="0"/>
              <w:rPr>
                <w:sz w:val="20"/>
                <w:szCs w:val="20"/>
                <w:color w:val="auto"/>
              </w:rPr>
            </w:pPr>
            <w:r>
              <w:rPr>
                <w:rFonts w:ascii="Arial" w:cs="Arial" w:eastAsia="Arial" w:hAnsi="Arial"/>
                <w:sz w:val="18"/>
                <w:szCs w:val="18"/>
                <w:color w:val="auto"/>
              </w:rPr>
              <w:t>19,268</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800" w:type="dxa"/>
            <w:vAlign w:val="bottom"/>
          </w:tcPr>
          <w:p>
            <w:pPr>
              <w:jc w:val="right"/>
              <w:ind w:right="10"/>
              <w:spacing w:after="0"/>
              <w:rPr>
                <w:sz w:val="20"/>
                <w:szCs w:val="20"/>
                <w:color w:val="auto"/>
              </w:rPr>
            </w:pPr>
            <w:r>
              <w:rPr>
                <w:rFonts w:ascii="Arial" w:cs="Arial" w:eastAsia="Arial" w:hAnsi="Arial"/>
                <w:sz w:val="18"/>
                <w:szCs w:val="18"/>
                <w:color w:val="auto"/>
              </w:rPr>
              <w:t>25,417</w:t>
            </w:r>
          </w:p>
        </w:tc>
        <w:tc>
          <w:tcPr>
            <w:tcW w:w="12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131.9%</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jc w:val="right"/>
              <w:ind w:right="30"/>
              <w:spacing w:after="0"/>
              <w:rPr>
                <w:sz w:val="20"/>
                <w:szCs w:val="20"/>
                <w:color w:val="auto"/>
              </w:rPr>
            </w:pPr>
            <w:r>
              <w:rPr>
                <w:rFonts w:ascii="Arial" w:cs="Arial" w:eastAsia="Arial" w:hAnsi="Arial"/>
                <w:sz w:val="18"/>
                <w:szCs w:val="18"/>
                <w:color w:val="auto"/>
              </w:rPr>
              <w:t>569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80" w:type="dxa"/>
            <w:vAlign w:val="bottom"/>
          </w:tcPr>
          <w:p>
            <w:pPr>
              <w:jc w:val="right"/>
              <w:ind w:right="30"/>
              <w:spacing w:after="0"/>
              <w:rPr>
                <w:sz w:val="20"/>
                <w:szCs w:val="20"/>
                <w:color w:val="auto"/>
              </w:rPr>
            </w:pPr>
            <w:r>
              <w:rPr>
                <w:rFonts w:ascii="Arial" w:cs="Arial" w:eastAsia="Arial" w:hAnsi="Arial"/>
                <w:sz w:val="18"/>
                <w:szCs w:val="18"/>
                <w:color w:val="auto"/>
              </w:rPr>
              <w:t>25,986</w:t>
            </w:r>
          </w:p>
        </w:tc>
        <w:tc>
          <w:tcPr>
            <w:tcW w:w="1320" w:type="dxa"/>
            <w:vAlign w:val="bottom"/>
            <w:gridSpan w:val="2"/>
          </w:tcPr>
          <w:p>
            <w:pPr>
              <w:jc w:val="right"/>
              <w:ind w:right="40"/>
              <w:spacing w:after="0"/>
              <w:rPr>
                <w:sz w:val="20"/>
                <w:szCs w:val="20"/>
                <w:color w:val="auto"/>
              </w:rPr>
            </w:pPr>
            <w:r>
              <w:rPr>
                <w:rFonts w:ascii="Arial" w:cs="Arial" w:eastAsia="Arial" w:hAnsi="Arial"/>
                <w:sz w:val="18"/>
                <w:szCs w:val="18"/>
                <w:color w:val="auto"/>
              </w:rPr>
              <w:t>134.9%</w:t>
            </w:r>
          </w:p>
        </w:tc>
      </w:tr>
      <w:tr>
        <w:trPr>
          <w:trHeight w:val="27"/>
        </w:trPr>
        <w:tc>
          <w:tcPr>
            <w:tcW w:w="178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320" w:type="dxa"/>
            <w:vAlign w:val="bottom"/>
            <w:tcBorders>
              <w:bottom w:val="single" w:sz="8" w:color="CCEEFF"/>
            </w:tcBorders>
            <w:gridSpan w:val="2"/>
          </w:tcPr>
          <w:p>
            <w:pPr>
              <w:spacing w:after="0"/>
              <w:rPr>
                <w:sz w:val="2"/>
                <w:szCs w:val="2"/>
                <w:color w:val="auto"/>
              </w:rPr>
            </w:pPr>
          </w:p>
        </w:tc>
      </w:tr>
      <w:tr>
        <w:trPr>
          <w:trHeight w:val="257"/>
        </w:trPr>
        <w:tc>
          <w:tcPr>
            <w:tcW w:w="180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Total</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186,095</w:t>
            </w:r>
          </w:p>
        </w:tc>
        <w:tc>
          <w:tcPr>
            <w:tcW w:w="100" w:type="dxa"/>
            <w:vAlign w:val="bottom"/>
            <w:shd w:val="clear" w:color="auto" w:fill="CCEEFF"/>
          </w:tcPr>
          <w:p>
            <w:pPr>
              <w:spacing w:after="0"/>
              <w:rPr>
                <w:sz w:val="22"/>
                <w:szCs w:val="22"/>
                <w:color w:val="auto"/>
              </w:rPr>
            </w:pP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125,510</w:t>
            </w:r>
          </w:p>
        </w:tc>
        <w:tc>
          <w:tcPr>
            <w:tcW w:w="44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60,585</w:t>
            </w:r>
          </w:p>
        </w:tc>
        <w:tc>
          <w:tcPr>
            <w:tcW w:w="120" w:type="dxa"/>
            <w:vAlign w:val="bottom"/>
            <w:shd w:val="clear" w:color="auto" w:fill="CCEEFF"/>
          </w:tcPr>
          <w:p>
            <w:pPr>
              <w:spacing w:after="0"/>
              <w:rPr>
                <w:sz w:val="22"/>
                <w:szCs w:val="22"/>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48.3%</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7,065</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67,650</w:t>
            </w:r>
          </w:p>
        </w:tc>
        <w:tc>
          <w:tcPr>
            <w:tcW w:w="13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53.9%</w:t>
            </w:r>
          </w:p>
        </w:tc>
      </w:tr>
      <w:tr>
        <w:trPr>
          <w:trHeight w:val="20"/>
        </w:trPr>
        <w:tc>
          <w:tcPr>
            <w:tcW w:w="17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4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CCEEFF"/>
            </w:tcBorders>
          </w:tcPr>
          <w:p>
            <w:pPr>
              <w:spacing w:after="0" w:line="20" w:lineRule="exact"/>
              <w:rPr>
                <w:sz w:val="1"/>
                <w:szCs w:val="1"/>
                <w:color w:val="auto"/>
              </w:rPr>
            </w:pPr>
          </w:p>
        </w:tc>
      </w:tr>
    </w:tbl>
    <w:p>
      <w:pPr>
        <w:spacing w:after="0" w:line="359" w:lineRule="exact"/>
        <w:rPr>
          <w:sz w:val="20"/>
          <w:szCs w:val="20"/>
          <w:color w:val="auto"/>
        </w:rPr>
      </w:pPr>
    </w:p>
    <w:p>
      <w:pPr>
        <w:spacing w:after="0"/>
        <w:rPr>
          <w:sz w:val="20"/>
          <w:szCs w:val="20"/>
          <w:color w:val="auto"/>
        </w:rPr>
      </w:pPr>
      <w:r>
        <w:rPr>
          <w:rFonts w:ascii="Arial" w:cs="Arial" w:eastAsia="Arial" w:hAnsi="Arial"/>
          <w:sz w:val="9"/>
          <w:szCs w:val="9"/>
          <w:color w:val="auto"/>
        </w:rPr>
        <w:t>1</w:t>
      </w:r>
      <w:r>
        <w:rPr>
          <w:rFonts w:ascii="Arial" w:cs="Arial" w:eastAsia="Arial" w:hAnsi="Arial"/>
          <w:sz w:val="14"/>
          <w:szCs w:val="14"/>
          <w:color w:val="auto"/>
        </w:rPr>
        <w:t>See “Non-GAAP Financial Measures” above for important information about our use of non-GAAP measures and further information about our calculation of constant currency results.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783" w:right="239" w:bottom="1440" w:gutter="0" w:footer="0" w:header="0"/>
        </w:sectPr>
      </w:pPr>
    </w:p>
    <w:bookmarkStart w:id="10" w:name="page11"/>
    <w:bookmarkEnd w:id="10"/>
    <w:p>
      <w:pPr>
        <w:jc w:val="center"/>
        <w:spacing w:after="0"/>
        <w:rPr>
          <w:sz w:val="20"/>
          <w:szCs w:val="20"/>
          <w:color w:val="auto"/>
        </w:rPr>
      </w:pPr>
      <w:r>
        <w:rPr>
          <w:rFonts w:ascii="Arial" w:cs="Arial" w:eastAsia="Arial" w:hAnsi="Arial"/>
          <w:sz w:val="18"/>
          <w:szCs w:val="18"/>
          <w:b w:val="1"/>
          <w:bCs w:val="1"/>
          <w:color w:val="auto"/>
        </w:rPr>
        <w:t>Penumbra, Inc.</w:t>
      </w:r>
    </w:p>
    <w:p>
      <w:pPr>
        <w:jc w:val="center"/>
        <w:ind w:right="40"/>
        <w:spacing w:after="0" w:line="213" w:lineRule="auto"/>
        <w:rPr>
          <w:sz w:val="20"/>
          <w:szCs w:val="20"/>
          <w:color w:val="auto"/>
        </w:rPr>
      </w:pPr>
      <w:r>
        <w:rPr>
          <w:rFonts w:ascii="Arial" w:cs="Arial" w:eastAsia="Arial" w:hAnsi="Arial"/>
          <w:sz w:val="17"/>
          <w:szCs w:val="17"/>
          <w:b w:val="1"/>
          <w:bCs w:val="1"/>
          <w:color w:val="auto"/>
        </w:rPr>
        <w:t>Reconciliation of Net Income (Loss) Attributable to Common Stockholders to Non-GAAP Net Income Attributable to Common Stockholders</w:t>
      </w:r>
      <w:r>
        <w:rPr>
          <w:rFonts w:ascii="Arial" w:cs="Arial" w:eastAsia="Arial" w:hAnsi="Arial"/>
          <w:sz w:val="24"/>
          <w:szCs w:val="24"/>
          <w:b w:val="1"/>
          <w:bCs w:val="1"/>
          <w:color w:val="auto"/>
          <w:vertAlign w:val="superscript"/>
        </w:rPr>
        <w:t>2</w:t>
      </w:r>
    </w:p>
    <w:p>
      <w:pPr>
        <w:jc w:val="center"/>
        <w:spacing w:after="0"/>
        <w:rPr>
          <w:sz w:val="20"/>
          <w:szCs w:val="20"/>
          <w:color w:val="auto"/>
        </w:rPr>
      </w:pPr>
      <w:r>
        <w:rPr>
          <w:rFonts w:ascii="Arial" w:cs="Arial" w:eastAsia="Arial" w:hAnsi="Arial"/>
          <w:sz w:val="18"/>
          <w:szCs w:val="18"/>
          <w:b w:val="1"/>
          <w:bCs w:val="1"/>
          <w:color w:val="auto"/>
        </w:rPr>
        <w:t>(unaudited)</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amounts)</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160" w:type="dxa"/>
            <w:vAlign w:val="bottom"/>
          </w:tcPr>
          <w:p>
            <w:pPr>
              <w:spacing w:after="0"/>
              <w:rPr>
                <w:sz w:val="20"/>
                <w:szCs w:val="20"/>
                <w:color w:val="auto"/>
              </w:rPr>
            </w:pPr>
          </w:p>
        </w:tc>
        <w:tc>
          <w:tcPr>
            <w:tcW w:w="3420" w:type="dxa"/>
            <w:vAlign w:val="bottom"/>
            <w:gridSpan w:val="6"/>
          </w:tcPr>
          <w:p>
            <w:pPr>
              <w:ind w:left="300"/>
              <w:spacing w:after="0"/>
              <w:rPr>
                <w:sz w:val="20"/>
                <w:szCs w:val="20"/>
                <w:color w:val="auto"/>
              </w:rPr>
            </w:pPr>
            <w:r>
              <w:rPr>
                <w:rFonts w:ascii="Arial" w:cs="Arial" w:eastAsia="Arial" w:hAnsi="Arial"/>
                <w:sz w:val="18"/>
                <w:szCs w:val="18"/>
                <w:b w:val="1"/>
                <w:bCs w:val="1"/>
                <w:color w:val="auto"/>
              </w:rPr>
              <w:t>Three Months Ended December 31,</w:t>
            </w:r>
          </w:p>
        </w:tc>
        <w:tc>
          <w:tcPr>
            <w:tcW w:w="280" w:type="dxa"/>
            <w:vAlign w:val="bottom"/>
          </w:tcPr>
          <w:p>
            <w:pPr>
              <w:spacing w:after="0"/>
              <w:rPr>
                <w:sz w:val="20"/>
                <w:szCs w:val="20"/>
                <w:color w:val="auto"/>
              </w:rPr>
            </w:pPr>
          </w:p>
        </w:tc>
        <w:tc>
          <w:tcPr>
            <w:tcW w:w="2560" w:type="dxa"/>
            <w:vAlign w:val="bottom"/>
            <w:gridSpan w:val="4"/>
          </w:tcPr>
          <w:p>
            <w:pPr>
              <w:jc w:val="right"/>
              <w:ind w:right="310"/>
              <w:spacing w:after="0"/>
              <w:rPr>
                <w:sz w:val="20"/>
                <w:szCs w:val="20"/>
                <w:color w:val="auto"/>
              </w:rPr>
            </w:pPr>
            <w:r>
              <w:rPr>
                <w:rFonts w:ascii="Arial" w:cs="Arial" w:eastAsia="Arial" w:hAnsi="Arial"/>
                <w:sz w:val="18"/>
                <w:szCs w:val="18"/>
                <w:b w:val="1"/>
                <w:bCs w:val="1"/>
                <w:color w:val="auto"/>
                <w:w w:val="96"/>
              </w:rPr>
              <w:t>Year Ended December 31,</w:t>
            </w:r>
          </w:p>
        </w:tc>
      </w:tr>
      <w:tr>
        <w:trPr>
          <w:trHeight w:val="27"/>
        </w:trPr>
        <w:tc>
          <w:tcPr>
            <w:tcW w:w="5160" w:type="dxa"/>
            <w:vAlign w:val="bottom"/>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37"/>
        </w:trPr>
        <w:tc>
          <w:tcPr>
            <w:tcW w:w="516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rPr>
              <w:t>2015</w:t>
            </w:r>
          </w:p>
        </w:tc>
        <w:tc>
          <w:tcPr>
            <w:tcW w:w="5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40" w:type="dxa"/>
            <w:vAlign w:val="bottom"/>
          </w:tcPr>
          <w:p>
            <w:pPr>
              <w:jc w:val="right"/>
              <w:ind w:right="530"/>
              <w:spacing w:after="0"/>
              <w:rPr>
                <w:sz w:val="20"/>
                <w:szCs w:val="20"/>
                <w:color w:val="auto"/>
              </w:rPr>
            </w:pPr>
            <w:r>
              <w:rPr>
                <w:rFonts w:ascii="Arial" w:cs="Arial" w:eastAsia="Arial" w:hAnsi="Arial"/>
                <w:sz w:val="18"/>
                <w:szCs w:val="18"/>
                <w:b w:val="1"/>
                <w:bCs w:val="1"/>
                <w:color w:val="auto"/>
              </w:rPr>
              <w:t>2014</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jc w:val="right"/>
              <w:ind w:right="410"/>
              <w:spacing w:after="0"/>
              <w:rPr>
                <w:sz w:val="20"/>
                <w:szCs w:val="20"/>
                <w:color w:val="auto"/>
              </w:rPr>
            </w:pPr>
            <w:r>
              <w:rPr>
                <w:rFonts w:ascii="Arial" w:cs="Arial" w:eastAsia="Arial" w:hAnsi="Arial"/>
                <w:sz w:val="18"/>
                <w:szCs w:val="18"/>
                <w:b w:val="1"/>
                <w:bCs w:val="1"/>
                <w:color w:val="auto"/>
              </w:rPr>
              <w:t>2015</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60" w:type="dxa"/>
            <w:vAlign w:val="bottom"/>
          </w:tcPr>
          <w:p>
            <w:pPr>
              <w:jc w:val="right"/>
              <w:ind w:right="410"/>
              <w:spacing w:after="0"/>
              <w:rPr>
                <w:sz w:val="20"/>
                <w:szCs w:val="20"/>
                <w:color w:val="auto"/>
              </w:rPr>
            </w:pPr>
            <w:r>
              <w:rPr>
                <w:rFonts w:ascii="Arial" w:cs="Arial" w:eastAsia="Arial" w:hAnsi="Arial"/>
                <w:sz w:val="18"/>
                <w:szCs w:val="18"/>
                <w:b w:val="1"/>
                <w:bCs w:val="1"/>
                <w:color w:val="auto"/>
              </w:rPr>
              <w:t>2014</w:t>
            </w:r>
          </w:p>
        </w:tc>
      </w:tr>
      <w:tr>
        <w:trPr>
          <w:trHeight w:val="27"/>
        </w:trPr>
        <w:tc>
          <w:tcPr>
            <w:tcW w:w="516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64"/>
        </w:trPr>
        <w:tc>
          <w:tcPr>
            <w:tcW w:w="5160" w:type="dxa"/>
            <w:vAlign w:val="bottom"/>
            <w:shd w:val="clear" w:color="auto" w:fill="CCEEFF"/>
          </w:tcPr>
          <w:p>
            <w:pPr>
              <w:ind w:left="40"/>
              <w:spacing w:after="0" w:line="264" w:lineRule="exact"/>
              <w:rPr>
                <w:sz w:val="20"/>
                <w:szCs w:val="20"/>
                <w:color w:val="auto"/>
              </w:rPr>
            </w:pPr>
            <w:r>
              <w:rPr>
                <w:rFonts w:ascii="Arial" w:cs="Arial" w:eastAsia="Arial" w:hAnsi="Arial"/>
                <w:sz w:val="18"/>
                <w:szCs w:val="18"/>
                <w:color w:val="auto"/>
              </w:rPr>
              <w:t>Net income (loss) attributable to common stockholders</w:t>
            </w:r>
            <w:r>
              <w:rPr>
                <w:rFonts w:ascii="Arial" w:cs="Arial" w:eastAsia="Arial" w:hAnsi="Arial"/>
                <w:sz w:val="25"/>
                <w:szCs w:val="25"/>
                <w:color w:val="auto"/>
                <w:vertAlign w:val="superscript"/>
              </w:rPr>
              <w:t>3</w:t>
            </w:r>
          </w:p>
        </w:tc>
        <w:tc>
          <w:tcPr>
            <w:tcW w:w="1040" w:type="dxa"/>
            <w:vAlign w:val="bottom"/>
            <w:shd w:val="clear" w:color="auto" w:fill="CCEEFF"/>
          </w:tcPr>
          <w:p>
            <w:pPr>
              <w:jc w:val="right"/>
              <w:ind w:right="830"/>
              <w:spacing w:after="0"/>
              <w:rPr>
                <w:sz w:val="20"/>
                <w:szCs w:val="20"/>
                <w:color w:val="auto"/>
              </w:rPr>
            </w:pPr>
            <w:r>
              <w:rPr>
                <w:rFonts w:ascii="Arial" w:cs="Arial" w:eastAsia="Arial" w:hAnsi="Arial"/>
                <w:sz w:val="18"/>
                <w:szCs w:val="18"/>
                <w:color w:val="auto"/>
                <w:w w:val="99"/>
              </w:rPr>
              <w:t>$</w:t>
            </w:r>
          </w:p>
        </w:tc>
        <w:tc>
          <w:tcPr>
            <w:tcW w:w="58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7"/>
              </w:rPr>
              <w:t>1,633</w:t>
            </w:r>
          </w:p>
        </w:tc>
        <w:tc>
          <w:tcPr>
            <w:tcW w:w="100" w:type="dxa"/>
            <w:vAlign w:val="bottom"/>
            <w:shd w:val="clear" w:color="auto" w:fill="CCEEFF"/>
          </w:tcPr>
          <w:p>
            <w:pPr>
              <w:spacing w:after="0"/>
              <w:rPr>
                <w:sz w:val="22"/>
                <w:szCs w:val="22"/>
                <w:color w:val="auto"/>
              </w:rPr>
            </w:pP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2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81</w:t>
            </w:r>
          </w:p>
        </w:tc>
        <w:tc>
          <w:tcPr>
            <w:tcW w:w="100" w:type="dxa"/>
            <w:vAlign w:val="bottom"/>
            <w:shd w:val="clear" w:color="auto" w:fill="CCEEFF"/>
          </w:tcPr>
          <w:p>
            <w:pPr>
              <w:spacing w:after="0"/>
              <w:rPr>
                <w:sz w:val="22"/>
                <w:szCs w:val="22"/>
                <w:color w:val="auto"/>
              </w:rPr>
            </w:pPr>
          </w:p>
        </w:tc>
        <w:tc>
          <w:tcPr>
            <w:tcW w:w="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1,084</w:t>
            </w:r>
          </w:p>
        </w:tc>
        <w:tc>
          <w:tcPr>
            <w:tcW w:w="120" w:type="dxa"/>
            <w:vAlign w:val="bottom"/>
            <w:shd w:val="clear" w:color="auto" w:fill="CCEEFF"/>
          </w:tcPr>
          <w:p>
            <w:pPr>
              <w:spacing w:after="0"/>
              <w:rPr>
                <w:sz w:val="22"/>
                <w:szCs w:val="22"/>
                <w:color w:val="auto"/>
              </w:rPr>
            </w:pPr>
          </w:p>
        </w:tc>
        <w:tc>
          <w:tcPr>
            <w:tcW w:w="30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(833)</w:t>
            </w:r>
          </w:p>
        </w:tc>
      </w:tr>
      <w:tr>
        <w:trPr>
          <w:trHeight w:val="229"/>
        </w:trPr>
        <w:tc>
          <w:tcPr>
            <w:tcW w:w="5160" w:type="dxa"/>
            <w:vAlign w:val="bottom"/>
          </w:tcPr>
          <w:p>
            <w:pPr>
              <w:ind w:left="260"/>
              <w:spacing w:after="0"/>
              <w:rPr>
                <w:sz w:val="20"/>
                <w:szCs w:val="20"/>
                <w:color w:val="auto"/>
              </w:rPr>
            </w:pPr>
            <w:r>
              <w:rPr>
                <w:rFonts w:ascii="Arial" w:cs="Arial" w:eastAsia="Arial" w:hAnsi="Arial"/>
                <w:sz w:val="18"/>
                <w:szCs w:val="18"/>
                <w:color w:val="auto"/>
              </w:rPr>
              <w:t>Add: Deemed dividend paid to preferred stockholders upon</w:t>
            </w:r>
          </w:p>
        </w:tc>
        <w:tc>
          <w:tcPr>
            <w:tcW w:w="10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60" w:type="dxa"/>
            <w:vAlign w:val="bottom"/>
          </w:tcPr>
          <w:p>
            <w:pPr>
              <w:spacing w:after="0"/>
              <w:rPr>
                <w:sz w:val="19"/>
                <w:szCs w:val="19"/>
                <w:color w:val="auto"/>
              </w:rPr>
            </w:pPr>
          </w:p>
        </w:tc>
      </w:tr>
      <w:tr>
        <w:trPr>
          <w:trHeight w:val="230"/>
        </w:trPr>
        <w:tc>
          <w:tcPr>
            <w:tcW w:w="5160" w:type="dxa"/>
            <w:vAlign w:val="bottom"/>
          </w:tcPr>
          <w:p>
            <w:pPr>
              <w:ind w:left="40"/>
              <w:spacing w:after="0"/>
              <w:rPr>
                <w:sz w:val="20"/>
                <w:szCs w:val="20"/>
                <w:color w:val="auto"/>
              </w:rPr>
            </w:pPr>
            <w:r>
              <w:rPr>
                <w:rFonts w:ascii="Arial" w:cs="Arial" w:eastAsia="Arial" w:hAnsi="Arial"/>
                <w:sz w:val="18"/>
                <w:szCs w:val="18"/>
                <w:color w:val="auto"/>
              </w:rPr>
              <w:t>redemption</w:t>
            </w:r>
          </w:p>
        </w:tc>
        <w:tc>
          <w:tcPr>
            <w:tcW w:w="1040" w:type="dxa"/>
            <w:vAlign w:val="bottom"/>
          </w:tcPr>
          <w:p>
            <w:pPr>
              <w:spacing w:after="0"/>
              <w:rPr>
                <w:sz w:val="20"/>
                <w:szCs w:val="20"/>
                <w:color w:val="auto"/>
              </w:rPr>
            </w:pPr>
          </w:p>
        </w:tc>
        <w:tc>
          <w:tcPr>
            <w:tcW w:w="6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0"/>
                <w:szCs w:val="20"/>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0"/>
                <w:szCs w:val="20"/>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0"/>
                <w:szCs w:val="20"/>
                <w:color w:val="auto"/>
              </w:rPr>
            </w:pP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6,344</w:t>
            </w:r>
          </w:p>
        </w:tc>
      </w:tr>
      <w:tr>
        <w:trPr>
          <w:trHeight w:val="27"/>
        </w:trPr>
        <w:tc>
          <w:tcPr>
            <w:tcW w:w="51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50"/>
        </w:trPr>
        <w:tc>
          <w:tcPr>
            <w:tcW w:w="5160" w:type="dxa"/>
            <w:vAlign w:val="bottom"/>
            <w:tcBorders>
              <w:bottom w:val="single" w:sz="8" w:color="CCEEFF"/>
            </w:tcBorders>
            <w:shd w:val="clear" w:color="auto" w:fill="CCEEFF"/>
          </w:tcPr>
          <w:p>
            <w:pPr>
              <w:ind w:left="680"/>
              <w:spacing w:after="0"/>
              <w:rPr>
                <w:sz w:val="20"/>
                <w:szCs w:val="20"/>
                <w:color w:val="auto"/>
              </w:rPr>
            </w:pPr>
            <w:r>
              <w:rPr>
                <w:rFonts w:ascii="Arial" w:cs="Arial" w:eastAsia="Arial" w:hAnsi="Arial"/>
                <w:sz w:val="18"/>
                <w:szCs w:val="18"/>
                <w:color w:val="auto"/>
                <w:w w:val="95"/>
              </w:rPr>
              <w:t>Undistributed income attributable to preferred stockholders</w:t>
            </w:r>
          </w:p>
        </w:tc>
        <w:tc>
          <w:tcPr>
            <w:tcW w:w="104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335</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1,281</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r>
      <w:tr>
        <w:trPr>
          <w:trHeight w:val="243"/>
        </w:trPr>
        <w:tc>
          <w:tcPr>
            <w:tcW w:w="5160" w:type="dxa"/>
            <w:vAlign w:val="bottom"/>
          </w:tcPr>
          <w:p>
            <w:pPr>
              <w:ind w:left="220"/>
              <w:spacing w:after="0"/>
              <w:rPr>
                <w:sz w:val="20"/>
                <w:szCs w:val="20"/>
                <w:color w:val="auto"/>
              </w:rPr>
            </w:pPr>
            <w:r>
              <w:rPr>
                <w:rFonts w:ascii="Arial" w:cs="Arial" w:eastAsia="Arial" w:hAnsi="Arial"/>
                <w:sz w:val="18"/>
                <w:szCs w:val="18"/>
                <w:color w:val="auto"/>
              </w:rPr>
              <w:t>Less: Undistributed loss attributable to preferred stockholders</w:t>
            </w:r>
          </w:p>
        </w:tc>
        <w:tc>
          <w:tcPr>
            <w:tcW w:w="1040" w:type="dxa"/>
            <w:vAlign w:val="bottom"/>
          </w:tcPr>
          <w:p>
            <w:pPr>
              <w:spacing w:after="0"/>
              <w:rPr>
                <w:sz w:val="21"/>
                <w:szCs w:val="21"/>
                <w:color w:val="auto"/>
              </w:rPr>
            </w:pPr>
          </w:p>
        </w:tc>
        <w:tc>
          <w:tcPr>
            <w:tcW w:w="6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(3,266)</w:t>
            </w:r>
          </w:p>
        </w:tc>
      </w:tr>
      <w:tr>
        <w:trPr>
          <w:trHeight w:val="27"/>
        </w:trPr>
        <w:tc>
          <w:tcPr>
            <w:tcW w:w="516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57"/>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attributable to common stockholders—Non-GAAP</w:t>
            </w:r>
          </w:p>
        </w:tc>
        <w:tc>
          <w:tcPr>
            <w:tcW w:w="1040" w:type="dxa"/>
            <w:vAlign w:val="bottom"/>
            <w:tcBorders>
              <w:bottom w:val="single" w:sz="8" w:color="auto"/>
            </w:tcBorders>
            <w:shd w:val="clear" w:color="auto" w:fill="CCEEFF"/>
          </w:tcPr>
          <w:p>
            <w:pPr>
              <w:jc w:val="right"/>
              <w:ind w:right="830"/>
              <w:spacing w:after="0"/>
              <w:rPr>
                <w:sz w:val="20"/>
                <w:szCs w:val="20"/>
                <w:color w:val="auto"/>
              </w:rPr>
            </w:pPr>
            <w:r>
              <w:rPr>
                <w:rFonts w:ascii="Arial" w:cs="Arial" w:eastAsia="Arial" w:hAnsi="Arial"/>
                <w:sz w:val="18"/>
                <w:szCs w:val="18"/>
                <w:color w:val="auto"/>
                <w:w w:val="99"/>
              </w:rPr>
              <w:t>$</w:t>
            </w:r>
          </w:p>
        </w:tc>
        <w:tc>
          <w:tcPr>
            <w:tcW w:w="5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7"/>
              </w:rPr>
              <w:t>1,633</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416</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2,365</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2,245</w:t>
            </w:r>
          </w:p>
        </w:tc>
      </w:tr>
      <w:tr>
        <w:trPr>
          <w:trHeight w:val="20"/>
        </w:trPr>
        <w:tc>
          <w:tcPr>
            <w:tcW w:w="516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r>
      <w:tr>
        <w:trPr>
          <w:trHeight w:val="291"/>
        </w:trPr>
        <w:tc>
          <w:tcPr>
            <w:tcW w:w="516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Basic net income per share—Non-GAAP</w:t>
            </w:r>
          </w:p>
        </w:tc>
        <w:tc>
          <w:tcPr>
            <w:tcW w:w="1040" w:type="dxa"/>
            <w:vAlign w:val="bottom"/>
            <w:tcBorders>
              <w:bottom w:val="single" w:sz="8" w:color="auto"/>
            </w:tcBorders>
          </w:tcPr>
          <w:p>
            <w:pPr>
              <w:jc w:val="right"/>
              <w:ind w:right="830"/>
              <w:spacing w:after="0"/>
              <w:rPr>
                <w:sz w:val="20"/>
                <w:szCs w:val="20"/>
                <w:color w:val="auto"/>
              </w:rPr>
            </w:pPr>
            <w:r>
              <w:rPr>
                <w:rFonts w:ascii="Arial" w:cs="Arial" w:eastAsia="Arial" w:hAnsi="Arial"/>
                <w:sz w:val="18"/>
                <w:szCs w:val="18"/>
                <w:color w:val="auto"/>
                <w:w w:val="99"/>
              </w:rPr>
              <w:t>$</w:t>
            </w:r>
          </w:p>
        </w:tc>
        <w:tc>
          <w:tcPr>
            <w:tcW w:w="5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0.05</w:t>
            </w:r>
          </w:p>
        </w:tc>
        <w:tc>
          <w:tcPr>
            <w:tcW w:w="100" w:type="dxa"/>
            <w:vAlign w:val="bottom"/>
            <w:tcBorders>
              <w:bottom w:val="single" w:sz="8" w:color="CCEEFF"/>
            </w:tcBorders>
          </w:tcPr>
          <w:p>
            <w:pPr>
              <w:spacing w:after="0"/>
              <w:rPr>
                <w:sz w:val="24"/>
                <w:szCs w:val="24"/>
                <w:color w:val="auto"/>
              </w:rPr>
            </w:pPr>
          </w:p>
        </w:tc>
        <w:tc>
          <w:tcPr>
            <w:tcW w:w="36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0.02</w:t>
            </w:r>
          </w:p>
        </w:tc>
        <w:tc>
          <w:tcPr>
            <w:tcW w:w="100" w:type="dxa"/>
            <w:vAlign w:val="bottom"/>
            <w:tcBorders>
              <w:bottom w:val="single" w:sz="8" w:color="CCEEFF"/>
            </w:tcBorders>
          </w:tcPr>
          <w:p>
            <w:pPr>
              <w:spacing w:after="0"/>
              <w:rPr>
                <w:sz w:val="24"/>
                <w:szCs w:val="24"/>
                <w:color w:val="auto"/>
              </w:rPr>
            </w:pPr>
          </w:p>
        </w:tc>
        <w:tc>
          <w:tcPr>
            <w:tcW w:w="28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0.09</w:t>
            </w:r>
          </w:p>
        </w:tc>
        <w:tc>
          <w:tcPr>
            <w:tcW w:w="120" w:type="dxa"/>
            <w:vAlign w:val="bottom"/>
            <w:tcBorders>
              <w:bottom w:val="single" w:sz="8" w:color="CCEEFF"/>
            </w:tcBorders>
          </w:tcPr>
          <w:p>
            <w:pPr>
              <w:spacing w:after="0"/>
              <w:rPr>
                <w:sz w:val="24"/>
                <w:szCs w:val="24"/>
                <w:color w:val="auto"/>
              </w:rPr>
            </w:pPr>
          </w:p>
        </w:tc>
        <w:tc>
          <w:tcPr>
            <w:tcW w:w="30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0.09</w:t>
            </w:r>
          </w:p>
        </w:tc>
      </w:tr>
      <w:tr>
        <w:trPr>
          <w:trHeight w:val="251"/>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Diluted net income per share—Non-GAAP</w:t>
            </w:r>
          </w:p>
        </w:tc>
        <w:tc>
          <w:tcPr>
            <w:tcW w:w="1040" w:type="dxa"/>
            <w:vAlign w:val="bottom"/>
            <w:tcBorders>
              <w:bottom w:val="single" w:sz="8" w:color="auto"/>
            </w:tcBorders>
            <w:shd w:val="clear" w:color="auto" w:fill="CCEEFF"/>
          </w:tcPr>
          <w:p>
            <w:pPr>
              <w:jc w:val="right"/>
              <w:ind w:right="830"/>
              <w:spacing w:after="0"/>
              <w:rPr>
                <w:sz w:val="20"/>
                <w:szCs w:val="20"/>
                <w:color w:val="auto"/>
              </w:rPr>
            </w:pPr>
            <w:r>
              <w:rPr>
                <w:rFonts w:ascii="Arial" w:cs="Arial" w:eastAsia="Arial" w:hAnsi="Arial"/>
                <w:sz w:val="18"/>
                <w:szCs w:val="18"/>
                <w:color w:val="auto"/>
                <w:w w:val="99"/>
              </w:rPr>
              <w:t>$</w:t>
            </w:r>
          </w:p>
        </w:tc>
        <w:tc>
          <w:tcPr>
            <w:tcW w:w="58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0.05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rPr>
              <w:t>0.02</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0.08</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0.08</w:t>
            </w:r>
          </w:p>
        </w:tc>
      </w:tr>
      <w:tr>
        <w:trPr>
          <w:trHeight w:val="20"/>
        </w:trPr>
        <w:tc>
          <w:tcPr>
            <w:tcW w:w="516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r>
    </w:tbl>
    <w:p>
      <w:pPr>
        <w:spacing w:after="0" w:line="14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Penumbra, Inc.</w:t>
      </w:r>
    </w:p>
    <w:p>
      <w:pPr>
        <w:spacing w:after="0" w:line="27" w:lineRule="exact"/>
        <w:rPr>
          <w:sz w:val="20"/>
          <w:szCs w:val="20"/>
          <w:color w:val="auto"/>
        </w:rPr>
      </w:pPr>
    </w:p>
    <w:p>
      <w:pPr>
        <w:jc w:val="center"/>
        <w:spacing w:after="0" w:line="255" w:lineRule="auto"/>
        <w:rPr>
          <w:sz w:val="20"/>
          <w:szCs w:val="20"/>
          <w:color w:val="auto"/>
        </w:rPr>
      </w:pPr>
      <w:r>
        <w:rPr>
          <w:rFonts w:ascii="Arial" w:cs="Arial" w:eastAsia="Arial" w:hAnsi="Arial"/>
          <w:sz w:val="18"/>
          <w:szCs w:val="18"/>
          <w:b w:val="1"/>
          <w:bCs w:val="1"/>
          <w:color w:val="auto"/>
        </w:rPr>
        <w:t>Reconciliation of Weighted Average Shares Used to Compute Basic Net Income (Loss) per Share to Weighted Average Shares Used to Compute Basic and Diluted Non-GAAP Net Income per Share (unaudited)</w:t>
      </w:r>
    </w:p>
    <w:p>
      <w:pPr>
        <w:spacing w:after="0" w:line="13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160" w:type="dxa"/>
            <w:vAlign w:val="bottom"/>
          </w:tcPr>
          <w:p>
            <w:pPr>
              <w:spacing w:after="0"/>
              <w:rPr>
                <w:sz w:val="20"/>
                <w:szCs w:val="20"/>
                <w:color w:val="auto"/>
              </w:rPr>
            </w:pPr>
          </w:p>
        </w:tc>
        <w:tc>
          <w:tcPr>
            <w:tcW w:w="3460" w:type="dxa"/>
            <w:vAlign w:val="bottom"/>
            <w:gridSpan w:val="4"/>
          </w:tcPr>
          <w:p>
            <w:pPr>
              <w:ind w:left="300"/>
              <w:spacing w:after="0"/>
              <w:rPr>
                <w:sz w:val="20"/>
                <w:szCs w:val="20"/>
                <w:color w:val="auto"/>
              </w:rPr>
            </w:pPr>
            <w:r>
              <w:rPr>
                <w:rFonts w:ascii="Arial" w:cs="Arial" w:eastAsia="Arial" w:hAnsi="Arial"/>
                <w:sz w:val="18"/>
                <w:szCs w:val="18"/>
                <w:b w:val="1"/>
                <w:bCs w:val="1"/>
                <w:color w:val="auto"/>
              </w:rPr>
              <w:t>Three Months Ended December 31,</w:t>
            </w:r>
          </w:p>
        </w:tc>
        <w:tc>
          <w:tcPr>
            <w:tcW w:w="2800" w:type="dxa"/>
            <w:vAlign w:val="bottom"/>
            <w:gridSpan w:val="3"/>
          </w:tcPr>
          <w:p>
            <w:pPr>
              <w:jc w:val="right"/>
              <w:ind w:right="310"/>
              <w:spacing w:after="0"/>
              <w:rPr>
                <w:sz w:val="20"/>
                <w:szCs w:val="20"/>
                <w:color w:val="auto"/>
              </w:rPr>
            </w:pPr>
            <w:r>
              <w:rPr>
                <w:rFonts w:ascii="Arial" w:cs="Arial" w:eastAsia="Arial" w:hAnsi="Arial"/>
                <w:sz w:val="18"/>
                <w:szCs w:val="18"/>
                <w:b w:val="1"/>
                <w:bCs w:val="1"/>
                <w:color w:val="auto"/>
              </w:rPr>
              <w:t>Year Ended December 31,</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160" w:type="dxa"/>
            <w:vAlign w:val="bottom"/>
          </w:tcPr>
          <w:p>
            <w:pPr>
              <w:spacing w:after="0"/>
              <w:rPr>
                <w:sz w:val="20"/>
                <w:szCs w:val="20"/>
                <w:color w:val="auto"/>
              </w:rPr>
            </w:pPr>
          </w:p>
        </w:tc>
        <w:tc>
          <w:tcPr>
            <w:tcW w:w="1600" w:type="dxa"/>
            <w:vAlign w:val="bottom"/>
          </w:tcPr>
          <w:p>
            <w:pPr>
              <w:jc w:val="right"/>
              <w:ind w:right="530"/>
              <w:spacing w:after="0"/>
              <w:rPr>
                <w:sz w:val="20"/>
                <w:szCs w:val="20"/>
                <w:color w:val="auto"/>
              </w:rPr>
            </w:pPr>
            <w:r>
              <w:rPr>
                <w:rFonts w:ascii="Arial" w:cs="Arial" w:eastAsia="Arial" w:hAnsi="Arial"/>
                <w:sz w:val="18"/>
                <w:szCs w:val="18"/>
                <w:b w:val="1"/>
                <w:bCs w:val="1"/>
                <w:color w:val="auto"/>
              </w:rPr>
              <w:t>2015</w:t>
            </w:r>
          </w:p>
        </w:tc>
        <w:tc>
          <w:tcPr>
            <w:tcW w:w="120" w:type="dxa"/>
            <w:vAlign w:val="bottom"/>
          </w:tcPr>
          <w:p>
            <w:pPr>
              <w:spacing w:after="0"/>
              <w:rPr>
                <w:sz w:val="20"/>
                <w:szCs w:val="20"/>
                <w:color w:val="auto"/>
              </w:rPr>
            </w:pPr>
          </w:p>
        </w:tc>
        <w:tc>
          <w:tcPr>
            <w:tcW w:w="1600" w:type="dxa"/>
            <w:vAlign w:val="bottom"/>
          </w:tcPr>
          <w:p>
            <w:pPr>
              <w:jc w:val="right"/>
              <w:ind w:right="530"/>
              <w:spacing w:after="0"/>
              <w:rPr>
                <w:sz w:val="20"/>
                <w:szCs w:val="20"/>
                <w:color w:val="auto"/>
              </w:rPr>
            </w:pPr>
            <w:r>
              <w:rPr>
                <w:rFonts w:ascii="Arial" w:cs="Arial" w:eastAsia="Arial" w:hAnsi="Arial"/>
                <w:sz w:val="18"/>
                <w:szCs w:val="18"/>
                <w:b w:val="1"/>
                <w:bCs w:val="1"/>
                <w:color w:val="auto"/>
              </w:rPr>
              <w:t>2014</w:t>
            </w:r>
          </w:p>
        </w:tc>
        <w:tc>
          <w:tcPr>
            <w:tcW w:w="140" w:type="dxa"/>
            <w:vAlign w:val="bottom"/>
          </w:tcPr>
          <w:p>
            <w:pPr>
              <w:spacing w:after="0"/>
              <w:rPr>
                <w:sz w:val="20"/>
                <w:szCs w:val="20"/>
                <w:color w:val="auto"/>
              </w:rPr>
            </w:pPr>
          </w:p>
        </w:tc>
        <w:tc>
          <w:tcPr>
            <w:tcW w:w="1340" w:type="dxa"/>
            <w:vAlign w:val="bottom"/>
          </w:tcPr>
          <w:p>
            <w:pPr>
              <w:jc w:val="right"/>
              <w:ind w:right="410"/>
              <w:spacing w:after="0"/>
              <w:rPr>
                <w:sz w:val="20"/>
                <w:szCs w:val="20"/>
                <w:color w:val="auto"/>
              </w:rPr>
            </w:pPr>
            <w:r>
              <w:rPr>
                <w:rFonts w:ascii="Arial" w:cs="Arial" w:eastAsia="Arial" w:hAnsi="Arial"/>
                <w:sz w:val="18"/>
                <w:szCs w:val="18"/>
                <w:b w:val="1"/>
                <w:bCs w:val="1"/>
                <w:color w:val="auto"/>
              </w:rPr>
              <w:t>2015</w:t>
            </w:r>
          </w:p>
        </w:tc>
        <w:tc>
          <w:tcPr>
            <w:tcW w:w="100" w:type="dxa"/>
            <w:vAlign w:val="bottom"/>
          </w:tcPr>
          <w:p>
            <w:pPr>
              <w:spacing w:after="0"/>
              <w:rPr>
                <w:sz w:val="20"/>
                <w:szCs w:val="20"/>
                <w:color w:val="auto"/>
              </w:rPr>
            </w:pPr>
          </w:p>
        </w:tc>
        <w:tc>
          <w:tcPr>
            <w:tcW w:w="1360" w:type="dxa"/>
            <w:vAlign w:val="bottom"/>
          </w:tcPr>
          <w:p>
            <w:pPr>
              <w:jc w:val="right"/>
              <w:ind w:right="410"/>
              <w:spacing w:after="0"/>
              <w:rPr>
                <w:sz w:val="20"/>
                <w:szCs w:val="20"/>
                <w:color w:val="auto"/>
              </w:rPr>
            </w:pPr>
            <w:r>
              <w:rPr>
                <w:rFonts w:ascii="Arial" w:cs="Arial" w:eastAsia="Arial" w:hAnsi="Arial"/>
                <w:sz w:val="18"/>
                <w:szCs w:val="18"/>
                <w:b w:val="1"/>
                <w:bCs w:val="1"/>
                <w:color w:val="auto"/>
              </w:rPr>
              <w:t>2014</w:t>
            </w:r>
          </w:p>
        </w:tc>
        <w:tc>
          <w:tcPr>
            <w:tcW w:w="0" w:type="dxa"/>
            <w:vAlign w:val="bottom"/>
          </w:tcPr>
          <w:p>
            <w:pPr>
              <w:spacing w:after="0"/>
              <w:rPr>
                <w:sz w:val="1"/>
                <w:szCs w:val="1"/>
                <w:color w:val="auto"/>
              </w:rPr>
            </w:pPr>
          </w:p>
        </w:tc>
      </w:tr>
      <w:tr>
        <w:trPr>
          <w:trHeight w:val="27"/>
        </w:trPr>
        <w:tc>
          <w:tcPr>
            <w:tcW w:w="5160" w:type="dxa"/>
            <w:vAlign w:val="bottom"/>
            <w:tcBorders>
              <w:bottom w:val="single" w:sz="8" w:color="CCEEFF"/>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5160" w:type="dxa"/>
            <w:vAlign w:val="bottom"/>
            <w:shd w:val="clear" w:color="auto" w:fill="CCEEFF"/>
          </w:tcPr>
          <w:p>
            <w:pPr>
              <w:ind w:left="40"/>
              <w:spacing w:after="0"/>
              <w:rPr>
                <w:sz w:val="20"/>
                <w:szCs w:val="20"/>
                <w:color w:val="auto"/>
              </w:rPr>
            </w:pPr>
            <w:r>
              <w:rPr>
                <w:rFonts w:ascii="Arial" w:cs="Arial" w:eastAsia="Arial" w:hAnsi="Arial"/>
                <w:sz w:val="18"/>
                <w:szCs w:val="18"/>
                <w:color w:val="auto"/>
                <w:w w:val="95"/>
              </w:rPr>
              <w:t>Weighted average shares used to compute basic net income (loss)</w:t>
            </w:r>
          </w:p>
        </w:tc>
        <w:tc>
          <w:tcPr>
            <w:tcW w:w="1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per share</w:t>
            </w:r>
          </w:p>
        </w:tc>
        <w:tc>
          <w:tcPr>
            <w:tcW w:w="16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29,890,944</w:t>
            </w:r>
          </w:p>
        </w:tc>
        <w:tc>
          <w:tcPr>
            <w:tcW w:w="120" w:type="dxa"/>
            <w:vAlign w:val="bottom"/>
            <w:tcBorders>
              <w:bottom w:val="single" w:sz="8" w:color="CCEEFF"/>
            </w:tcBorders>
            <w:shd w:val="clear" w:color="auto" w:fill="CCEEFF"/>
          </w:tcPr>
          <w:p>
            <w:pPr>
              <w:spacing w:after="0"/>
              <w:rPr>
                <w:sz w:val="20"/>
                <w:szCs w:val="20"/>
                <w:color w:val="auto"/>
              </w:rPr>
            </w:pPr>
          </w:p>
        </w:tc>
        <w:tc>
          <w:tcPr>
            <w:tcW w:w="16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4,701,999</w:t>
            </w:r>
          </w:p>
        </w:tc>
        <w:tc>
          <w:tcPr>
            <w:tcW w:w="140" w:type="dxa"/>
            <w:vAlign w:val="bottom"/>
            <w:tcBorders>
              <w:bottom w:val="single" w:sz="8" w:color="CCEEFF"/>
            </w:tcBorders>
            <w:shd w:val="clear" w:color="auto" w:fill="CCEEFF"/>
          </w:tcPr>
          <w:p>
            <w:pPr>
              <w:spacing w:after="0"/>
              <w:rPr>
                <w:sz w:val="20"/>
                <w:szCs w:val="20"/>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11,993,429</w:t>
            </w:r>
          </w:p>
        </w:tc>
        <w:tc>
          <w:tcPr>
            <w:tcW w:w="100" w:type="dxa"/>
            <w:vAlign w:val="bottom"/>
            <w:tcBorders>
              <w:bottom w:val="single" w:sz="8" w:color="CCEEFF"/>
            </w:tcBorders>
            <w:shd w:val="clear" w:color="auto" w:fill="CCEEFF"/>
          </w:tcPr>
          <w:p>
            <w:pPr>
              <w:spacing w:after="0"/>
              <w:rPr>
                <w:sz w:val="20"/>
                <w:szCs w:val="20"/>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4,609,375</w:t>
            </w:r>
          </w:p>
        </w:tc>
        <w:tc>
          <w:tcPr>
            <w:tcW w:w="0" w:type="dxa"/>
            <w:vAlign w:val="bottom"/>
          </w:tcPr>
          <w:p>
            <w:pPr>
              <w:spacing w:after="0"/>
              <w:rPr>
                <w:sz w:val="1"/>
                <w:szCs w:val="1"/>
                <w:color w:val="auto"/>
              </w:rPr>
            </w:pPr>
          </w:p>
        </w:tc>
      </w:tr>
      <w:tr>
        <w:trPr>
          <w:trHeight w:val="229"/>
        </w:trPr>
        <w:tc>
          <w:tcPr>
            <w:tcW w:w="5160" w:type="dxa"/>
            <w:vAlign w:val="bottom"/>
          </w:tcPr>
          <w:p>
            <w:pPr>
              <w:ind w:left="40"/>
              <w:spacing w:after="0"/>
              <w:rPr>
                <w:sz w:val="20"/>
                <w:szCs w:val="20"/>
                <w:color w:val="auto"/>
              </w:rPr>
            </w:pPr>
            <w:r>
              <w:rPr>
                <w:rFonts w:ascii="Arial" w:cs="Arial" w:eastAsia="Arial" w:hAnsi="Arial"/>
                <w:sz w:val="18"/>
                <w:szCs w:val="18"/>
                <w:color w:val="auto"/>
                <w:w w:val="96"/>
              </w:rPr>
              <w:t>Less: Conversion of preferred shares on a weighted average basis</w:t>
            </w:r>
          </w:p>
        </w:tc>
        <w:tc>
          <w:tcPr>
            <w:tcW w:w="16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160" w:type="dxa"/>
            <w:vAlign w:val="bottom"/>
          </w:tcPr>
          <w:p>
            <w:pPr>
              <w:ind w:left="40"/>
              <w:spacing w:after="0"/>
              <w:rPr>
                <w:sz w:val="20"/>
                <w:szCs w:val="20"/>
                <w:color w:val="auto"/>
              </w:rPr>
            </w:pPr>
            <w:r>
              <w:rPr>
                <w:rFonts w:ascii="Arial" w:cs="Arial" w:eastAsia="Arial" w:hAnsi="Arial"/>
                <w:sz w:val="18"/>
                <w:szCs w:val="18"/>
                <w:color w:val="auto"/>
              </w:rPr>
              <w:t>upon closing of IPO</w:t>
            </w:r>
          </w:p>
        </w:tc>
        <w:tc>
          <w:tcPr>
            <w:tcW w:w="172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74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340" w:type="dxa"/>
            <w:vAlign w:val="bottom"/>
          </w:tcPr>
          <w:p>
            <w:pPr>
              <w:jc w:val="right"/>
              <w:spacing w:after="0"/>
              <w:rPr>
                <w:sz w:val="20"/>
                <w:szCs w:val="20"/>
                <w:color w:val="auto"/>
              </w:rPr>
            </w:pPr>
            <w:r>
              <w:rPr>
                <w:rFonts w:ascii="Arial" w:cs="Arial" w:eastAsia="Arial" w:hAnsi="Arial"/>
                <w:sz w:val="18"/>
                <w:szCs w:val="18"/>
                <w:color w:val="auto"/>
              </w:rPr>
              <w:t>(5,345,318)</w:t>
            </w:r>
          </w:p>
        </w:tc>
        <w:tc>
          <w:tcPr>
            <w:tcW w:w="100" w:type="dxa"/>
            <w:vAlign w:val="bottom"/>
          </w:tcPr>
          <w:p>
            <w:pPr>
              <w:spacing w:after="0"/>
              <w:rPr>
                <w:sz w:val="20"/>
                <w:szCs w:val="20"/>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5160" w:type="dxa"/>
            <w:vAlign w:val="bottom"/>
            <w:shd w:val="clear" w:color="auto" w:fill="CCEEFF"/>
          </w:tcPr>
          <w:p>
            <w:pPr>
              <w:ind w:left="40"/>
              <w:spacing w:after="0"/>
              <w:rPr>
                <w:sz w:val="20"/>
                <w:szCs w:val="20"/>
                <w:color w:val="auto"/>
              </w:rPr>
            </w:pPr>
            <w:r>
              <w:rPr>
                <w:rFonts w:ascii="Arial" w:cs="Arial" w:eastAsia="Arial" w:hAnsi="Arial"/>
                <w:sz w:val="18"/>
                <w:szCs w:val="18"/>
                <w:color w:val="auto"/>
                <w:w w:val="97"/>
              </w:rPr>
              <w:t>Add: Conversion of preferred shares on a one-for-one basis at the</w:t>
            </w:r>
          </w:p>
        </w:tc>
        <w:tc>
          <w:tcPr>
            <w:tcW w:w="16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3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beginning of the period</w:t>
            </w:r>
          </w:p>
        </w:tc>
        <w:tc>
          <w:tcPr>
            <w:tcW w:w="17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6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19,510,410</w:t>
            </w:r>
          </w:p>
        </w:tc>
        <w:tc>
          <w:tcPr>
            <w:tcW w:w="140" w:type="dxa"/>
            <w:vAlign w:val="bottom"/>
            <w:tcBorders>
              <w:bottom w:val="single" w:sz="8" w:color="CCEEFF"/>
            </w:tcBorders>
            <w:shd w:val="clear" w:color="auto" w:fill="CCEEFF"/>
          </w:tcPr>
          <w:p>
            <w:pPr>
              <w:spacing w:after="0"/>
              <w:rPr>
                <w:sz w:val="22"/>
                <w:szCs w:val="22"/>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19,510,410</w:t>
            </w:r>
          </w:p>
        </w:tc>
        <w:tc>
          <w:tcPr>
            <w:tcW w:w="10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19,510,410</w:t>
            </w:r>
          </w:p>
        </w:tc>
        <w:tc>
          <w:tcPr>
            <w:tcW w:w="0" w:type="dxa"/>
            <w:vAlign w:val="bottom"/>
          </w:tcPr>
          <w:p>
            <w:pPr>
              <w:spacing w:after="0"/>
              <w:rPr>
                <w:sz w:val="1"/>
                <w:szCs w:val="1"/>
                <w:color w:val="auto"/>
              </w:rPr>
            </w:pPr>
          </w:p>
        </w:tc>
      </w:tr>
      <w:tr>
        <w:trPr>
          <w:trHeight w:val="209"/>
        </w:trPr>
        <w:tc>
          <w:tcPr>
            <w:tcW w:w="5160" w:type="dxa"/>
            <w:vAlign w:val="bottom"/>
          </w:tcPr>
          <w:p>
            <w:pPr>
              <w:ind w:left="40"/>
              <w:spacing w:after="0"/>
              <w:rPr>
                <w:sz w:val="20"/>
                <w:szCs w:val="20"/>
                <w:color w:val="auto"/>
              </w:rPr>
            </w:pPr>
            <w:r>
              <w:rPr>
                <w:rFonts w:ascii="Arial" w:cs="Arial" w:eastAsia="Arial" w:hAnsi="Arial"/>
                <w:sz w:val="18"/>
                <w:szCs w:val="18"/>
                <w:color w:val="auto"/>
                <w:w w:val="96"/>
              </w:rPr>
              <w:t>Weighted average shares used to compute non-GAAP net income</w:t>
            </w:r>
          </w:p>
        </w:tc>
        <w:tc>
          <w:tcPr>
            <w:tcW w:w="160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60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160" w:type="dxa"/>
            <w:vAlign w:val="bottom"/>
          </w:tcPr>
          <w:p>
            <w:pPr>
              <w:ind w:left="40"/>
              <w:spacing w:after="0"/>
              <w:rPr>
                <w:sz w:val="20"/>
                <w:szCs w:val="20"/>
                <w:color w:val="auto"/>
              </w:rPr>
            </w:pPr>
            <w:r>
              <w:rPr>
                <w:rFonts w:ascii="Arial" w:cs="Arial" w:eastAsia="Arial" w:hAnsi="Arial"/>
                <w:sz w:val="18"/>
                <w:szCs w:val="18"/>
                <w:color w:val="auto"/>
              </w:rPr>
              <w:t>per share—Basic</w:t>
            </w:r>
          </w:p>
        </w:tc>
        <w:tc>
          <w:tcPr>
            <w:tcW w:w="1600" w:type="dxa"/>
            <w:vAlign w:val="bottom"/>
          </w:tcPr>
          <w:p>
            <w:pPr>
              <w:jc w:val="right"/>
              <w:ind w:right="30"/>
              <w:spacing w:after="0"/>
              <w:rPr>
                <w:sz w:val="20"/>
                <w:szCs w:val="20"/>
                <w:color w:val="auto"/>
              </w:rPr>
            </w:pPr>
            <w:r>
              <w:rPr>
                <w:rFonts w:ascii="Arial" w:cs="Arial" w:eastAsia="Arial" w:hAnsi="Arial"/>
                <w:sz w:val="18"/>
                <w:szCs w:val="18"/>
                <w:color w:val="auto"/>
              </w:rPr>
              <w:t>29,890,944</w:t>
            </w:r>
          </w:p>
        </w:tc>
        <w:tc>
          <w:tcPr>
            <w:tcW w:w="120" w:type="dxa"/>
            <w:vAlign w:val="bottom"/>
          </w:tcPr>
          <w:p>
            <w:pPr>
              <w:spacing w:after="0"/>
              <w:rPr>
                <w:sz w:val="20"/>
                <w:szCs w:val="20"/>
                <w:color w:val="auto"/>
              </w:rPr>
            </w:pPr>
          </w:p>
        </w:tc>
        <w:tc>
          <w:tcPr>
            <w:tcW w:w="1600" w:type="dxa"/>
            <w:vAlign w:val="bottom"/>
          </w:tcPr>
          <w:p>
            <w:pPr>
              <w:jc w:val="right"/>
              <w:ind w:right="30"/>
              <w:spacing w:after="0"/>
              <w:rPr>
                <w:sz w:val="20"/>
                <w:szCs w:val="20"/>
                <w:color w:val="auto"/>
              </w:rPr>
            </w:pPr>
            <w:r>
              <w:rPr>
                <w:rFonts w:ascii="Arial" w:cs="Arial" w:eastAsia="Arial" w:hAnsi="Arial"/>
                <w:sz w:val="18"/>
                <w:szCs w:val="18"/>
                <w:color w:val="auto"/>
              </w:rPr>
              <w:t>24,212,409</w:t>
            </w:r>
          </w:p>
        </w:tc>
        <w:tc>
          <w:tcPr>
            <w:tcW w:w="140" w:type="dxa"/>
            <w:vAlign w:val="bottom"/>
          </w:tcPr>
          <w:p>
            <w:pPr>
              <w:spacing w:after="0"/>
              <w:rPr>
                <w:sz w:val="20"/>
                <w:szCs w:val="20"/>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26,158,521</w:t>
            </w:r>
          </w:p>
        </w:tc>
        <w:tc>
          <w:tcPr>
            <w:tcW w:w="100" w:type="dxa"/>
            <w:vAlign w:val="bottom"/>
          </w:tcPr>
          <w:p>
            <w:pPr>
              <w:spacing w:after="0"/>
              <w:rPr>
                <w:sz w:val="20"/>
                <w:szCs w:val="20"/>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24,119,785</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Potential dilutive options</w:t>
            </w:r>
          </w:p>
        </w:tc>
        <w:tc>
          <w:tcPr>
            <w:tcW w:w="16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2,033,521</w:t>
            </w:r>
          </w:p>
        </w:tc>
        <w:tc>
          <w:tcPr>
            <w:tcW w:w="120" w:type="dxa"/>
            <w:vAlign w:val="bottom"/>
            <w:tcBorders>
              <w:bottom w:val="single" w:sz="8" w:color="CCEEFF"/>
            </w:tcBorders>
            <w:shd w:val="clear" w:color="auto" w:fill="CCEEFF"/>
          </w:tcPr>
          <w:p>
            <w:pPr>
              <w:spacing w:after="0"/>
              <w:rPr>
                <w:sz w:val="21"/>
                <w:szCs w:val="21"/>
                <w:color w:val="auto"/>
              </w:rPr>
            </w:pPr>
          </w:p>
        </w:tc>
        <w:tc>
          <w:tcPr>
            <w:tcW w:w="16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2,177,861</w:t>
            </w:r>
          </w:p>
        </w:tc>
        <w:tc>
          <w:tcPr>
            <w:tcW w:w="14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1,959,226</w:t>
            </w:r>
          </w:p>
        </w:tc>
        <w:tc>
          <w:tcPr>
            <w:tcW w:w="10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2,161,246</w:t>
            </w:r>
          </w:p>
        </w:tc>
        <w:tc>
          <w:tcPr>
            <w:tcW w:w="0" w:type="dxa"/>
            <w:vAlign w:val="bottom"/>
          </w:tcPr>
          <w:p>
            <w:pPr>
              <w:spacing w:after="0"/>
              <w:rPr>
                <w:sz w:val="1"/>
                <w:szCs w:val="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Potential dilutive restricted stock and restricted stock units</w:t>
            </w:r>
          </w:p>
        </w:tc>
        <w:tc>
          <w:tcPr>
            <w:tcW w:w="1600" w:type="dxa"/>
            <w:vAlign w:val="bottom"/>
          </w:tcPr>
          <w:p>
            <w:pPr>
              <w:jc w:val="right"/>
              <w:ind w:right="30"/>
              <w:spacing w:after="0"/>
              <w:rPr>
                <w:sz w:val="20"/>
                <w:szCs w:val="20"/>
                <w:color w:val="auto"/>
              </w:rPr>
            </w:pPr>
            <w:r>
              <w:rPr>
                <w:rFonts w:ascii="Arial" w:cs="Arial" w:eastAsia="Arial" w:hAnsi="Arial"/>
                <w:sz w:val="18"/>
                <w:szCs w:val="18"/>
                <w:color w:val="auto"/>
              </w:rPr>
              <w:t>396,945</w:t>
            </w:r>
          </w:p>
        </w:tc>
        <w:tc>
          <w:tcPr>
            <w:tcW w:w="120" w:type="dxa"/>
            <w:vAlign w:val="bottom"/>
          </w:tcPr>
          <w:p>
            <w:pPr>
              <w:spacing w:after="0"/>
              <w:rPr>
                <w:sz w:val="21"/>
                <w:szCs w:val="21"/>
                <w:color w:val="auto"/>
              </w:rPr>
            </w:pPr>
          </w:p>
        </w:tc>
        <w:tc>
          <w:tcPr>
            <w:tcW w:w="1600" w:type="dxa"/>
            <w:vAlign w:val="bottom"/>
          </w:tcPr>
          <w:p>
            <w:pPr>
              <w:jc w:val="right"/>
              <w:ind w:right="30"/>
              <w:spacing w:after="0"/>
              <w:rPr>
                <w:sz w:val="20"/>
                <w:szCs w:val="20"/>
                <w:color w:val="auto"/>
              </w:rPr>
            </w:pPr>
            <w:r>
              <w:rPr>
                <w:rFonts w:ascii="Arial" w:cs="Arial" w:eastAsia="Arial" w:hAnsi="Arial"/>
                <w:sz w:val="18"/>
                <w:szCs w:val="18"/>
                <w:color w:val="auto"/>
              </w:rPr>
              <w:t>149,599</w:t>
            </w:r>
          </w:p>
        </w:tc>
        <w:tc>
          <w:tcPr>
            <w:tcW w:w="140" w:type="dxa"/>
            <w:vAlign w:val="bottom"/>
          </w:tcPr>
          <w:p>
            <w:pPr>
              <w:spacing w:after="0"/>
              <w:rPr>
                <w:sz w:val="21"/>
                <w:szCs w:val="21"/>
                <w:color w:val="auto"/>
              </w:rPr>
            </w:pPr>
          </w:p>
        </w:tc>
        <w:tc>
          <w:tcPr>
            <w:tcW w:w="1340" w:type="dxa"/>
            <w:vAlign w:val="bottom"/>
          </w:tcPr>
          <w:p>
            <w:pPr>
              <w:jc w:val="right"/>
              <w:ind w:right="10"/>
              <w:spacing w:after="0"/>
              <w:rPr>
                <w:sz w:val="20"/>
                <w:szCs w:val="20"/>
                <w:color w:val="auto"/>
              </w:rPr>
            </w:pPr>
            <w:r>
              <w:rPr>
                <w:rFonts w:ascii="Arial" w:cs="Arial" w:eastAsia="Arial" w:hAnsi="Arial"/>
                <w:sz w:val="18"/>
                <w:szCs w:val="18"/>
                <w:color w:val="auto"/>
              </w:rPr>
              <w:t>266,995</w:t>
            </w:r>
          </w:p>
        </w:tc>
        <w:tc>
          <w:tcPr>
            <w:tcW w:w="100" w:type="dxa"/>
            <w:vAlign w:val="bottom"/>
          </w:tcPr>
          <w:p>
            <w:pPr>
              <w:spacing w:after="0"/>
              <w:rPr>
                <w:sz w:val="21"/>
                <w:szCs w:val="21"/>
                <w:color w:val="auto"/>
              </w:rPr>
            </w:pPr>
          </w:p>
        </w:tc>
        <w:tc>
          <w:tcPr>
            <w:tcW w:w="1360" w:type="dxa"/>
            <w:vAlign w:val="bottom"/>
          </w:tcPr>
          <w:p>
            <w:pPr>
              <w:jc w:val="right"/>
              <w:ind w:right="10"/>
              <w:spacing w:after="0"/>
              <w:rPr>
                <w:sz w:val="20"/>
                <w:szCs w:val="20"/>
                <w:color w:val="auto"/>
              </w:rPr>
            </w:pPr>
            <w:r>
              <w:rPr>
                <w:rFonts w:ascii="Arial" w:cs="Arial" w:eastAsia="Arial" w:hAnsi="Arial"/>
                <w:sz w:val="18"/>
                <w:szCs w:val="18"/>
                <w:color w:val="auto"/>
              </w:rPr>
              <w:t>118,897</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Potential dilutive common warrants</w:t>
            </w:r>
          </w:p>
        </w:tc>
        <w:tc>
          <w:tcPr>
            <w:tcW w:w="172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60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73,426</w:t>
            </w:r>
          </w:p>
        </w:tc>
        <w:tc>
          <w:tcPr>
            <w:tcW w:w="140" w:type="dxa"/>
            <w:vAlign w:val="bottom"/>
            <w:tcBorders>
              <w:bottom w:val="single" w:sz="8" w:color="CCEEFF"/>
            </w:tcBorders>
            <w:shd w:val="clear" w:color="auto" w:fill="CCEEFF"/>
          </w:tcPr>
          <w:p>
            <w:pPr>
              <w:spacing w:after="0"/>
              <w:rPr>
                <w:sz w:val="23"/>
                <w:szCs w:val="23"/>
                <w:color w:val="auto"/>
              </w:rPr>
            </w:pPr>
          </w:p>
        </w:tc>
        <w:tc>
          <w:tcPr>
            <w:tcW w:w="14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3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76,611</w:t>
            </w:r>
          </w:p>
        </w:tc>
        <w:tc>
          <w:tcPr>
            <w:tcW w:w="0" w:type="dxa"/>
            <w:vAlign w:val="bottom"/>
          </w:tcPr>
          <w:p>
            <w:pPr>
              <w:spacing w:after="0"/>
              <w:rPr>
                <w:sz w:val="1"/>
                <w:szCs w:val="1"/>
                <w:color w:val="auto"/>
              </w:rPr>
            </w:pPr>
          </w:p>
        </w:tc>
      </w:tr>
      <w:tr>
        <w:trPr>
          <w:trHeight w:val="209"/>
        </w:trPr>
        <w:tc>
          <w:tcPr>
            <w:tcW w:w="5160" w:type="dxa"/>
            <w:vAlign w:val="bottom"/>
          </w:tcPr>
          <w:p>
            <w:pPr>
              <w:ind w:left="40"/>
              <w:spacing w:after="0"/>
              <w:rPr>
                <w:sz w:val="20"/>
                <w:szCs w:val="20"/>
                <w:color w:val="auto"/>
              </w:rPr>
            </w:pPr>
            <w:r>
              <w:rPr>
                <w:rFonts w:ascii="Arial" w:cs="Arial" w:eastAsia="Arial" w:hAnsi="Arial"/>
                <w:sz w:val="18"/>
                <w:szCs w:val="18"/>
                <w:color w:val="auto"/>
                <w:w w:val="96"/>
              </w:rPr>
              <w:t>Weighted average shares used to compute non-GAAP net income</w:t>
            </w:r>
          </w:p>
        </w:tc>
        <w:tc>
          <w:tcPr>
            <w:tcW w:w="1600" w:type="dxa"/>
            <w:vAlign w:val="bottom"/>
            <w:tcBorders>
              <w:top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32,321,410</w:t>
            </w:r>
          </w:p>
        </w:tc>
        <w:tc>
          <w:tcPr>
            <w:tcW w:w="120" w:type="dxa"/>
            <w:vAlign w:val="bottom"/>
          </w:tcPr>
          <w:p>
            <w:pPr>
              <w:spacing w:after="0"/>
              <w:rPr>
                <w:sz w:val="18"/>
                <w:szCs w:val="18"/>
                <w:color w:val="auto"/>
              </w:rPr>
            </w:pPr>
          </w:p>
        </w:tc>
        <w:tc>
          <w:tcPr>
            <w:tcW w:w="1600" w:type="dxa"/>
            <w:vAlign w:val="bottom"/>
            <w:tcBorders>
              <w:top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26,613,295</w:t>
            </w:r>
          </w:p>
        </w:tc>
        <w:tc>
          <w:tcPr>
            <w:tcW w:w="140" w:type="dxa"/>
            <w:vAlign w:val="bottom"/>
          </w:tcPr>
          <w:p>
            <w:pPr>
              <w:spacing w:after="0"/>
              <w:rPr>
                <w:sz w:val="18"/>
                <w:szCs w:val="18"/>
                <w:color w:val="auto"/>
              </w:rPr>
            </w:pPr>
          </w:p>
        </w:tc>
        <w:tc>
          <w:tcPr>
            <w:tcW w:w="1340" w:type="dxa"/>
            <w:vAlign w:val="bottom"/>
            <w:tcBorders>
              <w:top w:val="single" w:sz="8" w:color="auto"/>
            </w:tcBorders>
            <w:vMerge w:val="restart"/>
          </w:tcPr>
          <w:p>
            <w:pPr>
              <w:jc w:val="right"/>
              <w:ind w:right="10"/>
              <w:spacing w:after="0"/>
              <w:rPr>
                <w:sz w:val="20"/>
                <w:szCs w:val="20"/>
                <w:color w:val="auto"/>
              </w:rPr>
            </w:pPr>
            <w:r>
              <w:rPr>
                <w:rFonts w:ascii="Arial" w:cs="Arial" w:eastAsia="Arial" w:hAnsi="Arial"/>
                <w:sz w:val="18"/>
                <w:szCs w:val="18"/>
                <w:color w:val="auto"/>
              </w:rPr>
              <w:t>28,384,742</w:t>
            </w:r>
          </w:p>
        </w:tc>
        <w:tc>
          <w:tcPr>
            <w:tcW w:w="100" w:type="dxa"/>
            <w:vAlign w:val="bottom"/>
          </w:tcPr>
          <w:p>
            <w:pPr>
              <w:spacing w:after="0"/>
              <w:rPr>
                <w:sz w:val="18"/>
                <w:szCs w:val="18"/>
                <w:color w:val="auto"/>
              </w:rPr>
            </w:pPr>
          </w:p>
        </w:tc>
        <w:tc>
          <w:tcPr>
            <w:tcW w:w="1360" w:type="dxa"/>
            <w:vAlign w:val="bottom"/>
            <w:tcBorders>
              <w:top w:val="single" w:sz="8" w:color="auto"/>
            </w:tcBorders>
            <w:vMerge w:val="restart"/>
          </w:tcPr>
          <w:p>
            <w:pPr>
              <w:jc w:val="right"/>
              <w:ind w:right="10"/>
              <w:spacing w:after="0"/>
              <w:rPr>
                <w:sz w:val="20"/>
                <w:szCs w:val="20"/>
                <w:color w:val="auto"/>
              </w:rPr>
            </w:pPr>
            <w:r>
              <w:rPr>
                <w:rFonts w:ascii="Arial" w:cs="Arial" w:eastAsia="Arial" w:hAnsi="Arial"/>
                <w:sz w:val="18"/>
                <w:szCs w:val="18"/>
                <w:color w:val="auto"/>
              </w:rPr>
              <w:t>26,476,539</w:t>
            </w:r>
          </w:p>
        </w:tc>
        <w:tc>
          <w:tcPr>
            <w:tcW w:w="0" w:type="dxa"/>
            <w:vAlign w:val="bottom"/>
          </w:tcPr>
          <w:p>
            <w:pPr>
              <w:spacing w:after="0"/>
              <w:rPr>
                <w:sz w:val="1"/>
                <w:szCs w:val="1"/>
                <w:color w:val="auto"/>
              </w:rPr>
            </w:pPr>
          </w:p>
        </w:tc>
      </w:tr>
      <w:tr>
        <w:trPr>
          <w:trHeight w:val="242"/>
        </w:trPr>
        <w:tc>
          <w:tcPr>
            <w:tcW w:w="5160" w:type="dxa"/>
            <w:vAlign w:val="bottom"/>
          </w:tcPr>
          <w:p>
            <w:pPr>
              <w:ind w:left="40"/>
              <w:spacing w:after="0"/>
              <w:rPr>
                <w:sz w:val="20"/>
                <w:szCs w:val="20"/>
                <w:color w:val="auto"/>
              </w:rPr>
            </w:pPr>
            <w:r>
              <w:rPr>
                <w:rFonts w:ascii="Arial" w:cs="Arial" w:eastAsia="Arial" w:hAnsi="Arial"/>
                <w:sz w:val="18"/>
                <w:szCs w:val="18"/>
                <w:color w:val="auto"/>
              </w:rPr>
              <w:t>per share—Diluted</w:t>
            </w:r>
          </w:p>
        </w:tc>
        <w:tc>
          <w:tcPr>
            <w:tcW w:w="1600" w:type="dxa"/>
            <w:vAlign w:val="bottom"/>
            <w:tcBorders>
              <w:bottom w:val="single" w:sz="8" w:color="auto"/>
            </w:tcBorders>
            <w:vMerge w:val="continue"/>
          </w:tcPr>
          <w:p>
            <w:pPr>
              <w:spacing w:after="0"/>
              <w:rPr>
                <w:sz w:val="20"/>
                <w:szCs w:val="20"/>
                <w:color w:val="auto"/>
              </w:rPr>
            </w:pPr>
          </w:p>
        </w:tc>
        <w:tc>
          <w:tcPr>
            <w:tcW w:w="120" w:type="dxa"/>
            <w:vAlign w:val="bottom"/>
          </w:tcPr>
          <w:p>
            <w:pPr>
              <w:spacing w:after="0"/>
              <w:rPr>
                <w:sz w:val="20"/>
                <w:szCs w:val="20"/>
                <w:color w:val="auto"/>
              </w:rPr>
            </w:pPr>
          </w:p>
        </w:tc>
        <w:tc>
          <w:tcPr>
            <w:tcW w:w="1600" w:type="dxa"/>
            <w:vAlign w:val="bottom"/>
            <w:tcBorders>
              <w:bottom w:val="single" w:sz="8" w:color="auto"/>
            </w:tcBorders>
            <w:vMerge w:val="continue"/>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tcBorders>
              <w:bottom w:val="single" w:sz="8" w:color="auto"/>
            </w:tcBorders>
            <w:vMerge w:val="continue"/>
          </w:tcPr>
          <w:p>
            <w:pPr>
              <w:spacing w:after="0"/>
              <w:rPr>
                <w:sz w:val="20"/>
                <w:szCs w:val="20"/>
                <w:color w:val="auto"/>
              </w:rPr>
            </w:pPr>
          </w:p>
        </w:tc>
        <w:tc>
          <w:tcPr>
            <w:tcW w:w="100" w:type="dxa"/>
            <w:vAlign w:val="bottom"/>
          </w:tcPr>
          <w:p>
            <w:pPr>
              <w:spacing w:after="0"/>
              <w:rPr>
                <w:sz w:val="20"/>
                <w:szCs w:val="20"/>
                <w:color w:val="auto"/>
              </w:rPr>
            </w:pPr>
          </w:p>
        </w:tc>
        <w:tc>
          <w:tcPr>
            <w:tcW w:w="136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5160" w:type="dxa"/>
            <w:vAlign w:val="bottom"/>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3" w:lineRule="exact"/>
        <w:rPr>
          <w:sz w:val="20"/>
          <w:szCs w:val="20"/>
          <w:color w:val="auto"/>
        </w:rPr>
      </w:pPr>
    </w:p>
    <w:p>
      <w:pPr>
        <w:ind w:left="80" w:right="60" w:hanging="80"/>
        <w:spacing w:after="0" w:line="250" w:lineRule="auto"/>
        <w:rPr>
          <w:sz w:val="20"/>
          <w:szCs w:val="20"/>
          <w:color w:val="auto"/>
        </w:rPr>
      </w:pPr>
      <w:r>
        <w:rPr>
          <w:rFonts w:ascii="Arial" w:cs="Arial" w:eastAsia="Arial" w:hAnsi="Arial"/>
          <w:sz w:val="9"/>
          <w:szCs w:val="9"/>
          <w:color w:val="auto"/>
        </w:rPr>
        <w:t>2</w:t>
      </w:r>
      <w:r>
        <w:rPr>
          <w:rFonts w:ascii="Arial" w:cs="Arial" w:eastAsia="Arial" w:hAnsi="Arial"/>
          <w:sz w:val="14"/>
          <w:szCs w:val="14"/>
          <w:color w:val="auto"/>
        </w:rPr>
        <w:t>See “Non-GAAP Financial Measures” above for important information about our use of non-GAAP measures and further information about our calculation of non-GAAP net income per share and</w:t>
      </w:r>
      <w:r>
        <w:rPr>
          <w:rFonts w:ascii="Arial" w:cs="Arial" w:eastAsia="Arial" w:hAnsi="Arial"/>
          <w:sz w:val="9"/>
          <w:szCs w:val="9"/>
          <w:color w:val="auto"/>
        </w:rPr>
        <w:t xml:space="preserve"> </w:t>
      </w:r>
      <w:r>
        <w:rPr>
          <w:rFonts w:ascii="Arial" w:cs="Arial" w:eastAsia="Arial" w:hAnsi="Arial"/>
          <w:sz w:val="14"/>
          <w:szCs w:val="14"/>
          <w:color w:val="auto"/>
        </w:rPr>
        <w:t>its components.</w:t>
      </w:r>
    </w:p>
    <w:p>
      <w:pPr>
        <w:spacing w:after="0" w:line="1" w:lineRule="exact"/>
        <w:rPr>
          <w:sz w:val="20"/>
          <w:szCs w:val="20"/>
          <w:color w:val="auto"/>
        </w:rPr>
      </w:pPr>
    </w:p>
    <w:p>
      <w:pPr>
        <w:ind w:left="80" w:hanging="72"/>
        <w:spacing w:after="0"/>
        <w:tabs>
          <w:tab w:leader="none" w:pos="80" w:val="left"/>
        </w:tabs>
        <w:numPr>
          <w:ilvl w:val="0"/>
          <w:numId w:val="4"/>
        </w:numPr>
        <w:rPr>
          <w:rFonts w:ascii="Arial" w:cs="Arial" w:eastAsia="Arial" w:hAnsi="Arial"/>
          <w:sz w:val="9"/>
          <w:szCs w:val="9"/>
          <w:color w:val="auto"/>
        </w:rPr>
      </w:pPr>
      <w:r>
        <w:rPr>
          <w:rFonts w:ascii="Arial" w:cs="Arial" w:eastAsia="Arial" w:hAnsi="Arial"/>
          <w:sz w:val="14"/>
          <w:szCs w:val="14"/>
          <w:color w:val="auto"/>
        </w:rPr>
        <w:t>We calculate GAAP net income (loss) attributable to common stockholders under the two-class method required for companies with participating securities.</w:t>
      </w:r>
    </w:p>
    <w:p>
      <w:pPr>
        <w:spacing w:after="0" w:line="286" w:lineRule="exact"/>
        <w:rPr>
          <w:sz w:val="20"/>
          <w:szCs w:val="20"/>
          <w:color w:val="auto"/>
        </w:rPr>
      </w:pPr>
    </w:p>
    <w:p>
      <w:pPr>
        <w:spacing w:after="0"/>
        <w:rPr>
          <w:sz w:val="20"/>
          <w:szCs w:val="20"/>
          <w:color w:val="auto"/>
        </w:rPr>
      </w:pPr>
      <w:r>
        <w:rPr>
          <w:rFonts w:ascii="Arial" w:cs="Arial" w:eastAsia="Arial" w:hAnsi="Arial"/>
          <w:sz w:val="14"/>
          <w:szCs w:val="14"/>
          <w:color w:val="auto"/>
        </w:rPr>
        <w:t>Investor Relations</w:t>
      </w:r>
    </w:p>
    <w:p>
      <w:pPr>
        <w:spacing w:after="0" w:line="13" w:lineRule="exact"/>
        <w:rPr>
          <w:sz w:val="20"/>
          <w:szCs w:val="20"/>
          <w:color w:val="auto"/>
        </w:rPr>
      </w:pPr>
    </w:p>
    <w:p>
      <w:pPr>
        <w:spacing w:after="0"/>
        <w:rPr>
          <w:sz w:val="20"/>
          <w:szCs w:val="20"/>
          <w:color w:val="auto"/>
        </w:rPr>
      </w:pPr>
      <w:r>
        <w:rPr>
          <w:rFonts w:ascii="Arial" w:cs="Arial" w:eastAsia="Arial" w:hAnsi="Arial"/>
          <w:sz w:val="14"/>
          <w:szCs w:val="14"/>
          <w:color w:val="auto"/>
        </w:rPr>
        <w:t>Penumbra, Inc.</w:t>
      </w:r>
    </w:p>
    <w:p>
      <w:pPr>
        <w:spacing w:after="0" w:line="1" w:lineRule="exact"/>
        <w:rPr>
          <w:sz w:val="20"/>
          <w:szCs w:val="20"/>
          <w:color w:val="auto"/>
        </w:rPr>
      </w:pPr>
    </w:p>
    <w:p>
      <w:pPr>
        <w:spacing w:after="0"/>
        <w:rPr>
          <w:sz w:val="20"/>
          <w:szCs w:val="20"/>
          <w:color w:val="auto"/>
        </w:rPr>
      </w:pPr>
      <w:r>
        <w:rPr>
          <w:rFonts w:ascii="Arial" w:cs="Arial" w:eastAsia="Arial" w:hAnsi="Arial"/>
          <w:sz w:val="14"/>
          <w:szCs w:val="14"/>
          <w:color w:val="auto"/>
        </w:rPr>
        <w:t>510-995-2461</w:t>
      </w:r>
    </w:p>
    <w:p>
      <w:pPr>
        <w:spacing w:after="0" w:line="84" w:lineRule="exact"/>
        <w:rPr>
          <w:sz w:val="20"/>
          <w:szCs w:val="20"/>
          <w:color w:val="auto"/>
        </w:rPr>
      </w:pPr>
    </w:p>
    <w:p>
      <w:pPr>
        <w:spacing w:after="0"/>
        <w:rPr>
          <w:sz w:val="20"/>
          <w:szCs w:val="20"/>
          <w:color w:val="auto"/>
        </w:rPr>
      </w:pPr>
      <w:r>
        <w:rPr>
          <w:rFonts w:ascii="Arial" w:cs="Arial" w:eastAsia="Arial" w:hAnsi="Arial"/>
          <w:sz w:val="14"/>
          <w:szCs w:val="14"/>
          <w:u w:val="single" w:color="auto"/>
          <w:color w:val="0000FF"/>
        </w:rPr>
        <w:t>investors@penumbrainc.com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1076325</wp:posOffset>
            </wp:positionH>
            <wp:positionV relativeFrom="paragraph">
              <wp:posOffset>-12700</wp:posOffset>
            </wp:positionV>
            <wp:extent cx="3429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34290" cy="8890"/>
                    </a:xfrm>
                    <a:prstGeom prst="rect">
                      <a:avLst/>
                    </a:prstGeom>
                    <a:noFill/>
                  </pic:spPr>
                </pic:pic>
              </a:graphicData>
            </a:graphic>
          </wp:anchor>
        </w:drawing>
      </w:r>
    </w:p>
    <w:p>
      <w:pPr>
        <w:spacing w:after="0" w:line="72"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Source: Penumbra, Inc.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sectPr>
      <w:pgSz w:w="11900" w:h="16838" w:orient="portrait"/>
      <w:cols w:equalWidth="0" w:num="1">
        <w:col w:w="11420"/>
      </w:cols>
      <w:pgMar w:left="240" w:top="783"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4B0DC51"/>
    <w:multiLevelType w:val="hybridMultilevel"/>
    <w:lvl w:ilvl="0">
      <w:lvlJc w:val="left"/>
      <w:lvlText w:val="☐"/>
      <w:numFmt w:val="bullet"/>
      <w:start w:val="1"/>
    </w:lvl>
  </w:abstractNum>
  <w:abstractNum w:abstractNumId="1">
    <w:nsid w:val="19495CFF"/>
    <w:multiLevelType w:val="hybridMultilevel"/>
    <w:lvl w:ilvl="0">
      <w:lvlJc w:val="left"/>
      <w:lvlText w:val="•"/>
      <w:numFmt w:val="bullet"/>
      <w:start w:val="1"/>
    </w:lvl>
  </w:abstractNum>
  <w:abstractNum w:abstractNumId="2">
    <w:nsid w:val="2AE8944A"/>
    <w:multiLevelType w:val="hybridMultilevel"/>
    <w:lvl w:ilvl="0">
      <w:lvlJc w:val="left"/>
      <w:lvlText w:val="1"/>
      <w:numFmt w:val="bullet"/>
      <w:start w:val="1"/>
    </w:lvl>
  </w:abstractNum>
  <w:abstractNum w:abstractNumId="3">
    <w:nsid w:val="625558EC"/>
    <w:multiLevelType w:val="hybridMultilevel"/>
    <w:lvl w:ilvl="0">
      <w:lvlJc w:val="left"/>
      <w:lvlText w:val="3"/>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2020-01-19T20:00:02Z</dcterms:created>
  <dcterms:modified xsi:type="dcterms:W3CDTF">2020-01-19T20:00:02Z</dcterms:modified>
</cp:coreProperties>
</file>