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203835</wp:posOffset>
            </wp:positionH>
            <wp:positionV relativeFrom="page">
              <wp:posOffset>298450</wp:posOffset>
            </wp:positionV>
            <wp:extent cx="7140575" cy="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40575" cy="15875"/>
                    </a:xfrm>
                    <a:prstGeom prst="rect">
                      <a:avLst/>
                    </a:prstGeom>
                    <a:noFill/>
                  </pic:spPr>
                </pic:pic>
              </a:graphicData>
            </a:graphic>
          </wp:anchor>
        </w:drawing>
        <w:drawing>
          <wp:anchor simplePos="0" relativeHeight="251657728" behindDoc="1" locked="0" layoutInCell="0" allowOverlap="1">
            <wp:simplePos x="0" y="0"/>
            <wp:positionH relativeFrom="page">
              <wp:posOffset>203835</wp:posOffset>
            </wp:positionH>
            <wp:positionV relativeFrom="page">
              <wp:posOffset>330200</wp:posOffset>
            </wp:positionV>
            <wp:extent cx="7140575"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40575" cy="8255"/>
                    </a:xfrm>
                    <a:prstGeom prst="rect">
                      <a:avLst/>
                    </a:prstGeom>
                    <a:noFill/>
                  </pic:spPr>
                </pic:pic>
              </a:graphicData>
            </a:graphic>
          </wp:anchor>
        </w:drawing>
        <w:t>UNITED STATES</w:t>
      </w:r>
    </w:p>
    <w:p>
      <w:pPr>
        <w:spacing w:after="0" w:line="33"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SECURITIES AND EXCHANGE COMMISSION</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7"/>
          <w:szCs w:val="17"/>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2681605</wp:posOffset>
            </wp:positionH>
            <wp:positionV relativeFrom="paragraph">
              <wp:posOffset>118110</wp:posOffset>
            </wp:positionV>
            <wp:extent cx="177927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779270" cy="8255"/>
                    </a:xfrm>
                    <a:prstGeom prst="rect">
                      <a:avLst/>
                    </a:prstGeom>
                    <a:noFill/>
                  </pic:spPr>
                </pic:pic>
              </a:graphicData>
            </a:graphic>
          </wp:anchor>
        </w:drawing>
      </w:r>
    </w:p>
    <w:p>
      <w:pPr>
        <w:spacing w:after="0" w:line="353"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2681605</wp:posOffset>
            </wp:positionH>
            <wp:positionV relativeFrom="paragraph">
              <wp:posOffset>140970</wp:posOffset>
            </wp:positionV>
            <wp:extent cx="177927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779270" cy="8255"/>
                    </a:xfrm>
                    <a:prstGeom prst="rect">
                      <a:avLst/>
                    </a:prstGeom>
                    <a:noFill/>
                  </pic:spPr>
                </pic:pic>
              </a:graphicData>
            </a:graphic>
          </wp:anchor>
        </w:drawing>
      </w:r>
    </w:p>
    <w:p>
      <w:pPr>
        <w:spacing w:after="0" w:line="200" w:lineRule="exact"/>
        <w:rPr>
          <w:sz w:val="24"/>
          <w:szCs w:val="24"/>
          <w:color w:val="auto"/>
        </w:rPr>
      </w:pPr>
    </w:p>
    <w:p>
      <w:pPr>
        <w:spacing w:after="0" w:line="201" w:lineRule="exact"/>
        <w:rPr>
          <w:sz w:val="24"/>
          <w:szCs w:val="24"/>
          <w:color w:val="auto"/>
        </w:rPr>
      </w:pPr>
    </w:p>
    <w:p>
      <w:pPr>
        <w:jc w:val="center"/>
        <w:ind w:right="60"/>
        <w:spacing w:after="0"/>
        <w:rPr>
          <w:sz w:val="20"/>
          <w:szCs w:val="20"/>
          <w:color w:val="auto"/>
        </w:rPr>
      </w:pPr>
      <w:r>
        <w:rPr>
          <w:rFonts w:ascii="Arial" w:cs="Arial" w:eastAsia="Arial" w:hAnsi="Arial"/>
          <w:sz w:val="24"/>
          <w:szCs w:val="24"/>
          <w:b w:val="1"/>
          <w:bCs w:val="1"/>
          <w:color w:val="auto"/>
        </w:rPr>
        <w:t>CURRENT REPORT</w:t>
      </w:r>
    </w:p>
    <w:p>
      <w:pPr>
        <w:spacing w:after="0" w:line="201" w:lineRule="exact"/>
        <w:rPr>
          <w:sz w:val="24"/>
          <w:szCs w:val="24"/>
          <w:color w:val="auto"/>
        </w:rPr>
      </w:pPr>
    </w:p>
    <w:p>
      <w:pPr>
        <w:jc w:val="center"/>
        <w:spacing w:after="0"/>
        <w:rPr>
          <w:sz w:val="20"/>
          <w:szCs w:val="20"/>
          <w:color w:val="auto"/>
        </w:rPr>
      </w:pPr>
      <w:r>
        <w:rPr>
          <w:rFonts w:ascii="Arial" w:cs="Arial" w:eastAsia="Arial" w:hAnsi="Arial"/>
          <w:sz w:val="17"/>
          <w:szCs w:val="17"/>
          <w:b w:val="1"/>
          <w:bCs w:val="1"/>
          <w:color w:val="auto"/>
        </w:rPr>
        <w:t>Pursuant to Section 13 or 15(d) of</w:t>
      </w:r>
    </w:p>
    <w:p>
      <w:pPr>
        <w:spacing w:after="0" w:line="15" w:lineRule="exact"/>
        <w:rPr>
          <w:sz w:val="24"/>
          <w:szCs w:val="24"/>
          <w:color w:val="auto"/>
        </w:rPr>
      </w:pPr>
    </w:p>
    <w:p>
      <w:pPr>
        <w:jc w:val="center"/>
        <w:spacing w:after="0"/>
        <w:rPr>
          <w:sz w:val="20"/>
          <w:szCs w:val="20"/>
          <w:color w:val="auto"/>
        </w:rPr>
      </w:pPr>
      <w:r>
        <w:rPr>
          <w:rFonts w:ascii="Arial" w:cs="Arial" w:eastAsia="Arial" w:hAnsi="Arial"/>
          <w:sz w:val="17"/>
          <w:szCs w:val="17"/>
          <w:b w:val="1"/>
          <w:bCs w:val="1"/>
          <w:color w:val="auto"/>
        </w:rPr>
        <w:t>the Securities Exchange Act of 1934</w:t>
      </w:r>
    </w:p>
    <w:p>
      <w:pPr>
        <w:spacing w:after="0" w:line="165" w:lineRule="exact"/>
        <w:rPr>
          <w:sz w:val="24"/>
          <w:szCs w:val="24"/>
          <w:color w:val="auto"/>
        </w:rPr>
      </w:pPr>
    </w:p>
    <w:p>
      <w:pPr>
        <w:jc w:val="center"/>
        <w:spacing w:after="0"/>
        <w:rPr>
          <w:sz w:val="20"/>
          <w:szCs w:val="20"/>
          <w:color w:val="auto"/>
        </w:rPr>
      </w:pPr>
      <w:r>
        <w:rPr>
          <w:rFonts w:ascii="Arial" w:cs="Arial" w:eastAsia="Arial" w:hAnsi="Arial"/>
          <w:sz w:val="17"/>
          <w:szCs w:val="17"/>
          <w:color w:val="auto"/>
        </w:rPr>
        <w:t xml:space="preserve">Date of Report (Date of earliest event reported): </w:t>
      </w:r>
      <w:r>
        <w:rPr>
          <w:rFonts w:ascii="Arial" w:cs="Arial" w:eastAsia="Arial" w:hAnsi="Arial"/>
          <w:sz w:val="17"/>
          <w:szCs w:val="17"/>
          <w:b w:val="1"/>
          <w:bCs w:val="1"/>
          <w:color w:val="auto"/>
        </w:rPr>
        <w:t>February 23, 2023</w:t>
      </w:r>
    </w:p>
    <w:p>
      <w:pPr>
        <w:spacing w:after="0" w:line="177" w:lineRule="exact"/>
        <w:rPr>
          <w:sz w:val="24"/>
          <w:szCs w:val="24"/>
          <w:color w:val="auto"/>
        </w:rPr>
      </w:pPr>
    </w:p>
    <w:p>
      <w:pPr>
        <w:jc w:val="center"/>
        <w:spacing w:after="0"/>
        <w:rPr>
          <w:sz w:val="20"/>
          <w:szCs w:val="20"/>
          <w:color w:val="auto"/>
        </w:rPr>
      </w:pPr>
      <w:r>
        <w:rPr>
          <w:rFonts w:ascii="Arial" w:cs="Arial" w:eastAsia="Arial" w:hAnsi="Arial"/>
          <w:sz w:val="24"/>
          <w:szCs w:val="24"/>
          <w:b w:val="1"/>
          <w:bCs w:val="1"/>
          <w:color w:val="auto"/>
        </w:rPr>
        <w:t>MORNINGSTAR, INC.</w:t>
      </w:r>
    </w:p>
    <w:p>
      <w:pPr>
        <w:spacing w:after="0" w:line="31" w:lineRule="exact"/>
        <w:rPr>
          <w:sz w:val="24"/>
          <w:szCs w:val="24"/>
          <w:color w:val="auto"/>
        </w:rPr>
      </w:pPr>
    </w:p>
    <w:p>
      <w:pPr>
        <w:jc w:val="center"/>
        <w:spacing w:after="0"/>
        <w:rPr>
          <w:sz w:val="20"/>
          <w:szCs w:val="20"/>
          <w:color w:val="auto"/>
        </w:rPr>
      </w:pPr>
      <w:r>
        <w:rPr>
          <w:rFonts w:ascii="Arial" w:cs="Arial" w:eastAsia="Arial" w:hAnsi="Arial"/>
          <w:sz w:val="17"/>
          <w:szCs w:val="17"/>
          <w:color w:val="auto"/>
        </w:rPr>
        <w:t>(Exact name of registrant as specified in its charter)</w:t>
      </w:r>
    </w:p>
    <w:p>
      <w:pPr>
        <w:spacing w:after="0" w:line="165" w:lineRule="exact"/>
        <w:rPr>
          <w:sz w:val="24"/>
          <w:szCs w:val="24"/>
          <w:color w:val="auto"/>
        </w:rPr>
      </w:pPr>
    </w:p>
    <w:tbl>
      <w:tblPr>
        <w:tblLayout w:type="fixed"/>
        <w:tblInd w:w="860" w:type="dxa"/>
        <w:tblCellMar>
          <w:top w:w="0" w:type="dxa"/>
          <w:left w:w="0" w:type="dxa"/>
          <w:bottom w:w="0" w:type="dxa"/>
          <w:right w:w="0" w:type="dxa"/>
        </w:tblCellMar>
      </w:tblPr>
      <w:tr>
        <w:trPr>
          <w:trHeight w:val="223"/>
        </w:trPr>
        <w:tc>
          <w:tcPr>
            <w:tcW w:w="2180" w:type="dxa"/>
            <w:vAlign w:val="bottom"/>
          </w:tcPr>
          <w:p>
            <w:pPr>
              <w:ind w:left="740"/>
              <w:spacing w:after="0"/>
              <w:rPr>
                <w:sz w:val="20"/>
                <w:szCs w:val="20"/>
                <w:color w:val="auto"/>
              </w:rPr>
            </w:pPr>
            <w:r>
              <w:rPr>
                <w:rFonts w:ascii="Arial" w:cs="Arial" w:eastAsia="Arial" w:hAnsi="Arial"/>
                <w:sz w:val="17"/>
                <w:szCs w:val="17"/>
                <w:b w:val="1"/>
                <w:bCs w:val="1"/>
                <w:color w:val="auto"/>
              </w:rPr>
              <w:t>Illinois</w:t>
            </w:r>
          </w:p>
        </w:tc>
        <w:tc>
          <w:tcPr>
            <w:tcW w:w="5280" w:type="dxa"/>
            <w:vAlign w:val="bottom"/>
          </w:tcPr>
          <w:p>
            <w:pPr>
              <w:jc w:val="center"/>
              <w:ind w:right="16"/>
              <w:spacing w:after="0"/>
              <w:rPr>
                <w:sz w:val="20"/>
                <w:szCs w:val="20"/>
                <w:color w:val="auto"/>
              </w:rPr>
            </w:pPr>
            <w:r>
              <w:rPr>
                <w:rFonts w:ascii="Arial" w:cs="Arial" w:eastAsia="Arial" w:hAnsi="Arial"/>
                <w:sz w:val="17"/>
                <w:szCs w:val="17"/>
                <w:b w:val="1"/>
                <w:bCs w:val="1"/>
                <w:color w:val="auto"/>
              </w:rPr>
              <w:t>000-51280</w:t>
            </w:r>
          </w:p>
        </w:tc>
        <w:tc>
          <w:tcPr>
            <w:tcW w:w="1700" w:type="dxa"/>
            <w:vAlign w:val="bottom"/>
          </w:tcPr>
          <w:p>
            <w:pPr>
              <w:jc w:val="right"/>
              <w:ind w:right="96"/>
              <w:spacing w:after="0"/>
              <w:rPr>
                <w:sz w:val="20"/>
                <w:szCs w:val="20"/>
                <w:color w:val="auto"/>
              </w:rPr>
            </w:pPr>
            <w:r>
              <w:rPr>
                <w:rFonts w:ascii="Arial" w:cs="Arial" w:eastAsia="Arial" w:hAnsi="Arial"/>
                <w:sz w:val="17"/>
                <w:szCs w:val="17"/>
                <w:b w:val="1"/>
                <w:bCs w:val="1"/>
                <w:color w:val="auto"/>
              </w:rPr>
              <w:t>36-3297908</w:t>
            </w:r>
          </w:p>
        </w:tc>
      </w:tr>
      <w:tr>
        <w:trPr>
          <w:trHeight w:val="190"/>
        </w:trPr>
        <w:tc>
          <w:tcPr>
            <w:tcW w:w="2180" w:type="dxa"/>
            <w:vAlign w:val="bottom"/>
          </w:tcPr>
          <w:p>
            <w:pPr>
              <w:jc w:val="center"/>
              <w:ind w:right="176"/>
              <w:spacing w:after="0" w:line="190" w:lineRule="exact"/>
              <w:rPr>
                <w:sz w:val="20"/>
                <w:szCs w:val="20"/>
                <w:color w:val="auto"/>
              </w:rPr>
            </w:pPr>
            <w:r>
              <w:rPr>
                <w:rFonts w:ascii="Arial" w:cs="Arial" w:eastAsia="Arial" w:hAnsi="Arial"/>
                <w:sz w:val="17"/>
                <w:szCs w:val="17"/>
                <w:color w:val="auto"/>
                <w:w w:val="99"/>
              </w:rPr>
              <w:t>(State or other jurisdiction</w:t>
            </w:r>
          </w:p>
        </w:tc>
        <w:tc>
          <w:tcPr>
            <w:tcW w:w="5280" w:type="dxa"/>
            <w:vAlign w:val="bottom"/>
          </w:tcPr>
          <w:p>
            <w:pPr>
              <w:ind w:left="2080"/>
              <w:spacing w:after="0" w:line="190" w:lineRule="exact"/>
              <w:rPr>
                <w:sz w:val="20"/>
                <w:szCs w:val="20"/>
                <w:color w:val="auto"/>
              </w:rPr>
            </w:pPr>
            <w:r>
              <w:rPr>
                <w:rFonts w:ascii="Arial" w:cs="Arial" w:eastAsia="Arial" w:hAnsi="Arial"/>
                <w:sz w:val="17"/>
                <w:szCs w:val="17"/>
                <w:color w:val="auto"/>
              </w:rPr>
              <w:t>(Commission</w:t>
            </w:r>
          </w:p>
        </w:tc>
        <w:tc>
          <w:tcPr>
            <w:tcW w:w="1700" w:type="dxa"/>
            <w:vAlign w:val="bottom"/>
          </w:tcPr>
          <w:p>
            <w:pPr>
              <w:jc w:val="right"/>
              <w:spacing w:after="0" w:line="190" w:lineRule="exact"/>
              <w:rPr>
                <w:sz w:val="20"/>
                <w:szCs w:val="20"/>
                <w:color w:val="auto"/>
              </w:rPr>
            </w:pPr>
            <w:r>
              <w:rPr>
                <w:rFonts w:ascii="Arial" w:cs="Arial" w:eastAsia="Arial" w:hAnsi="Arial"/>
                <w:sz w:val="17"/>
                <w:szCs w:val="17"/>
                <w:color w:val="auto"/>
              </w:rPr>
              <w:t>(I.R.S. Employer</w:t>
            </w:r>
          </w:p>
        </w:tc>
      </w:tr>
      <w:tr>
        <w:trPr>
          <w:trHeight w:val="203"/>
        </w:trPr>
        <w:tc>
          <w:tcPr>
            <w:tcW w:w="2180" w:type="dxa"/>
            <w:vAlign w:val="bottom"/>
          </w:tcPr>
          <w:p>
            <w:pPr>
              <w:jc w:val="center"/>
              <w:ind w:right="176"/>
              <w:spacing w:after="0"/>
              <w:rPr>
                <w:sz w:val="20"/>
                <w:szCs w:val="20"/>
                <w:color w:val="auto"/>
              </w:rPr>
            </w:pPr>
            <w:r>
              <w:rPr>
                <w:rFonts w:ascii="Arial" w:cs="Arial" w:eastAsia="Arial" w:hAnsi="Arial"/>
                <w:sz w:val="17"/>
                <w:szCs w:val="17"/>
                <w:color w:val="auto"/>
              </w:rPr>
              <w:t>of incorporation)</w:t>
            </w:r>
          </w:p>
        </w:tc>
        <w:tc>
          <w:tcPr>
            <w:tcW w:w="5280" w:type="dxa"/>
            <w:vAlign w:val="bottom"/>
          </w:tcPr>
          <w:p>
            <w:pPr>
              <w:jc w:val="center"/>
              <w:ind w:right="16"/>
              <w:spacing w:after="0"/>
              <w:rPr>
                <w:sz w:val="20"/>
                <w:szCs w:val="20"/>
                <w:color w:val="auto"/>
              </w:rPr>
            </w:pPr>
            <w:r>
              <w:rPr>
                <w:rFonts w:ascii="Arial" w:cs="Arial" w:eastAsia="Arial" w:hAnsi="Arial"/>
                <w:sz w:val="17"/>
                <w:szCs w:val="17"/>
                <w:color w:val="auto"/>
                <w:w w:val="99"/>
              </w:rPr>
              <w:t>File Number)</w:t>
            </w:r>
          </w:p>
        </w:tc>
        <w:tc>
          <w:tcPr>
            <w:tcW w:w="1700" w:type="dxa"/>
            <w:vAlign w:val="bottom"/>
          </w:tcPr>
          <w:p>
            <w:pPr>
              <w:jc w:val="right"/>
              <w:spacing w:after="0"/>
              <w:rPr>
                <w:sz w:val="20"/>
                <w:szCs w:val="20"/>
                <w:color w:val="auto"/>
              </w:rPr>
            </w:pPr>
            <w:r>
              <w:rPr>
                <w:rFonts w:ascii="Arial" w:cs="Arial" w:eastAsia="Arial" w:hAnsi="Arial"/>
                <w:sz w:val="17"/>
                <w:szCs w:val="17"/>
                <w:color w:val="auto"/>
              </w:rPr>
              <w:t>Identification No.)</w:t>
            </w:r>
          </w:p>
        </w:tc>
      </w:tr>
      <w:tr>
        <w:trPr>
          <w:trHeight w:val="386"/>
        </w:trPr>
        <w:tc>
          <w:tcPr>
            <w:tcW w:w="2180" w:type="dxa"/>
            <w:vAlign w:val="bottom"/>
          </w:tcPr>
          <w:p>
            <w:pPr>
              <w:spacing w:after="0"/>
              <w:rPr>
                <w:sz w:val="24"/>
                <w:szCs w:val="24"/>
                <w:color w:val="auto"/>
              </w:rPr>
            </w:pPr>
          </w:p>
        </w:tc>
        <w:tc>
          <w:tcPr>
            <w:tcW w:w="5280" w:type="dxa"/>
            <w:vAlign w:val="bottom"/>
          </w:tcPr>
          <w:p>
            <w:pPr>
              <w:jc w:val="center"/>
              <w:ind w:right="16"/>
              <w:spacing w:after="0"/>
              <w:rPr>
                <w:sz w:val="20"/>
                <w:szCs w:val="20"/>
                <w:color w:val="auto"/>
              </w:rPr>
            </w:pPr>
            <w:r>
              <w:rPr>
                <w:rFonts w:ascii="Arial" w:cs="Arial" w:eastAsia="Arial" w:hAnsi="Arial"/>
                <w:sz w:val="17"/>
                <w:szCs w:val="17"/>
                <w:b w:val="1"/>
                <w:bCs w:val="1"/>
                <w:color w:val="auto"/>
                <w:w w:val="99"/>
              </w:rPr>
              <w:t>22 West Washington Street</w:t>
            </w:r>
          </w:p>
        </w:tc>
        <w:tc>
          <w:tcPr>
            <w:tcW w:w="1700" w:type="dxa"/>
            <w:vAlign w:val="bottom"/>
          </w:tcPr>
          <w:p>
            <w:pPr>
              <w:spacing w:after="0"/>
              <w:rPr>
                <w:sz w:val="24"/>
                <w:szCs w:val="24"/>
                <w:color w:val="auto"/>
              </w:rPr>
            </w:pPr>
          </w:p>
        </w:tc>
      </w:tr>
      <w:tr>
        <w:trPr>
          <w:trHeight w:val="210"/>
        </w:trPr>
        <w:tc>
          <w:tcPr>
            <w:tcW w:w="2180" w:type="dxa"/>
            <w:vAlign w:val="bottom"/>
          </w:tcPr>
          <w:p>
            <w:pPr>
              <w:spacing w:after="0"/>
              <w:rPr>
                <w:sz w:val="18"/>
                <w:szCs w:val="18"/>
                <w:color w:val="auto"/>
              </w:rPr>
            </w:pPr>
          </w:p>
        </w:tc>
        <w:tc>
          <w:tcPr>
            <w:tcW w:w="5280" w:type="dxa"/>
            <w:vAlign w:val="bottom"/>
          </w:tcPr>
          <w:p>
            <w:pPr>
              <w:jc w:val="center"/>
              <w:ind w:right="16"/>
              <w:spacing w:after="0"/>
              <w:rPr>
                <w:sz w:val="20"/>
                <w:szCs w:val="20"/>
                <w:color w:val="auto"/>
              </w:rPr>
            </w:pPr>
            <w:r>
              <w:rPr>
                <w:rFonts w:ascii="Arial" w:cs="Arial" w:eastAsia="Arial" w:hAnsi="Arial"/>
                <w:sz w:val="17"/>
                <w:szCs w:val="17"/>
                <w:b w:val="1"/>
                <w:bCs w:val="1"/>
                <w:color w:val="auto"/>
                <w:w w:val="99"/>
              </w:rPr>
              <w:t>Chicago, Illinois</w:t>
            </w:r>
          </w:p>
        </w:tc>
        <w:tc>
          <w:tcPr>
            <w:tcW w:w="1700" w:type="dxa"/>
            <w:vAlign w:val="bottom"/>
          </w:tcPr>
          <w:p>
            <w:pPr>
              <w:jc w:val="right"/>
              <w:ind w:right="296"/>
              <w:spacing w:after="0"/>
              <w:rPr>
                <w:sz w:val="20"/>
                <w:szCs w:val="20"/>
                <w:color w:val="auto"/>
              </w:rPr>
            </w:pPr>
            <w:r>
              <w:rPr>
                <w:rFonts w:ascii="Arial" w:cs="Arial" w:eastAsia="Arial" w:hAnsi="Arial"/>
                <w:sz w:val="17"/>
                <w:szCs w:val="17"/>
                <w:b w:val="1"/>
                <w:bCs w:val="1"/>
                <w:color w:val="auto"/>
              </w:rPr>
              <w:t>60602</w:t>
            </w:r>
          </w:p>
        </w:tc>
      </w:tr>
      <w:tr>
        <w:trPr>
          <w:trHeight w:val="203"/>
        </w:trPr>
        <w:tc>
          <w:tcPr>
            <w:tcW w:w="2180" w:type="dxa"/>
            <w:vAlign w:val="bottom"/>
          </w:tcPr>
          <w:p>
            <w:pPr>
              <w:spacing w:after="0"/>
              <w:rPr>
                <w:sz w:val="17"/>
                <w:szCs w:val="17"/>
                <w:color w:val="auto"/>
              </w:rPr>
            </w:pPr>
          </w:p>
        </w:tc>
        <w:tc>
          <w:tcPr>
            <w:tcW w:w="5280" w:type="dxa"/>
            <w:vAlign w:val="bottom"/>
          </w:tcPr>
          <w:p>
            <w:pPr>
              <w:jc w:val="center"/>
              <w:ind w:right="16"/>
              <w:spacing w:after="0"/>
              <w:rPr>
                <w:sz w:val="20"/>
                <w:szCs w:val="20"/>
                <w:color w:val="auto"/>
              </w:rPr>
            </w:pPr>
            <w:r>
              <w:rPr>
                <w:rFonts w:ascii="Arial" w:cs="Arial" w:eastAsia="Arial" w:hAnsi="Arial"/>
                <w:sz w:val="17"/>
                <w:szCs w:val="17"/>
                <w:color w:val="auto"/>
                <w:w w:val="99"/>
              </w:rPr>
              <w:t>(Address of principal executive offices)</w:t>
            </w:r>
          </w:p>
        </w:tc>
        <w:tc>
          <w:tcPr>
            <w:tcW w:w="1700" w:type="dxa"/>
            <w:vAlign w:val="bottom"/>
          </w:tcPr>
          <w:p>
            <w:pPr>
              <w:jc w:val="right"/>
              <w:ind w:right="136"/>
              <w:spacing w:after="0"/>
              <w:rPr>
                <w:sz w:val="20"/>
                <w:szCs w:val="20"/>
                <w:color w:val="auto"/>
              </w:rPr>
            </w:pPr>
            <w:r>
              <w:rPr>
                <w:rFonts w:ascii="Arial" w:cs="Arial" w:eastAsia="Arial" w:hAnsi="Arial"/>
                <w:sz w:val="17"/>
                <w:szCs w:val="17"/>
                <w:color w:val="auto"/>
              </w:rPr>
              <w:t>(Zip Code)</w:t>
            </w:r>
          </w:p>
        </w:tc>
      </w:tr>
      <w:tr>
        <w:trPr>
          <w:trHeight w:val="368"/>
        </w:trPr>
        <w:tc>
          <w:tcPr>
            <w:tcW w:w="2180" w:type="dxa"/>
            <w:vAlign w:val="bottom"/>
          </w:tcPr>
          <w:p>
            <w:pPr>
              <w:spacing w:after="0"/>
              <w:rPr>
                <w:sz w:val="24"/>
                <w:szCs w:val="24"/>
                <w:color w:val="auto"/>
              </w:rPr>
            </w:pPr>
          </w:p>
        </w:tc>
        <w:tc>
          <w:tcPr>
            <w:tcW w:w="5280" w:type="dxa"/>
            <w:vAlign w:val="bottom"/>
          </w:tcPr>
          <w:p>
            <w:pPr>
              <w:jc w:val="center"/>
              <w:ind w:right="36"/>
              <w:spacing w:after="0"/>
              <w:rPr>
                <w:sz w:val="20"/>
                <w:szCs w:val="20"/>
                <w:color w:val="auto"/>
              </w:rPr>
            </w:pPr>
            <w:r>
              <w:rPr>
                <w:rFonts w:ascii="Arial" w:cs="Arial" w:eastAsia="Arial" w:hAnsi="Arial"/>
                <w:sz w:val="17"/>
                <w:szCs w:val="17"/>
                <w:b w:val="1"/>
                <w:bCs w:val="1"/>
                <w:color w:val="auto"/>
                <w:w w:val="99"/>
              </w:rPr>
              <w:t>(312) 696-6000</w:t>
            </w:r>
          </w:p>
        </w:tc>
        <w:tc>
          <w:tcPr>
            <w:tcW w:w="1700" w:type="dxa"/>
            <w:vAlign w:val="bottom"/>
          </w:tcPr>
          <w:p>
            <w:pPr>
              <w:spacing w:after="0"/>
              <w:rPr>
                <w:sz w:val="24"/>
                <w:szCs w:val="24"/>
                <w:color w:val="auto"/>
              </w:rPr>
            </w:pPr>
          </w:p>
        </w:tc>
      </w:tr>
      <w:tr>
        <w:trPr>
          <w:trHeight w:val="203"/>
        </w:trPr>
        <w:tc>
          <w:tcPr>
            <w:tcW w:w="2180" w:type="dxa"/>
            <w:vAlign w:val="bottom"/>
          </w:tcPr>
          <w:p>
            <w:pPr>
              <w:spacing w:after="0"/>
              <w:rPr>
                <w:sz w:val="17"/>
                <w:szCs w:val="17"/>
                <w:color w:val="auto"/>
              </w:rPr>
            </w:pPr>
          </w:p>
        </w:tc>
        <w:tc>
          <w:tcPr>
            <w:tcW w:w="5280" w:type="dxa"/>
            <w:vAlign w:val="bottom"/>
          </w:tcPr>
          <w:p>
            <w:pPr>
              <w:jc w:val="center"/>
              <w:ind w:right="36"/>
              <w:spacing w:after="0"/>
              <w:rPr>
                <w:sz w:val="20"/>
                <w:szCs w:val="20"/>
                <w:color w:val="auto"/>
              </w:rPr>
            </w:pPr>
            <w:r>
              <w:rPr>
                <w:rFonts w:ascii="Arial" w:cs="Arial" w:eastAsia="Arial" w:hAnsi="Arial"/>
                <w:sz w:val="17"/>
                <w:szCs w:val="17"/>
                <w:color w:val="auto"/>
                <w:w w:val="99"/>
              </w:rPr>
              <w:t>(Registrant’s telephone number, including area code)</w:t>
            </w:r>
          </w:p>
        </w:tc>
        <w:tc>
          <w:tcPr>
            <w:tcW w:w="1700" w:type="dxa"/>
            <w:vAlign w:val="bottom"/>
          </w:tcPr>
          <w:p>
            <w:pPr>
              <w:spacing w:after="0"/>
              <w:rPr>
                <w:sz w:val="17"/>
                <w:szCs w:val="17"/>
                <w:color w:val="auto"/>
              </w:rPr>
            </w:pPr>
          </w:p>
        </w:tc>
      </w:tr>
      <w:tr>
        <w:trPr>
          <w:trHeight w:val="368"/>
        </w:trPr>
        <w:tc>
          <w:tcPr>
            <w:tcW w:w="2180" w:type="dxa"/>
            <w:vAlign w:val="bottom"/>
          </w:tcPr>
          <w:p>
            <w:pPr>
              <w:spacing w:after="0"/>
              <w:rPr>
                <w:sz w:val="24"/>
                <w:szCs w:val="24"/>
                <w:color w:val="auto"/>
              </w:rPr>
            </w:pPr>
          </w:p>
        </w:tc>
        <w:tc>
          <w:tcPr>
            <w:tcW w:w="5280" w:type="dxa"/>
            <w:vAlign w:val="bottom"/>
          </w:tcPr>
          <w:p>
            <w:pPr>
              <w:jc w:val="center"/>
              <w:ind w:right="36"/>
              <w:spacing w:after="0"/>
              <w:rPr>
                <w:sz w:val="20"/>
                <w:szCs w:val="20"/>
                <w:color w:val="auto"/>
              </w:rPr>
            </w:pPr>
            <w:r>
              <w:rPr>
                <w:rFonts w:ascii="Arial" w:cs="Arial" w:eastAsia="Arial" w:hAnsi="Arial"/>
                <w:sz w:val="17"/>
                <w:szCs w:val="17"/>
                <w:b w:val="1"/>
                <w:bCs w:val="1"/>
                <w:color w:val="auto"/>
                <w:w w:val="95"/>
              </w:rPr>
              <w:t>N/A</w:t>
            </w:r>
          </w:p>
        </w:tc>
        <w:tc>
          <w:tcPr>
            <w:tcW w:w="1700" w:type="dxa"/>
            <w:vAlign w:val="bottom"/>
          </w:tcPr>
          <w:p>
            <w:pPr>
              <w:spacing w:after="0"/>
              <w:rPr>
                <w:sz w:val="24"/>
                <w:szCs w:val="24"/>
                <w:color w:val="auto"/>
              </w:rPr>
            </w:pPr>
          </w:p>
        </w:tc>
      </w:tr>
      <w:tr>
        <w:trPr>
          <w:trHeight w:val="203"/>
        </w:trPr>
        <w:tc>
          <w:tcPr>
            <w:tcW w:w="2180" w:type="dxa"/>
            <w:vAlign w:val="bottom"/>
          </w:tcPr>
          <w:p>
            <w:pPr>
              <w:spacing w:after="0"/>
              <w:rPr>
                <w:sz w:val="17"/>
                <w:szCs w:val="17"/>
                <w:color w:val="auto"/>
              </w:rPr>
            </w:pPr>
          </w:p>
        </w:tc>
        <w:tc>
          <w:tcPr>
            <w:tcW w:w="5280" w:type="dxa"/>
            <w:vAlign w:val="bottom"/>
          </w:tcPr>
          <w:p>
            <w:pPr>
              <w:jc w:val="center"/>
              <w:ind w:right="16"/>
              <w:spacing w:after="0"/>
              <w:rPr>
                <w:sz w:val="20"/>
                <w:szCs w:val="20"/>
                <w:color w:val="auto"/>
              </w:rPr>
            </w:pPr>
            <w:r>
              <w:rPr>
                <w:rFonts w:ascii="Arial" w:cs="Arial" w:eastAsia="Arial" w:hAnsi="Arial"/>
                <w:sz w:val="17"/>
                <w:szCs w:val="17"/>
                <w:color w:val="auto"/>
                <w:w w:val="99"/>
              </w:rPr>
              <w:t>(Former name or former address, if changed since last report)</w:t>
            </w:r>
          </w:p>
        </w:tc>
        <w:tc>
          <w:tcPr>
            <w:tcW w:w="1700" w:type="dxa"/>
            <w:vAlign w:val="bottom"/>
          </w:tcPr>
          <w:p>
            <w:pPr>
              <w:spacing w:after="0"/>
              <w:rPr>
                <w:sz w:val="17"/>
                <w:szCs w:val="17"/>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2681605</wp:posOffset>
            </wp:positionH>
            <wp:positionV relativeFrom="paragraph">
              <wp:posOffset>113030</wp:posOffset>
            </wp:positionV>
            <wp:extent cx="177927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779270" cy="8255"/>
                    </a:xfrm>
                    <a:prstGeom prst="rect">
                      <a:avLst/>
                    </a:prstGeom>
                    <a:noFill/>
                  </pic:spPr>
                </pic:pic>
              </a:graphicData>
            </a:graphic>
          </wp:anchor>
        </w:drawing>
      </w:r>
    </w:p>
    <w:p>
      <w:pPr>
        <w:spacing w:after="0" w:line="373" w:lineRule="exact"/>
        <w:rPr>
          <w:sz w:val="24"/>
          <w:szCs w:val="24"/>
          <w:color w:val="auto"/>
        </w:rPr>
      </w:pPr>
    </w:p>
    <w:p>
      <w:pPr>
        <w:ind w:right="540"/>
        <w:spacing w:after="0" w:line="242" w:lineRule="auto"/>
        <w:rPr>
          <w:sz w:val="20"/>
          <w:szCs w:val="20"/>
          <w:color w:val="auto"/>
        </w:rPr>
      </w:pPr>
      <w:r>
        <w:rPr>
          <w:rFonts w:ascii="Arial" w:cs="Arial" w:eastAsia="Arial" w:hAnsi="Arial"/>
          <w:sz w:val="17"/>
          <w:szCs w:val="17"/>
          <w:color w:val="auto"/>
        </w:rPr>
        <w:t>Check the appropriate box below if the Form 8-K filing is intended to simultaneously satisfy the filing obligation of the registrant under any of the following provisions:</w:t>
      </w:r>
    </w:p>
    <w:p>
      <w:pPr>
        <w:spacing w:after="0" w:line="176" w:lineRule="exact"/>
        <w:rPr>
          <w:sz w:val="24"/>
          <w:szCs w:val="24"/>
          <w:color w:val="auto"/>
        </w:rPr>
      </w:pPr>
    </w:p>
    <w:p>
      <w:pPr>
        <w:ind w:left="820" w:hanging="438"/>
        <w:spacing w:after="0"/>
        <w:tabs>
          <w:tab w:leader="none" w:pos="8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Written communications pursuant to Rule 425 under the Securities Act (17 CFR 230.425)</w:t>
      </w:r>
    </w:p>
    <w:p>
      <w:pPr>
        <w:spacing w:after="0" w:line="197" w:lineRule="exact"/>
        <w:rPr>
          <w:rFonts w:ascii="MS PGothic" w:cs="MS PGothic" w:eastAsia="MS PGothic" w:hAnsi="MS PGothic"/>
          <w:sz w:val="17"/>
          <w:szCs w:val="17"/>
          <w:color w:val="auto"/>
        </w:rPr>
      </w:pPr>
    </w:p>
    <w:p>
      <w:pPr>
        <w:ind w:left="820" w:hanging="438"/>
        <w:spacing w:after="0"/>
        <w:tabs>
          <w:tab w:leader="none" w:pos="8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Soliciting material pursuant to Rule 14a-12 under the Exchange Act (17 CFR 240.14a-12)</w:t>
      </w:r>
    </w:p>
    <w:p>
      <w:pPr>
        <w:spacing w:after="0" w:line="197" w:lineRule="exact"/>
        <w:rPr>
          <w:rFonts w:ascii="MS PGothic" w:cs="MS PGothic" w:eastAsia="MS PGothic" w:hAnsi="MS PGothic"/>
          <w:sz w:val="17"/>
          <w:szCs w:val="17"/>
          <w:color w:val="auto"/>
        </w:rPr>
      </w:pPr>
    </w:p>
    <w:p>
      <w:pPr>
        <w:ind w:left="820" w:hanging="438"/>
        <w:spacing w:after="0"/>
        <w:tabs>
          <w:tab w:leader="none" w:pos="8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Pre-commencement communications pursuant to Rule 14d-2(b) under the Exchange Act (17 CFR 240.14d-2(b))</w:t>
      </w:r>
    </w:p>
    <w:p>
      <w:pPr>
        <w:spacing w:after="0" w:line="197" w:lineRule="exact"/>
        <w:rPr>
          <w:rFonts w:ascii="MS PGothic" w:cs="MS PGothic" w:eastAsia="MS PGothic" w:hAnsi="MS PGothic"/>
          <w:sz w:val="17"/>
          <w:szCs w:val="17"/>
          <w:color w:val="auto"/>
        </w:rPr>
      </w:pPr>
    </w:p>
    <w:p>
      <w:pPr>
        <w:ind w:left="820" w:hanging="438"/>
        <w:spacing w:after="0"/>
        <w:tabs>
          <w:tab w:leader="none" w:pos="8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Pre-commencement communications pursuant to Rule 13e-4(c) under the Exchange Act (17 CFR 240.13e-4(c))</w:t>
      </w:r>
    </w:p>
    <w:p>
      <w:pPr>
        <w:spacing w:after="0" w:line="198" w:lineRule="exact"/>
        <w:rPr>
          <w:sz w:val="24"/>
          <w:szCs w:val="24"/>
          <w:color w:val="auto"/>
        </w:rPr>
      </w:pPr>
    </w:p>
    <w:p>
      <w:pPr>
        <w:ind w:right="200"/>
        <w:spacing w:after="0" w:line="242" w:lineRule="auto"/>
        <w:rPr>
          <w:sz w:val="20"/>
          <w:szCs w:val="20"/>
          <w:color w:val="auto"/>
        </w:rPr>
      </w:pPr>
      <w:r>
        <w:rPr>
          <w:rFonts w:ascii="Arial" w:cs="Arial" w:eastAsia="Arial" w:hAnsi="Arial"/>
          <w:sz w:val="17"/>
          <w:szCs w:val="17"/>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132" w:lineRule="exact"/>
        <w:rPr>
          <w:sz w:val="24"/>
          <w:szCs w:val="24"/>
          <w:color w:val="auto"/>
        </w:rPr>
      </w:pPr>
    </w:p>
    <w:p>
      <w:pPr>
        <w:spacing w:after="0" w:line="196" w:lineRule="exact"/>
        <w:rPr>
          <w:sz w:val="20"/>
          <w:szCs w:val="20"/>
          <w:color w:val="auto"/>
        </w:rPr>
      </w:pPr>
      <w:r>
        <w:rPr>
          <w:rFonts w:ascii="Arial" w:cs="Arial" w:eastAsia="Arial" w:hAnsi="Arial"/>
          <w:sz w:val="17"/>
          <w:szCs w:val="17"/>
          <w:color w:val="auto"/>
        </w:rPr>
        <w:t xml:space="preserve">Emerging growth company </w:t>
      </w:r>
      <w:r>
        <w:rPr>
          <w:rFonts w:ascii="MS PGothic" w:cs="MS PGothic" w:eastAsia="MS PGothic" w:hAnsi="MS PGothic"/>
          <w:sz w:val="17"/>
          <w:szCs w:val="17"/>
          <w:color w:val="auto"/>
        </w:rPr>
        <w:t>☐</w:t>
      </w:r>
    </w:p>
    <w:p>
      <w:pPr>
        <w:spacing w:after="0" w:line="241" w:lineRule="exact"/>
        <w:rPr>
          <w:sz w:val="24"/>
          <w:szCs w:val="24"/>
          <w:color w:val="auto"/>
        </w:rPr>
      </w:pPr>
    </w:p>
    <w:p>
      <w:pPr>
        <w:ind w:right="220"/>
        <w:spacing w:after="0" w:line="206" w:lineRule="exact"/>
        <w:rPr>
          <w:sz w:val="20"/>
          <w:szCs w:val="20"/>
          <w:color w:val="auto"/>
        </w:rPr>
      </w:pPr>
      <w:r>
        <w:rPr>
          <w:rFonts w:ascii="Arial" w:cs="Arial" w:eastAsia="Arial" w:hAnsi="Arial"/>
          <w:sz w:val="17"/>
          <w:szCs w:val="17"/>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7"/>
          <w:szCs w:val="17"/>
          <w:color w:val="auto"/>
        </w:rPr>
        <w:t>☐</w:t>
      </w:r>
    </w:p>
    <w:p>
      <w:pPr>
        <w:spacing w:after="0" w:line="173" w:lineRule="exact"/>
        <w:rPr>
          <w:sz w:val="24"/>
          <w:szCs w:val="24"/>
          <w:color w:val="auto"/>
        </w:rPr>
      </w:pPr>
    </w:p>
    <w:p>
      <w:pPr>
        <w:spacing w:after="0"/>
        <w:rPr>
          <w:sz w:val="20"/>
          <w:szCs w:val="20"/>
          <w:color w:val="auto"/>
        </w:rPr>
      </w:pPr>
      <w:r>
        <w:rPr>
          <w:rFonts w:ascii="Arial" w:cs="Arial" w:eastAsia="Arial" w:hAnsi="Arial"/>
          <w:sz w:val="17"/>
          <w:szCs w:val="17"/>
          <w:color w:val="auto"/>
        </w:rPr>
        <w:t>Securities registered pursuant to Section 12(b) of the Act:</w:t>
      </w:r>
    </w:p>
    <w:p>
      <w:pPr>
        <w:spacing w:after="0" w:line="7" w:lineRule="exact"/>
        <w:rPr>
          <w:sz w:val="24"/>
          <w:szCs w:val="24"/>
          <w:color w:val="auto"/>
        </w:rPr>
      </w:pPr>
    </w:p>
    <w:tbl>
      <w:tblPr>
        <w:tblLayout w:type="fixed"/>
        <w:tblInd w:w="10" w:type="dxa"/>
        <w:tblCellMar>
          <w:top w:w="0" w:type="dxa"/>
          <w:left w:w="0" w:type="dxa"/>
          <w:bottom w:w="0" w:type="dxa"/>
          <w:right w:w="0" w:type="dxa"/>
        </w:tblCellMar>
      </w:tblPr>
      <w:tr>
        <w:trPr>
          <w:trHeight w:val="163"/>
        </w:trPr>
        <w:tc>
          <w:tcPr>
            <w:tcW w:w="4060" w:type="dxa"/>
            <w:vAlign w:val="bottom"/>
            <w:tcBorders>
              <w:top w:val="single" w:sz="8" w:color="auto"/>
              <w:left w:val="single" w:sz="8" w:color="auto"/>
              <w:right w:val="single" w:sz="8" w:color="auto"/>
            </w:tcBorders>
          </w:tcPr>
          <w:p>
            <w:pPr>
              <w:jc w:val="center"/>
              <w:spacing w:after="0" w:line="163" w:lineRule="exact"/>
              <w:rPr>
                <w:sz w:val="20"/>
                <w:szCs w:val="20"/>
                <w:color w:val="auto"/>
              </w:rPr>
            </w:pPr>
            <w:r>
              <w:rPr>
                <w:rFonts w:ascii="Arial" w:cs="Arial" w:eastAsia="Arial" w:hAnsi="Arial"/>
                <w:sz w:val="17"/>
                <w:szCs w:val="17"/>
                <w:b w:val="1"/>
                <w:bCs w:val="1"/>
                <w:color w:val="auto"/>
                <w:w w:val="99"/>
              </w:rPr>
              <w:t>Title of Each Class</w:t>
            </w:r>
          </w:p>
        </w:tc>
        <w:tc>
          <w:tcPr>
            <w:tcW w:w="2700" w:type="dxa"/>
            <w:vAlign w:val="bottom"/>
            <w:tcBorders>
              <w:top w:val="single" w:sz="8" w:color="auto"/>
              <w:right w:val="single" w:sz="8" w:color="auto"/>
            </w:tcBorders>
          </w:tcPr>
          <w:p>
            <w:pPr>
              <w:jc w:val="center"/>
              <w:ind w:right="16"/>
              <w:spacing w:after="0" w:line="163" w:lineRule="exact"/>
              <w:rPr>
                <w:sz w:val="20"/>
                <w:szCs w:val="20"/>
                <w:color w:val="auto"/>
              </w:rPr>
            </w:pPr>
            <w:r>
              <w:rPr>
                <w:rFonts w:ascii="Arial" w:cs="Arial" w:eastAsia="Arial" w:hAnsi="Arial"/>
                <w:sz w:val="17"/>
                <w:szCs w:val="17"/>
                <w:b w:val="1"/>
                <w:bCs w:val="1"/>
                <w:color w:val="auto"/>
                <w:w w:val="99"/>
              </w:rPr>
              <w:t>Trading Symbol</w:t>
            </w:r>
          </w:p>
        </w:tc>
        <w:tc>
          <w:tcPr>
            <w:tcW w:w="4500" w:type="dxa"/>
            <w:vAlign w:val="bottom"/>
            <w:tcBorders>
              <w:top w:val="single" w:sz="8" w:color="auto"/>
              <w:right w:val="single" w:sz="8" w:color="auto"/>
            </w:tcBorders>
          </w:tcPr>
          <w:p>
            <w:pPr>
              <w:jc w:val="center"/>
              <w:ind w:right="76"/>
              <w:spacing w:after="0" w:line="163" w:lineRule="exact"/>
              <w:rPr>
                <w:sz w:val="20"/>
                <w:szCs w:val="20"/>
                <w:color w:val="auto"/>
              </w:rPr>
            </w:pPr>
            <w:r>
              <w:rPr>
                <w:rFonts w:ascii="Arial" w:cs="Arial" w:eastAsia="Arial" w:hAnsi="Arial"/>
                <w:sz w:val="17"/>
                <w:szCs w:val="17"/>
                <w:b w:val="1"/>
                <w:bCs w:val="1"/>
                <w:color w:val="auto"/>
                <w:w w:val="99"/>
              </w:rPr>
              <w:t>Name of Each Exchange on Which</w:t>
            </w:r>
          </w:p>
        </w:tc>
      </w:tr>
      <w:tr>
        <w:trPr>
          <w:trHeight w:val="211"/>
        </w:trPr>
        <w:tc>
          <w:tcPr>
            <w:tcW w:w="4060" w:type="dxa"/>
            <w:vAlign w:val="bottom"/>
            <w:tcBorders>
              <w:left w:val="single" w:sz="8" w:color="auto"/>
              <w:bottom w:val="single" w:sz="8" w:color="auto"/>
              <w:right w:val="single" w:sz="8" w:color="auto"/>
            </w:tcBorders>
          </w:tcPr>
          <w:p>
            <w:pPr>
              <w:spacing w:after="0"/>
              <w:rPr>
                <w:sz w:val="18"/>
                <w:szCs w:val="18"/>
                <w:color w:val="auto"/>
              </w:rPr>
            </w:pPr>
          </w:p>
        </w:tc>
        <w:tc>
          <w:tcPr>
            <w:tcW w:w="2700" w:type="dxa"/>
            <w:vAlign w:val="bottom"/>
            <w:tcBorders>
              <w:bottom w:val="single" w:sz="8" w:color="auto"/>
              <w:right w:val="single" w:sz="8" w:color="auto"/>
            </w:tcBorders>
          </w:tcPr>
          <w:p>
            <w:pPr>
              <w:spacing w:after="0"/>
              <w:rPr>
                <w:sz w:val="18"/>
                <w:szCs w:val="18"/>
                <w:color w:val="auto"/>
              </w:rPr>
            </w:pPr>
          </w:p>
        </w:tc>
        <w:tc>
          <w:tcPr>
            <w:tcW w:w="4500" w:type="dxa"/>
            <w:vAlign w:val="bottom"/>
            <w:tcBorders>
              <w:bottom w:val="single" w:sz="8" w:color="auto"/>
              <w:right w:val="single" w:sz="8" w:color="auto"/>
            </w:tcBorders>
          </w:tcPr>
          <w:p>
            <w:pPr>
              <w:jc w:val="center"/>
              <w:ind w:right="36"/>
              <w:spacing w:after="0"/>
              <w:rPr>
                <w:sz w:val="20"/>
                <w:szCs w:val="20"/>
                <w:color w:val="auto"/>
              </w:rPr>
            </w:pPr>
            <w:r>
              <w:rPr>
                <w:rFonts w:ascii="Arial" w:cs="Arial" w:eastAsia="Arial" w:hAnsi="Arial"/>
                <w:sz w:val="17"/>
                <w:szCs w:val="17"/>
                <w:b w:val="1"/>
                <w:bCs w:val="1"/>
                <w:color w:val="auto"/>
                <w:w w:val="97"/>
              </w:rPr>
              <w:t>Registered</w:t>
            </w:r>
          </w:p>
        </w:tc>
      </w:tr>
      <w:tr>
        <w:trPr>
          <w:trHeight w:val="183"/>
        </w:trPr>
        <w:tc>
          <w:tcPr>
            <w:tcW w:w="4060" w:type="dxa"/>
            <w:vAlign w:val="bottom"/>
            <w:tcBorders>
              <w:left w:val="single" w:sz="8" w:color="auto"/>
              <w:bottom w:val="single" w:sz="8" w:color="auto"/>
              <w:right w:val="single" w:sz="8" w:color="auto"/>
            </w:tcBorders>
          </w:tcPr>
          <w:p>
            <w:pPr>
              <w:jc w:val="center"/>
              <w:spacing w:after="0" w:line="183" w:lineRule="exact"/>
              <w:rPr>
                <w:sz w:val="20"/>
                <w:szCs w:val="20"/>
                <w:color w:val="auto"/>
              </w:rPr>
            </w:pPr>
            <w:r>
              <w:rPr>
                <w:rFonts w:ascii="Arial" w:cs="Arial" w:eastAsia="Arial" w:hAnsi="Arial"/>
                <w:sz w:val="17"/>
                <w:szCs w:val="17"/>
                <w:color w:val="auto"/>
                <w:w w:val="98"/>
              </w:rPr>
              <w:t>Common stock, no par value</w:t>
            </w:r>
          </w:p>
        </w:tc>
        <w:tc>
          <w:tcPr>
            <w:tcW w:w="2700" w:type="dxa"/>
            <w:vAlign w:val="bottom"/>
            <w:tcBorders>
              <w:bottom w:val="single" w:sz="8" w:color="auto"/>
              <w:right w:val="single" w:sz="8" w:color="auto"/>
            </w:tcBorders>
          </w:tcPr>
          <w:p>
            <w:pPr>
              <w:jc w:val="center"/>
              <w:ind w:right="16"/>
              <w:spacing w:after="0" w:line="183" w:lineRule="exact"/>
              <w:rPr>
                <w:sz w:val="20"/>
                <w:szCs w:val="20"/>
                <w:color w:val="auto"/>
              </w:rPr>
            </w:pPr>
            <w:r>
              <w:rPr>
                <w:rFonts w:ascii="Arial" w:cs="Arial" w:eastAsia="Arial" w:hAnsi="Arial"/>
                <w:sz w:val="17"/>
                <w:szCs w:val="17"/>
                <w:color w:val="auto"/>
              </w:rPr>
              <w:t>MORN</w:t>
            </w:r>
          </w:p>
        </w:tc>
        <w:tc>
          <w:tcPr>
            <w:tcW w:w="4500" w:type="dxa"/>
            <w:vAlign w:val="bottom"/>
            <w:tcBorders>
              <w:bottom w:val="single" w:sz="8" w:color="auto"/>
              <w:right w:val="single" w:sz="8" w:color="auto"/>
            </w:tcBorders>
          </w:tcPr>
          <w:p>
            <w:pPr>
              <w:jc w:val="center"/>
              <w:ind w:right="36"/>
              <w:spacing w:after="0" w:line="183" w:lineRule="exact"/>
              <w:rPr>
                <w:sz w:val="20"/>
                <w:szCs w:val="20"/>
                <w:color w:val="auto"/>
              </w:rPr>
            </w:pPr>
            <w:r>
              <w:rPr>
                <w:rFonts w:ascii="Arial" w:cs="Arial" w:eastAsia="Arial" w:hAnsi="Arial"/>
                <w:sz w:val="17"/>
                <w:szCs w:val="17"/>
                <w:color w:val="auto"/>
                <w:w w:val="98"/>
              </w:rPr>
              <w:t>The Nasdaq Stock Market LLC</w:t>
            </w:r>
          </w:p>
        </w:tc>
      </w:tr>
      <w:tr>
        <w:trPr>
          <w:trHeight w:val="183"/>
        </w:trPr>
        <w:tc>
          <w:tcPr>
            <w:tcW w:w="4060" w:type="dxa"/>
            <w:vAlign w:val="bottom"/>
            <w:tcBorders>
              <w:bottom w:val="single" w:sz="8" w:color="auto"/>
            </w:tcBorders>
          </w:tcPr>
          <w:p>
            <w:pPr>
              <w:spacing w:after="0"/>
              <w:rPr>
                <w:sz w:val="15"/>
                <w:szCs w:val="15"/>
                <w:color w:val="auto"/>
              </w:rPr>
            </w:pPr>
          </w:p>
        </w:tc>
        <w:tc>
          <w:tcPr>
            <w:tcW w:w="2700" w:type="dxa"/>
            <w:vAlign w:val="bottom"/>
            <w:tcBorders>
              <w:bottom w:val="single" w:sz="8" w:color="auto"/>
            </w:tcBorders>
          </w:tcPr>
          <w:p>
            <w:pPr>
              <w:spacing w:after="0"/>
              <w:rPr>
                <w:sz w:val="15"/>
                <w:szCs w:val="15"/>
                <w:color w:val="auto"/>
              </w:rPr>
            </w:pPr>
          </w:p>
        </w:tc>
        <w:tc>
          <w:tcPr>
            <w:tcW w:w="4500" w:type="dxa"/>
            <w:vAlign w:val="bottom"/>
            <w:tcBorders>
              <w:bottom w:val="single" w:sz="8" w:color="auto"/>
            </w:tcBorders>
          </w:tcPr>
          <w:p>
            <w:pPr>
              <w:spacing w:after="0"/>
              <w:rPr>
                <w:sz w:val="15"/>
                <w:szCs w:val="15"/>
                <w:color w:val="auto"/>
              </w:rPr>
            </w:pPr>
          </w:p>
        </w:tc>
      </w:tr>
      <w:tr>
        <w:trPr>
          <w:trHeight w:val="23"/>
        </w:trPr>
        <w:tc>
          <w:tcPr>
            <w:tcW w:w="4060" w:type="dxa"/>
            <w:vAlign w:val="bottom"/>
            <w:tcBorders>
              <w:bottom w:val="single" w:sz="8" w:color="auto"/>
            </w:tcBorders>
          </w:tcPr>
          <w:p>
            <w:pPr>
              <w:spacing w:after="0"/>
              <w:rPr>
                <w:sz w:val="2"/>
                <w:szCs w:val="2"/>
                <w:color w:val="auto"/>
              </w:rPr>
            </w:pPr>
          </w:p>
        </w:tc>
        <w:tc>
          <w:tcPr>
            <w:tcW w:w="2700" w:type="dxa"/>
            <w:vAlign w:val="bottom"/>
            <w:tcBorders>
              <w:bottom w:val="single" w:sz="8" w:color="auto"/>
            </w:tcBorders>
          </w:tcPr>
          <w:p>
            <w:pPr>
              <w:spacing w:after="0"/>
              <w:rPr>
                <w:sz w:val="2"/>
                <w:szCs w:val="2"/>
                <w:color w:val="auto"/>
              </w:rPr>
            </w:pPr>
          </w:p>
        </w:tc>
        <w:tc>
          <w:tcPr>
            <w:tcW w:w="4500" w:type="dxa"/>
            <w:vAlign w:val="bottom"/>
            <w:tcBorders>
              <w:bottom w:val="single" w:sz="8" w:color="auto"/>
            </w:tcBorders>
          </w:tcPr>
          <w:p>
            <w:pPr>
              <w:spacing w:after="0"/>
              <w:rPr>
                <w:sz w:val="2"/>
                <w:szCs w:val="2"/>
                <w:color w:val="auto"/>
              </w:rPr>
            </w:pPr>
          </w:p>
        </w:tc>
      </w:tr>
      <w:tr>
        <w:trPr>
          <w:trHeight w:val="621"/>
        </w:trPr>
        <w:tc>
          <w:tcPr>
            <w:tcW w:w="4060" w:type="dxa"/>
            <w:vAlign w:val="bottom"/>
            <w:tcBorders>
              <w:bottom w:val="single" w:sz="8" w:color="auto"/>
            </w:tcBorders>
          </w:tcPr>
          <w:p>
            <w:pPr>
              <w:spacing w:after="0"/>
              <w:rPr>
                <w:sz w:val="24"/>
                <w:szCs w:val="24"/>
                <w:color w:val="auto"/>
              </w:rPr>
            </w:pPr>
          </w:p>
        </w:tc>
        <w:tc>
          <w:tcPr>
            <w:tcW w:w="2700" w:type="dxa"/>
            <w:vAlign w:val="bottom"/>
            <w:tcBorders>
              <w:bottom w:val="single" w:sz="8" w:color="auto"/>
            </w:tcBorders>
          </w:tcPr>
          <w:p>
            <w:pPr>
              <w:spacing w:after="0"/>
              <w:rPr>
                <w:sz w:val="24"/>
                <w:szCs w:val="24"/>
                <w:color w:val="auto"/>
              </w:rPr>
            </w:pPr>
          </w:p>
        </w:tc>
        <w:tc>
          <w:tcPr>
            <w:tcW w:w="450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732" w:right="339" w:bottom="1440" w:gutter="0" w:footer="0" w:header="0"/>
        </w:sectPr>
      </w:pPr>
    </w:p>
    <w:bookmarkStart w:id="1" w:name="page2"/>
    <w:bookmarkEnd w:id="1"/>
    <w:p>
      <w:pPr>
        <w:spacing w:after="0"/>
        <w:rPr>
          <w:sz w:val="20"/>
          <w:szCs w:val="20"/>
          <w:color w:val="auto"/>
        </w:rPr>
      </w:pPr>
      <w:r>
        <w:rPr>
          <w:rFonts w:ascii="Arial" w:cs="Arial" w:eastAsia="Arial" w:hAnsi="Arial"/>
          <w:sz w:val="17"/>
          <w:szCs w:val="17"/>
          <w:b w:val="1"/>
          <w:bCs w:val="1"/>
          <w:color w:val="auto"/>
        </w:rPr>
        <w:t>Item 2.02. Results of Operations and Financial Condition.*</w:t>
      </w:r>
    </w:p>
    <w:p>
      <w:pPr>
        <w:spacing w:after="0" w:line="205" w:lineRule="exact"/>
        <w:rPr>
          <w:sz w:val="20"/>
          <w:szCs w:val="20"/>
          <w:color w:val="auto"/>
        </w:rPr>
      </w:pPr>
    </w:p>
    <w:p>
      <w:pPr>
        <w:ind w:right="700"/>
        <w:spacing w:after="0" w:line="242" w:lineRule="auto"/>
        <w:rPr>
          <w:sz w:val="20"/>
          <w:szCs w:val="20"/>
          <w:color w:val="auto"/>
        </w:rPr>
      </w:pPr>
      <w:r>
        <w:rPr>
          <w:rFonts w:ascii="Arial" w:cs="Arial" w:eastAsia="Arial" w:hAnsi="Arial"/>
          <w:sz w:val="17"/>
          <w:szCs w:val="17"/>
          <w:color w:val="auto"/>
        </w:rPr>
        <w:t>On February 23, 2023, Morningstar, Inc. (the “Company”) issued a press release announcing its financial results for the fourth quarter ended December 31, 2022. A copy of the press release is attached hereto as Exhibit 99.1.</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Item 7.01. Regulation FD Disclosure.</w:t>
      </w:r>
    </w:p>
    <w:p>
      <w:pPr>
        <w:spacing w:after="0" w:line="205" w:lineRule="exact"/>
        <w:rPr>
          <w:sz w:val="20"/>
          <w:szCs w:val="20"/>
          <w:color w:val="auto"/>
        </w:rPr>
      </w:pPr>
    </w:p>
    <w:p>
      <w:pPr>
        <w:ind w:right="480"/>
        <w:spacing w:after="0" w:line="238" w:lineRule="auto"/>
        <w:rPr>
          <w:sz w:val="20"/>
          <w:szCs w:val="20"/>
          <w:color w:val="auto"/>
        </w:rPr>
      </w:pPr>
      <w:r>
        <w:rPr>
          <w:rFonts w:ascii="Arial" w:cs="Arial" w:eastAsia="Arial" w:hAnsi="Arial"/>
          <w:sz w:val="17"/>
          <w:szCs w:val="17"/>
          <w:color w:val="auto"/>
        </w:rPr>
        <w:t>The Company also published a Supplemental Presentation on its investor relations website at https://shareholders.morningstar.com/investor-relations/financials/financial-summary/. The presentation is included as Exhibit 99.2 to this Form 8-K. The information set forth under Item 2.02, "Results of Operations and Financial Condition" is incorporated herein by reference.</w:t>
      </w:r>
    </w:p>
    <w:p>
      <w:pPr>
        <w:spacing w:after="0" w:line="159"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Item 9.01. Financial Statements and Exhibits.</w:t>
      </w:r>
    </w:p>
    <w:p>
      <w:pPr>
        <w:spacing w:after="0" w:line="205" w:lineRule="exact"/>
        <w:rPr>
          <w:sz w:val="20"/>
          <w:szCs w:val="20"/>
          <w:color w:val="auto"/>
        </w:rPr>
      </w:pPr>
    </w:p>
    <w:p>
      <w:pPr>
        <w:spacing w:after="0"/>
        <w:rPr>
          <w:sz w:val="20"/>
          <w:szCs w:val="20"/>
          <w:color w:val="auto"/>
        </w:rPr>
      </w:pPr>
      <w:r>
        <w:rPr>
          <w:rFonts w:ascii="Arial" w:cs="Arial" w:eastAsia="Arial" w:hAnsi="Arial"/>
          <w:sz w:val="17"/>
          <w:szCs w:val="17"/>
          <w:color w:val="auto"/>
        </w:rPr>
        <w:t>Include the following information:</w:t>
      </w:r>
    </w:p>
    <w:p>
      <w:pPr>
        <w:spacing w:after="0" w:line="185" w:lineRule="exact"/>
        <w:rPr>
          <w:sz w:val="20"/>
          <w:szCs w:val="20"/>
          <w:color w:val="auto"/>
        </w:rPr>
      </w:pPr>
    </w:p>
    <w:p>
      <w:pPr>
        <w:ind w:left="1140" w:hanging="530"/>
        <w:spacing w:after="0"/>
        <w:tabs>
          <w:tab w:leader="none" w:pos="1140" w:val="left"/>
        </w:tabs>
        <w:numPr>
          <w:ilvl w:val="0"/>
          <w:numId w:val="2"/>
        </w:numPr>
        <w:rPr>
          <w:rFonts w:ascii="Arial" w:cs="Arial" w:eastAsia="Arial" w:hAnsi="Arial"/>
          <w:sz w:val="17"/>
          <w:szCs w:val="17"/>
          <w:color w:val="auto"/>
        </w:rPr>
      </w:pPr>
      <w:r>
        <w:rPr>
          <w:rFonts w:ascii="Arial" w:cs="Arial" w:eastAsia="Arial" w:hAnsi="Arial"/>
          <w:sz w:val="17"/>
          <w:szCs w:val="17"/>
          <w:color w:val="auto"/>
        </w:rPr>
        <w:t>Exhibits:</w:t>
      </w:r>
    </w:p>
    <w:p>
      <w:pPr>
        <w:spacing w:after="0" w:line="15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1240" w:type="dxa"/>
            <w:vAlign w:val="bottom"/>
            <w:gridSpan w:val="3"/>
          </w:tcPr>
          <w:p>
            <w:pPr>
              <w:ind w:left="20"/>
              <w:spacing w:after="0"/>
              <w:rPr>
                <w:sz w:val="20"/>
                <w:szCs w:val="20"/>
                <w:color w:val="auto"/>
              </w:rPr>
            </w:pPr>
            <w:r>
              <w:rPr>
                <w:rFonts w:ascii="Arial" w:cs="Arial" w:eastAsia="Arial" w:hAnsi="Arial"/>
                <w:sz w:val="17"/>
                <w:szCs w:val="17"/>
                <w:color w:val="auto"/>
              </w:rPr>
              <w:t>Exhibit No.</w:t>
            </w:r>
          </w:p>
        </w:tc>
        <w:tc>
          <w:tcPr>
            <w:tcW w:w="8260" w:type="dxa"/>
            <w:vAlign w:val="bottom"/>
            <w:gridSpan w:val="5"/>
          </w:tcPr>
          <w:p>
            <w:pPr>
              <w:ind w:left="420"/>
              <w:spacing w:after="0"/>
              <w:rPr>
                <w:sz w:val="20"/>
                <w:szCs w:val="20"/>
                <w:color w:val="auto"/>
              </w:rPr>
            </w:pPr>
            <w:r>
              <w:rPr>
                <w:rFonts w:ascii="Arial" w:cs="Arial" w:eastAsia="Arial" w:hAnsi="Arial"/>
                <w:sz w:val="17"/>
                <w:szCs w:val="17"/>
                <w:color w:val="auto"/>
              </w:rPr>
              <w:t>Description</w:t>
            </w:r>
          </w:p>
        </w:tc>
      </w:tr>
      <w:tr>
        <w:trPr>
          <w:trHeight w:val="20"/>
        </w:trPr>
        <w:tc>
          <w:tcPr>
            <w:tcW w:w="40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r>
      <w:tr>
        <w:trPr>
          <w:trHeight w:val="373"/>
        </w:trPr>
        <w:tc>
          <w:tcPr>
            <w:tcW w:w="400" w:type="dxa"/>
            <w:vAlign w:val="bottom"/>
          </w:tcPr>
          <w:p>
            <w:pPr>
              <w:ind w:left="20"/>
              <w:spacing w:after="0"/>
              <w:rPr>
                <w:sz w:val="20"/>
                <w:szCs w:val="20"/>
                <w:color w:val="auto"/>
              </w:rPr>
            </w:pPr>
            <w:r>
              <w:rPr>
                <w:rFonts w:ascii="Arial" w:cs="Arial" w:eastAsia="Arial" w:hAnsi="Arial"/>
                <w:sz w:val="17"/>
                <w:szCs w:val="17"/>
                <w:color w:val="0000EE"/>
                <w:w w:val="90"/>
              </w:rPr>
              <w:t>99.</w:t>
            </w:r>
            <w:r>
              <w:rPr>
                <w:rFonts w:ascii="Arial" w:cs="Arial" w:eastAsia="Arial" w:hAnsi="Arial"/>
                <w:sz w:val="17"/>
                <w:szCs w:val="17"/>
                <w:u w:val="single" w:color="auto"/>
                <w:color w:val="0000EE"/>
                <w:w w:val="90"/>
              </w:rPr>
              <w:t>1*</w:t>
            </w:r>
          </w:p>
        </w:tc>
        <w:tc>
          <w:tcPr>
            <w:tcW w:w="4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8260" w:type="dxa"/>
            <w:vAlign w:val="bottom"/>
            <w:gridSpan w:val="5"/>
          </w:tcPr>
          <w:p>
            <w:pPr>
              <w:ind w:left="420"/>
              <w:spacing w:after="0"/>
              <w:rPr>
                <w:sz w:val="20"/>
                <w:szCs w:val="20"/>
                <w:color w:val="auto"/>
              </w:rPr>
            </w:pPr>
            <w:r>
              <w:rPr>
                <w:rFonts w:ascii="Arial" w:cs="Arial" w:eastAsia="Arial" w:hAnsi="Arial"/>
                <w:sz w:val="17"/>
                <w:szCs w:val="17"/>
                <w:color w:val="0000EE"/>
              </w:rPr>
              <w:t>Press Release dated February 23, 2023.</w:t>
            </w:r>
          </w:p>
        </w:tc>
      </w:tr>
      <w:tr>
        <w:trPr>
          <w:trHeight w:val="20"/>
        </w:trPr>
        <w:tc>
          <w:tcPr>
            <w:tcW w:w="400" w:type="dxa"/>
            <w:vAlign w:val="bottom"/>
            <w:shd w:val="clear" w:color="auto" w:fill="0000EE"/>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040" w:type="dxa"/>
            <w:vAlign w:val="bottom"/>
            <w:gridSpan w:val="2"/>
            <w:shd w:val="clear" w:color="auto" w:fill="0000EE"/>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r>
      <w:tr>
        <w:trPr>
          <w:trHeight w:val="170"/>
        </w:trPr>
        <w:tc>
          <w:tcPr>
            <w:tcW w:w="400" w:type="dxa"/>
            <w:vAlign w:val="bottom"/>
          </w:tcPr>
          <w:p>
            <w:pPr>
              <w:ind w:left="20"/>
              <w:spacing w:after="0" w:line="170" w:lineRule="exact"/>
              <w:rPr>
                <w:sz w:val="20"/>
                <w:szCs w:val="20"/>
                <w:color w:val="auto"/>
              </w:rPr>
            </w:pPr>
            <w:r>
              <w:rPr>
                <w:rFonts w:ascii="Arial" w:cs="Arial" w:eastAsia="Arial" w:hAnsi="Arial"/>
                <w:sz w:val="17"/>
                <w:szCs w:val="17"/>
                <w:color w:val="0000EE"/>
                <w:w w:val="90"/>
              </w:rPr>
              <w:t>99.</w:t>
            </w:r>
            <w:r>
              <w:rPr>
                <w:rFonts w:ascii="Arial" w:cs="Arial" w:eastAsia="Arial" w:hAnsi="Arial"/>
                <w:sz w:val="17"/>
                <w:szCs w:val="17"/>
                <w:u w:val="single" w:color="auto"/>
                <w:color w:val="0000EE"/>
                <w:w w:val="90"/>
              </w:rPr>
              <w:t>2*</w:t>
            </w:r>
          </w:p>
        </w:tc>
        <w:tc>
          <w:tcPr>
            <w:tcW w:w="4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8260" w:type="dxa"/>
            <w:vAlign w:val="bottom"/>
            <w:gridSpan w:val="5"/>
          </w:tcPr>
          <w:p>
            <w:pPr>
              <w:ind w:left="420"/>
              <w:spacing w:after="0" w:line="170" w:lineRule="exact"/>
              <w:rPr>
                <w:sz w:val="20"/>
                <w:szCs w:val="20"/>
                <w:color w:val="auto"/>
              </w:rPr>
            </w:pPr>
            <w:r>
              <w:rPr>
                <w:rFonts w:ascii="Arial" w:cs="Arial" w:eastAsia="Arial" w:hAnsi="Arial"/>
                <w:sz w:val="17"/>
                <w:szCs w:val="17"/>
                <w:color w:val="0000EE"/>
              </w:rPr>
              <w:t>Supplemental Presentation dated February 23, 2022.</w:t>
            </w:r>
          </w:p>
        </w:tc>
      </w:tr>
      <w:tr>
        <w:trPr>
          <w:trHeight w:val="20"/>
        </w:trPr>
        <w:tc>
          <w:tcPr>
            <w:tcW w:w="400" w:type="dxa"/>
            <w:vAlign w:val="bottom"/>
            <w:shd w:val="clear" w:color="auto" w:fill="0000EE"/>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980" w:type="dxa"/>
            <w:vAlign w:val="bottom"/>
            <w:gridSpan w:val="3"/>
            <w:shd w:val="clear" w:color="auto" w:fill="0000EE"/>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r>
      <w:tr>
        <w:trPr>
          <w:trHeight w:val="207"/>
        </w:trPr>
        <w:tc>
          <w:tcPr>
            <w:tcW w:w="400" w:type="dxa"/>
            <w:vAlign w:val="bottom"/>
          </w:tcPr>
          <w:p>
            <w:pPr>
              <w:ind w:left="20"/>
              <w:spacing w:after="0"/>
              <w:rPr>
                <w:sz w:val="20"/>
                <w:szCs w:val="20"/>
                <w:color w:val="auto"/>
              </w:rPr>
            </w:pPr>
            <w:r>
              <w:rPr>
                <w:rFonts w:ascii="Arial" w:cs="Arial" w:eastAsia="Arial" w:hAnsi="Arial"/>
                <w:sz w:val="17"/>
                <w:szCs w:val="17"/>
                <w:color w:val="auto"/>
              </w:rPr>
              <w:t>104</w:t>
            </w:r>
          </w:p>
        </w:tc>
        <w:tc>
          <w:tcPr>
            <w:tcW w:w="42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260" w:type="dxa"/>
            <w:vAlign w:val="bottom"/>
            <w:gridSpan w:val="5"/>
          </w:tcPr>
          <w:p>
            <w:pPr>
              <w:ind w:left="420"/>
              <w:spacing w:after="0"/>
              <w:rPr>
                <w:sz w:val="20"/>
                <w:szCs w:val="20"/>
                <w:color w:val="auto"/>
              </w:rPr>
            </w:pPr>
            <w:r>
              <w:rPr>
                <w:rFonts w:ascii="Arial" w:cs="Arial" w:eastAsia="Arial" w:hAnsi="Arial"/>
                <w:sz w:val="17"/>
                <w:szCs w:val="17"/>
                <w:color w:val="auto"/>
                <w:w w:val="99"/>
              </w:rPr>
              <w:t>The cover page from this Current Report on Form 8-K formatted in Inline XBRL (included as Exhibit 101).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113030</wp:posOffset>
            </wp:positionV>
            <wp:extent cx="178689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786890" cy="8255"/>
                    </a:xfrm>
                    <a:prstGeom prst="rect">
                      <a:avLst/>
                    </a:prstGeom>
                    <a:noFill/>
                  </pic:spPr>
                </pic:pic>
              </a:graphicData>
            </a:graphic>
          </wp:anchor>
        </w:drawing>
      </w:r>
    </w:p>
    <w:p>
      <w:pPr>
        <w:spacing w:after="0" w:line="183" w:lineRule="exact"/>
        <w:rPr>
          <w:sz w:val="20"/>
          <w:szCs w:val="20"/>
          <w:color w:val="auto"/>
        </w:rPr>
      </w:pPr>
    </w:p>
    <w:p>
      <w:pPr>
        <w:jc w:val="both"/>
        <w:ind w:left="180" w:hanging="179"/>
        <w:spacing w:after="0" w:line="237" w:lineRule="auto"/>
        <w:tabs>
          <w:tab w:leader="none" w:pos="180" w:val="left"/>
        </w:tabs>
        <w:numPr>
          <w:ilvl w:val="0"/>
          <w:numId w:val="3"/>
        </w:numPr>
        <w:rPr>
          <w:rFonts w:ascii="Arial" w:cs="Arial" w:eastAsia="Arial" w:hAnsi="Arial"/>
          <w:sz w:val="17"/>
          <w:szCs w:val="17"/>
          <w:b w:val="1"/>
          <w:bCs w:val="1"/>
          <w:color w:val="auto"/>
        </w:rPr>
      </w:pPr>
      <w:r>
        <w:rPr>
          <w:rFonts w:ascii="Arial" w:cs="Arial" w:eastAsia="Arial" w:hAnsi="Arial"/>
          <w:sz w:val="17"/>
          <w:szCs w:val="17"/>
          <w:color w:val="auto"/>
        </w:rPr>
        <w:t>The information furnished under Item 2.02 of this Current Report on Form 8-K, including Exhibit 99.1, is being furnished and shall not be deemed to be “filed” for the purposes of Section 18 of the Securities Exchange Act of 1934, as amended (the “Exchange Act”), or incorporated by reference in any filing under the Securities Act of 1933, as amended, or the Exchange Act, except as shall be expressly set forth by specific reference in such a filing.</w:t>
      </w:r>
    </w:p>
    <w:p>
      <w:pPr>
        <w:spacing w:after="0" w:line="382" w:lineRule="exact"/>
        <w:rPr>
          <w:sz w:val="20"/>
          <w:szCs w:val="20"/>
          <w:color w:val="auto"/>
        </w:rPr>
      </w:pPr>
    </w:p>
    <w:p>
      <w:pPr>
        <w:jc w:val="center"/>
        <w:ind w:right="-79"/>
        <w:spacing w:after="0"/>
        <w:rPr>
          <w:sz w:val="20"/>
          <w:szCs w:val="20"/>
          <w:color w:val="auto"/>
        </w:rPr>
      </w:pPr>
      <w:r>
        <w:rPr>
          <w:rFonts w:ascii="Arial" w:cs="Arial" w:eastAsia="Arial" w:hAnsi="Arial"/>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5080</wp:posOffset>
            </wp:positionV>
            <wp:extent cx="7140575"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160"/>
          </w:cols>
          <w:pgMar w:left="320" w:top="841" w:right="419" w:bottom="1440" w:gutter="0" w:footer="0" w:header="0"/>
        </w:sectPr>
      </w:pPr>
    </w:p>
    <w:bookmarkStart w:id="2" w:name="page3"/>
    <w:bookmarkEnd w:id="2"/>
    <w:tbl>
      <w:tblPr>
        <w:tblLayout w:type="fixed"/>
        <w:tblInd w:w="0" w:type="dxa"/>
        <w:tblCellMar>
          <w:top w:w="0" w:type="dxa"/>
          <w:left w:w="0" w:type="dxa"/>
          <w:bottom w:w="0" w:type="dxa"/>
          <w:right w:w="0" w:type="dxa"/>
        </w:tblCellMar>
      </w:tblPr>
      <w:tr>
        <w:trPr>
          <w:trHeight w:val="223"/>
        </w:trPr>
        <w:tc>
          <w:tcPr>
            <w:tcW w:w="4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200" w:type="dxa"/>
            <w:vAlign w:val="bottom"/>
          </w:tcPr>
          <w:p>
            <w:pPr>
              <w:spacing w:after="0"/>
              <w:rPr>
                <w:sz w:val="19"/>
                <w:szCs w:val="19"/>
                <w:color w:val="auto"/>
              </w:rPr>
            </w:pPr>
          </w:p>
        </w:tc>
        <w:tc>
          <w:tcPr>
            <w:tcW w:w="4800" w:type="dxa"/>
            <w:vAlign w:val="bottom"/>
            <w:gridSpan w:val="2"/>
          </w:tcPr>
          <w:p>
            <w:pPr>
              <w:ind w:left="260"/>
              <w:spacing w:after="0"/>
              <w:rPr>
                <w:sz w:val="20"/>
                <w:szCs w:val="20"/>
                <w:color w:val="auto"/>
              </w:rPr>
            </w:pPr>
            <w:r>
              <w:rPr>
                <w:rFonts w:ascii="Arial" w:cs="Arial" w:eastAsia="Arial" w:hAnsi="Arial"/>
                <w:sz w:val="17"/>
                <w:szCs w:val="17"/>
                <w:b w:val="1"/>
                <w:bCs w:val="1"/>
                <w:color w:val="auto"/>
              </w:rPr>
              <w:t>EXHIBIT INDEX</w:t>
            </w:r>
          </w:p>
        </w:tc>
      </w:tr>
      <w:tr>
        <w:trPr>
          <w:trHeight w:val="343"/>
        </w:trPr>
        <w:tc>
          <w:tcPr>
            <w:tcW w:w="820" w:type="dxa"/>
            <w:vAlign w:val="bottom"/>
            <w:gridSpan w:val="2"/>
          </w:tcPr>
          <w:p>
            <w:pPr>
              <w:spacing w:after="0"/>
              <w:rPr>
                <w:sz w:val="20"/>
                <w:szCs w:val="20"/>
                <w:color w:val="auto"/>
              </w:rPr>
            </w:pPr>
            <w:r>
              <w:rPr>
                <w:rFonts w:ascii="Arial" w:cs="Arial" w:eastAsia="Arial" w:hAnsi="Arial"/>
                <w:sz w:val="17"/>
                <w:szCs w:val="17"/>
                <w:color w:val="auto"/>
                <w:w w:val="97"/>
              </w:rPr>
              <w:t>Exhibit No.</w:t>
            </w:r>
          </w:p>
        </w:tc>
        <w:tc>
          <w:tcPr>
            <w:tcW w:w="4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7840" w:type="dxa"/>
            <w:vAlign w:val="bottom"/>
            <w:gridSpan w:val="4"/>
          </w:tcPr>
          <w:p>
            <w:pPr>
              <w:spacing w:after="0"/>
              <w:rPr>
                <w:sz w:val="20"/>
                <w:szCs w:val="20"/>
                <w:color w:val="auto"/>
              </w:rPr>
            </w:pPr>
            <w:r>
              <w:rPr>
                <w:rFonts w:ascii="Arial" w:cs="Arial" w:eastAsia="Arial" w:hAnsi="Arial"/>
                <w:sz w:val="17"/>
                <w:szCs w:val="17"/>
                <w:color w:val="auto"/>
              </w:rPr>
              <w:t>Description</w:t>
            </w:r>
          </w:p>
        </w:tc>
      </w:tr>
      <w:tr>
        <w:trPr>
          <w:trHeight w:val="20"/>
        </w:trPr>
        <w:tc>
          <w:tcPr>
            <w:tcW w:w="40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r>
      <w:tr>
        <w:trPr>
          <w:trHeight w:val="373"/>
        </w:trPr>
        <w:tc>
          <w:tcPr>
            <w:tcW w:w="400" w:type="dxa"/>
            <w:vAlign w:val="bottom"/>
          </w:tcPr>
          <w:p>
            <w:pPr>
              <w:spacing w:after="0"/>
              <w:rPr>
                <w:sz w:val="20"/>
                <w:szCs w:val="20"/>
                <w:color w:val="auto"/>
              </w:rPr>
            </w:pPr>
            <w:r>
              <w:rPr>
                <w:rFonts w:ascii="Arial" w:cs="Arial" w:eastAsia="Arial" w:hAnsi="Arial"/>
                <w:sz w:val="17"/>
                <w:szCs w:val="17"/>
                <w:color w:val="0000EE"/>
                <w:w w:val="95"/>
              </w:rPr>
              <w:t>99.</w:t>
            </w:r>
            <w:r>
              <w:rPr>
                <w:rFonts w:ascii="Arial" w:cs="Arial" w:eastAsia="Arial" w:hAnsi="Arial"/>
                <w:sz w:val="17"/>
                <w:szCs w:val="17"/>
                <w:u w:val="single" w:color="auto"/>
                <w:color w:val="0000EE"/>
                <w:w w:val="95"/>
              </w:rPr>
              <w:t>1*</w:t>
            </w:r>
          </w:p>
        </w:tc>
        <w:tc>
          <w:tcPr>
            <w:tcW w:w="4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7840" w:type="dxa"/>
            <w:vAlign w:val="bottom"/>
            <w:gridSpan w:val="4"/>
          </w:tcPr>
          <w:p>
            <w:pPr>
              <w:spacing w:after="0"/>
              <w:rPr>
                <w:sz w:val="20"/>
                <w:szCs w:val="20"/>
                <w:color w:val="auto"/>
              </w:rPr>
            </w:pPr>
            <w:r>
              <w:rPr>
                <w:rFonts w:ascii="Arial" w:cs="Arial" w:eastAsia="Arial" w:hAnsi="Arial"/>
                <w:sz w:val="17"/>
                <w:szCs w:val="17"/>
                <w:color w:val="0000EE"/>
              </w:rPr>
              <w:t>Press Release dated February 23, 2023.</w:t>
            </w:r>
          </w:p>
        </w:tc>
      </w:tr>
      <w:tr>
        <w:trPr>
          <w:trHeight w:val="20"/>
        </w:trPr>
        <w:tc>
          <w:tcPr>
            <w:tcW w:w="400" w:type="dxa"/>
            <w:vAlign w:val="bottom"/>
            <w:shd w:val="clear" w:color="auto" w:fill="0000EE"/>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040" w:type="dxa"/>
            <w:vAlign w:val="bottom"/>
            <w:gridSpan w:val="2"/>
            <w:shd w:val="clear" w:color="auto" w:fill="0000EE"/>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r>
      <w:tr>
        <w:trPr>
          <w:trHeight w:val="170"/>
        </w:trPr>
        <w:tc>
          <w:tcPr>
            <w:tcW w:w="400" w:type="dxa"/>
            <w:vAlign w:val="bottom"/>
            <w:tcBorders>
              <w:bottom w:val="single" w:sz="8" w:color="0000EE"/>
            </w:tcBorders>
          </w:tcPr>
          <w:p>
            <w:pPr>
              <w:spacing w:after="0" w:line="170" w:lineRule="exact"/>
              <w:rPr>
                <w:sz w:val="20"/>
                <w:szCs w:val="20"/>
                <w:color w:val="auto"/>
              </w:rPr>
            </w:pPr>
            <w:r>
              <w:rPr>
                <w:rFonts w:ascii="Arial" w:cs="Arial" w:eastAsia="Arial" w:hAnsi="Arial"/>
                <w:sz w:val="17"/>
                <w:szCs w:val="17"/>
                <w:color w:val="0000EE"/>
                <w:w w:val="95"/>
              </w:rPr>
              <w:t>99.</w:t>
            </w:r>
            <w:r>
              <w:rPr>
                <w:rFonts w:ascii="Arial" w:cs="Arial" w:eastAsia="Arial" w:hAnsi="Arial"/>
                <w:sz w:val="17"/>
                <w:szCs w:val="17"/>
                <w:u w:val="single" w:color="auto"/>
                <w:color w:val="0000EE"/>
                <w:w w:val="95"/>
              </w:rPr>
              <w:t>2*</w:t>
            </w:r>
          </w:p>
        </w:tc>
        <w:tc>
          <w:tcPr>
            <w:tcW w:w="4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3980" w:type="dxa"/>
            <w:vAlign w:val="bottom"/>
            <w:tcBorders>
              <w:bottom w:val="single" w:sz="8" w:color="0000EE"/>
            </w:tcBorders>
            <w:gridSpan w:val="3"/>
          </w:tcPr>
          <w:p>
            <w:pPr>
              <w:spacing w:after="0" w:line="170" w:lineRule="exact"/>
              <w:rPr>
                <w:sz w:val="20"/>
                <w:szCs w:val="20"/>
                <w:color w:val="auto"/>
              </w:rPr>
            </w:pPr>
            <w:r>
              <w:rPr>
                <w:rFonts w:ascii="Arial" w:cs="Arial" w:eastAsia="Arial" w:hAnsi="Arial"/>
                <w:sz w:val="17"/>
                <w:szCs w:val="17"/>
                <w:color w:val="0000EE"/>
                <w:w w:val="99"/>
              </w:rPr>
              <w:t>Supplemental Presentation dated February 23, 2023.</w:t>
            </w:r>
          </w:p>
        </w:tc>
        <w:tc>
          <w:tcPr>
            <w:tcW w:w="3860" w:type="dxa"/>
            <w:vAlign w:val="bottom"/>
          </w:tcPr>
          <w:p>
            <w:pPr>
              <w:spacing w:after="0"/>
              <w:rPr>
                <w:sz w:val="14"/>
                <w:szCs w:val="14"/>
                <w:color w:val="auto"/>
              </w:rPr>
            </w:pPr>
          </w:p>
        </w:tc>
      </w:tr>
      <w:tr>
        <w:trPr>
          <w:trHeight w:val="207"/>
        </w:trPr>
        <w:tc>
          <w:tcPr>
            <w:tcW w:w="400" w:type="dxa"/>
            <w:vAlign w:val="bottom"/>
          </w:tcPr>
          <w:p>
            <w:pPr>
              <w:spacing w:after="0"/>
              <w:rPr>
                <w:sz w:val="20"/>
                <w:szCs w:val="20"/>
                <w:color w:val="auto"/>
              </w:rPr>
            </w:pPr>
            <w:r>
              <w:rPr>
                <w:rFonts w:ascii="Arial" w:cs="Arial" w:eastAsia="Arial" w:hAnsi="Arial"/>
                <w:sz w:val="17"/>
                <w:szCs w:val="17"/>
                <w:color w:val="auto"/>
              </w:rPr>
              <w:t>104</w:t>
            </w:r>
          </w:p>
        </w:tc>
        <w:tc>
          <w:tcPr>
            <w:tcW w:w="4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8280" w:type="dxa"/>
            <w:vAlign w:val="bottom"/>
            <w:gridSpan w:val="5"/>
          </w:tcPr>
          <w:p>
            <w:pPr>
              <w:ind w:left="440"/>
              <w:spacing w:after="0"/>
              <w:rPr>
                <w:sz w:val="20"/>
                <w:szCs w:val="20"/>
                <w:color w:val="auto"/>
              </w:rPr>
            </w:pPr>
            <w:r>
              <w:rPr>
                <w:rFonts w:ascii="Arial" w:cs="Arial" w:eastAsia="Arial" w:hAnsi="Arial"/>
                <w:sz w:val="17"/>
                <w:szCs w:val="17"/>
                <w:color w:val="auto"/>
                <w:w w:val="99"/>
              </w:rPr>
              <w:t>The cover page from this Current Report on Form 8-K formatted in Inline XBRL (included as Exhibit 101).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113030</wp:posOffset>
            </wp:positionV>
            <wp:extent cx="1786890"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786890" cy="8255"/>
                    </a:xfrm>
                    <a:prstGeom prst="rect">
                      <a:avLst/>
                    </a:prstGeom>
                    <a:noFill/>
                  </pic:spPr>
                </pic:pic>
              </a:graphicData>
            </a:graphic>
          </wp:anchor>
        </w:drawing>
      </w:r>
    </w:p>
    <w:p>
      <w:pPr>
        <w:spacing w:after="0" w:line="183" w:lineRule="exact"/>
        <w:rPr>
          <w:sz w:val="20"/>
          <w:szCs w:val="20"/>
          <w:color w:val="auto"/>
        </w:rPr>
      </w:pPr>
    </w:p>
    <w:p>
      <w:pPr>
        <w:jc w:val="both"/>
        <w:ind w:left="180" w:hanging="179"/>
        <w:spacing w:after="0" w:line="237" w:lineRule="auto"/>
        <w:tabs>
          <w:tab w:leader="none" w:pos="180" w:val="left"/>
        </w:tabs>
        <w:numPr>
          <w:ilvl w:val="0"/>
          <w:numId w:val="4"/>
        </w:numPr>
        <w:rPr>
          <w:rFonts w:ascii="Arial" w:cs="Arial" w:eastAsia="Arial" w:hAnsi="Arial"/>
          <w:sz w:val="17"/>
          <w:szCs w:val="17"/>
          <w:b w:val="1"/>
          <w:bCs w:val="1"/>
          <w:color w:val="auto"/>
        </w:rPr>
      </w:pPr>
      <w:r>
        <w:rPr>
          <w:rFonts w:ascii="Arial" w:cs="Arial" w:eastAsia="Arial" w:hAnsi="Arial"/>
          <w:sz w:val="17"/>
          <w:szCs w:val="17"/>
          <w:color w:val="auto"/>
        </w:rPr>
        <w:t>The information furnished under Item 2.02 of this Current Report on Form 8-K, including Exhibit 99.1, is being furnished and shall not be deemed to be “filed” for the purposes of Section 18 of the Securities Exchange Act of 1934, as amended (the “Exchange Act”), or incorporated by reference in any filing under the Securities Act of 1933, as amended, or the Exchange Act, except as shall be expressly set forth by specific reference in such a filing.</w:t>
      </w:r>
    </w:p>
    <w:p>
      <w:pPr>
        <w:spacing w:after="0" w:line="382" w:lineRule="exact"/>
        <w:rPr>
          <w:sz w:val="20"/>
          <w:szCs w:val="20"/>
          <w:color w:val="auto"/>
        </w:rPr>
      </w:pPr>
    </w:p>
    <w:p>
      <w:pPr>
        <w:jc w:val="center"/>
        <w:ind w:right="-79"/>
        <w:spacing w:after="0"/>
        <w:rPr>
          <w:sz w:val="20"/>
          <w:szCs w:val="20"/>
          <w:color w:val="auto"/>
        </w:rPr>
      </w:pPr>
      <w:r>
        <w:rPr>
          <w:rFonts w:ascii="Arial" w:cs="Arial" w:eastAsia="Arial" w:hAnsi="Arial"/>
          <w:sz w:val="17"/>
          <w:szCs w:val="17"/>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5080</wp:posOffset>
            </wp:positionV>
            <wp:extent cx="7140575"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160"/>
          </w:cols>
          <w:pgMar w:left="320" w:top="841" w:right="419" w:bottom="1440" w:gutter="0" w:footer="0" w:header="0"/>
        </w:sectPr>
      </w:pPr>
    </w:p>
    <w:bookmarkStart w:id="3" w:name="page4"/>
    <w:bookmarkEnd w:id="3"/>
    <w:p>
      <w:pPr>
        <w:jc w:val="center"/>
        <w:ind w:right="-219"/>
        <w:spacing w:after="0"/>
        <w:rPr>
          <w:sz w:val="20"/>
          <w:szCs w:val="20"/>
          <w:color w:val="auto"/>
        </w:rPr>
      </w:pPr>
      <w:r>
        <w:rPr>
          <w:rFonts w:ascii="Arial" w:cs="Arial" w:eastAsia="Arial" w:hAnsi="Arial"/>
          <w:sz w:val="17"/>
          <w:szCs w:val="17"/>
          <w:b w:val="1"/>
          <w:bCs w:val="1"/>
          <w:color w:val="auto"/>
        </w:rPr>
        <w:t>SIGNATURES</w:t>
      </w:r>
    </w:p>
    <w:p>
      <w:pPr>
        <w:spacing w:after="0" w:line="205" w:lineRule="exact"/>
        <w:rPr>
          <w:sz w:val="20"/>
          <w:szCs w:val="20"/>
          <w:color w:val="auto"/>
        </w:rPr>
      </w:pPr>
    </w:p>
    <w:p>
      <w:pPr>
        <w:ind w:firstLine="609"/>
        <w:spacing w:after="0" w:line="242" w:lineRule="auto"/>
        <w:rPr>
          <w:sz w:val="20"/>
          <w:szCs w:val="20"/>
          <w:color w:val="auto"/>
        </w:rPr>
      </w:pPr>
      <w:r>
        <w:rPr>
          <w:rFonts w:ascii="Arial" w:cs="Arial" w:eastAsia="Arial" w:hAnsi="Arial"/>
          <w:sz w:val="17"/>
          <w:szCs w:val="17"/>
          <w:color w:val="auto"/>
        </w:rPr>
        <w:t>Pursuant to the requirements of the Securities Exchange Act of 1934, the registrant has duly caused this report to be signed on its behalf by the undersigned hereunto duly authorized.</w:t>
      </w:r>
    </w:p>
    <w:p>
      <w:pPr>
        <w:spacing w:after="0" w:line="176" w:lineRule="exact"/>
        <w:rPr>
          <w:sz w:val="20"/>
          <w:szCs w:val="20"/>
          <w:color w:val="auto"/>
        </w:rPr>
      </w:pPr>
    </w:p>
    <w:p>
      <w:pPr>
        <w:ind w:left="5640"/>
        <w:spacing w:after="0"/>
        <w:rPr>
          <w:sz w:val="20"/>
          <w:szCs w:val="20"/>
          <w:color w:val="auto"/>
        </w:rPr>
      </w:pPr>
      <w:r>
        <w:rPr>
          <w:rFonts w:ascii="Arial" w:cs="Arial" w:eastAsia="Arial" w:hAnsi="Arial"/>
          <w:sz w:val="17"/>
          <w:szCs w:val="17"/>
          <w:color w:val="auto"/>
        </w:rPr>
        <w:t>MORNINGSTAR, INC.</w:t>
      </w:r>
    </w:p>
    <w:p>
      <w:pPr>
        <w:spacing w:after="0" w:line="198" w:lineRule="exact"/>
        <w:rPr>
          <w:sz w:val="20"/>
          <w:szCs w:val="20"/>
          <w:color w:val="auto"/>
        </w:rPr>
      </w:pPr>
    </w:p>
    <w:p>
      <w:pPr>
        <w:spacing w:after="0"/>
        <w:tabs>
          <w:tab w:leader="none" w:pos="5620" w:val="left"/>
          <w:tab w:leader="none" w:pos="6160" w:val="left"/>
        </w:tabs>
        <w:rPr>
          <w:sz w:val="20"/>
          <w:szCs w:val="20"/>
          <w:color w:val="auto"/>
        </w:rPr>
      </w:pPr>
      <w:r>
        <w:rPr>
          <w:rFonts w:ascii="Arial" w:cs="Arial" w:eastAsia="Arial" w:hAnsi="Arial"/>
          <w:sz w:val="17"/>
          <w:szCs w:val="17"/>
          <w:color w:val="auto"/>
        </w:rPr>
        <w:t>Date: February 24, 2023</w:t>
      </w:r>
      <w:r>
        <w:rPr>
          <w:sz w:val="20"/>
          <w:szCs w:val="20"/>
          <w:color w:val="auto"/>
        </w:rPr>
        <w:tab/>
      </w:r>
      <w:r>
        <w:rPr>
          <w:rFonts w:ascii="Arial" w:cs="Arial" w:eastAsia="Arial" w:hAnsi="Arial"/>
          <w:sz w:val="17"/>
          <w:szCs w:val="17"/>
          <w:color w:val="auto"/>
        </w:rPr>
        <w:t>By:</w:t>
      </w:r>
      <w:r>
        <w:rPr>
          <w:sz w:val="20"/>
          <w:szCs w:val="20"/>
          <w:color w:val="auto"/>
        </w:rPr>
        <w:tab/>
      </w:r>
      <w:r>
        <w:rPr>
          <w:rFonts w:ascii="Arial" w:cs="Arial" w:eastAsia="Arial" w:hAnsi="Arial"/>
          <w:sz w:val="16"/>
          <w:szCs w:val="16"/>
          <w:color w:val="auto"/>
        </w:rPr>
        <w:t>/s/ Jason Dubinsky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3929380</wp:posOffset>
            </wp:positionH>
            <wp:positionV relativeFrom="paragraph">
              <wp:posOffset>-2540</wp:posOffset>
            </wp:positionV>
            <wp:extent cx="3211830"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3211830" cy="8255"/>
                    </a:xfrm>
                    <a:prstGeom prst="rect">
                      <a:avLst/>
                    </a:prstGeom>
                    <a:noFill/>
                  </pic:spPr>
                </pic:pic>
              </a:graphicData>
            </a:graphic>
          </wp:anchor>
        </w:drawing>
      </w:r>
    </w:p>
    <w:p>
      <w:pPr>
        <w:ind w:left="5640"/>
        <w:spacing w:after="0"/>
        <w:rPr>
          <w:sz w:val="20"/>
          <w:szCs w:val="20"/>
          <w:color w:val="auto"/>
        </w:rPr>
      </w:pPr>
      <w:r>
        <w:rPr>
          <w:rFonts w:ascii="Arial" w:cs="Arial" w:eastAsia="Arial" w:hAnsi="Arial"/>
          <w:sz w:val="17"/>
          <w:szCs w:val="17"/>
          <w:color w:val="auto"/>
        </w:rPr>
        <w:t>Name: Jason Dubinsky</w:t>
      </w:r>
    </w:p>
    <w:p>
      <w:pPr>
        <w:ind w:left="5640"/>
        <w:spacing w:after="0"/>
        <w:tabs>
          <w:tab w:leader="none" w:pos="6160" w:val="left"/>
        </w:tabs>
        <w:rPr>
          <w:sz w:val="20"/>
          <w:szCs w:val="20"/>
          <w:color w:val="auto"/>
        </w:rPr>
      </w:pPr>
      <w:r>
        <w:rPr>
          <w:rFonts w:ascii="Arial" w:cs="Arial" w:eastAsia="Arial" w:hAnsi="Arial"/>
          <w:sz w:val="17"/>
          <w:szCs w:val="17"/>
          <w:color w:val="auto"/>
        </w:rPr>
        <w:t>Title:</w:t>
        <w:tab/>
        <w:t>Chief Financial Officer</w:t>
      </w:r>
    </w:p>
    <w:p>
      <w:pPr>
        <w:spacing w:after="0" w:line="388" w:lineRule="exact"/>
        <w:rPr>
          <w:sz w:val="20"/>
          <w:szCs w:val="20"/>
          <w:color w:val="auto"/>
        </w:rPr>
      </w:pPr>
    </w:p>
    <w:p>
      <w:pPr>
        <w:jc w:val="center"/>
        <w:ind w:right="-219"/>
        <w:spacing w:after="0"/>
        <w:rPr>
          <w:sz w:val="20"/>
          <w:szCs w:val="20"/>
          <w:color w:val="auto"/>
        </w:rPr>
      </w:pPr>
      <w:r>
        <w:rPr>
          <w:rFonts w:ascii="Arial" w:cs="Arial" w:eastAsia="Arial" w:hAnsi="Arial"/>
          <w:sz w:val="17"/>
          <w:szCs w:val="17"/>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-2540</wp:posOffset>
            </wp:positionV>
            <wp:extent cx="7140575" cy="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040"/>
          </w:cols>
          <w:pgMar w:left="320" w:top="841" w:right="539" w:bottom="1440" w:gutter="0" w:footer="0" w:header="0"/>
        </w:sectPr>
      </w:pPr>
    </w:p>
    <w:bookmarkStart w:id="4" w:name="page5"/>
    <w:bookmarkEnd w:id="4"/>
    <w:p>
      <w:pPr>
        <w:jc w:val="right"/>
        <w:spacing w:after="0"/>
        <w:rPr>
          <w:sz w:val="20"/>
          <w:szCs w:val="20"/>
          <w:color w:val="auto"/>
        </w:rPr>
      </w:pPr>
      <w:r>
        <w:rPr>
          <w:rFonts w:ascii="Arial" w:cs="Arial" w:eastAsia="Arial" w:hAnsi="Arial"/>
          <w:sz w:val="17"/>
          <w:szCs w:val="17"/>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131445</wp:posOffset>
            </wp:positionV>
            <wp:extent cx="2471420" cy="5632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2471420" cy="5632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5720"/>
        <w:spacing w:after="0"/>
        <w:rPr>
          <w:sz w:val="20"/>
          <w:szCs w:val="20"/>
          <w:color w:val="auto"/>
        </w:rPr>
      </w:pPr>
      <w:r>
        <w:rPr>
          <w:rFonts w:ascii="Arial" w:cs="Arial" w:eastAsia="Arial" w:hAnsi="Arial"/>
          <w:sz w:val="17"/>
          <w:szCs w:val="17"/>
          <w:b w:val="1"/>
          <w:bCs w:val="1"/>
          <w:color w:val="auto"/>
        </w:rPr>
        <w:t>News Release</w:t>
      </w:r>
    </w:p>
    <w:p>
      <w:pPr>
        <w:sectPr>
          <w:pgSz w:w="11900" w:h="16838" w:orient="portrait"/>
          <w:cols w:equalWidth="0" w:num="1">
            <w:col w:w="11240"/>
          </w:cols>
          <w:pgMar w:left="320" w:top="118" w:right="339" w:bottom="1440" w:gutter="0" w:footer="0" w:header="0"/>
        </w:sectPr>
      </w:pPr>
    </w:p>
    <w:p>
      <w:pPr>
        <w:spacing w:after="0" w:line="205" w:lineRule="exact"/>
        <w:rPr>
          <w:sz w:val="20"/>
          <w:szCs w:val="20"/>
          <w:color w:val="auto"/>
        </w:rPr>
      </w:pPr>
    </w:p>
    <w:p>
      <w:pPr>
        <w:ind w:left="5720"/>
        <w:spacing w:after="0"/>
        <w:rPr>
          <w:sz w:val="20"/>
          <w:szCs w:val="20"/>
          <w:color w:val="auto"/>
        </w:rPr>
      </w:pPr>
      <w:r>
        <w:rPr>
          <w:rFonts w:ascii="Arial" w:cs="Arial" w:eastAsia="Arial" w:hAnsi="Arial"/>
          <w:sz w:val="16"/>
          <w:szCs w:val="16"/>
          <w:color w:val="auto"/>
        </w:rPr>
        <w:t>22 West Washington Street</w:t>
      </w:r>
    </w:p>
    <w:p>
      <w:pPr>
        <w:spacing w:after="0" w:line="1" w:lineRule="exact"/>
        <w:rPr>
          <w:sz w:val="20"/>
          <w:szCs w:val="20"/>
          <w:color w:val="auto"/>
        </w:rPr>
      </w:pPr>
    </w:p>
    <w:p>
      <w:pPr>
        <w:ind w:left="5720"/>
        <w:spacing w:after="0"/>
        <w:rPr>
          <w:sz w:val="20"/>
          <w:szCs w:val="20"/>
          <w:color w:val="auto"/>
        </w:rPr>
      </w:pPr>
      <w:r>
        <w:rPr>
          <w:rFonts w:ascii="Arial" w:cs="Arial" w:eastAsia="Arial" w:hAnsi="Arial"/>
          <w:sz w:val="17"/>
          <w:szCs w:val="17"/>
          <w:color w:val="auto"/>
        </w:rPr>
        <w:t>Chicago</w:t>
      </w:r>
    </w:p>
    <w:p>
      <w:pPr>
        <w:ind w:left="5720"/>
        <w:spacing w:after="0"/>
        <w:rPr>
          <w:sz w:val="20"/>
          <w:szCs w:val="20"/>
          <w:color w:val="auto"/>
        </w:rPr>
      </w:pPr>
      <w:r>
        <w:rPr>
          <w:rFonts w:ascii="Arial" w:cs="Arial" w:eastAsia="Arial" w:hAnsi="Arial"/>
          <w:sz w:val="17"/>
          <w:szCs w:val="17"/>
          <w:color w:val="auto"/>
        </w:rPr>
        <w:t>Illinois 60602</w:t>
      </w:r>
    </w:p>
    <w:p>
      <w:pPr>
        <w:spacing w:after="0" w:line="20" w:lineRule="exact"/>
        <w:rPr>
          <w:sz w:val="20"/>
          <w:szCs w:val="20"/>
          <w:color w:val="auto"/>
        </w:rPr>
      </w:pPr>
      <w:r>
        <w:rPr>
          <w:sz w:val="20"/>
          <w:szCs w:val="20"/>
          <w:color w:val="auto"/>
        </w:rPr>
        <w:br w:type="column"/>
      </w:r>
    </w:p>
    <w:p>
      <w:pPr>
        <w:spacing w:after="0" w:line="185" w:lineRule="exact"/>
        <w:rPr>
          <w:sz w:val="20"/>
          <w:szCs w:val="20"/>
          <w:color w:val="auto"/>
        </w:rPr>
      </w:pPr>
    </w:p>
    <w:p>
      <w:pPr>
        <w:spacing w:after="0"/>
        <w:rPr>
          <w:sz w:val="20"/>
          <w:szCs w:val="20"/>
          <w:color w:val="auto"/>
        </w:rPr>
      </w:pPr>
      <w:r>
        <w:rPr>
          <w:rFonts w:ascii="Arial" w:cs="Arial" w:eastAsia="Arial" w:hAnsi="Arial"/>
          <w:sz w:val="16"/>
          <w:szCs w:val="16"/>
          <w:color w:val="auto"/>
        </w:rPr>
        <w:t>Telephone: +1 312 696-6000</w:t>
      </w:r>
    </w:p>
    <w:p>
      <w:pPr>
        <w:spacing w:after="0" w:line="6" w:lineRule="exact"/>
        <w:rPr>
          <w:sz w:val="20"/>
          <w:szCs w:val="20"/>
          <w:color w:val="auto"/>
        </w:rPr>
      </w:pPr>
    </w:p>
    <w:p>
      <w:pPr>
        <w:spacing w:after="0"/>
        <w:rPr>
          <w:sz w:val="20"/>
          <w:szCs w:val="20"/>
          <w:color w:val="auto"/>
        </w:rPr>
      </w:pPr>
      <w:r>
        <w:rPr>
          <w:rFonts w:ascii="Arial" w:cs="Arial" w:eastAsia="Arial" w:hAnsi="Arial"/>
          <w:sz w:val="17"/>
          <w:szCs w:val="17"/>
          <w:color w:val="auto"/>
        </w:rPr>
        <w:t>Facsimile: +1 312 696-6009</w:t>
      </w:r>
    </w:p>
    <w:p>
      <w:pPr>
        <w:spacing w:after="0" w:line="355" w:lineRule="exact"/>
        <w:rPr>
          <w:sz w:val="20"/>
          <w:szCs w:val="20"/>
          <w:color w:val="auto"/>
        </w:rPr>
      </w:pPr>
    </w:p>
    <w:p>
      <w:pPr>
        <w:sectPr>
          <w:pgSz w:w="11900" w:h="16838" w:orient="portrait"/>
          <w:cols w:equalWidth="0" w:num="2">
            <w:col w:w="7820" w:space="720"/>
            <w:col w:w="2700"/>
          </w:cols>
          <w:pgMar w:left="320" w:top="118" w:right="339" w:bottom="1440" w:gutter="0" w:footer="0" w:header="0"/>
          <w:type w:val="continuous"/>
        </w:sectPr>
      </w:pPr>
    </w:p>
    <w:p>
      <w:pPr>
        <w:spacing w:after="0"/>
        <w:rPr>
          <w:sz w:val="20"/>
          <w:szCs w:val="20"/>
          <w:color w:val="auto"/>
        </w:rPr>
      </w:pPr>
      <w:r>
        <w:rPr>
          <w:rFonts w:ascii="Arial" w:cs="Arial" w:eastAsia="Arial" w:hAnsi="Arial"/>
          <w:sz w:val="17"/>
          <w:szCs w:val="17"/>
          <w:b w:val="1"/>
          <w:bCs w:val="1"/>
          <w:color w:val="auto"/>
        </w:rPr>
        <w:t>FOR IMMEDIATE RELEASE</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Morningstar, Inc. Reports Fourth-Quarter, Full-Year 2022 Financial Results</w:t>
      </w:r>
    </w:p>
    <w:p>
      <w:pPr>
        <w:spacing w:after="0" w:line="205" w:lineRule="exact"/>
        <w:rPr>
          <w:sz w:val="20"/>
          <w:szCs w:val="20"/>
          <w:color w:val="auto"/>
        </w:rPr>
      </w:pPr>
    </w:p>
    <w:p>
      <w:pPr>
        <w:ind w:right="160"/>
        <w:spacing w:after="0" w:line="237" w:lineRule="auto"/>
        <w:rPr>
          <w:sz w:val="20"/>
          <w:szCs w:val="20"/>
          <w:color w:val="auto"/>
        </w:rPr>
      </w:pPr>
      <w:r>
        <w:rPr>
          <w:rFonts w:ascii="Arial" w:cs="Arial" w:eastAsia="Arial" w:hAnsi="Arial"/>
          <w:sz w:val="17"/>
          <w:szCs w:val="17"/>
          <w:color w:val="auto"/>
        </w:rPr>
        <w:t>CHICAGO, Feb. 23, 2023 - Morningstar, Inc. (Nasdaq: MORN), a leading provider of independent investment insights, posted positive fourth-quarter revenue growth as continued momentum in the license-based areas of the business offset declines in asset-based and transaction-based areas. For the full year, the Company reported double-digit revenue growth, highlighting the diversity of the business and key contributions from license-based product areas.</w:t>
      </w:r>
    </w:p>
    <w:p>
      <w:pPr>
        <w:spacing w:after="0" w:line="179" w:lineRule="exact"/>
        <w:rPr>
          <w:sz w:val="20"/>
          <w:szCs w:val="20"/>
          <w:color w:val="auto"/>
        </w:rPr>
      </w:pPr>
    </w:p>
    <w:p>
      <w:pPr>
        <w:ind w:right="80"/>
        <w:spacing w:after="0" w:line="235" w:lineRule="auto"/>
        <w:rPr>
          <w:sz w:val="20"/>
          <w:szCs w:val="20"/>
          <w:color w:val="auto"/>
        </w:rPr>
      </w:pPr>
      <w:r>
        <w:rPr>
          <w:rFonts w:ascii="Arial" w:cs="Arial" w:eastAsia="Arial" w:hAnsi="Arial"/>
          <w:sz w:val="17"/>
          <w:szCs w:val="17"/>
          <w:color w:val="auto"/>
        </w:rPr>
        <w:t>"Although market headwinds and interest-rate volatility proved challenging for certain product areas in the fourth quarter, our license-based products, particularly PitchBook, Morningstar Sustainalytics, Morningstar Direct, and Morningstar Data, showed remarkable strength, helping deliver positive organic growth in the quarter and double-digit organic growth for Morningstar in 2022,” said Kunal Kapoor, Morningstar’s chief executive officer. “During the year, we made important investments to support future growth, with highlights including the launch of direct indexing, the introduction of new climate risk metrics, and the acquisition of Leveraged Commentary &amp; Data (LCD), which expanded the scope of our data and analytics to include private debt. As we enter 2023, we look forward to seeing the impact of these investments. We also acknowledge continued uncertainty in the economic environment and are taking a cautious approach to managing the business."</w:t>
      </w:r>
    </w:p>
    <w:p>
      <w:pPr>
        <w:spacing w:after="0" w:line="16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Fourth-Quarter 2022 Financial Highlights</w:t>
      </w:r>
    </w:p>
    <w:p>
      <w:pPr>
        <w:spacing w:after="0" w:line="205" w:lineRule="exact"/>
        <w:rPr>
          <w:sz w:val="20"/>
          <w:szCs w:val="20"/>
          <w:color w:val="auto"/>
        </w:rPr>
      </w:pPr>
    </w:p>
    <w:p>
      <w:pPr>
        <w:ind w:left="620" w:hanging="314"/>
        <w:spacing w:after="0"/>
        <w:tabs>
          <w:tab w:leader="none" w:pos="620" w:val="left"/>
        </w:tabs>
        <w:numPr>
          <w:ilvl w:val="0"/>
          <w:numId w:val="5"/>
        </w:numPr>
        <w:rPr>
          <w:rFonts w:ascii="Arial" w:cs="Arial" w:eastAsia="Arial" w:hAnsi="Arial"/>
          <w:sz w:val="17"/>
          <w:szCs w:val="17"/>
          <w:color w:val="auto"/>
        </w:rPr>
      </w:pPr>
      <w:r>
        <w:rPr>
          <w:rFonts w:ascii="Arial" w:cs="Arial" w:eastAsia="Arial" w:hAnsi="Arial"/>
          <w:sz w:val="17"/>
          <w:szCs w:val="17"/>
          <w:color w:val="auto"/>
        </w:rPr>
        <w:t>Revenue increased 2.8% to $475.0 million; organic revenue increased 2.2%.</w:t>
      </w:r>
    </w:p>
    <w:p>
      <w:pPr>
        <w:spacing w:after="0" w:line="197" w:lineRule="exact"/>
        <w:rPr>
          <w:rFonts w:ascii="Arial" w:cs="Arial" w:eastAsia="Arial" w:hAnsi="Arial"/>
          <w:sz w:val="17"/>
          <w:szCs w:val="17"/>
          <w:color w:val="auto"/>
        </w:rPr>
      </w:pPr>
    </w:p>
    <w:p>
      <w:pPr>
        <w:ind w:left="620" w:right="280" w:hanging="314"/>
        <w:spacing w:after="0" w:line="238" w:lineRule="auto"/>
        <w:tabs>
          <w:tab w:leader="none" w:pos="620" w:val="left"/>
        </w:tabs>
        <w:numPr>
          <w:ilvl w:val="0"/>
          <w:numId w:val="5"/>
        </w:numPr>
        <w:rPr>
          <w:rFonts w:ascii="Arial" w:cs="Arial" w:eastAsia="Arial" w:hAnsi="Arial"/>
          <w:sz w:val="17"/>
          <w:szCs w:val="17"/>
          <w:color w:val="auto"/>
        </w:rPr>
      </w:pPr>
      <w:r>
        <w:rPr>
          <w:rFonts w:ascii="Arial" w:cs="Arial" w:eastAsia="Arial" w:hAnsi="Arial"/>
          <w:sz w:val="17"/>
          <w:szCs w:val="17"/>
          <w:color w:val="auto"/>
        </w:rPr>
        <w:t>Operating income decreased 52.5% to $35.5 million; adjusted operating income decreased 27.2%. Reported results included higher stock-based compensation expense primarily due to the overachievement of targets under the PitchBook management bonus plan, which contributed 13.2 percentage points to the operating income decline and 10.9 percentage points to the adjusted operating income decline.</w:t>
      </w:r>
    </w:p>
    <w:p>
      <w:pPr>
        <w:spacing w:after="0" w:line="179" w:lineRule="exact"/>
        <w:rPr>
          <w:rFonts w:ascii="Arial" w:cs="Arial" w:eastAsia="Arial" w:hAnsi="Arial"/>
          <w:sz w:val="17"/>
          <w:szCs w:val="17"/>
          <w:color w:val="auto"/>
        </w:rPr>
      </w:pPr>
    </w:p>
    <w:p>
      <w:pPr>
        <w:ind w:left="620" w:right="760" w:hanging="314"/>
        <w:spacing w:after="0" w:line="242" w:lineRule="auto"/>
        <w:tabs>
          <w:tab w:leader="none" w:pos="620" w:val="left"/>
        </w:tabs>
        <w:numPr>
          <w:ilvl w:val="0"/>
          <w:numId w:val="5"/>
        </w:numPr>
        <w:rPr>
          <w:rFonts w:ascii="Arial" w:cs="Arial" w:eastAsia="Arial" w:hAnsi="Arial"/>
          <w:sz w:val="17"/>
          <w:szCs w:val="17"/>
          <w:color w:val="auto"/>
        </w:rPr>
      </w:pPr>
      <w:r>
        <w:rPr>
          <w:rFonts w:ascii="Arial" w:cs="Arial" w:eastAsia="Arial" w:hAnsi="Arial"/>
          <w:sz w:val="17"/>
          <w:szCs w:val="17"/>
          <w:color w:val="auto"/>
        </w:rPr>
        <w:t>Diluted net income per share decreased 93.8% to $0.08 versus $1.30 in the prior-year period. Adjusted diluted net income per share decreased 61.3% to $0.58.</w:t>
      </w:r>
    </w:p>
    <w:p>
      <w:pPr>
        <w:spacing w:after="0" w:line="176" w:lineRule="exact"/>
        <w:rPr>
          <w:rFonts w:ascii="Arial" w:cs="Arial" w:eastAsia="Arial" w:hAnsi="Arial"/>
          <w:sz w:val="17"/>
          <w:szCs w:val="17"/>
          <w:color w:val="auto"/>
        </w:rPr>
      </w:pPr>
    </w:p>
    <w:p>
      <w:pPr>
        <w:ind w:left="620" w:hanging="314"/>
        <w:spacing w:after="0"/>
        <w:tabs>
          <w:tab w:leader="none" w:pos="620" w:val="left"/>
        </w:tabs>
        <w:numPr>
          <w:ilvl w:val="0"/>
          <w:numId w:val="5"/>
        </w:numPr>
        <w:rPr>
          <w:rFonts w:ascii="Arial" w:cs="Arial" w:eastAsia="Arial" w:hAnsi="Arial"/>
          <w:sz w:val="17"/>
          <w:szCs w:val="17"/>
          <w:color w:val="auto"/>
        </w:rPr>
      </w:pPr>
      <w:r>
        <w:rPr>
          <w:rFonts w:ascii="Arial" w:cs="Arial" w:eastAsia="Arial" w:hAnsi="Arial"/>
          <w:sz w:val="17"/>
          <w:szCs w:val="17"/>
          <w:color w:val="auto"/>
        </w:rPr>
        <w:t>Cash provided by operating activities decreased 23.8% to $103.5 million, and free cash flow also decreased 36.2% to $67.4 million.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254635</wp:posOffset>
            </wp:positionV>
            <wp:extent cx="7140575"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118" w:right="339" w:bottom="1440" w:gutter="0" w:footer="0" w:header="0"/>
          <w:type w:val="continuous"/>
        </w:sectPr>
      </w:pPr>
    </w:p>
    <w:bookmarkStart w:id="5" w:name="page6"/>
    <w:bookmarkEnd w:id="5"/>
    <w:p>
      <w:pPr>
        <w:spacing w:after="0"/>
        <w:rPr>
          <w:sz w:val="20"/>
          <w:szCs w:val="20"/>
          <w:color w:val="auto"/>
        </w:rPr>
      </w:pPr>
      <w:r>
        <w:rPr>
          <w:rFonts w:ascii="Arial" w:cs="Arial" w:eastAsia="Arial" w:hAnsi="Arial"/>
          <w:sz w:val="17"/>
          <w:szCs w:val="17"/>
          <w:b w:val="1"/>
          <w:bCs w:val="1"/>
          <w:color w:val="auto"/>
        </w:rPr>
        <w:t>Full-Year 2022 Financial Highlights</w:t>
      </w:r>
    </w:p>
    <w:p>
      <w:pPr>
        <w:spacing w:after="0" w:line="205" w:lineRule="exact"/>
        <w:rPr>
          <w:sz w:val="20"/>
          <w:szCs w:val="20"/>
          <w:color w:val="auto"/>
        </w:rPr>
      </w:pPr>
    </w:p>
    <w:p>
      <w:pPr>
        <w:ind w:left="620" w:hanging="314"/>
        <w:spacing w:after="0"/>
        <w:tabs>
          <w:tab w:leader="none" w:pos="620" w:val="left"/>
        </w:tabs>
        <w:numPr>
          <w:ilvl w:val="0"/>
          <w:numId w:val="6"/>
        </w:numPr>
        <w:rPr>
          <w:rFonts w:ascii="Arial" w:cs="Arial" w:eastAsia="Arial" w:hAnsi="Arial"/>
          <w:sz w:val="17"/>
          <w:szCs w:val="17"/>
          <w:color w:val="auto"/>
        </w:rPr>
      </w:pPr>
      <w:r>
        <w:rPr>
          <w:rFonts w:ascii="Arial" w:cs="Arial" w:eastAsia="Arial" w:hAnsi="Arial"/>
          <w:sz w:val="17"/>
          <w:szCs w:val="17"/>
          <w:color w:val="auto"/>
        </w:rPr>
        <w:t>Revenue increased 10.1% to $1.9 billion; organic revenue increased 10.8%.</w:t>
      </w:r>
    </w:p>
    <w:p>
      <w:pPr>
        <w:spacing w:after="0" w:line="197" w:lineRule="exact"/>
        <w:rPr>
          <w:rFonts w:ascii="Arial" w:cs="Arial" w:eastAsia="Arial" w:hAnsi="Arial"/>
          <w:sz w:val="17"/>
          <w:szCs w:val="17"/>
          <w:color w:val="auto"/>
        </w:rPr>
      </w:pPr>
    </w:p>
    <w:p>
      <w:pPr>
        <w:ind w:left="620" w:right="420" w:hanging="314"/>
        <w:spacing w:after="0" w:line="238" w:lineRule="auto"/>
        <w:tabs>
          <w:tab w:leader="none" w:pos="620" w:val="left"/>
        </w:tabs>
        <w:numPr>
          <w:ilvl w:val="0"/>
          <w:numId w:val="6"/>
        </w:numPr>
        <w:rPr>
          <w:rFonts w:ascii="Arial" w:cs="Arial" w:eastAsia="Arial" w:hAnsi="Arial"/>
          <w:sz w:val="17"/>
          <w:szCs w:val="17"/>
          <w:color w:val="auto"/>
        </w:rPr>
      </w:pPr>
      <w:r>
        <w:rPr>
          <w:rFonts w:ascii="Arial" w:cs="Arial" w:eastAsia="Arial" w:hAnsi="Arial"/>
          <w:sz w:val="17"/>
          <w:szCs w:val="17"/>
          <w:color w:val="auto"/>
        </w:rPr>
        <w:t>Operating income decreased 34.7% to $167.8 million; adjusted operating income decreased 17.7%. Results included higher stock-based compensation due primarily to the overachievement of targets under the PitchBook management bonus plan, which contributed 10.5 percentage points to the operating income decline and 7.4 percentage points to the adjusted operating income decline.</w:t>
      </w:r>
    </w:p>
    <w:p>
      <w:pPr>
        <w:spacing w:after="0" w:line="179" w:lineRule="exact"/>
        <w:rPr>
          <w:rFonts w:ascii="Arial" w:cs="Arial" w:eastAsia="Arial" w:hAnsi="Arial"/>
          <w:sz w:val="17"/>
          <w:szCs w:val="17"/>
          <w:color w:val="auto"/>
        </w:rPr>
      </w:pPr>
    </w:p>
    <w:p>
      <w:pPr>
        <w:ind w:left="620" w:right="760" w:hanging="314"/>
        <w:spacing w:after="0" w:line="242" w:lineRule="auto"/>
        <w:tabs>
          <w:tab w:leader="none" w:pos="620" w:val="left"/>
        </w:tabs>
        <w:numPr>
          <w:ilvl w:val="0"/>
          <w:numId w:val="6"/>
        </w:numPr>
        <w:rPr>
          <w:rFonts w:ascii="Arial" w:cs="Arial" w:eastAsia="Arial" w:hAnsi="Arial"/>
          <w:sz w:val="17"/>
          <w:szCs w:val="17"/>
          <w:color w:val="auto"/>
        </w:rPr>
      </w:pPr>
      <w:r>
        <w:rPr>
          <w:rFonts w:ascii="Arial" w:cs="Arial" w:eastAsia="Arial" w:hAnsi="Arial"/>
          <w:sz w:val="17"/>
          <w:szCs w:val="17"/>
          <w:color w:val="auto"/>
        </w:rPr>
        <w:t>Diluted net income per share decreased 63.1% to $1.64 versus $4.45 in the prior-year period. Adjusted diluted net income per share decreased by 39.2%.</w:t>
      </w:r>
    </w:p>
    <w:p>
      <w:pPr>
        <w:spacing w:after="0" w:line="176" w:lineRule="exact"/>
        <w:rPr>
          <w:rFonts w:ascii="Arial" w:cs="Arial" w:eastAsia="Arial" w:hAnsi="Arial"/>
          <w:sz w:val="17"/>
          <w:szCs w:val="17"/>
          <w:color w:val="auto"/>
        </w:rPr>
      </w:pPr>
    </w:p>
    <w:p>
      <w:pPr>
        <w:ind w:left="620" w:right="100" w:hanging="314"/>
        <w:spacing w:after="0" w:line="242" w:lineRule="auto"/>
        <w:tabs>
          <w:tab w:leader="none" w:pos="620" w:val="left"/>
        </w:tabs>
        <w:numPr>
          <w:ilvl w:val="0"/>
          <w:numId w:val="6"/>
        </w:numPr>
        <w:rPr>
          <w:rFonts w:ascii="Arial" w:cs="Arial" w:eastAsia="Arial" w:hAnsi="Arial"/>
          <w:sz w:val="17"/>
          <w:szCs w:val="17"/>
          <w:color w:val="auto"/>
        </w:rPr>
      </w:pPr>
      <w:r>
        <w:rPr>
          <w:rFonts w:ascii="Arial" w:cs="Arial" w:eastAsia="Arial" w:hAnsi="Arial"/>
          <w:sz w:val="17"/>
          <w:szCs w:val="17"/>
          <w:color w:val="auto"/>
        </w:rPr>
        <w:t>Cash provided by operating activities decreased 33.8% to $297.8 million. Free cash flow decreased 51.7% to $168.3 million. Excluding M&amp;A-related earn-out payments, operating cash and free cash flow would have declined by 27.6% and 42.9%, respectively.</w:t>
      </w:r>
    </w:p>
    <w:p>
      <w:pPr>
        <w:spacing w:after="0" w:line="176" w:lineRule="exact"/>
        <w:rPr>
          <w:rFonts w:ascii="Arial" w:cs="Arial" w:eastAsia="Arial" w:hAnsi="Arial"/>
          <w:sz w:val="17"/>
          <w:szCs w:val="17"/>
          <w:color w:val="auto"/>
        </w:rPr>
      </w:pPr>
    </w:p>
    <w:p>
      <w:pPr>
        <w:ind w:left="620" w:hanging="314"/>
        <w:spacing w:after="0"/>
        <w:tabs>
          <w:tab w:leader="none" w:pos="620" w:val="left"/>
        </w:tabs>
        <w:numPr>
          <w:ilvl w:val="0"/>
          <w:numId w:val="6"/>
        </w:numPr>
        <w:rPr>
          <w:rFonts w:ascii="Arial" w:cs="Arial" w:eastAsia="Arial" w:hAnsi="Arial"/>
          <w:sz w:val="17"/>
          <w:szCs w:val="17"/>
          <w:color w:val="auto"/>
        </w:rPr>
      </w:pPr>
      <w:r>
        <w:rPr>
          <w:rFonts w:ascii="Arial" w:cs="Arial" w:eastAsia="Arial" w:hAnsi="Arial"/>
          <w:sz w:val="17"/>
          <w:szCs w:val="17"/>
          <w:color w:val="auto"/>
        </w:rPr>
        <w:t>Share repurchases settled totaled 882,874 shares for $226.0 million.</w:t>
      </w:r>
    </w:p>
    <w:p>
      <w:pPr>
        <w:spacing w:after="0" w:line="178"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Fourth-Quarter 2022 Results</w:t>
      </w:r>
    </w:p>
    <w:p>
      <w:pPr>
        <w:spacing w:after="0" w:line="205" w:lineRule="exact"/>
        <w:rPr>
          <w:sz w:val="20"/>
          <w:szCs w:val="20"/>
          <w:color w:val="auto"/>
        </w:rPr>
      </w:pPr>
    </w:p>
    <w:p>
      <w:pPr>
        <w:spacing w:after="0" w:line="238" w:lineRule="auto"/>
        <w:rPr>
          <w:sz w:val="20"/>
          <w:szCs w:val="20"/>
          <w:color w:val="auto"/>
        </w:rPr>
      </w:pPr>
      <w:r>
        <w:rPr>
          <w:rFonts w:ascii="Arial" w:cs="Arial" w:eastAsia="Arial" w:hAnsi="Arial"/>
          <w:sz w:val="17"/>
          <w:szCs w:val="17"/>
          <w:color w:val="auto"/>
        </w:rPr>
        <w:t>Revenue for the period increased 2.8% to $475.0 million. Organic revenue, which excludes all M&amp;A-related revenue and foreign currency effects, grew 2.2% compared with the prior-year period, reflecting continued strength in the Company's license-based product areas offset by sharp declines in asset-based and transaction-based product areas, which faced significant market headwinds.</w:t>
      </w:r>
    </w:p>
    <w:p>
      <w:pPr>
        <w:spacing w:after="0" w:line="179" w:lineRule="exact"/>
        <w:rPr>
          <w:sz w:val="20"/>
          <w:szCs w:val="20"/>
          <w:color w:val="auto"/>
        </w:rPr>
      </w:pPr>
    </w:p>
    <w:p>
      <w:pPr>
        <w:ind w:right="40"/>
        <w:spacing w:after="0" w:line="236" w:lineRule="auto"/>
        <w:rPr>
          <w:sz w:val="20"/>
          <w:szCs w:val="20"/>
          <w:color w:val="auto"/>
        </w:rPr>
      </w:pPr>
      <w:r>
        <w:rPr>
          <w:rFonts w:ascii="Arial" w:cs="Arial" w:eastAsia="Arial" w:hAnsi="Arial"/>
          <w:sz w:val="17"/>
          <w:szCs w:val="17"/>
          <w:color w:val="auto"/>
        </w:rPr>
        <w:t>License-based revenue grew 16.0% compared with the prior year period, or 14.9% on an organic basis. PitchBook, Morningstar Sustainalytics, Morningstar Direct, and Morningstar Data were the top contributors to organic revenue growth in the fourth quarter of 2022. Asset-based revenue decreased 6.1% compared with the prior-year period, or 8.9% organically, primarily due to declines in revenue in Investment Management and Workplace Solutions as all major asset classes declined relative to the prior-year period. Transaction-based revenue decreased 34.5% year over year, or 31.9% on an organic basis, due to the decline in DBRS Morningstar revenue as global credit issuance activity remained depressed.</w:t>
      </w:r>
    </w:p>
    <w:p>
      <w:pPr>
        <w:spacing w:after="0" w:line="180" w:lineRule="exact"/>
        <w:rPr>
          <w:sz w:val="20"/>
          <w:szCs w:val="20"/>
          <w:color w:val="auto"/>
        </w:rPr>
      </w:pPr>
    </w:p>
    <w:p>
      <w:pPr>
        <w:ind w:right="80"/>
        <w:spacing w:after="0" w:line="237" w:lineRule="auto"/>
        <w:rPr>
          <w:sz w:val="20"/>
          <w:szCs w:val="20"/>
          <w:color w:val="auto"/>
        </w:rPr>
      </w:pPr>
      <w:r>
        <w:rPr>
          <w:rFonts w:ascii="Arial" w:cs="Arial" w:eastAsia="Arial" w:hAnsi="Arial"/>
          <w:sz w:val="17"/>
          <w:szCs w:val="17"/>
          <w:color w:val="auto"/>
        </w:rPr>
        <w:t>Operating expense increased 13.4% to $439.5 million in the fourth quarter of 2022, including costs of $5.6 million related to the Company's significant reduction and shift of its China operations. Excluding the impact of these costs, operating expenses increased 12.0%. The largest contributors to operating expense growth were compensation costs, stock-based compensation, the revaluation of contingent consideration related to the LCD acquisition, and travel and related expenses.</w:t>
      </w:r>
    </w:p>
    <w:p>
      <w:pPr>
        <w:spacing w:after="0" w:line="36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2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41" w:right="339" w:bottom="1440" w:gutter="0" w:footer="0" w:header="0"/>
        </w:sectPr>
      </w:pPr>
    </w:p>
    <w:bookmarkStart w:id="6" w:name="page7"/>
    <w:bookmarkEnd w:id="6"/>
    <w:p>
      <w:pPr>
        <w:ind w:left="620" w:right="160" w:hanging="314"/>
        <w:spacing w:after="0" w:line="238" w:lineRule="auto"/>
        <w:tabs>
          <w:tab w:leader="none" w:pos="620" w:val="left"/>
        </w:tabs>
        <w:numPr>
          <w:ilvl w:val="0"/>
          <w:numId w:val="7"/>
        </w:numPr>
        <w:rPr>
          <w:rFonts w:ascii="Arial" w:cs="Arial" w:eastAsia="Arial" w:hAnsi="Arial"/>
          <w:sz w:val="17"/>
          <w:szCs w:val="17"/>
          <w:color w:val="auto"/>
        </w:rPr>
      </w:pPr>
      <w:r>
        <w:rPr>
          <w:rFonts w:ascii="Arial" w:cs="Arial" w:eastAsia="Arial" w:hAnsi="Arial"/>
          <w:sz w:val="17"/>
          <w:szCs w:val="17"/>
          <w:color w:val="auto"/>
        </w:rPr>
        <w:t>Compensation costs increased $16.3 million in the quarter. This reflects growth in headcount across key product areas, merit increases, and transformation costs associated with the shift of the Company's China operations. The increase in headcount was highest for Morningstar Sustainalytics and PitchBook to support strategic growth initiatives.</w:t>
      </w:r>
    </w:p>
    <w:p>
      <w:pPr>
        <w:spacing w:after="0" w:line="179" w:lineRule="exact"/>
        <w:rPr>
          <w:rFonts w:ascii="Arial" w:cs="Arial" w:eastAsia="Arial" w:hAnsi="Arial"/>
          <w:sz w:val="17"/>
          <w:szCs w:val="17"/>
          <w:color w:val="auto"/>
        </w:rPr>
      </w:pPr>
    </w:p>
    <w:p>
      <w:pPr>
        <w:ind w:left="620" w:right="140" w:hanging="314"/>
        <w:spacing w:after="0" w:line="242" w:lineRule="auto"/>
        <w:tabs>
          <w:tab w:leader="none" w:pos="620" w:val="left"/>
        </w:tabs>
        <w:numPr>
          <w:ilvl w:val="0"/>
          <w:numId w:val="7"/>
        </w:numPr>
        <w:rPr>
          <w:rFonts w:ascii="Arial" w:cs="Arial" w:eastAsia="Arial" w:hAnsi="Arial"/>
          <w:sz w:val="17"/>
          <w:szCs w:val="17"/>
          <w:color w:val="auto"/>
        </w:rPr>
      </w:pPr>
      <w:r>
        <w:rPr>
          <w:rFonts w:ascii="Arial" w:cs="Arial" w:eastAsia="Arial" w:hAnsi="Arial"/>
          <w:sz w:val="17"/>
          <w:szCs w:val="17"/>
          <w:color w:val="auto"/>
        </w:rPr>
        <w:t>Stock-based compensation increased $14.2 million primarily due to the overachievement of targets under the PitchBook management bonus plan.</w:t>
      </w:r>
    </w:p>
    <w:p>
      <w:pPr>
        <w:spacing w:after="0" w:line="176" w:lineRule="exact"/>
        <w:rPr>
          <w:rFonts w:ascii="Arial" w:cs="Arial" w:eastAsia="Arial" w:hAnsi="Arial"/>
          <w:sz w:val="17"/>
          <w:szCs w:val="17"/>
          <w:color w:val="auto"/>
        </w:rPr>
      </w:pPr>
    </w:p>
    <w:p>
      <w:pPr>
        <w:ind w:left="620" w:right="120" w:hanging="314"/>
        <w:spacing w:after="0" w:line="272" w:lineRule="auto"/>
        <w:tabs>
          <w:tab w:leader="none" w:pos="620" w:val="left"/>
        </w:tabs>
        <w:numPr>
          <w:ilvl w:val="0"/>
          <w:numId w:val="7"/>
        </w:numPr>
        <w:rPr>
          <w:rFonts w:ascii="Arial" w:cs="Arial" w:eastAsia="Arial" w:hAnsi="Arial"/>
          <w:sz w:val="16"/>
          <w:szCs w:val="16"/>
          <w:color w:val="auto"/>
        </w:rPr>
      </w:pPr>
      <w:r>
        <w:rPr>
          <w:rFonts w:ascii="Arial" w:cs="Arial" w:eastAsia="Arial" w:hAnsi="Arial"/>
          <w:sz w:val="16"/>
          <w:szCs w:val="16"/>
          <w:color w:val="auto"/>
        </w:rPr>
        <w:t>The revaluation of contingent consideration related to the LCD acquisition accounted for $3.6 million of the increase, reflecting an adjustment to the future payment due to S&amp;P Global for the successful separation of LCD customer contracts previously bundled with other services.</w:t>
      </w:r>
    </w:p>
    <w:p>
      <w:pPr>
        <w:spacing w:after="0" w:line="153" w:lineRule="exact"/>
        <w:rPr>
          <w:rFonts w:ascii="Arial" w:cs="Arial" w:eastAsia="Arial" w:hAnsi="Arial"/>
          <w:sz w:val="16"/>
          <w:szCs w:val="16"/>
          <w:color w:val="auto"/>
        </w:rPr>
      </w:pPr>
    </w:p>
    <w:p>
      <w:pPr>
        <w:ind w:left="620" w:hanging="314"/>
        <w:spacing w:after="0" w:line="242" w:lineRule="auto"/>
        <w:tabs>
          <w:tab w:leader="none" w:pos="620" w:val="left"/>
        </w:tabs>
        <w:numPr>
          <w:ilvl w:val="0"/>
          <w:numId w:val="7"/>
        </w:numPr>
        <w:rPr>
          <w:rFonts w:ascii="Arial" w:cs="Arial" w:eastAsia="Arial" w:hAnsi="Arial"/>
          <w:sz w:val="17"/>
          <w:szCs w:val="17"/>
          <w:color w:val="auto"/>
        </w:rPr>
      </w:pPr>
      <w:r>
        <w:rPr>
          <w:rFonts w:ascii="Arial" w:cs="Arial" w:eastAsia="Arial" w:hAnsi="Arial"/>
          <w:sz w:val="17"/>
          <w:szCs w:val="17"/>
          <w:color w:val="auto"/>
        </w:rPr>
        <w:t>Travel and related expenses increased $3.3 million as travel continued to rebound to support the business compared to the lower levels earlier in the COVID-19 pandemic.</w:t>
      </w:r>
    </w:p>
    <w:p>
      <w:pPr>
        <w:spacing w:after="0" w:line="176" w:lineRule="exact"/>
        <w:rPr>
          <w:sz w:val="20"/>
          <w:szCs w:val="20"/>
          <w:color w:val="auto"/>
        </w:rPr>
      </w:pPr>
    </w:p>
    <w:p>
      <w:pPr>
        <w:ind w:right="160"/>
        <w:spacing w:after="0" w:line="236" w:lineRule="auto"/>
        <w:rPr>
          <w:sz w:val="20"/>
          <w:szCs w:val="20"/>
          <w:color w:val="auto"/>
        </w:rPr>
      </w:pPr>
      <w:r>
        <w:rPr>
          <w:rFonts w:ascii="Arial" w:cs="Arial" w:eastAsia="Arial" w:hAnsi="Arial"/>
          <w:sz w:val="17"/>
          <w:szCs w:val="17"/>
          <w:color w:val="auto"/>
        </w:rPr>
        <w:t>Fourth-quarter operating income was $35.5 million, a decrease of 52.5% compared with the prior-year period. Adjusted operating income was $66.4 million in the fourth quarter of 2022, a decrease of 27.2% compared with the prior-year period. Fourth-quarter operating margin was 7.5%, compared with 16.2% in the prior-year period. Adjusted operating margin was 14.1% in the fourth quarter of 2022, versus 19.8% in the prior-year period. In the quarter, adjusted operating margins were negatively impacted by revenue declines in DBRS Morningstar, Investment Management, and Workplace Solutions.</w:t>
      </w:r>
    </w:p>
    <w:p>
      <w:pPr>
        <w:spacing w:after="0" w:line="180" w:lineRule="exact"/>
        <w:rPr>
          <w:sz w:val="20"/>
          <w:szCs w:val="20"/>
          <w:color w:val="auto"/>
        </w:rPr>
      </w:pPr>
    </w:p>
    <w:p>
      <w:pPr>
        <w:ind w:right="260"/>
        <w:spacing w:after="0" w:line="238" w:lineRule="auto"/>
        <w:rPr>
          <w:sz w:val="20"/>
          <w:szCs w:val="20"/>
          <w:color w:val="auto"/>
        </w:rPr>
      </w:pPr>
      <w:r>
        <w:rPr>
          <w:rFonts w:ascii="Arial" w:cs="Arial" w:eastAsia="Arial" w:hAnsi="Arial"/>
          <w:sz w:val="17"/>
          <w:szCs w:val="17"/>
          <w:color w:val="auto"/>
        </w:rPr>
        <w:t>Net income in the fourth quarter of 2022 was $3.3 million, or $0.08 per diluted share, compared with $56.5 million, or $1.30 per diluted share, in the fourth quarter of 2021, a decrease of 93.8% on a per share basis. Adjusted diluted net income per share decreased 61.3% to $0.58 in the fourth quarter of 2022, compared with $1.50 in the prior-year period.</w:t>
      </w:r>
    </w:p>
    <w:p>
      <w:pPr>
        <w:spacing w:after="0" w:line="179" w:lineRule="exact"/>
        <w:rPr>
          <w:sz w:val="20"/>
          <w:szCs w:val="20"/>
          <w:color w:val="auto"/>
        </w:rPr>
      </w:pPr>
    </w:p>
    <w:p>
      <w:pPr>
        <w:ind w:right="160"/>
        <w:spacing w:after="0" w:line="260" w:lineRule="auto"/>
        <w:rPr>
          <w:sz w:val="20"/>
          <w:szCs w:val="20"/>
          <w:color w:val="auto"/>
        </w:rPr>
      </w:pPr>
      <w:r>
        <w:rPr>
          <w:rFonts w:ascii="Arial" w:cs="Arial" w:eastAsia="Arial" w:hAnsi="Arial"/>
          <w:sz w:val="16"/>
          <w:szCs w:val="16"/>
          <w:color w:val="auto"/>
        </w:rPr>
        <w:t>The decrease in diluted net income per share and adjusted diluted net income per share for the fourth quarter reflects the adverse impact of a higher effective tax rate for the fourth quarter of 2022 relative to the prior-year period. The effective tax rate increased to 88.9% versus 24.7% in the prior-year period. The effective tax rate in the fourth quarter was impacted by the same factors that drove the tax rate for the full year, as detailed below.</w:t>
      </w:r>
    </w:p>
    <w:p>
      <w:pPr>
        <w:spacing w:after="0" w:line="143"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Full-Year 2022 Results</w:t>
      </w:r>
    </w:p>
    <w:p>
      <w:pPr>
        <w:spacing w:after="0" w:line="205" w:lineRule="exact"/>
        <w:rPr>
          <w:sz w:val="20"/>
          <w:szCs w:val="20"/>
          <w:color w:val="auto"/>
        </w:rPr>
      </w:pPr>
    </w:p>
    <w:p>
      <w:pPr>
        <w:spacing w:after="0"/>
        <w:rPr>
          <w:sz w:val="20"/>
          <w:szCs w:val="20"/>
          <w:color w:val="auto"/>
        </w:rPr>
      </w:pPr>
      <w:r>
        <w:rPr>
          <w:rFonts w:ascii="Arial" w:cs="Arial" w:eastAsia="Arial" w:hAnsi="Arial"/>
          <w:sz w:val="17"/>
          <w:szCs w:val="17"/>
          <w:color w:val="auto"/>
        </w:rPr>
        <w:t>For the full year, revenue increased 10.1% to $1.9 billion. Organic revenue grew by 10.8% compared with the prior year.</w:t>
      </w:r>
    </w:p>
    <w:p>
      <w:pPr>
        <w:spacing w:after="0" w:line="185" w:lineRule="exact"/>
        <w:rPr>
          <w:sz w:val="20"/>
          <w:szCs w:val="20"/>
          <w:color w:val="auto"/>
        </w:rPr>
      </w:pPr>
    </w:p>
    <w:p>
      <w:pPr>
        <w:ind w:right="80"/>
        <w:spacing w:after="0" w:line="236" w:lineRule="auto"/>
        <w:rPr>
          <w:sz w:val="20"/>
          <w:szCs w:val="20"/>
          <w:color w:val="auto"/>
        </w:rPr>
      </w:pPr>
      <w:r>
        <w:rPr>
          <w:rFonts w:ascii="Arial" w:cs="Arial" w:eastAsia="Arial" w:hAnsi="Arial"/>
          <w:sz w:val="17"/>
          <w:szCs w:val="17"/>
          <w:color w:val="auto"/>
        </w:rPr>
        <w:t>License-based revenue increased 17.7% year over year, or 18.0% on an organic basis. PitchBook, Morningstar Sustainalytics, Morningstar Data, and Morningstar Direct were the top contributors to full-year organic revenue growth. Asset-based revenue increased 1.7% year over year, or 1.5% on an organic basis as growth in Morningstar Index revenue was largely offset by market-driven declines in Investment Management. Transaction-based revenue decreased by 11.0%, or 8.3% on an organic basis, as DBRS Morningstar revenue declined, reflecting a sharp decrease in credit issuance in the second half of the year.</w:t>
      </w:r>
    </w:p>
    <w:p>
      <w:pPr>
        <w:spacing w:after="0" w:line="363"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3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61" w:right="339" w:bottom="1440" w:gutter="0" w:footer="0" w:header="0"/>
        </w:sectPr>
      </w:pPr>
    </w:p>
    <w:bookmarkStart w:id="7" w:name="page8"/>
    <w:bookmarkEnd w:id="7"/>
    <w:p>
      <w:pPr>
        <w:ind w:right="60"/>
        <w:spacing w:after="0" w:line="237" w:lineRule="auto"/>
        <w:rPr>
          <w:sz w:val="20"/>
          <w:szCs w:val="20"/>
          <w:color w:val="auto"/>
        </w:rPr>
      </w:pPr>
      <w:r>
        <w:rPr>
          <w:rFonts w:ascii="Arial" w:cs="Arial" w:eastAsia="Arial" w:hAnsi="Arial"/>
          <w:sz w:val="17"/>
          <w:szCs w:val="17"/>
          <w:color w:val="auto"/>
        </w:rPr>
        <w:t>Full-year operating expense increased 18.1%, including costs of $35.7 million related to the Company's significant reduction and shift of its China operations. Excluding the impact of these costs, operating expenses increased 15.6%. The largest contributors to operating expense growth were compensation costs, stock-based compensation, professional fees, severance costs, and sales commissions. Higher compensation costs were driven primarily by increased headcount across key areas of the business to support growth.</w:t>
      </w:r>
    </w:p>
    <w:p>
      <w:pPr>
        <w:spacing w:after="0" w:line="179" w:lineRule="exact"/>
        <w:rPr>
          <w:sz w:val="20"/>
          <w:szCs w:val="20"/>
          <w:color w:val="auto"/>
        </w:rPr>
      </w:pPr>
    </w:p>
    <w:p>
      <w:pPr>
        <w:ind w:right="540"/>
        <w:spacing w:after="0" w:line="238" w:lineRule="auto"/>
        <w:rPr>
          <w:sz w:val="20"/>
          <w:szCs w:val="20"/>
          <w:color w:val="auto"/>
        </w:rPr>
      </w:pPr>
      <w:r>
        <w:rPr>
          <w:rFonts w:ascii="Arial" w:cs="Arial" w:eastAsia="Arial" w:hAnsi="Arial"/>
          <w:sz w:val="17"/>
          <w:szCs w:val="17"/>
          <w:color w:val="auto"/>
        </w:rPr>
        <w:t>Full-year 2022 operating income was $167.8 million, a decrease of 34.7% compared with the prior year. Adjusted operating income was $298.9 million, a decrease of 17.7% compared with the prior year. Full-year 2022 operating margin was 9.0%, compared with 15.1% in the prior year. Adjusted operating margin was 16.0% versus 21.3% in 2021.</w:t>
      </w:r>
    </w:p>
    <w:p>
      <w:pPr>
        <w:spacing w:after="0" w:line="179" w:lineRule="exact"/>
        <w:rPr>
          <w:sz w:val="20"/>
          <w:szCs w:val="20"/>
          <w:color w:val="auto"/>
        </w:rPr>
      </w:pPr>
    </w:p>
    <w:p>
      <w:pPr>
        <w:spacing w:after="0" w:line="242" w:lineRule="auto"/>
        <w:rPr>
          <w:sz w:val="20"/>
          <w:szCs w:val="20"/>
          <w:color w:val="auto"/>
        </w:rPr>
      </w:pPr>
      <w:r>
        <w:rPr>
          <w:rFonts w:ascii="Arial" w:cs="Arial" w:eastAsia="Arial" w:hAnsi="Arial"/>
          <w:sz w:val="17"/>
          <w:szCs w:val="17"/>
          <w:color w:val="auto"/>
        </w:rPr>
        <w:t>Full-year 2022 net income decreased by 63.5% to $70.5 million, or $1.64 per diluted share. Full-year 2021 net income was $193.3 million, or $4.45 per diluted share. Adjusted diluted net income per share decreased 39.2% to $3.87, compared with $6.36 in the prior year.</w:t>
      </w:r>
    </w:p>
    <w:p>
      <w:pPr>
        <w:spacing w:after="0" w:line="176" w:lineRule="exact"/>
        <w:rPr>
          <w:sz w:val="20"/>
          <w:szCs w:val="20"/>
          <w:color w:val="auto"/>
        </w:rPr>
      </w:pPr>
    </w:p>
    <w:p>
      <w:pPr>
        <w:jc w:val="both"/>
        <w:ind w:right="100"/>
        <w:spacing w:after="0" w:line="238" w:lineRule="auto"/>
        <w:rPr>
          <w:sz w:val="20"/>
          <w:szCs w:val="20"/>
          <w:color w:val="auto"/>
        </w:rPr>
      </w:pPr>
      <w:r>
        <w:rPr>
          <w:rFonts w:ascii="Arial" w:cs="Arial" w:eastAsia="Arial" w:hAnsi="Arial"/>
          <w:sz w:val="17"/>
          <w:szCs w:val="17"/>
          <w:color w:val="auto"/>
        </w:rPr>
        <w:t>The decrease in diluted net income per share and adjusted diluted net income per share for the full year ended 2022 reflected the impact of a higher effective tax rate relative to the prior year. The effective tax rate for the full year 2022 was 44.5% versus 24.5% in the prior year. The current year rate was negatively impacted by the following items:</w:t>
      </w:r>
    </w:p>
    <w:p>
      <w:pPr>
        <w:spacing w:after="0" w:line="179" w:lineRule="exact"/>
        <w:rPr>
          <w:sz w:val="20"/>
          <w:szCs w:val="20"/>
          <w:color w:val="auto"/>
        </w:rPr>
      </w:pPr>
    </w:p>
    <w:p>
      <w:pPr>
        <w:ind w:left="620" w:right="80" w:hanging="314"/>
        <w:spacing w:after="0" w:line="237" w:lineRule="auto"/>
        <w:tabs>
          <w:tab w:leader="none" w:pos="620" w:val="left"/>
        </w:tabs>
        <w:numPr>
          <w:ilvl w:val="0"/>
          <w:numId w:val="8"/>
        </w:numPr>
        <w:rPr>
          <w:rFonts w:ascii="Arial" w:cs="Arial" w:eastAsia="Arial" w:hAnsi="Arial"/>
          <w:sz w:val="17"/>
          <w:szCs w:val="17"/>
          <w:color w:val="auto"/>
        </w:rPr>
      </w:pPr>
      <w:r>
        <w:rPr>
          <w:rFonts w:ascii="Arial" w:cs="Arial" w:eastAsia="Arial" w:hAnsi="Arial"/>
          <w:sz w:val="17"/>
          <w:szCs w:val="17"/>
          <w:color w:val="auto"/>
        </w:rPr>
        <w:t>The Company made an election, which requires approval from the tax authorities to recognize certain tax benefits. Pending this approval, the Company recorded a tax reserve of $13.7 million, which impacted the effective tax rate by 10.8 percentage points. If approval is granted by the tax authorities, the effect of the election may be recognized in a future period, which would result in a decrease to the effective tax rate for that period.</w:t>
      </w:r>
    </w:p>
    <w:p>
      <w:pPr>
        <w:spacing w:after="0" w:line="178" w:lineRule="exact"/>
        <w:rPr>
          <w:rFonts w:ascii="Arial" w:cs="Arial" w:eastAsia="Arial" w:hAnsi="Arial"/>
          <w:sz w:val="17"/>
          <w:szCs w:val="17"/>
          <w:color w:val="auto"/>
        </w:rPr>
      </w:pPr>
    </w:p>
    <w:p>
      <w:pPr>
        <w:ind w:left="620" w:right="80" w:hanging="314"/>
        <w:spacing w:after="0" w:line="242" w:lineRule="auto"/>
        <w:tabs>
          <w:tab w:leader="none" w:pos="620" w:val="left"/>
        </w:tabs>
        <w:numPr>
          <w:ilvl w:val="0"/>
          <w:numId w:val="8"/>
        </w:numPr>
        <w:rPr>
          <w:rFonts w:ascii="Arial" w:cs="Arial" w:eastAsia="Arial" w:hAnsi="Arial"/>
          <w:sz w:val="17"/>
          <w:szCs w:val="17"/>
          <w:color w:val="auto"/>
        </w:rPr>
      </w:pPr>
      <w:r>
        <w:rPr>
          <w:rFonts w:ascii="Arial" w:cs="Arial" w:eastAsia="Arial" w:hAnsi="Arial"/>
          <w:sz w:val="17"/>
          <w:szCs w:val="17"/>
          <w:color w:val="auto"/>
        </w:rPr>
        <w:t>The impairment of deferred tax assets related to the reduction and shift of the Company's China operations contributed 3.3 percentage points to the effective tax rate.</w:t>
      </w:r>
    </w:p>
    <w:p>
      <w:pPr>
        <w:spacing w:after="0" w:line="176" w:lineRule="exact"/>
        <w:rPr>
          <w:rFonts w:ascii="Arial" w:cs="Arial" w:eastAsia="Arial" w:hAnsi="Arial"/>
          <w:sz w:val="17"/>
          <w:szCs w:val="17"/>
          <w:color w:val="auto"/>
        </w:rPr>
      </w:pPr>
    </w:p>
    <w:p>
      <w:pPr>
        <w:ind w:left="620" w:hanging="314"/>
        <w:spacing w:after="0"/>
        <w:tabs>
          <w:tab w:leader="none" w:pos="620" w:val="left"/>
        </w:tabs>
        <w:numPr>
          <w:ilvl w:val="0"/>
          <w:numId w:val="8"/>
        </w:numPr>
        <w:rPr>
          <w:rFonts w:ascii="Arial" w:cs="Arial" w:eastAsia="Arial" w:hAnsi="Arial"/>
          <w:sz w:val="17"/>
          <w:szCs w:val="17"/>
          <w:color w:val="auto"/>
        </w:rPr>
      </w:pPr>
      <w:r>
        <w:rPr>
          <w:rFonts w:ascii="Arial" w:cs="Arial" w:eastAsia="Arial" w:hAnsi="Arial"/>
          <w:sz w:val="17"/>
          <w:szCs w:val="17"/>
          <w:color w:val="auto"/>
        </w:rPr>
        <w:t>A portion of M&amp;A-related earn-outs that are not deductible for tax purposes had a 1.4 percentage point impact.</w:t>
      </w:r>
    </w:p>
    <w:p>
      <w:pPr>
        <w:spacing w:after="0" w:line="198" w:lineRule="exact"/>
        <w:rPr>
          <w:sz w:val="20"/>
          <w:szCs w:val="20"/>
          <w:color w:val="auto"/>
        </w:rPr>
      </w:pPr>
    </w:p>
    <w:p>
      <w:pPr>
        <w:ind w:right="260"/>
        <w:spacing w:after="0" w:line="242" w:lineRule="auto"/>
        <w:rPr>
          <w:sz w:val="20"/>
          <w:szCs w:val="20"/>
          <w:color w:val="auto"/>
        </w:rPr>
      </w:pPr>
      <w:r>
        <w:rPr>
          <w:rFonts w:ascii="Arial" w:cs="Arial" w:eastAsia="Arial" w:hAnsi="Arial"/>
          <w:sz w:val="17"/>
          <w:szCs w:val="17"/>
          <w:color w:val="auto"/>
        </w:rPr>
        <w:t>Collectively, these items contributed 15.5 percentage points to the Company's 2022 effective tax rate and impacted diluted net income per share by $0.46.</w:t>
      </w:r>
    </w:p>
    <w:p>
      <w:pPr>
        <w:spacing w:after="0" w:line="359"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4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61" w:right="339" w:bottom="1440" w:gutter="0" w:footer="0" w:header="0"/>
        </w:sectPr>
      </w:pPr>
    </w:p>
    <w:bookmarkStart w:id="8" w:name="page9"/>
    <w:bookmarkEnd w:id="8"/>
    <w:p>
      <w:pPr>
        <w:spacing w:after="0"/>
        <w:rPr>
          <w:sz w:val="20"/>
          <w:szCs w:val="20"/>
          <w:color w:val="auto"/>
        </w:rPr>
      </w:pPr>
      <w:r>
        <w:rPr>
          <w:rFonts w:ascii="Arial" w:cs="Arial" w:eastAsia="Arial" w:hAnsi="Arial"/>
          <w:sz w:val="17"/>
          <w:szCs w:val="17"/>
          <w:b w:val="1"/>
          <w:bCs w:val="1"/>
          <w:color w:val="auto"/>
        </w:rPr>
        <w:t>Product Area Highlights</w:t>
      </w:r>
    </w:p>
    <w:p>
      <w:pPr>
        <w:spacing w:after="0" w:line="205" w:lineRule="exact"/>
        <w:rPr>
          <w:sz w:val="20"/>
          <w:szCs w:val="20"/>
          <w:color w:val="auto"/>
        </w:rPr>
      </w:pPr>
    </w:p>
    <w:p>
      <w:pPr>
        <w:ind w:right="20"/>
        <w:spacing w:after="0" w:line="237" w:lineRule="auto"/>
        <w:rPr>
          <w:sz w:val="20"/>
          <w:szCs w:val="20"/>
          <w:color w:val="auto"/>
        </w:rPr>
      </w:pPr>
      <w:r>
        <w:rPr>
          <w:rFonts w:ascii="Arial" w:cs="Arial" w:eastAsia="Arial" w:hAnsi="Arial"/>
          <w:sz w:val="17"/>
          <w:szCs w:val="17"/>
          <w:color w:val="auto"/>
        </w:rPr>
        <w:t>The Company continues to execute its strategy to deliver long-term growth. (For performance of the largest product areas and key metrics, refer to the Supplemental Data table contained in this release.) On a consolidated basis, PitchBook, Morningstar Sustainalytics, Morningstar Direct, and Morningstar Data were the top contributors to organic revenue growth in the fourth quarter of 2022. For the full year, PitchBook, Morningstar Sustainalytics, Morningstar Data, and Morningstar Direct were the top contributors to organic revenue growth.</w:t>
      </w:r>
    </w:p>
    <w:p>
      <w:pPr>
        <w:spacing w:after="0" w:line="179" w:lineRule="exact"/>
        <w:rPr>
          <w:sz w:val="20"/>
          <w:szCs w:val="20"/>
          <w:color w:val="auto"/>
        </w:rPr>
      </w:pPr>
    </w:p>
    <w:p>
      <w:pPr>
        <w:ind w:right="20"/>
        <w:spacing w:after="0" w:line="238" w:lineRule="auto"/>
        <w:rPr>
          <w:sz w:val="20"/>
          <w:szCs w:val="20"/>
          <w:color w:val="auto"/>
        </w:rPr>
      </w:pPr>
      <w:r>
        <w:rPr>
          <w:rFonts w:ascii="Arial" w:cs="Arial" w:eastAsia="Arial" w:hAnsi="Arial"/>
          <w:sz w:val="17"/>
          <w:szCs w:val="17"/>
          <w:color w:val="auto"/>
        </w:rPr>
        <w:t>Highlights of these and other products are included below. Organic revenue excludes all M&amp;A-related revenue, accounting changes, and foreign currency effects. Foreign currency effects accounted for the entire difference between reported and organic growth in the quarter for Morningstar Data, Morningstar Direct, Morningstar Advisor Workstation, Morningstar Sustainalytics, and DBRS Morningstar.</w:t>
      </w:r>
    </w:p>
    <w:p>
      <w:pPr>
        <w:spacing w:after="0" w:line="159"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License-based</w:t>
      </w:r>
    </w:p>
    <w:p>
      <w:pPr>
        <w:spacing w:after="0" w:line="185" w:lineRule="exact"/>
        <w:rPr>
          <w:sz w:val="20"/>
          <w:szCs w:val="20"/>
          <w:color w:val="auto"/>
        </w:rPr>
      </w:pPr>
    </w:p>
    <w:p>
      <w:pPr>
        <w:ind w:left="620" w:right="100" w:hanging="314"/>
        <w:spacing w:after="0" w:line="241" w:lineRule="auto"/>
        <w:tabs>
          <w:tab w:leader="none" w:pos="620" w:val="left"/>
        </w:tabs>
        <w:numPr>
          <w:ilvl w:val="0"/>
          <w:numId w:val="9"/>
        </w:numPr>
        <w:rPr>
          <w:rFonts w:ascii="Arial" w:cs="Arial" w:eastAsia="Arial" w:hAnsi="Arial"/>
          <w:sz w:val="17"/>
          <w:szCs w:val="17"/>
          <w:color w:val="auto"/>
        </w:rPr>
      </w:pPr>
      <w:r>
        <w:rPr>
          <w:rFonts w:ascii="Arial" w:cs="Arial" w:eastAsia="Arial" w:hAnsi="Arial"/>
          <w:sz w:val="17"/>
          <w:szCs w:val="17"/>
          <w:b w:val="1"/>
          <w:bCs w:val="1"/>
          <w:color w:val="auto"/>
        </w:rPr>
        <w:t xml:space="preserve">PitchBook </w:t>
      </w:r>
      <w:r>
        <w:rPr>
          <w:rFonts w:ascii="Arial" w:cs="Arial" w:eastAsia="Arial" w:hAnsi="Arial"/>
          <w:sz w:val="17"/>
          <w:szCs w:val="17"/>
          <w:color w:val="auto"/>
        </w:rPr>
        <w:t>revenue grew by 30.7% on a reported and organic basis in the fourth quarter and licenses increased by 28.0%, as PitchBook</w:t>
      </w:r>
      <w:r>
        <w:rPr>
          <w:rFonts w:ascii="Arial" w:cs="Arial" w:eastAsia="Arial" w:hAnsi="Arial"/>
          <w:sz w:val="17"/>
          <w:szCs w:val="17"/>
          <w:b w:val="1"/>
          <w:bCs w:val="1"/>
          <w:color w:val="auto"/>
        </w:rPr>
        <w:t xml:space="preserve"> </w:t>
      </w:r>
      <w:r>
        <w:rPr>
          <w:rFonts w:ascii="Arial" w:cs="Arial" w:eastAsia="Arial" w:hAnsi="Arial"/>
          <w:sz w:val="17"/>
          <w:szCs w:val="17"/>
          <w:color w:val="auto"/>
        </w:rPr>
        <w:t>continued to enhance core data sets and improve the user experience. In 2022, it added new companies and funds to coverage in the EMEA and Asia-Pacific regions, while enhancing alternative data sets including real assets and hedge funds. Notable product releases included Portfolio Forecasting, a tool that allows Limited Partners to efficiently manage cash flow, pace commitments, and hit allocation targets directly within the PitchBook Platform. Reported and organic results exclude contributions from the LCD acquisition.</w:t>
      </w:r>
    </w:p>
    <w:p>
      <w:pPr>
        <w:spacing w:after="0" w:line="159" w:lineRule="exact"/>
        <w:rPr>
          <w:rFonts w:ascii="Arial" w:cs="Arial" w:eastAsia="Arial" w:hAnsi="Arial"/>
          <w:sz w:val="17"/>
          <w:szCs w:val="17"/>
          <w:color w:val="auto"/>
        </w:rPr>
      </w:pPr>
    </w:p>
    <w:p>
      <w:pPr>
        <w:ind w:left="620" w:hanging="314"/>
        <w:spacing w:after="0" w:line="265" w:lineRule="auto"/>
        <w:tabs>
          <w:tab w:leader="none" w:pos="620" w:val="left"/>
        </w:tabs>
        <w:numPr>
          <w:ilvl w:val="0"/>
          <w:numId w:val="9"/>
        </w:numPr>
        <w:rPr>
          <w:rFonts w:ascii="Arial" w:cs="Arial" w:eastAsia="Arial" w:hAnsi="Arial"/>
          <w:sz w:val="16"/>
          <w:szCs w:val="16"/>
          <w:color w:val="auto"/>
        </w:rPr>
      </w:pPr>
      <w:r>
        <w:rPr>
          <w:rFonts w:ascii="Arial" w:cs="Arial" w:eastAsia="Arial" w:hAnsi="Arial"/>
          <w:sz w:val="16"/>
          <w:szCs w:val="16"/>
          <w:b w:val="1"/>
          <w:bCs w:val="1"/>
          <w:color w:val="auto"/>
        </w:rPr>
        <w:t xml:space="preserve">Morningstar Data </w:t>
      </w:r>
      <w:r>
        <w:rPr>
          <w:rFonts w:ascii="Arial" w:cs="Arial" w:eastAsia="Arial" w:hAnsi="Arial"/>
          <w:sz w:val="16"/>
          <w:szCs w:val="16"/>
          <w:color w:val="auto"/>
        </w:rPr>
        <w:t>revenue grew by 1.6%, or 6.9% on an organic basis in the fourth quarter, driven by growth across geographies and strong</w:t>
      </w:r>
      <w:r>
        <w:rPr>
          <w:rFonts w:ascii="Arial" w:cs="Arial" w:eastAsia="Arial" w:hAnsi="Arial"/>
          <w:sz w:val="16"/>
          <w:szCs w:val="16"/>
          <w:b w:val="1"/>
          <w:bCs w:val="1"/>
          <w:color w:val="auto"/>
        </w:rPr>
        <w:t xml:space="preserve"> </w:t>
      </w:r>
      <w:r>
        <w:rPr>
          <w:rFonts w:ascii="Arial" w:cs="Arial" w:eastAsia="Arial" w:hAnsi="Arial"/>
          <w:sz w:val="16"/>
          <w:szCs w:val="16"/>
          <w:color w:val="auto"/>
        </w:rPr>
        <w:t>demand for fund data. In 2022, Morningstar Data expanded the reach of its data to better cover the client portfolio with enhancements to fixed-income data and analytics and expanded coverage of 529 Plan portfolios, public equities, collective investment trusts, and model portfolios. It also introduced new regulatory data solutions in response to global investor protection, capital adequacy, and sustainability regulations.</w:t>
      </w:r>
    </w:p>
    <w:p>
      <w:pPr>
        <w:spacing w:after="0" w:line="138" w:lineRule="exact"/>
        <w:rPr>
          <w:rFonts w:ascii="Arial" w:cs="Arial" w:eastAsia="Arial" w:hAnsi="Arial"/>
          <w:sz w:val="16"/>
          <w:szCs w:val="16"/>
          <w:color w:val="auto"/>
        </w:rPr>
      </w:pPr>
    </w:p>
    <w:p>
      <w:pPr>
        <w:ind w:left="620" w:right="120" w:hanging="314"/>
        <w:spacing w:after="0"/>
        <w:tabs>
          <w:tab w:leader="none" w:pos="620" w:val="left"/>
        </w:tabs>
        <w:numPr>
          <w:ilvl w:val="0"/>
          <w:numId w:val="9"/>
        </w:numPr>
        <w:rPr>
          <w:rFonts w:ascii="Arial" w:cs="Arial" w:eastAsia="Arial" w:hAnsi="Arial"/>
          <w:sz w:val="17"/>
          <w:szCs w:val="17"/>
          <w:color w:val="auto"/>
        </w:rPr>
      </w:pPr>
      <w:r>
        <w:rPr>
          <w:rFonts w:ascii="Arial" w:cs="Arial" w:eastAsia="Arial" w:hAnsi="Arial"/>
          <w:sz w:val="17"/>
          <w:szCs w:val="17"/>
          <w:b w:val="1"/>
          <w:bCs w:val="1"/>
          <w:color w:val="auto"/>
        </w:rPr>
        <w:t xml:space="preserve">Morningstar Direct </w:t>
      </w:r>
      <w:r>
        <w:rPr>
          <w:rFonts w:ascii="Arial" w:cs="Arial" w:eastAsia="Arial" w:hAnsi="Arial"/>
          <w:sz w:val="17"/>
          <w:szCs w:val="17"/>
          <w:color w:val="auto"/>
        </w:rPr>
        <w:t>revenue grew by 7.7%, or 12.1% on an organic basis in the fourth quarter, driven by growth across geographies. Direct</w:t>
      </w:r>
      <w:r>
        <w:rPr>
          <w:rFonts w:ascii="Arial" w:cs="Arial" w:eastAsia="Arial" w:hAnsi="Arial"/>
          <w:sz w:val="17"/>
          <w:szCs w:val="17"/>
          <w:b w:val="1"/>
          <w:bCs w:val="1"/>
          <w:color w:val="auto"/>
        </w:rPr>
        <w:t xml:space="preserve"> </w:t>
      </w:r>
      <w:r>
        <w:rPr>
          <w:rFonts w:ascii="Arial" w:cs="Arial" w:eastAsia="Arial" w:hAnsi="Arial"/>
          <w:sz w:val="17"/>
          <w:szCs w:val="17"/>
          <w:color w:val="auto"/>
        </w:rPr>
        <w:t>licenses increased 5.7%, reflecting gains from both new and existing clients. In 2022, Morningstar Direct enriched and expanded Analytics Lab, which combines access to Morningstar's data and research with Jupyter Notebook, an open-source data-science tool, to allow clients to explore and analyze Morningstar data more efficiently in a flexible environment. It also released the Sustainability and Portfolio Hubs, which act as a central repository of research and tools for related workflows, and broadened data coverage in fixed-income, exchange-traded funds (ETFs), ESG, model portfolios, and alternatives to better cover investor portfolios.</w:t>
      </w:r>
    </w:p>
    <w:p>
      <w:pPr>
        <w:spacing w:after="0" w:line="36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5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41" w:right="339" w:bottom="1440" w:gutter="0" w:footer="0" w:header="0"/>
        </w:sectPr>
      </w:pPr>
    </w:p>
    <w:bookmarkStart w:id="9" w:name="page10"/>
    <w:bookmarkEnd w:id="9"/>
    <w:p>
      <w:pPr>
        <w:ind w:left="620" w:right="120" w:hanging="314"/>
        <w:spacing w:after="0"/>
        <w:tabs>
          <w:tab w:leader="none" w:pos="620" w:val="left"/>
        </w:tabs>
        <w:numPr>
          <w:ilvl w:val="0"/>
          <w:numId w:val="10"/>
        </w:numPr>
        <w:rPr>
          <w:rFonts w:ascii="Arial" w:cs="Arial" w:eastAsia="Arial" w:hAnsi="Arial"/>
          <w:sz w:val="17"/>
          <w:szCs w:val="17"/>
          <w:color w:val="auto"/>
        </w:rPr>
      </w:pPr>
      <w:r>
        <w:rPr>
          <w:rFonts w:ascii="Arial" w:cs="Arial" w:eastAsia="Arial" w:hAnsi="Arial"/>
          <w:sz w:val="17"/>
          <w:szCs w:val="17"/>
          <w:b w:val="1"/>
          <w:bCs w:val="1"/>
          <w:color w:val="auto"/>
        </w:rPr>
        <w:t xml:space="preserve">Morningstar Advisor Workstation </w:t>
      </w:r>
      <w:r>
        <w:rPr>
          <w:rFonts w:ascii="Arial" w:cs="Arial" w:eastAsia="Arial" w:hAnsi="Arial"/>
          <w:sz w:val="17"/>
          <w:szCs w:val="17"/>
          <w:color w:val="auto"/>
        </w:rPr>
        <w:t>revenue grew 5.6%, or 6.6% on an organic basis in the fourth quarter, aided by growing advisor demand</w:t>
      </w:r>
      <w:r>
        <w:rPr>
          <w:rFonts w:ascii="Arial" w:cs="Arial" w:eastAsia="Arial" w:hAnsi="Arial"/>
          <w:sz w:val="17"/>
          <w:szCs w:val="17"/>
          <w:b w:val="1"/>
          <w:bCs w:val="1"/>
          <w:color w:val="auto"/>
        </w:rPr>
        <w:t xml:space="preserve"> </w:t>
      </w:r>
      <w:r>
        <w:rPr>
          <w:rFonts w:ascii="Arial" w:cs="Arial" w:eastAsia="Arial" w:hAnsi="Arial"/>
          <w:sz w:val="17"/>
          <w:szCs w:val="17"/>
          <w:color w:val="auto"/>
        </w:rPr>
        <w:t>to deliver personalized advice. In 2022, Morningstar Advisor Workstation expanded the App Hub, adding new third-party applications to drive more robust engagement with the platform. Additionally, regulatory changes supported higher client retention, while also driving upsell opportunities, especially for enterprise clients. To end the year, Morningstar Advisor Workstation integrated an evolved Morningstar Portfolio Risk Score that taps into the Company's deep holdings database and uses inputs from Morningstar's Risk Model to provide advisors with a more comprehensive and differentiated view of portfolio risk.</w:t>
      </w:r>
    </w:p>
    <w:p>
      <w:pPr>
        <w:spacing w:after="0" w:line="158" w:lineRule="exact"/>
        <w:rPr>
          <w:rFonts w:ascii="Arial" w:cs="Arial" w:eastAsia="Arial" w:hAnsi="Arial"/>
          <w:sz w:val="17"/>
          <w:szCs w:val="17"/>
          <w:color w:val="auto"/>
        </w:rPr>
      </w:pPr>
    </w:p>
    <w:p>
      <w:pPr>
        <w:ind w:left="620" w:hanging="314"/>
        <w:spacing w:after="0"/>
        <w:tabs>
          <w:tab w:leader="none" w:pos="620" w:val="left"/>
        </w:tabs>
        <w:numPr>
          <w:ilvl w:val="0"/>
          <w:numId w:val="10"/>
        </w:numPr>
        <w:rPr>
          <w:rFonts w:ascii="Arial" w:cs="Arial" w:eastAsia="Arial" w:hAnsi="Arial"/>
          <w:sz w:val="17"/>
          <w:szCs w:val="17"/>
          <w:color w:val="auto"/>
        </w:rPr>
      </w:pPr>
      <w:r>
        <w:rPr>
          <w:rFonts w:ascii="Arial" w:cs="Arial" w:eastAsia="Arial" w:hAnsi="Arial"/>
          <w:sz w:val="17"/>
          <w:szCs w:val="17"/>
          <w:b w:val="1"/>
          <w:bCs w:val="1"/>
          <w:color w:val="auto"/>
        </w:rPr>
        <w:t xml:space="preserve">Morningstar Sustainalytics </w:t>
      </w:r>
      <w:r>
        <w:rPr>
          <w:rFonts w:ascii="Arial" w:cs="Arial" w:eastAsia="Arial" w:hAnsi="Arial"/>
          <w:sz w:val="17"/>
          <w:szCs w:val="17"/>
          <w:color w:val="auto"/>
        </w:rPr>
        <w:t>revenue grew 15.9%, or 25.9% on an organic basis in the fourth quarter, driven in part by strength in its licensing</w:t>
      </w:r>
      <w:r>
        <w:rPr>
          <w:rFonts w:ascii="Arial" w:cs="Arial" w:eastAsia="Arial" w:hAnsi="Arial"/>
          <w:sz w:val="17"/>
          <w:szCs w:val="17"/>
          <w:b w:val="1"/>
          <w:bCs w:val="1"/>
          <w:color w:val="auto"/>
        </w:rPr>
        <w:t xml:space="preserve"> </w:t>
      </w:r>
      <w:r>
        <w:rPr>
          <w:rFonts w:ascii="Arial" w:cs="Arial" w:eastAsia="Arial" w:hAnsi="Arial"/>
          <w:sz w:val="17"/>
          <w:szCs w:val="17"/>
          <w:color w:val="auto"/>
        </w:rPr>
        <w:t>business and demand for compliance and reporting-related solutions specific to the EU Action Plan, as asset managers continued to look to Morningstar Sustainalytics to help them meet the various EU regulatory requirements. This strength was partially offset by a sharp decline in revenue for second party opinions as global credit issuance activity remained depressed. In 2022, Morningstar Sustainalytics increased its ratings coverage by approximately 30% to cover more than 16,300 analyst-based ESG Risk Ratings, while expanding its EU Action Plan Solutions suite.</w:t>
      </w:r>
    </w:p>
    <w:p>
      <w:pPr>
        <w:spacing w:after="0" w:line="158"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Asset-based</w:t>
      </w:r>
    </w:p>
    <w:p>
      <w:pPr>
        <w:spacing w:after="0" w:line="185" w:lineRule="exact"/>
        <w:rPr>
          <w:sz w:val="20"/>
          <w:szCs w:val="20"/>
          <w:color w:val="auto"/>
        </w:rPr>
      </w:pPr>
    </w:p>
    <w:p>
      <w:pPr>
        <w:ind w:left="620" w:right="140" w:hanging="314"/>
        <w:spacing w:after="0" w:line="238" w:lineRule="auto"/>
        <w:tabs>
          <w:tab w:leader="none" w:pos="620" w:val="left"/>
        </w:tabs>
        <w:numPr>
          <w:ilvl w:val="0"/>
          <w:numId w:val="11"/>
        </w:numPr>
        <w:rPr>
          <w:rFonts w:ascii="Arial" w:cs="Arial" w:eastAsia="Arial" w:hAnsi="Arial"/>
          <w:sz w:val="17"/>
          <w:szCs w:val="17"/>
          <w:color w:val="auto"/>
        </w:rPr>
      </w:pPr>
      <w:r>
        <w:rPr>
          <w:rFonts w:ascii="Arial" w:cs="Arial" w:eastAsia="Arial" w:hAnsi="Arial"/>
          <w:sz w:val="17"/>
          <w:szCs w:val="17"/>
          <w:b w:val="1"/>
          <w:bCs w:val="1"/>
          <w:color w:val="auto"/>
        </w:rPr>
        <w:t xml:space="preserve">Investment Management </w:t>
      </w:r>
      <w:r>
        <w:rPr>
          <w:rFonts w:ascii="Arial" w:cs="Arial" w:eastAsia="Arial" w:hAnsi="Arial"/>
          <w:sz w:val="17"/>
          <w:szCs w:val="17"/>
          <w:color w:val="auto"/>
        </w:rPr>
        <w:t>revenue declined 15.3%, or 18.9% on an organic basis in the fourth quarter. Reported assets under management</w:t>
      </w:r>
      <w:r>
        <w:rPr>
          <w:rFonts w:ascii="Arial" w:cs="Arial" w:eastAsia="Arial" w:hAnsi="Arial"/>
          <w:sz w:val="17"/>
          <w:szCs w:val="17"/>
          <w:b w:val="1"/>
          <w:bCs w:val="1"/>
          <w:color w:val="auto"/>
        </w:rPr>
        <w:t xml:space="preserve"> </w:t>
      </w:r>
      <w:r>
        <w:rPr>
          <w:rFonts w:ascii="Arial" w:cs="Arial" w:eastAsia="Arial" w:hAnsi="Arial"/>
          <w:sz w:val="17"/>
          <w:szCs w:val="17"/>
          <w:color w:val="auto"/>
        </w:rPr>
        <w:t>and advisement fell 2.5% versus the prior-year period, reflecting declines in global markets and softer net flows. Excluding $4.4 billion of assets related to the acquisition of Praemium's U.K. and international offerings in the second quarter, assets would have declined 10.9% compared with the prior-year period. In 2022, the Company successfully closed the Praemium acquisition, which expanded its wealth management capabilities outside the U.S. During the year, Investment Management also continued to enhance the advisor and client experience on its turnkey asset management platform (TAMP) and introduced direct indexing, which allows advisors to personalize index portfolios to address individual preferences and tax management needs, as part of an ongoing strategy to build a comprehensive Wealth platform leveraging capabilities across Morningstar.</w:t>
      </w:r>
    </w:p>
    <w:p>
      <w:pPr>
        <w:spacing w:after="0" w:line="160" w:lineRule="exact"/>
        <w:rPr>
          <w:rFonts w:ascii="Arial" w:cs="Arial" w:eastAsia="Arial" w:hAnsi="Arial"/>
          <w:sz w:val="17"/>
          <w:szCs w:val="17"/>
          <w:color w:val="auto"/>
        </w:rPr>
      </w:pPr>
    </w:p>
    <w:p>
      <w:pPr>
        <w:ind w:left="620" w:right="20" w:hanging="314"/>
        <w:spacing w:after="0" w:line="244" w:lineRule="auto"/>
        <w:tabs>
          <w:tab w:leader="none" w:pos="620" w:val="left"/>
        </w:tabs>
        <w:numPr>
          <w:ilvl w:val="0"/>
          <w:numId w:val="11"/>
        </w:numPr>
        <w:rPr>
          <w:rFonts w:ascii="Arial" w:cs="Arial" w:eastAsia="Arial" w:hAnsi="Arial"/>
          <w:sz w:val="17"/>
          <w:szCs w:val="17"/>
          <w:color w:val="auto"/>
        </w:rPr>
      </w:pPr>
      <w:r>
        <w:rPr>
          <w:rFonts w:ascii="Arial" w:cs="Arial" w:eastAsia="Arial" w:hAnsi="Arial"/>
          <w:sz w:val="17"/>
          <w:szCs w:val="17"/>
          <w:b w:val="1"/>
          <w:bCs w:val="1"/>
          <w:color w:val="auto"/>
        </w:rPr>
        <w:t xml:space="preserve">Workplace Solutions </w:t>
      </w:r>
      <w:r>
        <w:rPr>
          <w:rFonts w:ascii="Arial" w:cs="Arial" w:eastAsia="Arial" w:hAnsi="Arial"/>
          <w:sz w:val="17"/>
          <w:szCs w:val="17"/>
          <w:color w:val="auto"/>
        </w:rPr>
        <w:t>revenue declined 4.4% on a reported and organic basis in the fourth quarter. Assets under management and</w:t>
      </w:r>
      <w:r>
        <w:rPr>
          <w:rFonts w:ascii="Arial" w:cs="Arial" w:eastAsia="Arial" w:hAnsi="Arial"/>
          <w:sz w:val="17"/>
          <w:szCs w:val="17"/>
          <w:b w:val="1"/>
          <w:bCs w:val="1"/>
          <w:color w:val="auto"/>
        </w:rPr>
        <w:t xml:space="preserve"> </w:t>
      </w:r>
      <w:r>
        <w:rPr>
          <w:rFonts w:ascii="Arial" w:cs="Arial" w:eastAsia="Arial" w:hAnsi="Arial"/>
          <w:sz w:val="17"/>
          <w:szCs w:val="17"/>
          <w:color w:val="auto"/>
        </w:rPr>
        <w:t>advisement fell 8.6% versus the prior-year period, reflecting declines in global markets. In 2022, despite market losses, net flows were positive, with particularly strong inflows to managed accounts, supported by growth in the number of participants and the onboarding of one of the nation’s largest defined contribution plans.</w:t>
      </w:r>
    </w:p>
    <w:p>
      <w:pPr>
        <w:spacing w:after="0" w:line="359"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6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20"/>
          </w:cols>
          <w:pgMar w:left="320" w:top="841" w:right="359" w:bottom="1440" w:gutter="0" w:footer="0" w:header="0"/>
        </w:sectPr>
      </w:pPr>
    </w:p>
    <w:bookmarkStart w:id="10" w:name="page11"/>
    <w:bookmarkEnd w:id="10"/>
    <w:p>
      <w:pPr>
        <w:ind w:left="620" w:right="160" w:hanging="314"/>
        <w:spacing w:after="0" w:line="241" w:lineRule="auto"/>
        <w:tabs>
          <w:tab w:leader="none" w:pos="620" w:val="left"/>
        </w:tabs>
        <w:numPr>
          <w:ilvl w:val="0"/>
          <w:numId w:val="12"/>
        </w:numPr>
        <w:rPr>
          <w:rFonts w:ascii="Arial" w:cs="Arial" w:eastAsia="Arial" w:hAnsi="Arial"/>
          <w:sz w:val="17"/>
          <w:szCs w:val="17"/>
          <w:color w:val="auto"/>
        </w:rPr>
      </w:pPr>
      <w:r>
        <w:rPr>
          <w:rFonts w:ascii="Arial" w:cs="Arial" w:eastAsia="Arial" w:hAnsi="Arial"/>
          <w:sz w:val="17"/>
          <w:szCs w:val="17"/>
          <w:b w:val="1"/>
          <w:bCs w:val="1"/>
          <w:color w:val="auto"/>
        </w:rPr>
        <w:t xml:space="preserve">Morningstar Indexes </w:t>
      </w:r>
      <w:r>
        <w:rPr>
          <w:rFonts w:ascii="Arial" w:cs="Arial" w:eastAsia="Arial" w:hAnsi="Arial"/>
          <w:sz w:val="17"/>
          <w:szCs w:val="17"/>
          <w:color w:val="auto"/>
        </w:rPr>
        <w:t>revenue grew by 15.2%, or 8.0% on an organic basis in the fourth quarter, due primarily to strength in licensed data</w:t>
      </w:r>
      <w:r>
        <w:rPr>
          <w:rFonts w:ascii="Arial" w:cs="Arial" w:eastAsia="Arial" w:hAnsi="Arial"/>
          <w:sz w:val="17"/>
          <w:szCs w:val="17"/>
          <w:b w:val="1"/>
          <w:bCs w:val="1"/>
          <w:color w:val="auto"/>
        </w:rPr>
        <w:t xml:space="preserve"> </w:t>
      </w:r>
      <w:r>
        <w:rPr>
          <w:rFonts w:ascii="Arial" w:cs="Arial" w:eastAsia="Arial" w:hAnsi="Arial"/>
          <w:sz w:val="17"/>
          <w:szCs w:val="17"/>
          <w:color w:val="auto"/>
        </w:rPr>
        <w:t>products. In 2022, Morningstar Indexes launched more than 50 investable products including the Global X Morningstar Japan Dividend ESG ETF and six iShares mutual funds tracking the Morningstar ESG Enhanced Index series. It also completed the acquisition, integration, and rebranding of the LCD Leveraged Loan Indexes under the Morningstar Indexes umbrella and launched the Morningstar PitchBook Global Unicorn Indexes in collaboration with PitchBook. Organic revenue excludes LCD index-related revenue.</w:t>
      </w:r>
    </w:p>
    <w:p>
      <w:pPr>
        <w:spacing w:after="0" w:line="160"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Transaction-based</w:t>
      </w:r>
    </w:p>
    <w:p>
      <w:pPr>
        <w:spacing w:after="0" w:line="185" w:lineRule="exact"/>
        <w:rPr>
          <w:sz w:val="20"/>
          <w:szCs w:val="20"/>
          <w:color w:val="auto"/>
        </w:rPr>
      </w:pPr>
    </w:p>
    <w:p>
      <w:pPr>
        <w:ind w:left="620" w:right="60" w:hanging="314"/>
        <w:spacing w:after="0" w:line="238" w:lineRule="auto"/>
        <w:tabs>
          <w:tab w:leader="none" w:pos="620" w:val="left"/>
        </w:tabs>
        <w:numPr>
          <w:ilvl w:val="0"/>
          <w:numId w:val="13"/>
        </w:numPr>
        <w:rPr>
          <w:rFonts w:ascii="Arial" w:cs="Arial" w:eastAsia="Arial" w:hAnsi="Arial"/>
          <w:sz w:val="17"/>
          <w:szCs w:val="17"/>
          <w:color w:val="auto"/>
        </w:rPr>
      </w:pPr>
      <w:r>
        <w:rPr>
          <w:rFonts w:ascii="Arial" w:cs="Arial" w:eastAsia="Arial" w:hAnsi="Arial"/>
          <w:sz w:val="17"/>
          <w:szCs w:val="17"/>
          <w:b w:val="1"/>
          <w:bCs w:val="1"/>
          <w:color w:val="auto"/>
        </w:rPr>
        <w:t xml:space="preserve">DBRS Morningstar </w:t>
      </w:r>
      <w:r>
        <w:rPr>
          <w:rFonts w:ascii="Arial" w:cs="Arial" w:eastAsia="Arial" w:hAnsi="Arial"/>
          <w:sz w:val="17"/>
          <w:szCs w:val="17"/>
          <w:color w:val="auto"/>
        </w:rPr>
        <w:t>revenue declined 37.7%, or 35.3% on an organic basis in the fourth quarter, compared to a record result in the fourth</w:t>
      </w:r>
      <w:r>
        <w:rPr>
          <w:rFonts w:ascii="Arial" w:cs="Arial" w:eastAsia="Arial" w:hAnsi="Arial"/>
          <w:sz w:val="17"/>
          <w:szCs w:val="17"/>
          <w:b w:val="1"/>
          <w:bCs w:val="1"/>
          <w:color w:val="auto"/>
        </w:rPr>
        <w:t xml:space="preserve"> </w:t>
      </w:r>
      <w:r>
        <w:rPr>
          <w:rFonts w:ascii="Arial" w:cs="Arial" w:eastAsia="Arial" w:hAnsi="Arial"/>
          <w:sz w:val="17"/>
          <w:szCs w:val="17"/>
          <w:color w:val="auto"/>
        </w:rPr>
        <w:t>quarter of 2021, as global credit issuance activity remained at depressed levels due to uncertainty related to the macroeconomic environment and the future path of interest rates. Revenue declined across all geographies and most product areas during the quarter. Weakness was particularly pronounced in DBRS Morningstar's ratings of U.S. commercial- and residential-mortgage-backed securities as structured finance issuance remained at low levels after reaching post-global financial crisis highs in 2021. In 2022, areas of investment included U.S. and European corporates, asset-backed securities, and data products. Despite the challenging ratings environment, revenue grew for data products and U.S. corporates. Specifically for U.S. corporates, growth was driven by the addition of coverage and ratings for new middle-market credits.</w:t>
      </w:r>
    </w:p>
    <w:p>
      <w:pPr>
        <w:spacing w:after="0" w:line="161"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Reduction and Shift of China Operations</w:t>
      </w:r>
    </w:p>
    <w:p>
      <w:pPr>
        <w:spacing w:after="0" w:line="205" w:lineRule="exact"/>
        <w:rPr>
          <w:sz w:val="20"/>
          <w:szCs w:val="20"/>
          <w:color w:val="auto"/>
        </w:rPr>
      </w:pPr>
    </w:p>
    <w:p>
      <w:pPr>
        <w:spacing w:after="0" w:line="236" w:lineRule="auto"/>
        <w:rPr>
          <w:sz w:val="20"/>
          <w:szCs w:val="20"/>
          <w:color w:val="auto"/>
        </w:rPr>
      </w:pPr>
      <w:r>
        <w:rPr>
          <w:rFonts w:ascii="Arial" w:cs="Arial" w:eastAsia="Arial" w:hAnsi="Arial"/>
          <w:sz w:val="17"/>
          <w:szCs w:val="17"/>
          <w:color w:val="auto"/>
        </w:rPr>
        <w:t>In July 2022, the Company began to significantly reduce its operations in Shenzhen, China and to shift the work related to its global business functions, including global product and software development, managed investment data collection and analysis, and equity data collection and analysis, to other Morningstar locations. Costs related to this transition incurred in the fourth quarter totaled $5.6 million due primarily to transformation costs, which consist of professional fees and the temporary duplication of headcount as the Company hires replacement roles in other markets and continues to employ certain Shenzhen-based staff through the transition.</w:t>
      </w:r>
    </w:p>
    <w:p>
      <w:pPr>
        <w:spacing w:after="0" w:line="180" w:lineRule="exact"/>
        <w:rPr>
          <w:sz w:val="20"/>
          <w:szCs w:val="20"/>
          <w:color w:val="auto"/>
        </w:rPr>
      </w:pPr>
    </w:p>
    <w:p>
      <w:pPr>
        <w:ind w:right="240"/>
        <w:spacing w:after="0" w:line="242" w:lineRule="auto"/>
        <w:rPr>
          <w:sz w:val="20"/>
          <w:szCs w:val="20"/>
          <w:color w:val="auto"/>
        </w:rPr>
      </w:pPr>
      <w:r>
        <w:rPr>
          <w:rFonts w:ascii="Arial" w:cs="Arial" w:eastAsia="Arial" w:hAnsi="Arial"/>
          <w:sz w:val="17"/>
          <w:szCs w:val="17"/>
          <w:color w:val="auto"/>
        </w:rPr>
        <w:t>The Company expects that these activities will be substantially complete by the end of the third quarter of 2023 and will result in lower ongoing run-rate costs from the overall net reduction in the related headcount and certain overhead.</w:t>
      </w:r>
    </w:p>
    <w:p>
      <w:pPr>
        <w:spacing w:after="0" w:line="359"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7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20"/>
          </w:cols>
          <w:pgMar w:left="320" w:top="841" w:right="359" w:bottom="1440" w:gutter="0" w:footer="0" w:header="0"/>
        </w:sectPr>
      </w:pPr>
    </w:p>
    <w:bookmarkStart w:id="11" w:name="page12"/>
    <w:bookmarkEnd w:id="11"/>
    <w:p>
      <w:pPr>
        <w:spacing w:after="0"/>
        <w:rPr>
          <w:sz w:val="20"/>
          <w:szCs w:val="20"/>
          <w:color w:val="auto"/>
        </w:rPr>
      </w:pPr>
      <w:r>
        <w:rPr>
          <w:rFonts w:ascii="Arial" w:cs="Arial" w:eastAsia="Arial" w:hAnsi="Arial"/>
          <w:sz w:val="17"/>
          <w:szCs w:val="17"/>
          <w:b w:val="1"/>
          <w:bCs w:val="1"/>
          <w:color w:val="auto"/>
        </w:rPr>
        <w:t>Balance Sheet and Capital Allocation</w:t>
      </w:r>
    </w:p>
    <w:p>
      <w:pPr>
        <w:spacing w:after="0" w:line="205" w:lineRule="exact"/>
        <w:rPr>
          <w:sz w:val="20"/>
          <w:szCs w:val="20"/>
          <w:color w:val="auto"/>
        </w:rPr>
      </w:pPr>
    </w:p>
    <w:p>
      <w:pPr>
        <w:ind w:right="180"/>
        <w:spacing w:after="0" w:line="242" w:lineRule="auto"/>
        <w:rPr>
          <w:sz w:val="20"/>
          <w:szCs w:val="20"/>
          <w:color w:val="auto"/>
        </w:rPr>
      </w:pPr>
      <w:r>
        <w:rPr>
          <w:rFonts w:ascii="Arial" w:cs="Arial" w:eastAsia="Arial" w:hAnsi="Arial"/>
          <w:sz w:val="17"/>
          <w:szCs w:val="17"/>
          <w:color w:val="auto"/>
        </w:rPr>
        <w:t>As of Dec. 31, 2022, the Company had cash, cash equivalents, and investments totaling $ 414.6 million and $1,109.6 million of debt, compared with cash, cash equivalents, and investments of $546.1 million and $359.4 million of debt as of Dec. 31, 2021.</w:t>
      </w:r>
    </w:p>
    <w:p>
      <w:pPr>
        <w:spacing w:after="0" w:line="176" w:lineRule="exact"/>
        <w:rPr>
          <w:sz w:val="20"/>
          <w:szCs w:val="20"/>
          <w:color w:val="auto"/>
        </w:rPr>
      </w:pPr>
    </w:p>
    <w:p>
      <w:pPr>
        <w:ind w:right="240"/>
        <w:spacing w:after="0" w:line="236" w:lineRule="auto"/>
        <w:rPr>
          <w:sz w:val="20"/>
          <w:szCs w:val="20"/>
          <w:color w:val="auto"/>
        </w:rPr>
      </w:pPr>
      <w:r>
        <w:rPr>
          <w:rFonts w:ascii="Arial" w:cs="Arial" w:eastAsia="Arial" w:hAnsi="Arial"/>
          <w:sz w:val="17"/>
          <w:szCs w:val="17"/>
          <w:color w:val="auto"/>
        </w:rPr>
        <w:t>Cash provided by operating activities decreased by 33.8% to $297.8 million for the full year 2022, compared with $449.9 million in 2021. Free cash flow decreased by 51.7% to $ 168.3 million in the full year 2022, compared with $348.1 million in the prior year. Excluding M&amp;A-related earn-out payments, operating and free cash flow would have declined by 27.6% and 42.9%, respectively. The decline in free cash flow was due primarily to lower cash earnings, the higher bonus payment made in 2022 related to 2021 performance, higher interest expense, and an increase in capital expenditures driven in large part by higher capitalized software costs related to product enhancements.</w:t>
      </w:r>
    </w:p>
    <w:p>
      <w:pPr>
        <w:spacing w:after="0" w:line="180" w:lineRule="exact"/>
        <w:rPr>
          <w:sz w:val="20"/>
          <w:szCs w:val="20"/>
          <w:color w:val="auto"/>
        </w:rPr>
      </w:pPr>
    </w:p>
    <w:p>
      <w:pPr>
        <w:ind w:right="180"/>
        <w:spacing w:after="0" w:line="242" w:lineRule="auto"/>
        <w:rPr>
          <w:sz w:val="20"/>
          <w:szCs w:val="20"/>
          <w:color w:val="auto"/>
        </w:rPr>
      </w:pPr>
      <w:r>
        <w:rPr>
          <w:rFonts w:ascii="Arial" w:cs="Arial" w:eastAsia="Arial" w:hAnsi="Arial"/>
          <w:sz w:val="17"/>
          <w:szCs w:val="17"/>
          <w:color w:val="auto"/>
        </w:rPr>
        <w:t>In 2022, the Company increased its debt by a net of $750.2 million, paid $61.5 million in dividends, spent $676.1 million on acquisitions, net of cash acquired, and other minority interests, and repurchased $226.0 million of its shares.</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Subsequent Events</w:t>
      </w:r>
    </w:p>
    <w:p>
      <w:pPr>
        <w:spacing w:after="0" w:line="205" w:lineRule="exact"/>
        <w:rPr>
          <w:sz w:val="20"/>
          <w:szCs w:val="20"/>
          <w:color w:val="auto"/>
        </w:rPr>
      </w:pPr>
    </w:p>
    <w:p>
      <w:pPr>
        <w:spacing w:after="0" w:line="235" w:lineRule="auto"/>
        <w:rPr>
          <w:sz w:val="20"/>
          <w:szCs w:val="20"/>
          <w:color w:val="auto"/>
        </w:rPr>
      </w:pPr>
      <w:r>
        <w:rPr>
          <w:rFonts w:ascii="Arial" w:cs="Arial" w:eastAsia="Arial" w:hAnsi="Arial"/>
          <w:sz w:val="17"/>
          <w:szCs w:val="17"/>
          <w:color w:val="auto"/>
        </w:rPr>
        <w:t>On Jan. 27, 2023, the Company entered into an agreement to terminate its license agreement dated April 8, 1998 with Morningstar Japan K.K. (MJKK). Under the agreement, MJKK agreed to cease use of the Morningstar brand and the Company agreed to pay MJKK 8 billion Japanese yen (approximately $60 million). The termination payment is comprised of 6 billion Japanese yen (approximately $45.0 million), paid upon termination of the license agreement on Mar. 30, 2023, and a contingent payment of 2 billion Japanese yen (approximately $15.0 million), paid upon the achievement of certain conditions related primarily to the termination of the use of the Morningstar brand by MJKK's customers. In connection with the transaction, the Company entered into a tender offer agreement with SBI Global Asset Management (SBI), under which SBI agreed to launch a public tender offer for the purpose of acquiring up to 10 million shares of MJKK owned by the Company. The tender offer period is expected to conclude on Feb. 28, 2023. The Company plans to further develop its global and independent research, ratings, data, software, indexes, asset management services, and other products for the Japanese market.</w:t>
      </w:r>
    </w:p>
    <w:p>
      <w:pPr>
        <w:spacing w:after="0" w:line="179" w:lineRule="exact"/>
        <w:rPr>
          <w:sz w:val="20"/>
          <w:szCs w:val="20"/>
          <w:color w:val="auto"/>
        </w:rPr>
      </w:pPr>
    </w:p>
    <w:p>
      <w:pPr>
        <w:spacing w:after="0" w:line="242" w:lineRule="auto"/>
        <w:rPr>
          <w:sz w:val="20"/>
          <w:szCs w:val="20"/>
          <w:color w:val="auto"/>
        </w:rPr>
      </w:pPr>
      <w:r>
        <w:rPr>
          <w:rFonts w:ascii="Arial" w:cs="Arial" w:eastAsia="Arial" w:hAnsi="Arial"/>
          <w:sz w:val="17"/>
          <w:szCs w:val="17"/>
          <w:color w:val="auto"/>
        </w:rPr>
        <w:t>On Feb. 6, 2023, Morningstar made its final $ 50.0 million payment related to the acquisition of LCD from S&amp;P Global. The payment was contingent on the achievement of certain conditions related to the transition of LCD customer relationships to Morningstar.</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Comparability of Year-Over-Year Results</w:t>
      </w:r>
    </w:p>
    <w:p>
      <w:pPr>
        <w:spacing w:after="0" w:line="205" w:lineRule="exact"/>
        <w:rPr>
          <w:sz w:val="20"/>
          <w:szCs w:val="20"/>
          <w:color w:val="auto"/>
        </w:rPr>
      </w:pPr>
    </w:p>
    <w:p>
      <w:pPr>
        <w:ind w:right="80"/>
        <w:spacing w:after="0" w:line="242" w:lineRule="auto"/>
        <w:rPr>
          <w:sz w:val="20"/>
          <w:szCs w:val="20"/>
          <w:color w:val="auto"/>
        </w:rPr>
      </w:pPr>
      <w:r>
        <w:rPr>
          <w:rFonts w:ascii="Arial" w:cs="Arial" w:eastAsia="Arial" w:hAnsi="Arial"/>
          <w:sz w:val="17"/>
          <w:szCs w:val="17"/>
          <w:color w:val="auto"/>
        </w:rPr>
        <w:t>In addition to intangible amortization expense and M&amp;A-related expenses, certain other items, as detailed below, affected the comparability of fourth-quarter and full-year 2022 results versus the same periods in 2021.</w:t>
      </w:r>
    </w:p>
    <w:p>
      <w:pPr>
        <w:spacing w:after="0" w:line="359"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8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180"/>
          </w:cols>
          <w:pgMar w:left="320" w:top="841" w:right="399" w:bottom="1440" w:gutter="0" w:footer="0" w:header="0"/>
        </w:sectPr>
      </w:pPr>
    </w:p>
    <w:bookmarkStart w:id="12" w:name="page13"/>
    <w:bookmarkEnd w:id="12"/>
    <w:p>
      <w:pPr>
        <w:spacing w:after="0"/>
        <w:rPr>
          <w:sz w:val="20"/>
          <w:szCs w:val="20"/>
          <w:color w:val="auto"/>
        </w:rPr>
      </w:pPr>
      <w:r>
        <w:rPr>
          <w:rFonts w:ascii="Arial" w:cs="Arial" w:eastAsia="Arial" w:hAnsi="Arial"/>
          <w:sz w:val="17"/>
          <w:szCs w:val="17"/>
          <w:b w:val="1"/>
          <w:bCs w:val="1"/>
          <w:color w:val="auto"/>
        </w:rPr>
        <w:t>Fourth-Quarter 2022 Results</w:t>
      </w:r>
    </w:p>
    <w:p>
      <w:pPr>
        <w:spacing w:after="0" w:line="205" w:lineRule="exact"/>
        <w:rPr>
          <w:sz w:val="20"/>
          <w:szCs w:val="20"/>
          <w:color w:val="auto"/>
        </w:rPr>
      </w:pPr>
    </w:p>
    <w:p>
      <w:pPr>
        <w:ind w:left="620" w:right="40" w:hanging="314"/>
        <w:spacing w:after="0" w:line="238" w:lineRule="auto"/>
        <w:tabs>
          <w:tab w:leader="none" w:pos="620" w:val="left"/>
        </w:tabs>
        <w:numPr>
          <w:ilvl w:val="0"/>
          <w:numId w:val="14"/>
        </w:numPr>
        <w:rPr>
          <w:rFonts w:ascii="Arial" w:cs="Arial" w:eastAsia="Arial" w:hAnsi="Arial"/>
          <w:sz w:val="17"/>
          <w:szCs w:val="17"/>
          <w:color w:val="auto"/>
        </w:rPr>
      </w:pPr>
      <w:r>
        <w:rPr>
          <w:rFonts w:ascii="Arial" w:cs="Arial" w:eastAsia="Arial" w:hAnsi="Arial"/>
          <w:sz w:val="17"/>
          <w:szCs w:val="17"/>
          <w:color w:val="auto"/>
        </w:rPr>
        <w:t>Fourth quarter 2022 results included a $9.9 million year-over-year increase in stock-based compensation related to the overachievement of targets under the PitchBook management bonus plan. PitchBook-related increases in stock-based compensation impacted diluted net income per share by $0.23.</w:t>
      </w:r>
    </w:p>
    <w:p>
      <w:pPr>
        <w:spacing w:after="0" w:line="179" w:lineRule="exact"/>
        <w:rPr>
          <w:rFonts w:ascii="Arial" w:cs="Arial" w:eastAsia="Arial" w:hAnsi="Arial"/>
          <w:sz w:val="17"/>
          <w:szCs w:val="17"/>
          <w:color w:val="auto"/>
        </w:rPr>
      </w:pPr>
    </w:p>
    <w:p>
      <w:pPr>
        <w:ind w:left="620" w:right="420" w:hanging="314"/>
        <w:spacing w:after="0" w:line="242" w:lineRule="auto"/>
        <w:tabs>
          <w:tab w:leader="none" w:pos="620" w:val="left"/>
        </w:tabs>
        <w:numPr>
          <w:ilvl w:val="0"/>
          <w:numId w:val="14"/>
        </w:numPr>
        <w:rPr>
          <w:rFonts w:ascii="Arial" w:cs="Arial" w:eastAsia="Arial" w:hAnsi="Arial"/>
          <w:sz w:val="17"/>
          <w:szCs w:val="17"/>
          <w:color w:val="auto"/>
        </w:rPr>
      </w:pPr>
      <w:r>
        <w:rPr>
          <w:rFonts w:ascii="Arial" w:cs="Arial" w:eastAsia="Arial" w:hAnsi="Arial"/>
          <w:sz w:val="17"/>
          <w:szCs w:val="17"/>
          <w:color w:val="auto"/>
        </w:rPr>
        <w:t>Foreign currency translation decreased revenue by $13.9 million, or 3.0%, and operating expense by $17.5 million, or 4.5%, in the fourth quarter of 2022. This resulted in an increase of $3.6 million fourth-quarter operating income.</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Full-Year 2022 Results</w:t>
      </w:r>
    </w:p>
    <w:p>
      <w:pPr>
        <w:spacing w:after="0" w:line="205" w:lineRule="exact"/>
        <w:rPr>
          <w:sz w:val="20"/>
          <w:szCs w:val="20"/>
          <w:color w:val="auto"/>
        </w:rPr>
      </w:pPr>
    </w:p>
    <w:p>
      <w:pPr>
        <w:ind w:left="620" w:hanging="314"/>
        <w:spacing w:after="0" w:line="272" w:lineRule="auto"/>
        <w:tabs>
          <w:tab w:leader="none" w:pos="620" w:val="left"/>
        </w:tabs>
        <w:numPr>
          <w:ilvl w:val="0"/>
          <w:numId w:val="15"/>
        </w:numPr>
        <w:rPr>
          <w:rFonts w:ascii="Arial" w:cs="Arial" w:eastAsia="Arial" w:hAnsi="Arial"/>
          <w:sz w:val="16"/>
          <w:szCs w:val="16"/>
          <w:color w:val="auto"/>
        </w:rPr>
      </w:pPr>
      <w:r>
        <w:rPr>
          <w:rFonts w:ascii="Arial" w:cs="Arial" w:eastAsia="Arial" w:hAnsi="Arial"/>
          <w:sz w:val="16"/>
          <w:szCs w:val="16"/>
          <w:color w:val="auto"/>
        </w:rPr>
        <w:t>Full year results included a $26.9 million increase in stock-based compensation related to the overachievement of targets under the PitchBook management bonus plan. PitchBook-related increases in stock-based compensation impacted diluted net income per share by $0.63.</w:t>
      </w:r>
    </w:p>
    <w:p>
      <w:pPr>
        <w:spacing w:after="0" w:line="153" w:lineRule="exact"/>
        <w:rPr>
          <w:rFonts w:ascii="Arial" w:cs="Arial" w:eastAsia="Arial" w:hAnsi="Arial"/>
          <w:sz w:val="16"/>
          <w:szCs w:val="16"/>
          <w:color w:val="auto"/>
        </w:rPr>
      </w:pPr>
    </w:p>
    <w:p>
      <w:pPr>
        <w:ind w:left="620" w:right="360" w:hanging="314"/>
        <w:spacing w:after="0" w:line="242" w:lineRule="auto"/>
        <w:tabs>
          <w:tab w:leader="none" w:pos="620" w:val="left"/>
        </w:tabs>
        <w:numPr>
          <w:ilvl w:val="0"/>
          <w:numId w:val="15"/>
        </w:numPr>
        <w:rPr>
          <w:rFonts w:ascii="Arial" w:cs="Arial" w:eastAsia="Arial" w:hAnsi="Arial"/>
          <w:sz w:val="17"/>
          <w:szCs w:val="17"/>
          <w:color w:val="auto"/>
        </w:rPr>
      </w:pPr>
      <w:r>
        <w:rPr>
          <w:rFonts w:ascii="Arial" w:cs="Arial" w:eastAsia="Arial" w:hAnsi="Arial"/>
          <w:sz w:val="17"/>
          <w:szCs w:val="17"/>
          <w:color w:val="auto"/>
        </w:rPr>
        <w:t>Foreign currency translation decreased revenue by $45.9 million, or 2.7%, and operating expense by $48.2 million, or 3.3%, in 2022. This resulted in an increase of $2.3 million in 2022 operating income.</w:t>
      </w:r>
    </w:p>
    <w:p>
      <w:pPr>
        <w:spacing w:after="0" w:line="176" w:lineRule="exact"/>
        <w:rPr>
          <w:rFonts w:ascii="Arial" w:cs="Arial" w:eastAsia="Arial" w:hAnsi="Arial"/>
          <w:sz w:val="17"/>
          <w:szCs w:val="17"/>
          <w:color w:val="auto"/>
        </w:rPr>
      </w:pPr>
    </w:p>
    <w:p>
      <w:pPr>
        <w:ind w:left="620" w:right="160" w:hanging="314"/>
        <w:spacing w:after="0" w:line="242" w:lineRule="auto"/>
        <w:tabs>
          <w:tab w:leader="none" w:pos="620" w:val="left"/>
        </w:tabs>
        <w:numPr>
          <w:ilvl w:val="0"/>
          <w:numId w:val="15"/>
        </w:numPr>
        <w:rPr>
          <w:rFonts w:ascii="Arial" w:cs="Arial" w:eastAsia="Arial" w:hAnsi="Arial"/>
          <w:sz w:val="17"/>
          <w:szCs w:val="17"/>
          <w:color w:val="auto"/>
        </w:rPr>
      </w:pPr>
      <w:r>
        <w:rPr>
          <w:rFonts w:ascii="Arial" w:cs="Arial" w:eastAsia="Arial" w:hAnsi="Arial"/>
          <w:sz w:val="17"/>
          <w:szCs w:val="17"/>
          <w:color w:val="auto"/>
        </w:rPr>
        <w:t>Excluding $40.0 million and $16.6 million of M&amp;A-related earn-out payments in the second quarter of 2022 and 2021, respectively, operating cash and free cash flow would have declined by 27.6% and 42.9%, respectively.</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Use of Non-GAAP Financial Measures</w:t>
      </w:r>
    </w:p>
    <w:p>
      <w:pPr>
        <w:spacing w:after="0" w:line="205" w:lineRule="exact"/>
        <w:rPr>
          <w:sz w:val="20"/>
          <w:szCs w:val="20"/>
          <w:color w:val="auto"/>
        </w:rPr>
      </w:pPr>
    </w:p>
    <w:p>
      <w:pPr>
        <w:ind w:right="220"/>
        <w:spacing w:after="0" w:line="242" w:lineRule="auto"/>
        <w:rPr>
          <w:sz w:val="20"/>
          <w:szCs w:val="20"/>
          <w:color w:val="auto"/>
        </w:rPr>
      </w:pPr>
      <w:r>
        <w:rPr>
          <w:rFonts w:ascii="Arial" w:cs="Arial" w:eastAsia="Arial" w:hAnsi="Arial"/>
          <w:sz w:val="17"/>
          <w:szCs w:val="17"/>
          <w:color w:val="auto"/>
        </w:rPr>
        <w:t>The tables at the end of this press release include a reconciliation of the non-GAAP financial measures used by the Company to comparable GAAP measures and an explanation of why the Company uses them.</w:t>
      </w:r>
    </w:p>
    <w:p>
      <w:pPr>
        <w:spacing w:after="0" w:line="15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Investor Communication</w:t>
      </w:r>
    </w:p>
    <w:p>
      <w:pPr>
        <w:spacing w:after="0" w:line="205" w:lineRule="exact"/>
        <w:rPr>
          <w:sz w:val="20"/>
          <w:szCs w:val="20"/>
          <w:color w:val="auto"/>
        </w:rPr>
      </w:pPr>
    </w:p>
    <w:p>
      <w:pPr>
        <w:ind w:right="60"/>
        <w:spacing w:after="0" w:line="237" w:lineRule="auto"/>
        <w:rPr>
          <w:sz w:val="20"/>
          <w:szCs w:val="20"/>
          <w:color w:val="auto"/>
        </w:rPr>
      </w:pPr>
      <w:r>
        <w:rPr>
          <w:rFonts w:ascii="Arial" w:cs="Arial" w:eastAsia="Arial" w:hAnsi="Arial"/>
          <w:sz w:val="17"/>
          <w:szCs w:val="17"/>
          <w:color w:val="auto"/>
        </w:rPr>
        <w:t>Morningstar encourages all interested parties — including securities analysts, current shareholders, potential shareholders, and others — to submit questions in writing. Investors and others may send questions about Morningstar’s business to investors@morningstar.com. Morningstar will make written responses to selected inquiries available to all investors at the same time in Form 8-Ks furnished to the Securities and Exchange Commission, generally every month.</w:t>
      </w:r>
    </w:p>
    <w:p>
      <w:pPr>
        <w:spacing w:after="0" w:line="36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9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20"/>
          </w:cols>
          <w:pgMar w:left="320" w:top="1031" w:right="359" w:bottom="1440" w:gutter="0" w:footer="0" w:header="0"/>
        </w:sectPr>
      </w:pPr>
    </w:p>
    <w:bookmarkStart w:id="13" w:name="page14"/>
    <w:bookmarkEnd w:id="13"/>
    <w:p>
      <w:pPr>
        <w:spacing w:after="0"/>
        <w:rPr>
          <w:sz w:val="20"/>
          <w:szCs w:val="20"/>
          <w:color w:val="auto"/>
        </w:rPr>
      </w:pPr>
      <w:r>
        <w:rPr>
          <w:rFonts w:ascii="Arial" w:cs="Arial" w:eastAsia="Arial" w:hAnsi="Arial"/>
          <w:sz w:val="17"/>
          <w:szCs w:val="17"/>
          <w:b w:val="1"/>
          <w:bCs w:val="1"/>
          <w:color w:val="auto"/>
        </w:rPr>
        <w:t>About Morningstar, Inc.</w:t>
      </w:r>
    </w:p>
    <w:p>
      <w:pPr>
        <w:spacing w:after="0" w:line="205" w:lineRule="exact"/>
        <w:rPr>
          <w:sz w:val="20"/>
          <w:szCs w:val="20"/>
          <w:color w:val="auto"/>
        </w:rPr>
      </w:pPr>
    </w:p>
    <w:p>
      <w:pPr>
        <w:ind w:right="80"/>
        <w:spacing w:after="0" w:line="235" w:lineRule="auto"/>
        <w:rPr>
          <w:sz w:val="20"/>
          <w:szCs w:val="20"/>
          <w:color w:val="auto"/>
        </w:rPr>
      </w:pPr>
      <w:r>
        <w:rPr>
          <w:rFonts w:ascii="Arial" w:cs="Arial" w:eastAsia="Arial" w:hAnsi="Arial"/>
          <w:sz w:val="17"/>
          <w:szCs w:val="17"/>
          <w:color w:val="auto"/>
        </w:rPr>
        <w:t>Morningstar, Inc. is a leading provider of independent investment insights in North America, Europe, Australia, and Asia. The Company offers an extensive line of products and services for individual investors, financial advisors, asset managers and owners, retirement plan providers and sponsors, and institutional investors in the debt and private capital markets. Morningstar provides data and research insights on a wide range of investment offerings, including managed investment products, publicly listed companies, private capital markets, debt securities, and real-time global market data. Morningstar also offers investment management services through its investment advisory subsidiaries, with approximately $246 billion in assets under advisement and management as of Dec. 31, 2022. The Company operates through wholly- or majority-owned subsidiaries in 32 countries. For more information, visit www.morningstar.com/company. Follow Morningstar on Twitter @MorningstarInc.</w:t>
      </w:r>
    </w:p>
    <w:p>
      <w:pPr>
        <w:spacing w:after="0" w:line="16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Caution Concerning Forward-Looking Statements</w:t>
      </w:r>
    </w:p>
    <w:p>
      <w:pPr>
        <w:spacing w:after="0" w:line="205" w:lineRule="exact"/>
        <w:rPr>
          <w:sz w:val="20"/>
          <w:szCs w:val="20"/>
          <w:color w:val="auto"/>
        </w:rPr>
      </w:pPr>
    </w:p>
    <w:p>
      <w:pPr>
        <w:spacing w:after="0" w:line="234" w:lineRule="auto"/>
        <w:rPr>
          <w:sz w:val="20"/>
          <w:szCs w:val="20"/>
          <w:color w:val="auto"/>
        </w:rPr>
      </w:pPr>
      <w:r>
        <w:rPr>
          <w:rFonts w:ascii="Arial" w:cs="Arial" w:eastAsia="Arial" w:hAnsi="Arial"/>
          <w:sz w:val="17"/>
          <w:szCs w:val="17"/>
          <w:color w:val="auto"/>
        </w:rPr>
        <w:t>This press release contains forward-looking statements as that term is used in the Private Securities Litigation Reform Act of 1995. These statements are based on our current expectations about future events or future financial performance. Forward-looking statements by their nature address matters that are, to different degrees, uncertain, and often contain words such as “may,” “could,” “expect,” “intend,” “plan,” “seek,” “anticipate,” “believe,” “estimate,” “predict,” “potential,” or “continue.” These statements involve known and unknown risks and uncertainties that may cause the events we discuss not to occur or to differ significantly from what we expect. For us, these risks and uncertainties include, among others, failing to maintain and protect our brand, independence, and reputation; liability related to cybersecurity and the protection of confidential information, including personal information about individuals; compliance failures, regulatory action, or changes in laws applicable to our credit ratings operations, investment advisory, ESG and index businesses; failing to innovate our product and service offerings, or anticipate our clients’ changing needs; prolonged volatility or downturns affecting the financial sector, global financial markets, and the global economy and its effect on our revenue from asset-based fees and our credit ratings business; failing to recruit, develop, and retain qualified employees; liability for any losses that result from errors in our automated advisory tools; inadequacy of our operational risk management and business continuity programs in the event of a material disruptive event; failing to realize the expected business or financial benefits of our acquisitions and investments; failing to scale our operations and increase productivity and its effect on our ability to implement our business plan; failing to maintain growth across our businesses in today's fragmented geopolitical, regulatory and cultural world; liability relating to the information and data we collect, store, use, create, and distribute or the reports that we publish or are produced by our software products; the potential adverse effect of our indebtedness on our cash flows and financial flexibility; challenges in accounting for complexities in taxes in the global jurisdictions in which we operate and its effect on our tax obligations and tax rate; and failing to protect our intellectual property rights or claims of intellectual property infringement against us. A more complete description of these risks and uncertainties can be found in our filings with the Securities and Exchange Commission, including our most recent Annual Report on Form 10-K. If any of these risks and uncertainties materialize, our actual future results and other future events may vary significantly from what we expect. We do not undertake to update our forward-looking statements as a result of new information or future events.</w:t>
      </w:r>
    </w:p>
    <w:p>
      <w:pPr>
        <w:spacing w:after="0" w:line="182" w:lineRule="exact"/>
        <w:rPr>
          <w:sz w:val="20"/>
          <w:szCs w:val="20"/>
          <w:color w:val="auto"/>
        </w:rPr>
      </w:pPr>
    </w:p>
    <w:p>
      <w:pPr>
        <w:spacing w:after="0"/>
        <w:rPr>
          <w:sz w:val="20"/>
          <w:szCs w:val="20"/>
          <w:color w:val="auto"/>
        </w:rPr>
      </w:pPr>
      <w:r>
        <w:rPr>
          <w:rFonts w:ascii="Arial" w:cs="Arial" w:eastAsia="Arial" w:hAnsi="Arial"/>
          <w:sz w:val="17"/>
          <w:szCs w:val="17"/>
          <w:color w:val="auto"/>
        </w:rPr>
        <w:t># # #</w:t>
      </w:r>
    </w:p>
    <w:p>
      <w:pPr>
        <w:spacing w:after="0" w:line="368"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10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41" w:right="339" w:bottom="1440" w:gutter="0" w:footer="0" w:header="0"/>
        </w:sectPr>
      </w:pPr>
    </w:p>
    <w:bookmarkStart w:id="14" w:name="page15"/>
    <w:bookmarkEnd w:id="14"/>
    <w:p>
      <w:pPr>
        <w:spacing w:after="0"/>
        <w:rPr>
          <w:sz w:val="20"/>
          <w:szCs w:val="20"/>
          <w:color w:val="auto"/>
        </w:rPr>
      </w:pPr>
      <w:r>
        <w:rPr>
          <w:rFonts w:ascii="Arial" w:cs="Arial" w:eastAsia="Arial" w:hAnsi="Arial"/>
          <w:sz w:val="17"/>
          <w:szCs w:val="17"/>
          <w:color w:val="auto"/>
        </w:rPr>
        <w:t>Media Relations Contact:</w:t>
      </w:r>
    </w:p>
    <w:p>
      <w:pPr>
        <w:spacing w:after="0" w:line="185" w:lineRule="exact"/>
        <w:rPr>
          <w:sz w:val="20"/>
          <w:szCs w:val="20"/>
          <w:color w:val="auto"/>
        </w:rPr>
      </w:pPr>
    </w:p>
    <w:p>
      <w:pPr>
        <w:spacing w:after="0"/>
        <w:rPr>
          <w:sz w:val="20"/>
          <w:szCs w:val="20"/>
          <w:color w:val="auto"/>
        </w:rPr>
      </w:pPr>
      <w:r>
        <w:rPr>
          <w:rFonts w:ascii="Arial" w:cs="Arial" w:eastAsia="Arial" w:hAnsi="Arial"/>
          <w:sz w:val="16"/>
          <w:szCs w:val="16"/>
          <w:color w:val="auto"/>
        </w:rPr>
        <w:t>Stephanie Lerdall, +1 312-244-7805, stephanie.lerdall@morningstar.com</w:t>
      </w:r>
    </w:p>
    <w:p>
      <w:pPr>
        <w:spacing w:after="0" w:line="196" w:lineRule="exact"/>
        <w:rPr>
          <w:sz w:val="20"/>
          <w:szCs w:val="20"/>
          <w:color w:val="auto"/>
        </w:rPr>
      </w:pPr>
    </w:p>
    <w:p>
      <w:pPr>
        <w:spacing w:after="0"/>
        <w:rPr>
          <w:sz w:val="20"/>
          <w:szCs w:val="20"/>
          <w:color w:val="auto"/>
        </w:rPr>
      </w:pPr>
      <w:r>
        <w:rPr>
          <w:rFonts w:ascii="Arial" w:cs="Arial" w:eastAsia="Arial" w:hAnsi="Arial"/>
          <w:sz w:val="17"/>
          <w:szCs w:val="17"/>
          <w:color w:val="auto"/>
        </w:rPr>
        <w:t>Investor Relations Contact:</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color w:val="auto"/>
        </w:rPr>
        <w:t>Sarah Bush, +1 312-384-3754, sarah.bush@morningstar.com</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color w:val="auto"/>
        </w:rPr>
        <w:t>©2023 Morningstar, Inc. All Rights Reserved.</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color w:val="auto"/>
        </w:rPr>
        <w:t>MORN-E</w:t>
      </w:r>
    </w:p>
    <w:p>
      <w:pPr>
        <w:spacing w:after="0" w:line="368"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11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0139"/>
          </w:cols>
          <w:pgMar w:left="320" w:top="861" w:right="1440" w:bottom="1440" w:gutter="0" w:footer="0" w:header="0"/>
        </w:sectPr>
      </w:pPr>
    </w:p>
    <w:bookmarkStart w:id="15" w:name="page16"/>
    <w:bookmarkEnd w:id="15"/>
    <w:tbl>
      <w:tblPr>
        <w:tblLayout w:type="fixed"/>
        <w:tblInd w:w="0" w:type="dxa"/>
        <w:tblCellMar>
          <w:top w:w="0" w:type="dxa"/>
          <w:left w:w="0" w:type="dxa"/>
          <w:bottom w:w="0" w:type="dxa"/>
          <w:right w:w="0" w:type="dxa"/>
        </w:tblCellMar>
      </w:tblPr>
      <w:tr>
        <w:trPr>
          <w:trHeight w:val="223"/>
        </w:trPr>
        <w:tc>
          <w:tcPr>
            <w:tcW w:w="3760" w:type="dxa"/>
            <w:vAlign w:val="bottom"/>
            <w:gridSpan w:val="3"/>
          </w:tcPr>
          <w:p>
            <w:pPr>
              <w:spacing w:after="0"/>
              <w:rPr>
                <w:sz w:val="20"/>
                <w:szCs w:val="20"/>
                <w:color w:val="auto"/>
              </w:rPr>
            </w:pPr>
            <w:r>
              <w:rPr>
                <w:rFonts w:ascii="Arial" w:cs="Arial" w:eastAsia="Arial" w:hAnsi="Arial"/>
                <w:sz w:val="17"/>
                <w:szCs w:val="17"/>
                <w:b w:val="1"/>
                <w:bCs w:val="1"/>
                <w:color w:val="auto"/>
              </w:rPr>
              <w:t>Morningstar, Inc. and Subsidiaries</w:t>
            </w:r>
          </w:p>
        </w:tc>
        <w:tc>
          <w:tcPr>
            <w:tcW w:w="20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80"/>
        </w:trPr>
        <w:tc>
          <w:tcPr>
            <w:tcW w:w="5000" w:type="dxa"/>
            <w:vAlign w:val="bottom"/>
            <w:gridSpan w:val="6"/>
          </w:tcPr>
          <w:p>
            <w:pPr>
              <w:spacing w:after="0"/>
              <w:rPr>
                <w:sz w:val="20"/>
                <w:szCs w:val="20"/>
                <w:color w:val="auto"/>
              </w:rPr>
            </w:pPr>
            <w:r>
              <w:rPr>
                <w:rFonts w:ascii="Arial" w:cs="Arial" w:eastAsia="Arial" w:hAnsi="Arial"/>
                <w:sz w:val="17"/>
                <w:szCs w:val="17"/>
                <w:b w:val="1"/>
                <w:bCs w:val="1"/>
                <w:color w:val="auto"/>
              </w:rPr>
              <w:t>Unaudited Condensed Consolidated Statements of Income</w:t>
            </w:r>
          </w:p>
        </w:tc>
        <w:tc>
          <w:tcPr>
            <w:tcW w:w="2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1"/>
        </w:trPr>
        <w:tc>
          <w:tcPr>
            <w:tcW w:w="3760" w:type="dxa"/>
            <w:vAlign w:val="bottom"/>
            <w:gridSpan w:val="3"/>
            <w:vMerge w:val="restart"/>
          </w:tcPr>
          <w:p>
            <w:pPr>
              <w:spacing w:after="0"/>
              <w:rPr>
                <w:sz w:val="20"/>
                <w:szCs w:val="20"/>
                <w:color w:val="auto"/>
              </w:rPr>
            </w:pPr>
            <w:r>
              <w:rPr>
                <w:rFonts w:ascii="Arial" w:cs="Arial" w:eastAsia="Arial" w:hAnsi="Arial"/>
                <w:sz w:val="17"/>
                <w:szCs w:val="17"/>
                <w:b w:val="1"/>
                <w:bCs w:val="1"/>
                <w:color w:val="auto"/>
              </w:rPr>
              <w:t>(in millions, except per share amounts)</w:t>
            </w:r>
          </w:p>
        </w:tc>
        <w:tc>
          <w:tcPr>
            <w:tcW w:w="200" w:type="dxa"/>
            <w:vAlign w:val="bottom"/>
          </w:tcPr>
          <w:p>
            <w:pPr>
              <w:spacing w:after="0"/>
              <w:rPr>
                <w:sz w:val="24"/>
                <w:szCs w:val="24"/>
                <w:color w:val="auto"/>
              </w:rPr>
            </w:pPr>
          </w:p>
        </w:tc>
        <w:tc>
          <w:tcPr>
            <w:tcW w:w="3600" w:type="dxa"/>
            <w:vAlign w:val="bottom"/>
            <w:gridSpan w:val="7"/>
          </w:tcPr>
          <w:p>
            <w:pPr>
              <w:jc w:val="right"/>
              <w:ind w:right="680"/>
              <w:spacing w:after="0"/>
              <w:rPr>
                <w:sz w:val="20"/>
                <w:szCs w:val="20"/>
                <w:color w:val="auto"/>
              </w:rPr>
            </w:pPr>
            <w:r>
              <w:rPr>
                <w:rFonts w:ascii="Arial" w:cs="Arial" w:eastAsia="Arial" w:hAnsi="Arial"/>
                <w:sz w:val="17"/>
                <w:szCs w:val="17"/>
                <w:b w:val="1"/>
                <w:bCs w:val="1"/>
                <w:color w:val="auto"/>
              </w:rPr>
              <w:t>Three months ended December 31,</w:t>
            </w:r>
          </w:p>
        </w:tc>
        <w:tc>
          <w:tcPr>
            <w:tcW w:w="200" w:type="dxa"/>
            <w:vAlign w:val="bottom"/>
          </w:tcPr>
          <w:p>
            <w:pPr>
              <w:spacing w:after="0"/>
              <w:rPr>
                <w:sz w:val="24"/>
                <w:szCs w:val="24"/>
                <w:color w:val="auto"/>
              </w:rPr>
            </w:pPr>
          </w:p>
        </w:tc>
        <w:tc>
          <w:tcPr>
            <w:tcW w:w="3480" w:type="dxa"/>
            <w:vAlign w:val="bottom"/>
            <w:gridSpan w:val="7"/>
          </w:tcPr>
          <w:p>
            <w:pPr>
              <w:jc w:val="right"/>
              <w:ind w:right="940"/>
              <w:spacing w:after="0"/>
              <w:rPr>
                <w:sz w:val="20"/>
                <w:szCs w:val="20"/>
                <w:color w:val="auto"/>
              </w:rPr>
            </w:pPr>
            <w:r>
              <w:rPr>
                <w:rFonts w:ascii="Arial" w:cs="Arial" w:eastAsia="Arial" w:hAnsi="Arial"/>
                <w:sz w:val="17"/>
                <w:szCs w:val="17"/>
                <w:b w:val="1"/>
                <w:bCs w:val="1"/>
                <w:color w:val="auto"/>
              </w:rPr>
              <w:t>Year ended December 31,</w:t>
            </w:r>
          </w:p>
        </w:tc>
        <w:tc>
          <w:tcPr>
            <w:tcW w:w="0" w:type="dxa"/>
            <w:vAlign w:val="bottom"/>
          </w:tcPr>
          <w:p>
            <w:pPr>
              <w:spacing w:after="0"/>
              <w:rPr>
                <w:sz w:val="1"/>
                <w:szCs w:val="1"/>
                <w:color w:val="auto"/>
              </w:rPr>
            </w:pPr>
          </w:p>
        </w:tc>
      </w:tr>
      <w:tr>
        <w:trPr>
          <w:trHeight w:val="196"/>
        </w:trPr>
        <w:tc>
          <w:tcPr>
            <w:tcW w:w="3760" w:type="dxa"/>
            <w:vAlign w:val="bottom"/>
            <w:gridSpan w:val="3"/>
            <w:vMerge w:val="continue"/>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jc w:val="right"/>
              <w:ind w:right="216"/>
              <w:spacing w:after="0"/>
              <w:rPr>
                <w:sz w:val="20"/>
                <w:szCs w:val="20"/>
                <w:color w:val="auto"/>
              </w:rPr>
            </w:pPr>
            <w:r>
              <w:rPr>
                <w:rFonts w:ascii="Arial" w:cs="Arial" w:eastAsia="Arial" w:hAnsi="Arial"/>
                <w:sz w:val="17"/>
                <w:szCs w:val="17"/>
                <w:b w:val="1"/>
                <w:bCs w:val="1"/>
                <w:color w:val="auto"/>
              </w:rPr>
              <w:t>2022</w:t>
            </w:r>
          </w:p>
        </w:tc>
        <w:tc>
          <w:tcPr>
            <w:tcW w:w="260" w:type="dxa"/>
            <w:vAlign w:val="bottom"/>
            <w:tcBorders>
              <w:top w:val="single" w:sz="8" w:color="auto"/>
            </w:tcBorders>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jc w:val="right"/>
              <w:ind w:right="216"/>
              <w:spacing w:after="0"/>
              <w:rPr>
                <w:sz w:val="20"/>
                <w:szCs w:val="20"/>
                <w:color w:val="auto"/>
              </w:rPr>
            </w:pPr>
            <w:r>
              <w:rPr>
                <w:rFonts w:ascii="Arial" w:cs="Arial" w:eastAsia="Arial" w:hAnsi="Arial"/>
                <w:sz w:val="17"/>
                <w:szCs w:val="17"/>
                <w:b w:val="1"/>
                <w:bCs w:val="1"/>
                <w:color w:val="auto"/>
              </w:rPr>
              <w:t>2021</w:t>
            </w:r>
          </w:p>
        </w:tc>
        <w:tc>
          <w:tcPr>
            <w:tcW w:w="24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jc w:val="right"/>
              <w:ind w:right="96"/>
              <w:spacing w:after="0"/>
              <w:rPr>
                <w:sz w:val="20"/>
                <w:szCs w:val="20"/>
                <w:color w:val="auto"/>
              </w:rPr>
            </w:pPr>
            <w:r>
              <w:rPr>
                <w:rFonts w:ascii="Arial" w:cs="Arial" w:eastAsia="Arial" w:hAnsi="Arial"/>
                <w:sz w:val="17"/>
                <w:szCs w:val="17"/>
                <w:b w:val="1"/>
                <w:bCs w:val="1"/>
                <w:color w:val="auto"/>
              </w:rPr>
              <w:t>change</w:t>
            </w:r>
          </w:p>
        </w:tc>
        <w:tc>
          <w:tcPr>
            <w:tcW w:w="360" w:type="dxa"/>
            <w:vAlign w:val="bottom"/>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jc w:val="right"/>
              <w:ind w:right="216"/>
              <w:spacing w:after="0"/>
              <w:rPr>
                <w:sz w:val="20"/>
                <w:szCs w:val="20"/>
                <w:color w:val="auto"/>
              </w:rPr>
            </w:pPr>
            <w:r>
              <w:rPr>
                <w:rFonts w:ascii="Arial" w:cs="Arial" w:eastAsia="Arial" w:hAnsi="Arial"/>
                <w:sz w:val="17"/>
                <w:szCs w:val="17"/>
                <w:b w:val="1"/>
                <w:bCs w:val="1"/>
                <w:color w:val="auto"/>
              </w:rPr>
              <w:t>2022</w:t>
            </w:r>
          </w:p>
        </w:tc>
        <w:tc>
          <w:tcPr>
            <w:tcW w:w="240" w:type="dxa"/>
            <w:vAlign w:val="bottom"/>
            <w:tcBorders>
              <w:top w:val="single" w:sz="8" w:color="auto"/>
            </w:tcBorders>
          </w:tcPr>
          <w:p>
            <w:pPr>
              <w:spacing w:after="0"/>
              <w:rPr>
                <w:sz w:val="17"/>
                <w:szCs w:val="17"/>
                <w:color w:val="auto"/>
              </w:rPr>
            </w:pPr>
          </w:p>
        </w:tc>
        <w:tc>
          <w:tcPr>
            <w:tcW w:w="20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jc w:val="right"/>
              <w:ind w:right="216"/>
              <w:spacing w:after="0"/>
              <w:rPr>
                <w:sz w:val="20"/>
                <w:szCs w:val="20"/>
                <w:color w:val="auto"/>
              </w:rPr>
            </w:pPr>
            <w:r>
              <w:rPr>
                <w:rFonts w:ascii="Arial" w:cs="Arial" w:eastAsia="Arial" w:hAnsi="Arial"/>
                <w:sz w:val="17"/>
                <w:szCs w:val="17"/>
                <w:b w:val="1"/>
                <w:bCs w:val="1"/>
                <w:color w:val="auto"/>
              </w:rPr>
              <w:t>2021</w:t>
            </w:r>
          </w:p>
        </w:tc>
        <w:tc>
          <w:tcPr>
            <w:tcW w:w="26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jc w:val="right"/>
              <w:ind w:right="116"/>
              <w:spacing w:after="0"/>
              <w:rPr>
                <w:sz w:val="20"/>
                <w:szCs w:val="20"/>
                <w:color w:val="auto"/>
              </w:rPr>
            </w:pPr>
            <w:r>
              <w:rPr>
                <w:rFonts w:ascii="Arial" w:cs="Arial" w:eastAsia="Arial" w:hAnsi="Arial"/>
                <w:sz w:val="17"/>
                <w:szCs w:val="17"/>
                <w:b w:val="1"/>
                <w:bCs w:val="1"/>
                <w:color w:val="auto"/>
              </w:rPr>
              <w:t>change</w:t>
            </w:r>
          </w:p>
        </w:tc>
        <w:tc>
          <w:tcPr>
            <w:tcW w:w="2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640" w:type="dxa"/>
            <w:vAlign w:val="bottom"/>
            <w:shd w:val="clear" w:color="auto" w:fill="000000"/>
          </w:tcPr>
          <w:p>
            <w:pPr>
              <w:spacing w:after="0" w:line="20" w:lineRule="exact"/>
              <w:rPr>
                <w:sz w:val="1"/>
                <w:szCs w:val="1"/>
                <w:color w:val="auto"/>
              </w:rPr>
            </w:pPr>
          </w:p>
        </w:tc>
        <w:tc>
          <w:tcPr>
            <w:tcW w:w="100" w:type="dxa"/>
            <w:vAlign w:val="bottom"/>
            <w:vMerge w:val="restart"/>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vMerge w:val="restart"/>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40" w:type="dxa"/>
            <w:vAlign w:val="bottom"/>
            <w:vMerge w:val="restart"/>
            <w:shd w:val="clear" w:color="auto" w:fill="CCEEFF"/>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40" w:type="dxa"/>
            <w:vAlign w:val="bottom"/>
            <w:tcBorders>
              <w:right w:val="single" w:sz="8" w:color="CCEEFF"/>
            </w:tcBorders>
            <w:vMerge w:val="restart"/>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60" w:type="dxa"/>
            <w:vAlign w:val="bottom"/>
            <w:vMerge w:val="restart"/>
            <w:shd w:val="clear" w:color="auto" w:fill="CCEEFF"/>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20" w:type="dxa"/>
            <w:vAlign w:val="bottom"/>
          </w:tcPr>
          <w:p>
            <w:pPr>
              <w:spacing w:after="0"/>
              <w:rPr>
                <w:sz w:val="15"/>
                <w:szCs w:val="15"/>
                <w:color w:val="auto"/>
              </w:rPr>
            </w:pPr>
          </w:p>
        </w:tc>
        <w:tc>
          <w:tcPr>
            <w:tcW w:w="3640" w:type="dxa"/>
            <w:vAlign w:val="bottom"/>
            <w:shd w:val="clear" w:color="auto" w:fill="CCEEFF"/>
          </w:tcPr>
          <w:p>
            <w:pPr>
              <w:spacing w:after="0" w:line="183" w:lineRule="exact"/>
              <w:rPr>
                <w:sz w:val="20"/>
                <w:szCs w:val="20"/>
                <w:color w:val="auto"/>
              </w:rPr>
            </w:pPr>
            <w:r>
              <w:rPr>
                <w:rFonts w:ascii="Arial" w:cs="Arial" w:eastAsia="Arial" w:hAnsi="Arial"/>
                <w:sz w:val="17"/>
                <w:szCs w:val="17"/>
                <w:color w:val="auto"/>
              </w:rPr>
              <w:t>Revenue</w:t>
            </w:r>
          </w:p>
        </w:tc>
        <w:tc>
          <w:tcPr>
            <w:tcW w:w="100" w:type="dxa"/>
            <w:vAlign w:val="bottom"/>
            <w:vMerge w:val="continue"/>
            <w:shd w:val="clear" w:color="auto" w:fill="CCEEFF"/>
          </w:tcPr>
          <w:p>
            <w:pPr>
              <w:spacing w:after="0"/>
              <w:rPr>
                <w:sz w:val="15"/>
                <w:szCs w:val="15"/>
                <w:color w:val="auto"/>
              </w:rPr>
            </w:pPr>
          </w:p>
        </w:tc>
        <w:tc>
          <w:tcPr>
            <w:tcW w:w="200" w:type="dxa"/>
            <w:vAlign w:val="bottom"/>
            <w:shd w:val="clear" w:color="auto" w:fill="CCEEFF"/>
          </w:tcPr>
          <w:p>
            <w:pPr>
              <w:jc w:val="right"/>
              <w:ind w:right="16"/>
              <w:spacing w:after="0" w:line="183" w:lineRule="exact"/>
              <w:rPr>
                <w:sz w:val="20"/>
                <w:szCs w:val="20"/>
                <w:color w:val="auto"/>
              </w:rPr>
            </w:pPr>
            <w:r>
              <w:rPr>
                <w:rFonts w:ascii="Arial" w:cs="Arial" w:eastAsia="Arial" w:hAnsi="Arial"/>
                <w:sz w:val="17"/>
                <w:szCs w:val="17"/>
                <w:color w:val="auto"/>
                <w:w w:val="84"/>
              </w:rPr>
              <w:t>$</w:t>
            </w:r>
          </w:p>
        </w:tc>
        <w:tc>
          <w:tcPr>
            <w:tcW w:w="780" w:type="dxa"/>
            <w:vAlign w:val="bottom"/>
            <w:shd w:val="clear" w:color="auto" w:fill="CCEEFF"/>
          </w:tcPr>
          <w:p>
            <w:pPr>
              <w:jc w:val="right"/>
              <w:spacing w:after="0" w:line="183" w:lineRule="exact"/>
              <w:rPr>
                <w:sz w:val="20"/>
                <w:szCs w:val="20"/>
                <w:color w:val="auto"/>
              </w:rPr>
            </w:pPr>
            <w:r>
              <w:rPr>
                <w:rFonts w:ascii="Arial" w:cs="Arial" w:eastAsia="Arial" w:hAnsi="Arial"/>
                <w:sz w:val="17"/>
                <w:szCs w:val="17"/>
                <w:color w:val="auto"/>
              </w:rPr>
              <w:t>475.0</w:t>
            </w:r>
          </w:p>
        </w:tc>
        <w:tc>
          <w:tcPr>
            <w:tcW w:w="260" w:type="dxa"/>
            <w:vAlign w:val="bottom"/>
            <w:tcBorders>
              <w:right w:val="single" w:sz="8" w:color="CCEEFF"/>
            </w:tcBorders>
            <w:vMerge w:val="continue"/>
            <w:shd w:val="clear" w:color="auto" w:fill="CCEEFF"/>
          </w:tcPr>
          <w:p>
            <w:pPr>
              <w:spacing w:after="0"/>
              <w:rPr>
                <w:sz w:val="15"/>
                <w:szCs w:val="15"/>
                <w:color w:val="auto"/>
              </w:rPr>
            </w:pPr>
          </w:p>
        </w:tc>
        <w:tc>
          <w:tcPr>
            <w:tcW w:w="200" w:type="dxa"/>
            <w:vAlign w:val="bottom"/>
            <w:shd w:val="clear" w:color="auto" w:fill="CCEEFF"/>
          </w:tcPr>
          <w:p>
            <w:pPr>
              <w:jc w:val="right"/>
              <w:ind w:right="16"/>
              <w:spacing w:after="0" w:line="183" w:lineRule="exact"/>
              <w:rPr>
                <w:sz w:val="20"/>
                <w:szCs w:val="20"/>
                <w:color w:val="auto"/>
              </w:rPr>
            </w:pPr>
            <w:r>
              <w:rPr>
                <w:rFonts w:ascii="Arial" w:cs="Arial" w:eastAsia="Arial" w:hAnsi="Arial"/>
                <w:sz w:val="17"/>
                <w:szCs w:val="17"/>
                <w:color w:val="auto"/>
                <w:w w:val="84"/>
              </w:rPr>
              <w:t>$</w:t>
            </w:r>
          </w:p>
        </w:tc>
        <w:tc>
          <w:tcPr>
            <w:tcW w:w="780" w:type="dxa"/>
            <w:vAlign w:val="bottom"/>
            <w:shd w:val="clear" w:color="auto" w:fill="CCEEFF"/>
          </w:tcPr>
          <w:p>
            <w:pPr>
              <w:jc w:val="right"/>
              <w:spacing w:after="0" w:line="183" w:lineRule="exact"/>
              <w:rPr>
                <w:sz w:val="20"/>
                <w:szCs w:val="20"/>
                <w:color w:val="auto"/>
              </w:rPr>
            </w:pPr>
            <w:r>
              <w:rPr>
                <w:rFonts w:ascii="Arial" w:cs="Arial" w:eastAsia="Arial" w:hAnsi="Arial"/>
                <w:sz w:val="17"/>
                <w:szCs w:val="17"/>
                <w:color w:val="auto"/>
              </w:rPr>
              <w:t>462.2</w:t>
            </w:r>
          </w:p>
        </w:tc>
        <w:tc>
          <w:tcPr>
            <w:tcW w:w="240" w:type="dxa"/>
            <w:vAlign w:val="bottom"/>
            <w:vMerge w:val="continue"/>
            <w:shd w:val="clear" w:color="auto" w:fill="CCEEFF"/>
          </w:tcPr>
          <w:p>
            <w:pPr>
              <w:spacing w:after="0"/>
              <w:rPr>
                <w:sz w:val="15"/>
                <w:szCs w:val="15"/>
                <w:color w:val="auto"/>
              </w:rPr>
            </w:pPr>
          </w:p>
        </w:tc>
        <w:tc>
          <w:tcPr>
            <w:tcW w:w="1340" w:type="dxa"/>
            <w:vAlign w:val="bottom"/>
            <w:gridSpan w:val="2"/>
            <w:shd w:val="clear" w:color="auto" w:fill="CCEEFF"/>
          </w:tcPr>
          <w:p>
            <w:pPr>
              <w:jc w:val="right"/>
              <w:ind w:right="200"/>
              <w:spacing w:after="0" w:line="183" w:lineRule="exact"/>
              <w:rPr>
                <w:sz w:val="20"/>
                <w:szCs w:val="20"/>
                <w:color w:val="auto"/>
              </w:rPr>
            </w:pPr>
            <w:r>
              <w:rPr>
                <w:rFonts w:ascii="Arial" w:cs="Arial" w:eastAsia="Arial" w:hAnsi="Arial"/>
                <w:sz w:val="17"/>
                <w:szCs w:val="17"/>
                <w:color w:val="auto"/>
              </w:rPr>
              <w:t>2.8%</w:t>
            </w:r>
          </w:p>
        </w:tc>
        <w:tc>
          <w:tcPr>
            <w:tcW w:w="200" w:type="dxa"/>
            <w:vAlign w:val="bottom"/>
            <w:shd w:val="clear" w:color="auto" w:fill="CCEEFF"/>
          </w:tcPr>
          <w:p>
            <w:pPr>
              <w:jc w:val="right"/>
              <w:ind w:right="16"/>
              <w:spacing w:after="0" w:line="183" w:lineRule="exact"/>
              <w:rPr>
                <w:sz w:val="20"/>
                <w:szCs w:val="20"/>
                <w:color w:val="auto"/>
              </w:rPr>
            </w:pPr>
            <w:r>
              <w:rPr>
                <w:rFonts w:ascii="Arial" w:cs="Arial" w:eastAsia="Arial" w:hAnsi="Arial"/>
                <w:sz w:val="17"/>
                <w:szCs w:val="17"/>
                <w:color w:val="auto"/>
                <w:w w:val="84"/>
              </w:rPr>
              <w:t>$</w:t>
            </w:r>
          </w:p>
        </w:tc>
        <w:tc>
          <w:tcPr>
            <w:tcW w:w="780" w:type="dxa"/>
            <w:vAlign w:val="bottom"/>
            <w:shd w:val="clear" w:color="auto" w:fill="CCEEFF"/>
          </w:tcPr>
          <w:p>
            <w:pPr>
              <w:jc w:val="right"/>
              <w:spacing w:after="0" w:line="183" w:lineRule="exact"/>
              <w:rPr>
                <w:sz w:val="20"/>
                <w:szCs w:val="20"/>
                <w:color w:val="auto"/>
              </w:rPr>
            </w:pPr>
            <w:r>
              <w:rPr>
                <w:rFonts w:ascii="Arial" w:cs="Arial" w:eastAsia="Arial" w:hAnsi="Arial"/>
                <w:sz w:val="17"/>
                <w:szCs w:val="17"/>
                <w:color w:val="auto"/>
              </w:rPr>
              <w:t>1,870.6</w:t>
            </w:r>
          </w:p>
        </w:tc>
        <w:tc>
          <w:tcPr>
            <w:tcW w:w="240" w:type="dxa"/>
            <w:vAlign w:val="bottom"/>
            <w:tcBorders>
              <w:right w:val="single" w:sz="8" w:color="CCEEFF"/>
            </w:tcBorders>
            <w:vMerge w:val="continue"/>
            <w:shd w:val="clear" w:color="auto" w:fill="CCEEFF"/>
          </w:tcPr>
          <w:p>
            <w:pPr>
              <w:spacing w:after="0"/>
              <w:rPr>
                <w:sz w:val="15"/>
                <w:szCs w:val="15"/>
                <w:color w:val="auto"/>
              </w:rPr>
            </w:pPr>
          </w:p>
        </w:tc>
        <w:tc>
          <w:tcPr>
            <w:tcW w:w="200" w:type="dxa"/>
            <w:vAlign w:val="bottom"/>
            <w:shd w:val="clear" w:color="auto" w:fill="CCEEFF"/>
          </w:tcPr>
          <w:p>
            <w:pPr>
              <w:jc w:val="right"/>
              <w:ind w:right="16"/>
              <w:spacing w:after="0" w:line="183" w:lineRule="exact"/>
              <w:rPr>
                <w:sz w:val="20"/>
                <w:szCs w:val="20"/>
                <w:color w:val="auto"/>
              </w:rPr>
            </w:pPr>
            <w:r>
              <w:rPr>
                <w:rFonts w:ascii="Arial" w:cs="Arial" w:eastAsia="Arial" w:hAnsi="Arial"/>
                <w:sz w:val="17"/>
                <w:szCs w:val="17"/>
                <w:color w:val="auto"/>
                <w:w w:val="84"/>
              </w:rPr>
              <w:t>$</w:t>
            </w:r>
          </w:p>
        </w:tc>
        <w:tc>
          <w:tcPr>
            <w:tcW w:w="780" w:type="dxa"/>
            <w:vAlign w:val="bottom"/>
            <w:shd w:val="clear" w:color="auto" w:fill="CCEEFF"/>
          </w:tcPr>
          <w:p>
            <w:pPr>
              <w:jc w:val="right"/>
              <w:spacing w:after="0" w:line="183" w:lineRule="exact"/>
              <w:rPr>
                <w:sz w:val="20"/>
                <w:szCs w:val="20"/>
                <w:color w:val="auto"/>
              </w:rPr>
            </w:pPr>
            <w:r>
              <w:rPr>
                <w:rFonts w:ascii="Arial" w:cs="Arial" w:eastAsia="Arial" w:hAnsi="Arial"/>
                <w:sz w:val="17"/>
                <w:szCs w:val="17"/>
                <w:color w:val="auto"/>
              </w:rPr>
              <w:t>1,699.3</w:t>
            </w:r>
          </w:p>
        </w:tc>
        <w:tc>
          <w:tcPr>
            <w:tcW w:w="260" w:type="dxa"/>
            <w:vAlign w:val="bottom"/>
            <w:vMerge w:val="continue"/>
            <w:shd w:val="clear" w:color="auto" w:fill="CCEEFF"/>
          </w:tcPr>
          <w:p>
            <w:pPr>
              <w:spacing w:after="0"/>
              <w:rPr>
                <w:sz w:val="15"/>
                <w:szCs w:val="15"/>
                <w:color w:val="auto"/>
              </w:rPr>
            </w:pPr>
          </w:p>
        </w:tc>
        <w:tc>
          <w:tcPr>
            <w:tcW w:w="1220" w:type="dxa"/>
            <w:vAlign w:val="bottom"/>
            <w:gridSpan w:val="2"/>
            <w:shd w:val="clear" w:color="auto" w:fill="CCEEFF"/>
          </w:tcPr>
          <w:p>
            <w:pPr>
              <w:jc w:val="right"/>
              <w:ind w:right="100"/>
              <w:spacing w:after="0" w:line="183" w:lineRule="exact"/>
              <w:rPr>
                <w:sz w:val="20"/>
                <w:szCs w:val="20"/>
                <w:color w:val="auto"/>
              </w:rPr>
            </w:pPr>
            <w:r>
              <w:rPr>
                <w:rFonts w:ascii="Arial" w:cs="Arial" w:eastAsia="Arial" w:hAnsi="Arial"/>
                <w:sz w:val="17"/>
                <w:szCs w:val="17"/>
                <w:color w:val="auto"/>
              </w:rPr>
              <w:t>10.1%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tcPr>
          <w:p>
            <w:pPr>
              <w:spacing w:after="0" w:line="190" w:lineRule="exact"/>
              <w:rPr>
                <w:sz w:val="20"/>
                <w:szCs w:val="20"/>
                <w:color w:val="auto"/>
              </w:rPr>
            </w:pPr>
            <w:r>
              <w:rPr>
                <w:rFonts w:ascii="Arial" w:cs="Arial" w:eastAsia="Arial" w:hAnsi="Arial"/>
                <w:sz w:val="17"/>
                <w:szCs w:val="17"/>
                <w:color w:val="auto"/>
              </w:rPr>
              <w:t>Operating expense:</w:t>
            </w: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Cost of revenue</w:t>
            </w:r>
          </w:p>
        </w:tc>
        <w:tc>
          <w:tcPr>
            <w:tcW w:w="200" w:type="dxa"/>
            <w:vAlign w:val="bottom"/>
            <w:shd w:val="clear" w:color="auto" w:fill="CCEEFF"/>
          </w:tcPr>
          <w:p>
            <w:pPr>
              <w:spacing w:after="0"/>
              <w:rPr>
                <w:sz w:val="16"/>
                <w:szCs w:val="16"/>
                <w:color w:val="auto"/>
              </w:rPr>
            </w:pPr>
          </w:p>
        </w:tc>
        <w:tc>
          <w:tcPr>
            <w:tcW w:w="1040" w:type="dxa"/>
            <w:vAlign w:val="bottom"/>
            <w:tcBorders>
              <w:right w:val="single" w:sz="8" w:color="CCEEFF"/>
            </w:tcBorders>
            <w:gridSpan w:val="2"/>
            <w:shd w:val="clear" w:color="auto" w:fill="CCEEFF"/>
          </w:tcPr>
          <w:p>
            <w:pPr>
              <w:jc w:val="right"/>
              <w:ind w:right="181"/>
              <w:spacing w:after="0" w:line="190" w:lineRule="exact"/>
              <w:rPr>
                <w:sz w:val="20"/>
                <w:szCs w:val="20"/>
                <w:color w:val="auto"/>
              </w:rPr>
            </w:pPr>
            <w:r>
              <w:rPr>
                <w:rFonts w:ascii="Arial" w:cs="Arial" w:eastAsia="Arial" w:hAnsi="Arial"/>
                <w:sz w:val="17"/>
                <w:szCs w:val="17"/>
                <w:color w:val="auto"/>
              </w:rPr>
              <w:t>195.0</w:t>
            </w:r>
          </w:p>
        </w:tc>
        <w:tc>
          <w:tcPr>
            <w:tcW w:w="200" w:type="dxa"/>
            <w:vAlign w:val="bottom"/>
            <w:shd w:val="clear" w:color="auto" w:fill="CCEEFF"/>
          </w:tcPr>
          <w:p>
            <w:pPr>
              <w:spacing w:after="0"/>
              <w:rPr>
                <w:sz w:val="16"/>
                <w:szCs w:val="16"/>
                <w:color w:val="auto"/>
              </w:rPr>
            </w:pPr>
          </w:p>
        </w:tc>
        <w:tc>
          <w:tcPr>
            <w:tcW w:w="1020" w:type="dxa"/>
            <w:vAlign w:val="bottom"/>
            <w:gridSpan w:val="2"/>
            <w:shd w:val="clear" w:color="auto" w:fill="CCEEFF"/>
          </w:tcPr>
          <w:p>
            <w:pPr>
              <w:jc w:val="right"/>
              <w:ind w:right="198"/>
              <w:spacing w:after="0" w:line="190" w:lineRule="exact"/>
              <w:rPr>
                <w:sz w:val="20"/>
                <w:szCs w:val="20"/>
                <w:color w:val="auto"/>
              </w:rPr>
            </w:pPr>
            <w:r>
              <w:rPr>
                <w:rFonts w:ascii="Arial" w:cs="Arial" w:eastAsia="Arial" w:hAnsi="Arial"/>
                <w:sz w:val="17"/>
                <w:szCs w:val="17"/>
                <w:color w:val="auto"/>
              </w:rPr>
              <w:t>189.6</w:t>
            </w:r>
          </w:p>
        </w:tc>
        <w:tc>
          <w:tcPr>
            <w:tcW w:w="1340" w:type="dxa"/>
            <w:vAlign w:val="bottom"/>
            <w:gridSpan w:val="2"/>
            <w:shd w:val="clear" w:color="auto" w:fill="CCEEFF"/>
          </w:tcPr>
          <w:p>
            <w:pPr>
              <w:jc w:val="right"/>
              <w:ind w:right="200"/>
              <w:spacing w:after="0" w:line="190" w:lineRule="exact"/>
              <w:rPr>
                <w:sz w:val="20"/>
                <w:szCs w:val="20"/>
                <w:color w:val="auto"/>
              </w:rPr>
            </w:pPr>
            <w:r>
              <w:rPr>
                <w:rFonts w:ascii="Arial" w:cs="Arial" w:eastAsia="Arial" w:hAnsi="Arial"/>
                <w:sz w:val="17"/>
                <w:szCs w:val="17"/>
                <w:color w:val="auto"/>
              </w:rPr>
              <w:t>2.8%</w:t>
            </w:r>
          </w:p>
        </w:tc>
        <w:tc>
          <w:tcPr>
            <w:tcW w:w="200" w:type="dxa"/>
            <w:vAlign w:val="bottom"/>
            <w:shd w:val="clear" w:color="auto" w:fill="CCEEFF"/>
          </w:tcPr>
          <w:p>
            <w:pPr>
              <w:spacing w:after="0"/>
              <w:rPr>
                <w:sz w:val="16"/>
                <w:szCs w:val="16"/>
                <w:color w:val="auto"/>
              </w:rPr>
            </w:pPr>
          </w:p>
        </w:tc>
        <w:tc>
          <w:tcPr>
            <w:tcW w:w="1020" w:type="dxa"/>
            <w:vAlign w:val="bottom"/>
            <w:tcBorders>
              <w:right w:val="single" w:sz="8" w:color="CCEEFF"/>
            </w:tcBorders>
            <w:gridSpan w:val="2"/>
            <w:shd w:val="clear" w:color="auto" w:fill="CCEEFF"/>
          </w:tcPr>
          <w:p>
            <w:pPr>
              <w:jc w:val="right"/>
              <w:ind w:right="198"/>
              <w:spacing w:after="0" w:line="190" w:lineRule="exact"/>
              <w:rPr>
                <w:sz w:val="20"/>
                <w:szCs w:val="20"/>
                <w:color w:val="auto"/>
              </w:rPr>
            </w:pPr>
            <w:r>
              <w:rPr>
                <w:rFonts w:ascii="Arial" w:cs="Arial" w:eastAsia="Arial" w:hAnsi="Arial"/>
                <w:sz w:val="17"/>
                <w:szCs w:val="17"/>
                <w:color w:val="auto"/>
              </w:rPr>
              <w:t>779.3</w:t>
            </w:r>
          </w:p>
        </w:tc>
        <w:tc>
          <w:tcPr>
            <w:tcW w:w="200" w:type="dxa"/>
            <w:vAlign w:val="bottom"/>
            <w:shd w:val="clear" w:color="auto" w:fill="CCEEFF"/>
          </w:tcPr>
          <w:p>
            <w:pPr>
              <w:spacing w:after="0"/>
              <w:rPr>
                <w:sz w:val="16"/>
                <w:szCs w:val="16"/>
                <w:color w:val="auto"/>
              </w:rPr>
            </w:pPr>
          </w:p>
        </w:tc>
        <w:tc>
          <w:tcPr>
            <w:tcW w:w="1040" w:type="dxa"/>
            <w:vAlign w:val="bottom"/>
            <w:gridSpan w:val="2"/>
            <w:shd w:val="clear" w:color="auto" w:fill="CCEEFF"/>
          </w:tcPr>
          <w:p>
            <w:pPr>
              <w:jc w:val="right"/>
              <w:ind w:right="181"/>
              <w:spacing w:after="0" w:line="190" w:lineRule="exact"/>
              <w:rPr>
                <w:sz w:val="20"/>
                <w:szCs w:val="20"/>
                <w:color w:val="auto"/>
              </w:rPr>
            </w:pPr>
            <w:r>
              <w:rPr>
                <w:rFonts w:ascii="Arial" w:cs="Arial" w:eastAsia="Arial" w:hAnsi="Arial"/>
                <w:sz w:val="17"/>
                <w:szCs w:val="17"/>
                <w:color w:val="auto"/>
              </w:rPr>
              <w:t>698.4</w:t>
            </w:r>
          </w:p>
        </w:tc>
        <w:tc>
          <w:tcPr>
            <w:tcW w:w="122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11.6%</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tcPr>
          <w:p>
            <w:pPr>
              <w:ind w:left="140"/>
              <w:spacing w:after="0" w:line="190" w:lineRule="exact"/>
              <w:rPr>
                <w:sz w:val="20"/>
                <w:szCs w:val="20"/>
                <w:color w:val="auto"/>
              </w:rPr>
            </w:pPr>
            <w:r>
              <w:rPr>
                <w:rFonts w:ascii="Arial" w:cs="Arial" w:eastAsia="Arial" w:hAnsi="Arial"/>
                <w:sz w:val="17"/>
                <w:szCs w:val="17"/>
                <w:color w:val="auto"/>
              </w:rPr>
              <w:t>Sales and marketing</w:t>
            </w:r>
          </w:p>
        </w:tc>
        <w:tc>
          <w:tcPr>
            <w:tcW w:w="200" w:type="dxa"/>
            <w:vAlign w:val="bottom"/>
          </w:tcPr>
          <w:p>
            <w:pPr>
              <w:spacing w:after="0"/>
              <w:rPr>
                <w:sz w:val="16"/>
                <w:szCs w:val="16"/>
                <w:color w:val="auto"/>
              </w:rPr>
            </w:pPr>
          </w:p>
        </w:tc>
        <w:tc>
          <w:tcPr>
            <w:tcW w:w="1040" w:type="dxa"/>
            <w:vAlign w:val="bottom"/>
            <w:gridSpan w:val="2"/>
          </w:tcPr>
          <w:p>
            <w:pPr>
              <w:jc w:val="right"/>
              <w:ind w:right="181"/>
              <w:spacing w:after="0" w:line="190" w:lineRule="exact"/>
              <w:rPr>
                <w:sz w:val="20"/>
                <w:szCs w:val="20"/>
                <w:color w:val="auto"/>
              </w:rPr>
            </w:pPr>
            <w:r>
              <w:rPr>
                <w:rFonts w:ascii="Arial" w:cs="Arial" w:eastAsia="Arial" w:hAnsi="Arial"/>
                <w:sz w:val="17"/>
                <w:szCs w:val="17"/>
                <w:color w:val="auto"/>
              </w:rPr>
              <w:t>93.6</w:t>
            </w:r>
          </w:p>
        </w:tc>
        <w:tc>
          <w:tcPr>
            <w:tcW w:w="200" w:type="dxa"/>
            <w:vAlign w:val="bottom"/>
          </w:tcPr>
          <w:p>
            <w:pPr>
              <w:spacing w:after="0"/>
              <w:rPr>
                <w:sz w:val="16"/>
                <w:szCs w:val="16"/>
                <w:color w:val="auto"/>
              </w:rPr>
            </w:pPr>
          </w:p>
        </w:tc>
        <w:tc>
          <w:tcPr>
            <w:tcW w:w="780" w:type="dxa"/>
            <w:vAlign w:val="bottom"/>
          </w:tcPr>
          <w:p>
            <w:pPr>
              <w:jc w:val="right"/>
              <w:spacing w:after="0" w:line="190" w:lineRule="exact"/>
              <w:rPr>
                <w:sz w:val="20"/>
                <w:szCs w:val="20"/>
                <w:color w:val="auto"/>
              </w:rPr>
            </w:pPr>
            <w:r>
              <w:rPr>
                <w:rFonts w:ascii="Arial" w:cs="Arial" w:eastAsia="Arial" w:hAnsi="Arial"/>
                <w:sz w:val="17"/>
                <w:szCs w:val="17"/>
                <w:color w:val="auto"/>
              </w:rPr>
              <w:t>73.5</w:t>
            </w:r>
          </w:p>
        </w:tc>
        <w:tc>
          <w:tcPr>
            <w:tcW w:w="240" w:type="dxa"/>
            <w:vAlign w:val="bottom"/>
          </w:tcPr>
          <w:p>
            <w:pPr>
              <w:spacing w:after="0"/>
              <w:rPr>
                <w:sz w:val="16"/>
                <w:szCs w:val="16"/>
                <w:color w:val="auto"/>
              </w:rPr>
            </w:pPr>
          </w:p>
        </w:tc>
        <w:tc>
          <w:tcPr>
            <w:tcW w:w="1340" w:type="dxa"/>
            <w:vAlign w:val="bottom"/>
            <w:gridSpan w:val="2"/>
          </w:tcPr>
          <w:p>
            <w:pPr>
              <w:jc w:val="right"/>
              <w:ind w:right="200"/>
              <w:spacing w:after="0" w:line="190" w:lineRule="exact"/>
              <w:rPr>
                <w:sz w:val="20"/>
                <w:szCs w:val="20"/>
                <w:color w:val="auto"/>
              </w:rPr>
            </w:pPr>
            <w:r>
              <w:rPr>
                <w:rFonts w:ascii="Arial" w:cs="Arial" w:eastAsia="Arial" w:hAnsi="Arial"/>
                <w:sz w:val="17"/>
                <w:szCs w:val="17"/>
                <w:color w:val="auto"/>
              </w:rPr>
              <w:t>27.3%</w:t>
            </w:r>
          </w:p>
        </w:tc>
        <w:tc>
          <w:tcPr>
            <w:tcW w:w="200" w:type="dxa"/>
            <w:vAlign w:val="bottom"/>
          </w:tcPr>
          <w:p>
            <w:pPr>
              <w:spacing w:after="0"/>
              <w:rPr>
                <w:sz w:val="16"/>
                <w:szCs w:val="16"/>
                <w:color w:val="auto"/>
              </w:rPr>
            </w:pPr>
          </w:p>
        </w:tc>
        <w:tc>
          <w:tcPr>
            <w:tcW w:w="1020" w:type="dxa"/>
            <w:vAlign w:val="bottom"/>
            <w:gridSpan w:val="2"/>
          </w:tcPr>
          <w:p>
            <w:pPr>
              <w:jc w:val="right"/>
              <w:ind w:right="198"/>
              <w:spacing w:after="0" w:line="190" w:lineRule="exact"/>
              <w:rPr>
                <w:sz w:val="20"/>
                <w:szCs w:val="20"/>
                <w:color w:val="auto"/>
              </w:rPr>
            </w:pPr>
            <w:r>
              <w:rPr>
                <w:rFonts w:ascii="Arial" w:cs="Arial" w:eastAsia="Arial" w:hAnsi="Arial"/>
                <w:sz w:val="17"/>
                <w:szCs w:val="17"/>
                <w:color w:val="auto"/>
              </w:rPr>
              <w:t>356.5</w:t>
            </w:r>
          </w:p>
        </w:tc>
        <w:tc>
          <w:tcPr>
            <w:tcW w:w="200" w:type="dxa"/>
            <w:vAlign w:val="bottom"/>
          </w:tcPr>
          <w:p>
            <w:pPr>
              <w:spacing w:after="0"/>
              <w:rPr>
                <w:sz w:val="16"/>
                <w:szCs w:val="16"/>
                <w:color w:val="auto"/>
              </w:rPr>
            </w:pPr>
          </w:p>
        </w:tc>
        <w:tc>
          <w:tcPr>
            <w:tcW w:w="1040" w:type="dxa"/>
            <w:vAlign w:val="bottom"/>
            <w:gridSpan w:val="2"/>
          </w:tcPr>
          <w:p>
            <w:pPr>
              <w:jc w:val="right"/>
              <w:ind w:right="181"/>
              <w:spacing w:after="0" w:line="190" w:lineRule="exact"/>
              <w:rPr>
                <w:sz w:val="20"/>
                <w:szCs w:val="20"/>
                <w:color w:val="auto"/>
              </w:rPr>
            </w:pPr>
            <w:r>
              <w:rPr>
                <w:rFonts w:ascii="Arial" w:cs="Arial" w:eastAsia="Arial" w:hAnsi="Arial"/>
                <w:sz w:val="17"/>
                <w:szCs w:val="17"/>
                <w:color w:val="auto"/>
              </w:rPr>
              <w:t>274.8</w:t>
            </w:r>
          </w:p>
        </w:tc>
        <w:tc>
          <w:tcPr>
            <w:tcW w:w="122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29.7%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General and administrative</w:t>
            </w:r>
          </w:p>
        </w:tc>
        <w:tc>
          <w:tcPr>
            <w:tcW w:w="200" w:type="dxa"/>
            <w:vAlign w:val="bottom"/>
            <w:shd w:val="clear" w:color="auto" w:fill="CCEEFF"/>
          </w:tcPr>
          <w:p>
            <w:pPr>
              <w:spacing w:after="0"/>
              <w:rPr>
                <w:sz w:val="16"/>
                <w:szCs w:val="16"/>
                <w:color w:val="auto"/>
              </w:rPr>
            </w:pPr>
          </w:p>
        </w:tc>
        <w:tc>
          <w:tcPr>
            <w:tcW w:w="1040" w:type="dxa"/>
            <w:vAlign w:val="bottom"/>
            <w:tcBorders>
              <w:right w:val="single" w:sz="8" w:color="CCEEFF"/>
            </w:tcBorders>
            <w:gridSpan w:val="2"/>
            <w:shd w:val="clear" w:color="auto" w:fill="CCEEFF"/>
          </w:tcPr>
          <w:p>
            <w:pPr>
              <w:jc w:val="right"/>
              <w:ind w:right="181"/>
              <w:spacing w:after="0" w:line="190" w:lineRule="exact"/>
              <w:rPr>
                <w:sz w:val="20"/>
                <w:szCs w:val="20"/>
                <w:color w:val="auto"/>
              </w:rPr>
            </w:pPr>
            <w:r>
              <w:rPr>
                <w:rFonts w:ascii="Arial" w:cs="Arial" w:eastAsia="Arial" w:hAnsi="Arial"/>
                <w:sz w:val="17"/>
                <w:szCs w:val="17"/>
                <w:color w:val="auto"/>
              </w:rPr>
              <w:t>106.1</w:t>
            </w: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85.9</w:t>
            </w:r>
          </w:p>
        </w:tc>
        <w:tc>
          <w:tcPr>
            <w:tcW w:w="240" w:type="dxa"/>
            <w:vAlign w:val="bottom"/>
            <w:shd w:val="clear" w:color="auto" w:fill="CCEEFF"/>
          </w:tcPr>
          <w:p>
            <w:pPr>
              <w:spacing w:after="0"/>
              <w:rPr>
                <w:sz w:val="16"/>
                <w:szCs w:val="16"/>
                <w:color w:val="auto"/>
              </w:rPr>
            </w:pPr>
          </w:p>
        </w:tc>
        <w:tc>
          <w:tcPr>
            <w:tcW w:w="1340" w:type="dxa"/>
            <w:vAlign w:val="bottom"/>
            <w:gridSpan w:val="2"/>
            <w:shd w:val="clear" w:color="auto" w:fill="CCEEFF"/>
          </w:tcPr>
          <w:p>
            <w:pPr>
              <w:jc w:val="right"/>
              <w:ind w:right="200"/>
              <w:spacing w:after="0" w:line="190" w:lineRule="exact"/>
              <w:rPr>
                <w:sz w:val="20"/>
                <w:szCs w:val="20"/>
                <w:color w:val="auto"/>
              </w:rPr>
            </w:pPr>
            <w:r>
              <w:rPr>
                <w:rFonts w:ascii="Arial" w:cs="Arial" w:eastAsia="Arial" w:hAnsi="Arial"/>
                <w:sz w:val="17"/>
                <w:szCs w:val="17"/>
                <w:color w:val="auto"/>
              </w:rPr>
              <w:t>23.5%</w:t>
            </w:r>
          </w:p>
        </w:tc>
        <w:tc>
          <w:tcPr>
            <w:tcW w:w="200" w:type="dxa"/>
            <w:vAlign w:val="bottom"/>
            <w:shd w:val="clear" w:color="auto" w:fill="CCEEFF"/>
          </w:tcPr>
          <w:p>
            <w:pPr>
              <w:spacing w:after="0"/>
              <w:rPr>
                <w:sz w:val="16"/>
                <w:szCs w:val="16"/>
                <w:color w:val="auto"/>
              </w:rPr>
            </w:pPr>
          </w:p>
        </w:tc>
        <w:tc>
          <w:tcPr>
            <w:tcW w:w="1020" w:type="dxa"/>
            <w:vAlign w:val="bottom"/>
            <w:tcBorders>
              <w:right w:val="single" w:sz="8" w:color="CCEEFF"/>
            </w:tcBorders>
            <w:gridSpan w:val="2"/>
            <w:shd w:val="clear" w:color="auto" w:fill="CCEEFF"/>
          </w:tcPr>
          <w:p>
            <w:pPr>
              <w:jc w:val="right"/>
              <w:ind w:right="198"/>
              <w:spacing w:after="0" w:line="190" w:lineRule="exact"/>
              <w:rPr>
                <w:sz w:val="20"/>
                <w:szCs w:val="20"/>
                <w:color w:val="auto"/>
              </w:rPr>
            </w:pPr>
            <w:r>
              <w:rPr>
                <w:rFonts w:ascii="Arial" w:cs="Arial" w:eastAsia="Arial" w:hAnsi="Arial"/>
                <w:sz w:val="17"/>
                <w:szCs w:val="17"/>
                <w:color w:val="auto"/>
              </w:rPr>
              <w:t>400.4</w:t>
            </w:r>
          </w:p>
        </w:tc>
        <w:tc>
          <w:tcPr>
            <w:tcW w:w="200" w:type="dxa"/>
            <w:vAlign w:val="bottom"/>
            <w:shd w:val="clear" w:color="auto" w:fill="CCEEFF"/>
          </w:tcPr>
          <w:p>
            <w:pPr>
              <w:spacing w:after="0"/>
              <w:rPr>
                <w:sz w:val="16"/>
                <w:szCs w:val="16"/>
                <w:color w:val="auto"/>
              </w:rPr>
            </w:pPr>
          </w:p>
        </w:tc>
        <w:tc>
          <w:tcPr>
            <w:tcW w:w="1040" w:type="dxa"/>
            <w:vAlign w:val="bottom"/>
            <w:gridSpan w:val="2"/>
            <w:shd w:val="clear" w:color="auto" w:fill="CCEEFF"/>
          </w:tcPr>
          <w:p>
            <w:pPr>
              <w:jc w:val="right"/>
              <w:ind w:right="181"/>
              <w:spacing w:after="0" w:line="190" w:lineRule="exact"/>
              <w:rPr>
                <w:sz w:val="20"/>
                <w:szCs w:val="20"/>
                <w:color w:val="auto"/>
              </w:rPr>
            </w:pPr>
            <w:r>
              <w:rPr>
                <w:rFonts w:ascii="Arial" w:cs="Arial" w:eastAsia="Arial" w:hAnsi="Arial"/>
                <w:sz w:val="17"/>
                <w:szCs w:val="17"/>
                <w:color w:val="auto"/>
              </w:rPr>
              <w:t>318.4</w:t>
            </w:r>
          </w:p>
        </w:tc>
        <w:tc>
          <w:tcPr>
            <w:tcW w:w="122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25.8%</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740" w:type="dxa"/>
            <w:vAlign w:val="bottom"/>
            <w:gridSpan w:val="2"/>
          </w:tcPr>
          <w:p>
            <w:pPr>
              <w:ind w:left="140"/>
              <w:spacing w:after="0"/>
              <w:rPr>
                <w:sz w:val="20"/>
                <w:szCs w:val="20"/>
                <w:color w:val="auto"/>
              </w:rPr>
            </w:pPr>
            <w:r>
              <w:rPr>
                <w:rFonts w:ascii="Arial" w:cs="Arial" w:eastAsia="Arial" w:hAnsi="Arial"/>
                <w:sz w:val="17"/>
                <w:szCs w:val="17"/>
                <w:color w:val="auto"/>
              </w:rPr>
              <w:t>Depreciation and amortization</w:t>
            </w:r>
          </w:p>
        </w:tc>
        <w:tc>
          <w:tcPr>
            <w:tcW w:w="200" w:type="dxa"/>
            <w:vAlign w:val="bottom"/>
          </w:tcPr>
          <w:p>
            <w:pPr>
              <w:spacing w:after="0"/>
              <w:rPr>
                <w:sz w:val="17"/>
                <w:szCs w:val="17"/>
                <w:color w:val="auto"/>
              </w:rPr>
            </w:pPr>
          </w:p>
        </w:tc>
        <w:tc>
          <w:tcPr>
            <w:tcW w:w="1040" w:type="dxa"/>
            <w:vAlign w:val="bottom"/>
            <w:gridSpan w:val="2"/>
          </w:tcPr>
          <w:p>
            <w:pPr>
              <w:jc w:val="right"/>
              <w:ind w:right="181"/>
              <w:spacing w:after="0"/>
              <w:rPr>
                <w:sz w:val="20"/>
                <w:szCs w:val="20"/>
                <w:color w:val="auto"/>
              </w:rPr>
            </w:pPr>
            <w:r>
              <w:rPr>
                <w:rFonts w:ascii="Arial" w:cs="Arial" w:eastAsia="Arial" w:hAnsi="Arial"/>
                <w:sz w:val="17"/>
                <w:szCs w:val="17"/>
                <w:color w:val="auto"/>
              </w:rPr>
              <w:t>44.8</w:t>
            </w:r>
          </w:p>
        </w:tc>
        <w:tc>
          <w:tcPr>
            <w:tcW w:w="200" w:type="dxa"/>
            <w:vAlign w:val="bottom"/>
          </w:tcPr>
          <w:p>
            <w:pPr>
              <w:spacing w:after="0"/>
              <w:rPr>
                <w:sz w:val="17"/>
                <w:szCs w:val="17"/>
                <w:color w:val="auto"/>
              </w:rPr>
            </w:pPr>
          </w:p>
        </w:tc>
        <w:tc>
          <w:tcPr>
            <w:tcW w:w="780" w:type="dxa"/>
            <w:vAlign w:val="bottom"/>
          </w:tcPr>
          <w:p>
            <w:pPr>
              <w:jc w:val="right"/>
              <w:spacing w:after="0"/>
              <w:rPr>
                <w:sz w:val="20"/>
                <w:szCs w:val="20"/>
                <w:color w:val="auto"/>
              </w:rPr>
            </w:pPr>
            <w:r>
              <w:rPr>
                <w:rFonts w:ascii="Arial" w:cs="Arial" w:eastAsia="Arial" w:hAnsi="Arial"/>
                <w:sz w:val="17"/>
                <w:szCs w:val="17"/>
                <w:color w:val="auto"/>
              </w:rPr>
              <w:t>38.4</w:t>
            </w:r>
          </w:p>
        </w:tc>
        <w:tc>
          <w:tcPr>
            <w:tcW w:w="240" w:type="dxa"/>
            <w:vAlign w:val="bottom"/>
          </w:tcPr>
          <w:p>
            <w:pPr>
              <w:spacing w:after="0"/>
              <w:rPr>
                <w:sz w:val="17"/>
                <w:szCs w:val="17"/>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7"/>
                <w:szCs w:val="17"/>
                <w:color w:val="auto"/>
              </w:rPr>
              <w:t>16.7%</w:t>
            </w:r>
          </w:p>
        </w:tc>
        <w:tc>
          <w:tcPr>
            <w:tcW w:w="200" w:type="dxa"/>
            <w:vAlign w:val="bottom"/>
          </w:tcPr>
          <w:p>
            <w:pPr>
              <w:spacing w:after="0"/>
              <w:rPr>
                <w:sz w:val="17"/>
                <w:szCs w:val="17"/>
                <w:color w:val="auto"/>
              </w:rPr>
            </w:pPr>
          </w:p>
        </w:tc>
        <w:tc>
          <w:tcPr>
            <w:tcW w:w="1020" w:type="dxa"/>
            <w:vAlign w:val="bottom"/>
            <w:gridSpan w:val="2"/>
          </w:tcPr>
          <w:p>
            <w:pPr>
              <w:jc w:val="right"/>
              <w:ind w:right="198"/>
              <w:spacing w:after="0"/>
              <w:rPr>
                <w:sz w:val="20"/>
                <w:szCs w:val="20"/>
                <w:color w:val="auto"/>
              </w:rPr>
            </w:pPr>
            <w:r>
              <w:rPr>
                <w:rFonts w:ascii="Arial" w:cs="Arial" w:eastAsia="Arial" w:hAnsi="Arial"/>
                <w:sz w:val="17"/>
                <w:szCs w:val="17"/>
                <w:color w:val="auto"/>
              </w:rPr>
              <w:t>166.6</w:t>
            </w:r>
          </w:p>
        </w:tc>
        <w:tc>
          <w:tcPr>
            <w:tcW w:w="200" w:type="dxa"/>
            <w:vAlign w:val="bottom"/>
          </w:tcPr>
          <w:p>
            <w:pPr>
              <w:spacing w:after="0"/>
              <w:rPr>
                <w:sz w:val="17"/>
                <w:szCs w:val="17"/>
                <w:color w:val="auto"/>
              </w:rPr>
            </w:pPr>
          </w:p>
        </w:tc>
        <w:tc>
          <w:tcPr>
            <w:tcW w:w="1040" w:type="dxa"/>
            <w:vAlign w:val="bottom"/>
            <w:gridSpan w:val="2"/>
          </w:tcPr>
          <w:p>
            <w:pPr>
              <w:jc w:val="right"/>
              <w:ind w:right="181"/>
              <w:spacing w:after="0"/>
              <w:rPr>
                <w:sz w:val="20"/>
                <w:szCs w:val="20"/>
                <w:color w:val="auto"/>
              </w:rPr>
            </w:pPr>
            <w:r>
              <w:rPr>
                <w:rFonts w:ascii="Arial" w:cs="Arial" w:eastAsia="Arial" w:hAnsi="Arial"/>
                <w:sz w:val="17"/>
                <w:szCs w:val="17"/>
                <w:color w:val="auto"/>
              </w:rPr>
              <w:t>150.7</w:t>
            </w:r>
          </w:p>
        </w:tc>
        <w:tc>
          <w:tcPr>
            <w:tcW w:w="1220" w:type="dxa"/>
            <w:vAlign w:val="bottom"/>
            <w:gridSpan w:val="2"/>
          </w:tcPr>
          <w:p>
            <w:pPr>
              <w:jc w:val="right"/>
              <w:ind w:right="100"/>
              <w:spacing w:after="0"/>
              <w:rPr>
                <w:sz w:val="20"/>
                <w:szCs w:val="20"/>
                <w:color w:val="auto"/>
              </w:rPr>
            </w:pPr>
            <w:r>
              <w:rPr>
                <w:rFonts w:ascii="Arial" w:cs="Arial" w:eastAsia="Arial" w:hAnsi="Arial"/>
                <w:sz w:val="17"/>
                <w:szCs w:val="17"/>
                <w:color w:val="auto"/>
              </w:rPr>
              <w:t>10.6%</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3740" w:type="dxa"/>
            <w:vAlign w:val="bottom"/>
            <w:tcBorders>
              <w:top w:val="single" w:sz="8" w:color="CCEEFF"/>
            </w:tcBorders>
            <w:gridSpan w:val="2"/>
            <w:shd w:val="clear" w:color="auto" w:fill="CCEEFF"/>
          </w:tcPr>
          <w:p>
            <w:pPr>
              <w:ind w:left="280"/>
              <w:spacing w:after="0" w:line="183" w:lineRule="exact"/>
              <w:rPr>
                <w:sz w:val="20"/>
                <w:szCs w:val="20"/>
                <w:color w:val="auto"/>
              </w:rPr>
            </w:pPr>
            <w:r>
              <w:rPr>
                <w:rFonts w:ascii="Arial" w:cs="Arial" w:eastAsia="Arial" w:hAnsi="Arial"/>
                <w:sz w:val="17"/>
                <w:szCs w:val="17"/>
                <w:color w:val="auto"/>
              </w:rPr>
              <w:t>Total operating expense</w:t>
            </w:r>
          </w:p>
        </w:tc>
        <w:tc>
          <w:tcPr>
            <w:tcW w:w="200" w:type="dxa"/>
            <w:vAlign w:val="bottom"/>
            <w:tcBorders>
              <w:top w:val="single" w:sz="8" w:color="auto"/>
              <w:bottom w:val="single" w:sz="8" w:color="auto"/>
            </w:tcBorders>
            <w:shd w:val="clear" w:color="auto" w:fill="CCEEFF"/>
          </w:tcPr>
          <w:p>
            <w:pPr>
              <w:spacing w:after="0"/>
              <w:rPr>
                <w:sz w:val="15"/>
                <w:szCs w:val="15"/>
                <w:color w:val="auto"/>
              </w:rPr>
            </w:pPr>
          </w:p>
        </w:tc>
        <w:tc>
          <w:tcPr>
            <w:tcW w:w="780" w:type="dxa"/>
            <w:vAlign w:val="bottom"/>
            <w:tcBorders>
              <w:top w:val="single" w:sz="8" w:color="auto"/>
              <w:bottom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439.5</w:t>
            </w:r>
          </w:p>
        </w:tc>
        <w:tc>
          <w:tcPr>
            <w:tcW w:w="260" w:type="dxa"/>
            <w:vAlign w:val="bottom"/>
            <w:tcBorders>
              <w:top w:val="single" w:sz="8" w:color="CCEEFF"/>
              <w:right w:val="single" w:sz="8" w:color="CCEEFF"/>
            </w:tcBorders>
            <w:shd w:val="clear" w:color="auto" w:fill="CCEEFF"/>
          </w:tcPr>
          <w:p>
            <w:pPr>
              <w:spacing w:after="0"/>
              <w:rPr>
                <w:sz w:val="15"/>
                <w:szCs w:val="15"/>
                <w:color w:val="auto"/>
              </w:rPr>
            </w:pPr>
          </w:p>
        </w:tc>
        <w:tc>
          <w:tcPr>
            <w:tcW w:w="200" w:type="dxa"/>
            <w:vAlign w:val="bottom"/>
            <w:tcBorders>
              <w:top w:val="single" w:sz="8" w:color="auto"/>
              <w:bottom w:val="single" w:sz="8" w:color="auto"/>
            </w:tcBorders>
            <w:shd w:val="clear" w:color="auto" w:fill="CCEEFF"/>
          </w:tcPr>
          <w:p>
            <w:pPr>
              <w:spacing w:after="0"/>
              <w:rPr>
                <w:sz w:val="15"/>
                <w:szCs w:val="15"/>
                <w:color w:val="auto"/>
              </w:rPr>
            </w:pPr>
          </w:p>
        </w:tc>
        <w:tc>
          <w:tcPr>
            <w:tcW w:w="780" w:type="dxa"/>
            <w:vAlign w:val="bottom"/>
            <w:tcBorders>
              <w:top w:val="single" w:sz="8" w:color="auto"/>
              <w:bottom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387.4</w:t>
            </w:r>
          </w:p>
        </w:tc>
        <w:tc>
          <w:tcPr>
            <w:tcW w:w="240" w:type="dxa"/>
            <w:vAlign w:val="bottom"/>
            <w:tcBorders>
              <w:top w:val="single" w:sz="8" w:color="CCEEFF"/>
            </w:tcBorders>
            <w:shd w:val="clear" w:color="auto" w:fill="CCEEFF"/>
          </w:tcPr>
          <w:p>
            <w:pPr>
              <w:spacing w:after="0"/>
              <w:rPr>
                <w:sz w:val="15"/>
                <w:szCs w:val="15"/>
                <w:color w:val="auto"/>
              </w:rPr>
            </w:pPr>
          </w:p>
        </w:tc>
        <w:tc>
          <w:tcPr>
            <w:tcW w:w="1340" w:type="dxa"/>
            <w:vAlign w:val="bottom"/>
            <w:tcBorders>
              <w:top w:val="single" w:sz="8" w:color="CCEEFF"/>
            </w:tcBorders>
            <w:gridSpan w:val="2"/>
            <w:shd w:val="clear" w:color="auto" w:fill="CCEEFF"/>
          </w:tcPr>
          <w:p>
            <w:pPr>
              <w:jc w:val="right"/>
              <w:ind w:right="200"/>
              <w:spacing w:after="0" w:line="183" w:lineRule="exact"/>
              <w:rPr>
                <w:sz w:val="20"/>
                <w:szCs w:val="20"/>
                <w:color w:val="auto"/>
              </w:rPr>
            </w:pPr>
            <w:r>
              <w:rPr>
                <w:rFonts w:ascii="Arial" w:cs="Arial" w:eastAsia="Arial" w:hAnsi="Arial"/>
                <w:sz w:val="17"/>
                <w:szCs w:val="17"/>
                <w:color w:val="auto"/>
              </w:rPr>
              <w:t>13.4%</w:t>
            </w:r>
          </w:p>
        </w:tc>
        <w:tc>
          <w:tcPr>
            <w:tcW w:w="200" w:type="dxa"/>
            <w:vAlign w:val="bottom"/>
            <w:tcBorders>
              <w:top w:val="single" w:sz="8" w:color="auto"/>
              <w:bottom w:val="single" w:sz="8" w:color="auto"/>
            </w:tcBorders>
            <w:shd w:val="clear" w:color="auto" w:fill="CCEEFF"/>
          </w:tcPr>
          <w:p>
            <w:pPr>
              <w:spacing w:after="0"/>
              <w:rPr>
                <w:sz w:val="15"/>
                <w:szCs w:val="15"/>
                <w:color w:val="auto"/>
              </w:rPr>
            </w:pPr>
          </w:p>
        </w:tc>
        <w:tc>
          <w:tcPr>
            <w:tcW w:w="780" w:type="dxa"/>
            <w:vAlign w:val="bottom"/>
            <w:tcBorders>
              <w:top w:val="single" w:sz="8" w:color="auto"/>
              <w:bottom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1,702.8</w:t>
            </w:r>
          </w:p>
        </w:tc>
        <w:tc>
          <w:tcPr>
            <w:tcW w:w="240" w:type="dxa"/>
            <w:vAlign w:val="bottom"/>
            <w:tcBorders>
              <w:top w:val="single" w:sz="8" w:color="CCEEFF"/>
              <w:right w:val="single" w:sz="8" w:color="CCEEFF"/>
            </w:tcBorders>
            <w:shd w:val="clear" w:color="auto" w:fill="CCEEFF"/>
          </w:tcPr>
          <w:p>
            <w:pPr>
              <w:spacing w:after="0"/>
              <w:rPr>
                <w:sz w:val="15"/>
                <w:szCs w:val="15"/>
                <w:color w:val="auto"/>
              </w:rPr>
            </w:pPr>
          </w:p>
        </w:tc>
        <w:tc>
          <w:tcPr>
            <w:tcW w:w="200" w:type="dxa"/>
            <w:vAlign w:val="bottom"/>
            <w:tcBorders>
              <w:top w:val="single" w:sz="8" w:color="auto"/>
              <w:bottom w:val="single" w:sz="8" w:color="auto"/>
            </w:tcBorders>
            <w:shd w:val="clear" w:color="auto" w:fill="CCEEFF"/>
          </w:tcPr>
          <w:p>
            <w:pPr>
              <w:spacing w:after="0"/>
              <w:rPr>
                <w:sz w:val="15"/>
                <w:szCs w:val="15"/>
                <w:color w:val="auto"/>
              </w:rPr>
            </w:pPr>
          </w:p>
        </w:tc>
        <w:tc>
          <w:tcPr>
            <w:tcW w:w="780" w:type="dxa"/>
            <w:vAlign w:val="bottom"/>
            <w:tcBorders>
              <w:top w:val="single" w:sz="8" w:color="auto"/>
              <w:bottom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1,442.3</w:t>
            </w:r>
          </w:p>
        </w:tc>
        <w:tc>
          <w:tcPr>
            <w:tcW w:w="260" w:type="dxa"/>
            <w:vAlign w:val="bottom"/>
            <w:tcBorders>
              <w:top w:val="single" w:sz="8" w:color="CCEEFF"/>
            </w:tcBorders>
            <w:shd w:val="clear" w:color="auto" w:fill="CCEEFF"/>
          </w:tcPr>
          <w:p>
            <w:pPr>
              <w:spacing w:after="0"/>
              <w:rPr>
                <w:sz w:val="15"/>
                <w:szCs w:val="15"/>
                <w:color w:val="auto"/>
              </w:rPr>
            </w:pPr>
          </w:p>
        </w:tc>
        <w:tc>
          <w:tcPr>
            <w:tcW w:w="1220" w:type="dxa"/>
            <w:vAlign w:val="bottom"/>
            <w:tcBorders>
              <w:top w:val="single" w:sz="8" w:color="CCEEFF"/>
            </w:tcBorders>
            <w:gridSpan w:val="2"/>
            <w:shd w:val="clear" w:color="auto" w:fill="CCEEFF"/>
          </w:tcPr>
          <w:p>
            <w:pPr>
              <w:jc w:val="right"/>
              <w:ind w:right="100"/>
              <w:spacing w:after="0" w:line="183" w:lineRule="exact"/>
              <w:rPr>
                <w:sz w:val="20"/>
                <w:szCs w:val="20"/>
                <w:color w:val="auto"/>
              </w:rPr>
            </w:pPr>
            <w:r>
              <w:rPr>
                <w:rFonts w:ascii="Arial" w:cs="Arial" w:eastAsia="Arial" w:hAnsi="Arial"/>
                <w:sz w:val="17"/>
                <w:szCs w:val="17"/>
                <w:color w:val="auto"/>
              </w:rPr>
              <w:t>18.1%</w:t>
            </w:r>
          </w:p>
        </w:tc>
        <w:tc>
          <w:tcPr>
            <w:tcW w:w="0" w:type="dxa"/>
            <w:vAlign w:val="bottom"/>
          </w:tcPr>
          <w:p>
            <w:pPr>
              <w:spacing w:after="0"/>
              <w:rPr>
                <w:sz w:val="1"/>
                <w:szCs w:val="1"/>
                <w:color w:val="auto"/>
              </w:rPr>
            </w:pPr>
          </w:p>
        </w:tc>
      </w:tr>
      <w:tr>
        <w:trPr>
          <w:trHeight w:val="183"/>
        </w:trPr>
        <w:tc>
          <w:tcPr>
            <w:tcW w:w="3760" w:type="dxa"/>
            <w:vAlign w:val="bottom"/>
            <w:gridSpan w:val="3"/>
          </w:tcPr>
          <w:p>
            <w:pPr>
              <w:spacing w:after="0" w:line="183" w:lineRule="exact"/>
              <w:rPr>
                <w:sz w:val="20"/>
                <w:szCs w:val="20"/>
                <w:color w:val="auto"/>
              </w:rPr>
            </w:pPr>
            <w:r>
              <w:rPr>
                <w:rFonts w:ascii="Arial" w:cs="Arial" w:eastAsia="Arial" w:hAnsi="Arial"/>
                <w:sz w:val="17"/>
                <w:szCs w:val="17"/>
                <w:color w:val="auto"/>
              </w:rPr>
              <w:t>Operating income</w:t>
            </w:r>
          </w:p>
        </w:tc>
        <w:tc>
          <w:tcPr>
            <w:tcW w:w="200" w:type="dxa"/>
            <w:vAlign w:val="bottom"/>
          </w:tcPr>
          <w:p>
            <w:pPr>
              <w:spacing w:after="0"/>
              <w:rPr>
                <w:sz w:val="15"/>
                <w:szCs w:val="15"/>
                <w:color w:val="auto"/>
              </w:rPr>
            </w:pPr>
          </w:p>
        </w:tc>
        <w:tc>
          <w:tcPr>
            <w:tcW w:w="780" w:type="dxa"/>
            <w:vAlign w:val="bottom"/>
          </w:tcPr>
          <w:p>
            <w:pPr>
              <w:jc w:val="right"/>
              <w:spacing w:after="0" w:line="183" w:lineRule="exact"/>
              <w:rPr>
                <w:sz w:val="20"/>
                <w:szCs w:val="20"/>
                <w:color w:val="auto"/>
              </w:rPr>
            </w:pPr>
            <w:r>
              <w:rPr>
                <w:rFonts w:ascii="Arial" w:cs="Arial" w:eastAsia="Arial" w:hAnsi="Arial"/>
                <w:sz w:val="17"/>
                <w:szCs w:val="17"/>
                <w:color w:val="auto"/>
              </w:rPr>
              <w:t>35.5</w:t>
            </w:r>
          </w:p>
        </w:tc>
        <w:tc>
          <w:tcPr>
            <w:tcW w:w="2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80" w:type="dxa"/>
            <w:vAlign w:val="bottom"/>
          </w:tcPr>
          <w:p>
            <w:pPr>
              <w:jc w:val="right"/>
              <w:spacing w:after="0" w:line="183" w:lineRule="exact"/>
              <w:rPr>
                <w:sz w:val="20"/>
                <w:szCs w:val="20"/>
                <w:color w:val="auto"/>
              </w:rPr>
            </w:pPr>
            <w:r>
              <w:rPr>
                <w:rFonts w:ascii="Arial" w:cs="Arial" w:eastAsia="Arial" w:hAnsi="Arial"/>
                <w:sz w:val="17"/>
                <w:szCs w:val="17"/>
                <w:color w:val="auto"/>
              </w:rPr>
              <w:t>74.8</w:t>
            </w:r>
          </w:p>
        </w:tc>
        <w:tc>
          <w:tcPr>
            <w:tcW w:w="240" w:type="dxa"/>
            <w:vAlign w:val="bottom"/>
          </w:tcPr>
          <w:p>
            <w:pPr>
              <w:spacing w:after="0"/>
              <w:rPr>
                <w:sz w:val="15"/>
                <w:szCs w:val="15"/>
                <w:color w:val="auto"/>
              </w:rPr>
            </w:pPr>
          </w:p>
        </w:tc>
        <w:tc>
          <w:tcPr>
            <w:tcW w:w="1340" w:type="dxa"/>
            <w:vAlign w:val="bottom"/>
            <w:gridSpan w:val="2"/>
          </w:tcPr>
          <w:p>
            <w:pPr>
              <w:jc w:val="right"/>
              <w:ind w:right="160"/>
              <w:spacing w:after="0" w:line="183" w:lineRule="exact"/>
              <w:rPr>
                <w:sz w:val="20"/>
                <w:szCs w:val="20"/>
                <w:color w:val="auto"/>
              </w:rPr>
            </w:pPr>
            <w:r>
              <w:rPr>
                <w:rFonts w:ascii="Arial" w:cs="Arial" w:eastAsia="Arial" w:hAnsi="Arial"/>
                <w:sz w:val="17"/>
                <w:szCs w:val="17"/>
                <w:color w:val="auto"/>
              </w:rPr>
              <w:t>(52.5)%</w:t>
            </w:r>
          </w:p>
        </w:tc>
        <w:tc>
          <w:tcPr>
            <w:tcW w:w="200" w:type="dxa"/>
            <w:vAlign w:val="bottom"/>
          </w:tcPr>
          <w:p>
            <w:pPr>
              <w:spacing w:after="0"/>
              <w:rPr>
                <w:sz w:val="15"/>
                <w:szCs w:val="15"/>
                <w:color w:val="auto"/>
              </w:rPr>
            </w:pPr>
          </w:p>
        </w:tc>
        <w:tc>
          <w:tcPr>
            <w:tcW w:w="780" w:type="dxa"/>
            <w:vAlign w:val="bottom"/>
          </w:tcPr>
          <w:p>
            <w:pPr>
              <w:jc w:val="right"/>
              <w:spacing w:after="0" w:line="183" w:lineRule="exact"/>
              <w:rPr>
                <w:sz w:val="20"/>
                <w:szCs w:val="20"/>
                <w:color w:val="auto"/>
              </w:rPr>
            </w:pPr>
            <w:r>
              <w:rPr>
                <w:rFonts w:ascii="Arial" w:cs="Arial" w:eastAsia="Arial" w:hAnsi="Arial"/>
                <w:sz w:val="17"/>
                <w:szCs w:val="17"/>
                <w:color w:val="auto"/>
              </w:rPr>
              <w:t>167.8</w:t>
            </w: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80" w:type="dxa"/>
            <w:vAlign w:val="bottom"/>
          </w:tcPr>
          <w:p>
            <w:pPr>
              <w:jc w:val="right"/>
              <w:spacing w:after="0" w:line="183" w:lineRule="exact"/>
              <w:rPr>
                <w:sz w:val="20"/>
                <w:szCs w:val="20"/>
                <w:color w:val="auto"/>
              </w:rPr>
            </w:pPr>
            <w:r>
              <w:rPr>
                <w:rFonts w:ascii="Arial" w:cs="Arial" w:eastAsia="Arial" w:hAnsi="Arial"/>
                <w:sz w:val="17"/>
                <w:szCs w:val="17"/>
                <w:color w:val="auto"/>
              </w:rPr>
              <w:t>257.0</w:t>
            </w:r>
          </w:p>
        </w:tc>
        <w:tc>
          <w:tcPr>
            <w:tcW w:w="260" w:type="dxa"/>
            <w:vAlign w:val="bottom"/>
          </w:tcPr>
          <w:p>
            <w:pPr>
              <w:spacing w:after="0"/>
              <w:rPr>
                <w:sz w:val="15"/>
                <w:szCs w:val="15"/>
                <w:color w:val="auto"/>
              </w:rPr>
            </w:pPr>
          </w:p>
        </w:tc>
        <w:tc>
          <w:tcPr>
            <w:tcW w:w="1220" w:type="dxa"/>
            <w:vAlign w:val="bottom"/>
            <w:gridSpan w:val="2"/>
          </w:tcPr>
          <w:p>
            <w:pPr>
              <w:jc w:val="right"/>
              <w:ind w:right="40"/>
              <w:spacing w:after="0" w:line="183" w:lineRule="exact"/>
              <w:rPr>
                <w:sz w:val="20"/>
                <w:szCs w:val="20"/>
                <w:color w:val="auto"/>
              </w:rPr>
            </w:pPr>
            <w:r>
              <w:rPr>
                <w:rFonts w:ascii="Arial" w:cs="Arial" w:eastAsia="Arial" w:hAnsi="Arial"/>
                <w:sz w:val="17"/>
                <w:szCs w:val="17"/>
                <w:color w:val="auto"/>
              </w:rPr>
              <w:t>(34.7)%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i w:val="1"/>
                <w:iCs w:val="1"/>
                <w:color w:val="auto"/>
              </w:rPr>
              <w:t>Operating margin</w:t>
            </w:r>
          </w:p>
        </w:tc>
        <w:tc>
          <w:tcPr>
            <w:tcW w:w="200" w:type="dxa"/>
            <w:vAlign w:val="bottom"/>
            <w:shd w:val="clear" w:color="auto" w:fill="CCEEFF"/>
          </w:tcPr>
          <w:p>
            <w:pPr>
              <w:spacing w:after="0"/>
              <w:rPr>
                <w:sz w:val="16"/>
                <w:szCs w:val="16"/>
                <w:color w:val="auto"/>
              </w:rPr>
            </w:pPr>
          </w:p>
        </w:tc>
        <w:tc>
          <w:tcPr>
            <w:tcW w:w="1040" w:type="dxa"/>
            <w:vAlign w:val="bottom"/>
            <w:tcBorders>
              <w:right w:val="single" w:sz="8" w:color="CCEEFF"/>
            </w:tcBorders>
            <w:gridSpan w:val="2"/>
            <w:shd w:val="clear" w:color="auto" w:fill="CCEEFF"/>
          </w:tcPr>
          <w:p>
            <w:pPr>
              <w:jc w:val="right"/>
              <w:ind w:right="21"/>
              <w:spacing w:after="0" w:line="190" w:lineRule="exact"/>
              <w:rPr>
                <w:sz w:val="20"/>
                <w:szCs w:val="20"/>
                <w:color w:val="auto"/>
              </w:rPr>
            </w:pPr>
            <w:r>
              <w:rPr>
                <w:rFonts w:ascii="Arial" w:cs="Arial" w:eastAsia="Arial" w:hAnsi="Arial"/>
                <w:sz w:val="17"/>
                <w:szCs w:val="17"/>
                <w:color w:val="auto"/>
              </w:rPr>
              <w:t>7.5%</w:t>
            </w:r>
          </w:p>
        </w:tc>
        <w:tc>
          <w:tcPr>
            <w:tcW w:w="200" w:type="dxa"/>
            <w:vAlign w:val="bottom"/>
            <w:shd w:val="clear" w:color="auto" w:fill="CCEEFF"/>
          </w:tcPr>
          <w:p>
            <w:pPr>
              <w:spacing w:after="0"/>
              <w:rPr>
                <w:sz w:val="16"/>
                <w:szCs w:val="16"/>
                <w:color w:val="auto"/>
              </w:rPr>
            </w:pPr>
          </w:p>
        </w:tc>
        <w:tc>
          <w:tcPr>
            <w:tcW w:w="1020" w:type="dxa"/>
            <w:vAlign w:val="bottom"/>
            <w:gridSpan w:val="2"/>
            <w:shd w:val="clear" w:color="auto" w:fill="CCEEFF"/>
          </w:tcPr>
          <w:p>
            <w:pPr>
              <w:jc w:val="right"/>
              <w:ind w:right="58"/>
              <w:spacing w:after="0" w:line="190" w:lineRule="exact"/>
              <w:rPr>
                <w:sz w:val="20"/>
                <w:szCs w:val="20"/>
                <w:color w:val="auto"/>
              </w:rPr>
            </w:pPr>
            <w:r>
              <w:rPr>
                <w:rFonts w:ascii="Arial" w:cs="Arial" w:eastAsia="Arial" w:hAnsi="Arial"/>
                <w:sz w:val="17"/>
                <w:szCs w:val="17"/>
                <w:color w:val="auto"/>
              </w:rPr>
              <w:t>16.2%</w:t>
            </w:r>
          </w:p>
        </w:tc>
        <w:tc>
          <w:tcPr>
            <w:tcW w:w="1340" w:type="dxa"/>
            <w:vAlign w:val="bottom"/>
            <w:gridSpan w:val="2"/>
            <w:shd w:val="clear" w:color="auto" w:fill="CCEEFF"/>
          </w:tcPr>
          <w:p>
            <w:pPr>
              <w:jc w:val="right"/>
              <w:ind w:right="120"/>
              <w:spacing w:after="0" w:line="190" w:lineRule="exact"/>
              <w:rPr>
                <w:sz w:val="20"/>
                <w:szCs w:val="20"/>
                <w:color w:val="auto"/>
              </w:rPr>
            </w:pPr>
            <w:r>
              <w:rPr>
                <w:rFonts w:ascii="Arial" w:cs="Arial" w:eastAsia="Arial" w:hAnsi="Arial"/>
                <w:sz w:val="17"/>
                <w:szCs w:val="17"/>
                <w:color w:val="auto"/>
              </w:rPr>
              <w:t>(8.7)pp</w:t>
            </w:r>
          </w:p>
        </w:tc>
        <w:tc>
          <w:tcPr>
            <w:tcW w:w="200" w:type="dxa"/>
            <w:vAlign w:val="bottom"/>
            <w:shd w:val="clear" w:color="auto" w:fill="CCEEFF"/>
          </w:tcPr>
          <w:p>
            <w:pPr>
              <w:spacing w:after="0"/>
              <w:rPr>
                <w:sz w:val="16"/>
                <w:szCs w:val="16"/>
                <w:color w:val="auto"/>
              </w:rPr>
            </w:pPr>
          </w:p>
        </w:tc>
        <w:tc>
          <w:tcPr>
            <w:tcW w:w="1020" w:type="dxa"/>
            <w:vAlign w:val="bottom"/>
            <w:tcBorders>
              <w:right w:val="single" w:sz="8" w:color="CCEEFF"/>
            </w:tcBorders>
            <w:gridSpan w:val="2"/>
            <w:shd w:val="clear" w:color="auto" w:fill="CCEEFF"/>
          </w:tcPr>
          <w:p>
            <w:pPr>
              <w:jc w:val="right"/>
              <w:ind w:right="58"/>
              <w:spacing w:after="0" w:line="190" w:lineRule="exact"/>
              <w:rPr>
                <w:sz w:val="20"/>
                <w:szCs w:val="20"/>
                <w:color w:val="auto"/>
              </w:rPr>
            </w:pPr>
            <w:r>
              <w:rPr>
                <w:rFonts w:ascii="Arial" w:cs="Arial" w:eastAsia="Arial" w:hAnsi="Arial"/>
                <w:sz w:val="17"/>
                <w:szCs w:val="17"/>
                <w:color w:val="auto"/>
              </w:rPr>
              <w:t>9.0%</w:t>
            </w:r>
          </w:p>
        </w:tc>
        <w:tc>
          <w:tcPr>
            <w:tcW w:w="200" w:type="dxa"/>
            <w:vAlign w:val="bottom"/>
            <w:shd w:val="clear" w:color="auto" w:fill="CCEEFF"/>
          </w:tcPr>
          <w:p>
            <w:pPr>
              <w:spacing w:after="0"/>
              <w:rPr>
                <w:sz w:val="16"/>
                <w:szCs w:val="16"/>
                <w:color w:val="auto"/>
              </w:rPr>
            </w:pPr>
          </w:p>
        </w:tc>
        <w:tc>
          <w:tcPr>
            <w:tcW w:w="1040" w:type="dxa"/>
            <w:vAlign w:val="bottom"/>
            <w:gridSpan w:val="2"/>
            <w:shd w:val="clear" w:color="auto" w:fill="CCEEFF"/>
          </w:tcPr>
          <w:p>
            <w:pPr>
              <w:jc w:val="right"/>
              <w:ind w:right="21"/>
              <w:spacing w:after="0" w:line="190" w:lineRule="exact"/>
              <w:rPr>
                <w:sz w:val="20"/>
                <w:szCs w:val="20"/>
                <w:color w:val="auto"/>
              </w:rPr>
            </w:pPr>
            <w:r>
              <w:rPr>
                <w:rFonts w:ascii="Arial" w:cs="Arial" w:eastAsia="Arial" w:hAnsi="Arial"/>
                <w:sz w:val="17"/>
                <w:szCs w:val="17"/>
                <w:color w:val="auto"/>
              </w:rPr>
              <w:t>15.1%</w:t>
            </w:r>
          </w:p>
        </w:tc>
        <w:tc>
          <w:tcPr>
            <w:tcW w:w="1220" w:type="dxa"/>
            <w:vAlign w:val="bottom"/>
            <w:gridSpan w:val="2"/>
            <w:shd w:val="clear" w:color="auto" w:fill="CCEEFF"/>
          </w:tcPr>
          <w:p>
            <w:pPr>
              <w:jc w:val="right"/>
              <w:spacing w:after="0" w:line="190" w:lineRule="exact"/>
              <w:rPr>
                <w:sz w:val="20"/>
                <w:szCs w:val="20"/>
                <w:color w:val="auto"/>
              </w:rPr>
            </w:pPr>
            <w:r>
              <w:rPr>
                <w:rFonts w:ascii="Arial" w:cs="Arial" w:eastAsia="Arial" w:hAnsi="Arial"/>
                <w:sz w:val="17"/>
                <w:szCs w:val="17"/>
                <w:color w:val="auto"/>
              </w:rPr>
              <w:t>(6.1)pp</w:t>
            </w:r>
          </w:p>
        </w:tc>
        <w:tc>
          <w:tcPr>
            <w:tcW w:w="0" w:type="dxa"/>
            <w:vAlign w:val="bottom"/>
          </w:tcPr>
          <w:p>
            <w:pPr>
              <w:spacing w:after="0"/>
              <w:rPr>
                <w:sz w:val="1"/>
                <w:szCs w:val="1"/>
                <w:color w:val="auto"/>
              </w:rPr>
            </w:pPr>
          </w:p>
        </w:tc>
      </w:tr>
      <w:tr>
        <w:trPr>
          <w:trHeight w:val="190"/>
        </w:trPr>
        <w:tc>
          <w:tcPr>
            <w:tcW w:w="20" w:type="dxa"/>
            <w:vAlign w:val="bottom"/>
            <w:vMerge w:val="restart"/>
          </w:tcPr>
          <w:p>
            <w:pPr>
              <w:spacing w:after="0"/>
              <w:rPr>
                <w:sz w:val="16"/>
                <w:szCs w:val="16"/>
                <w:color w:val="auto"/>
              </w:rPr>
            </w:pPr>
          </w:p>
        </w:tc>
        <w:tc>
          <w:tcPr>
            <w:tcW w:w="3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374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Non-operating loss, net:</w:t>
            </w: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60" w:type="dxa"/>
            <w:vAlign w:val="bottom"/>
            <w:tcBorders>
              <w:right w:val="single" w:sz="8" w:color="CCEEFF"/>
            </w:tcBorders>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tcBorders>
              <w:right w:val="single" w:sz="8" w:color="CCEEFF"/>
            </w:tcBorders>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tcPr>
          <w:p>
            <w:pPr>
              <w:ind w:left="140"/>
              <w:spacing w:after="0" w:line="190" w:lineRule="exact"/>
              <w:rPr>
                <w:sz w:val="20"/>
                <w:szCs w:val="20"/>
                <w:color w:val="auto"/>
              </w:rPr>
            </w:pPr>
            <w:r>
              <w:rPr>
                <w:rFonts w:ascii="Arial" w:cs="Arial" w:eastAsia="Arial" w:hAnsi="Arial"/>
                <w:sz w:val="17"/>
                <w:szCs w:val="17"/>
                <w:color w:val="auto"/>
              </w:rPr>
              <w:t>Interest expense, net</w:t>
            </w:r>
          </w:p>
        </w:tc>
        <w:tc>
          <w:tcPr>
            <w:tcW w:w="200" w:type="dxa"/>
            <w:vAlign w:val="bottom"/>
          </w:tcPr>
          <w:p>
            <w:pPr>
              <w:spacing w:after="0"/>
              <w:rPr>
                <w:sz w:val="16"/>
                <w:szCs w:val="16"/>
                <w:color w:val="auto"/>
              </w:rPr>
            </w:pPr>
          </w:p>
        </w:tc>
        <w:tc>
          <w:tcPr>
            <w:tcW w:w="1040" w:type="dxa"/>
            <w:vAlign w:val="bottom"/>
            <w:gridSpan w:val="2"/>
          </w:tcPr>
          <w:p>
            <w:pPr>
              <w:jc w:val="right"/>
              <w:ind w:right="121"/>
              <w:spacing w:after="0" w:line="190" w:lineRule="exact"/>
              <w:rPr>
                <w:sz w:val="20"/>
                <w:szCs w:val="20"/>
                <w:color w:val="auto"/>
              </w:rPr>
            </w:pPr>
            <w:r>
              <w:rPr>
                <w:rFonts w:ascii="Arial" w:cs="Arial" w:eastAsia="Arial" w:hAnsi="Arial"/>
                <w:sz w:val="17"/>
                <w:szCs w:val="17"/>
                <w:color w:val="auto"/>
              </w:rPr>
              <w:t>(11.1)</w:t>
            </w:r>
          </w:p>
        </w:tc>
        <w:tc>
          <w:tcPr>
            <w:tcW w:w="200" w:type="dxa"/>
            <w:vAlign w:val="bottom"/>
          </w:tcPr>
          <w:p>
            <w:pPr>
              <w:spacing w:after="0"/>
              <w:rPr>
                <w:sz w:val="16"/>
                <w:szCs w:val="16"/>
                <w:color w:val="auto"/>
              </w:rPr>
            </w:pPr>
          </w:p>
        </w:tc>
        <w:tc>
          <w:tcPr>
            <w:tcW w:w="1020" w:type="dxa"/>
            <w:vAlign w:val="bottom"/>
            <w:gridSpan w:val="2"/>
          </w:tcPr>
          <w:p>
            <w:pPr>
              <w:jc w:val="right"/>
              <w:ind w:right="158"/>
              <w:spacing w:after="0" w:line="190" w:lineRule="exact"/>
              <w:rPr>
                <w:sz w:val="20"/>
                <w:szCs w:val="20"/>
                <w:color w:val="auto"/>
              </w:rPr>
            </w:pPr>
            <w:r>
              <w:rPr>
                <w:rFonts w:ascii="Arial" w:cs="Arial" w:eastAsia="Arial" w:hAnsi="Arial"/>
                <w:sz w:val="17"/>
                <w:szCs w:val="17"/>
                <w:color w:val="auto"/>
              </w:rPr>
              <w:t>(1.4)</w:t>
            </w:r>
          </w:p>
        </w:tc>
        <w:tc>
          <w:tcPr>
            <w:tcW w:w="1340" w:type="dxa"/>
            <w:vAlign w:val="bottom"/>
            <w:gridSpan w:val="2"/>
          </w:tcPr>
          <w:p>
            <w:pPr>
              <w:jc w:val="right"/>
              <w:ind w:right="360"/>
              <w:spacing w:after="0" w:line="190" w:lineRule="exact"/>
              <w:rPr>
                <w:sz w:val="20"/>
                <w:szCs w:val="20"/>
                <w:color w:val="auto"/>
              </w:rPr>
            </w:pPr>
            <w:r>
              <w:rPr>
                <w:rFonts w:ascii="Arial" w:cs="Arial" w:eastAsia="Arial" w:hAnsi="Arial"/>
                <w:sz w:val="17"/>
                <w:szCs w:val="17"/>
                <w:color w:val="auto"/>
              </w:rPr>
              <w:t>NMF</w:t>
            </w:r>
          </w:p>
        </w:tc>
        <w:tc>
          <w:tcPr>
            <w:tcW w:w="200" w:type="dxa"/>
            <w:vAlign w:val="bottom"/>
          </w:tcPr>
          <w:p>
            <w:pPr>
              <w:spacing w:after="0"/>
              <w:rPr>
                <w:sz w:val="16"/>
                <w:szCs w:val="16"/>
                <w:color w:val="auto"/>
              </w:rPr>
            </w:pPr>
          </w:p>
        </w:tc>
        <w:tc>
          <w:tcPr>
            <w:tcW w:w="1020" w:type="dxa"/>
            <w:vAlign w:val="bottom"/>
            <w:gridSpan w:val="2"/>
          </w:tcPr>
          <w:p>
            <w:pPr>
              <w:jc w:val="right"/>
              <w:ind w:right="158"/>
              <w:spacing w:after="0" w:line="190" w:lineRule="exact"/>
              <w:rPr>
                <w:sz w:val="20"/>
                <w:szCs w:val="20"/>
                <w:color w:val="auto"/>
              </w:rPr>
            </w:pPr>
            <w:r>
              <w:rPr>
                <w:rFonts w:ascii="Arial" w:cs="Arial" w:eastAsia="Arial" w:hAnsi="Arial"/>
                <w:sz w:val="17"/>
                <w:szCs w:val="17"/>
                <w:color w:val="auto"/>
              </w:rPr>
              <w:t>(28.4)</w:t>
            </w:r>
          </w:p>
        </w:tc>
        <w:tc>
          <w:tcPr>
            <w:tcW w:w="200" w:type="dxa"/>
            <w:vAlign w:val="bottom"/>
          </w:tcPr>
          <w:p>
            <w:pPr>
              <w:spacing w:after="0"/>
              <w:rPr>
                <w:sz w:val="16"/>
                <w:szCs w:val="16"/>
                <w:color w:val="auto"/>
              </w:rPr>
            </w:pPr>
          </w:p>
        </w:tc>
        <w:tc>
          <w:tcPr>
            <w:tcW w:w="1040" w:type="dxa"/>
            <w:vAlign w:val="bottom"/>
            <w:gridSpan w:val="2"/>
          </w:tcPr>
          <w:p>
            <w:pPr>
              <w:jc w:val="right"/>
              <w:ind w:right="121"/>
              <w:spacing w:after="0" w:line="190" w:lineRule="exact"/>
              <w:rPr>
                <w:sz w:val="20"/>
                <w:szCs w:val="20"/>
                <w:color w:val="auto"/>
              </w:rPr>
            </w:pPr>
            <w:r>
              <w:rPr>
                <w:rFonts w:ascii="Arial" w:cs="Arial" w:eastAsia="Arial" w:hAnsi="Arial"/>
                <w:sz w:val="17"/>
                <w:szCs w:val="17"/>
                <w:color w:val="auto"/>
              </w:rPr>
              <w:t>(8.7)</w:t>
            </w:r>
          </w:p>
        </w:tc>
        <w:tc>
          <w:tcPr>
            <w:tcW w:w="1220" w:type="dxa"/>
            <w:vAlign w:val="bottom"/>
            <w:gridSpan w:val="2"/>
          </w:tcPr>
          <w:p>
            <w:pPr>
              <w:jc w:val="right"/>
              <w:ind w:right="240"/>
              <w:spacing w:after="0" w:line="190"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3740" w:type="dxa"/>
            <w:vAlign w:val="bottom"/>
            <w:gridSpan w:val="2"/>
            <w:shd w:val="clear" w:color="auto" w:fill="CCEEFF"/>
          </w:tcPr>
          <w:p>
            <w:pPr>
              <w:ind w:left="140"/>
              <w:spacing w:after="0" w:line="189" w:lineRule="exact"/>
              <w:rPr>
                <w:sz w:val="20"/>
                <w:szCs w:val="20"/>
                <w:color w:val="auto"/>
              </w:rPr>
            </w:pPr>
            <w:r>
              <w:rPr>
                <w:rFonts w:ascii="Arial" w:cs="Arial" w:eastAsia="Arial" w:hAnsi="Arial"/>
                <w:sz w:val="17"/>
                <w:szCs w:val="17"/>
                <w:color w:val="auto"/>
              </w:rPr>
              <w:t>Realized gains on sale of equity method</w:t>
            </w: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60" w:type="dxa"/>
            <w:vAlign w:val="bottom"/>
            <w:tcBorders>
              <w:right w:val="single" w:sz="8" w:color="CCEEFF"/>
            </w:tcBorders>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tcBorders>
              <w:right w:val="single" w:sz="8" w:color="CCEEFF"/>
            </w:tcBorders>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3740" w:type="dxa"/>
            <w:vAlign w:val="bottom"/>
            <w:gridSpan w:val="2"/>
            <w:shd w:val="clear" w:color="auto" w:fill="CCEEFF"/>
          </w:tcPr>
          <w:p>
            <w:pPr>
              <w:ind w:left="140"/>
              <w:spacing w:after="0" w:line="191" w:lineRule="exact"/>
              <w:rPr>
                <w:sz w:val="20"/>
                <w:szCs w:val="20"/>
                <w:color w:val="auto"/>
              </w:rPr>
            </w:pPr>
            <w:r>
              <w:rPr>
                <w:rFonts w:ascii="Arial" w:cs="Arial" w:eastAsia="Arial" w:hAnsi="Arial"/>
                <w:sz w:val="17"/>
                <w:szCs w:val="17"/>
                <w:color w:val="auto"/>
              </w:rPr>
              <w:t>investments</w:t>
            </w:r>
          </w:p>
        </w:tc>
        <w:tc>
          <w:tcPr>
            <w:tcW w:w="200" w:type="dxa"/>
            <w:vAlign w:val="bottom"/>
            <w:shd w:val="clear" w:color="auto" w:fill="CCEEFF"/>
          </w:tcPr>
          <w:p>
            <w:pPr>
              <w:spacing w:after="0"/>
              <w:rPr>
                <w:sz w:val="16"/>
                <w:szCs w:val="16"/>
                <w:color w:val="auto"/>
              </w:rPr>
            </w:pPr>
          </w:p>
        </w:tc>
        <w:tc>
          <w:tcPr>
            <w:tcW w:w="1040" w:type="dxa"/>
            <w:vAlign w:val="bottom"/>
            <w:tcBorders>
              <w:right w:val="single" w:sz="8" w:color="CCEEFF"/>
            </w:tcBorders>
            <w:gridSpan w:val="2"/>
            <w:shd w:val="clear" w:color="auto" w:fill="CCEEFF"/>
          </w:tcPr>
          <w:p>
            <w:pPr>
              <w:jc w:val="right"/>
              <w:ind w:right="181"/>
              <w:spacing w:after="0" w:line="191" w:lineRule="exact"/>
              <w:rPr>
                <w:sz w:val="20"/>
                <w:szCs w:val="20"/>
                <w:color w:val="auto"/>
              </w:rPr>
            </w:pPr>
            <w:r>
              <w:rPr>
                <w:rFonts w:ascii="Arial" w:cs="Arial" w:eastAsia="Arial" w:hAnsi="Arial"/>
                <w:sz w:val="17"/>
                <w:szCs w:val="17"/>
                <w:color w:val="auto"/>
              </w:rPr>
              <w:t>—</w:t>
            </w:r>
          </w:p>
        </w:tc>
        <w:tc>
          <w:tcPr>
            <w:tcW w:w="200" w:type="dxa"/>
            <w:vAlign w:val="bottom"/>
            <w:shd w:val="clear" w:color="auto" w:fill="CCEEFF"/>
          </w:tcPr>
          <w:p>
            <w:pPr>
              <w:spacing w:after="0"/>
              <w:rPr>
                <w:sz w:val="16"/>
                <w:szCs w:val="16"/>
                <w:color w:val="auto"/>
              </w:rPr>
            </w:pPr>
          </w:p>
        </w:tc>
        <w:tc>
          <w:tcPr>
            <w:tcW w:w="1020" w:type="dxa"/>
            <w:vAlign w:val="bottom"/>
            <w:gridSpan w:val="2"/>
            <w:shd w:val="clear" w:color="auto" w:fill="CCEEFF"/>
          </w:tcPr>
          <w:p>
            <w:pPr>
              <w:jc w:val="right"/>
              <w:ind w:right="198"/>
              <w:spacing w:after="0" w:line="191" w:lineRule="exact"/>
              <w:rPr>
                <w:sz w:val="20"/>
                <w:szCs w:val="20"/>
                <w:color w:val="auto"/>
              </w:rPr>
            </w:pPr>
            <w:r>
              <w:rPr>
                <w:rFonts w:ascii="Arial" w:cs="Arial" w:eastAsia="Arial" w:hAnsi="Arial"/>
                <w:sz w:val="17"/>
                <w:szCs w:val="17"/>
                <w:color w:val="auto"/>
              </w:rPr>
              <w:t>0.9</w:t>
            </w:r>
          </w:p>
        </w:tc>
        <w:tc>
          <w:tcPr>
            <w:tcW w:w="1340" w:type="dxa"/>
            <w:vAlign w:val="bottom"/>
            <w:gridSpan w:val="2"/>
            <w:shd w:val="clear" w:color="auto" w:fill="CCEEFF"/>
          </w:tcPr>
          <w:p>
            <w:pPr>
              <w:jc w:val="right"/>
              <w:ind w:right="360"/>
              <w:spacing w:after="0" w:line="191" w:lineRule="exact"/>
              <w:rPr>
                <w:sz w:val="20"/>
                <w:szCs w:val="20"/>
                <w:color w:val="auto"/>
              </w:rPr>
            </w:pPr>
            <w:r>
              <w:rPr>
                <w:rFonts w:ascii="Arial" w:cs="Arial" w:eastAsia="Arial" w:hAnsi="Arial"/>
                <w:sz w:val="17"/>
                <w:szCs w:val="17"/>
                <w:color w:val="auto"/>
              </w:rPr>
              <w:t>NMF</w:t>
            </w:r>
          </w:p>
        </w:tc>
        <w:tc>
          <w:tcPr>
            <w:tcW w:w="200" w:type="dxa"/>
            <w:vAlign w:val="bottom"/>
            <w:shd w:val="clear" w:color="auto" w:fill="CCEEFF"/>
          </w:tcPr>
          <w:p>
            <w:pPr>
              <w:spacing w:after="0"/>
              <w:rPr>
                <w:sz w:val="16"/>
                <w:szCs w:val="16"/>
                <w:color w:val="auto"/>
              </w:rPr>
            </w:pPr>
          </w:p>
        </w:tc>
        <w:tc>
          <w:tcPr>
            <w:tcW w:w="1020" w:type="dxa"/>
            <w:vAlign w:val="bottom"/>
            <w:tcBorders>
              <w:right w:val="single" w:sz="8" w:color="CCEEFF"/>
            </w:tcBorders>
            <w:gridSpan w:val="2"/>
            <w:shd w:val="clear" w:color="auto" w:fill="CCEEFF"/>
          </w:tcPr>
          <w:p>
            <w:pPr>
              <w:jc w:val="right"/>
              <w:ind w:right="198"/>
              <w:spacing w:after="0" w:line="191" w:lineRule="exact"/>
              <w:rPr>
                <w:sz w:val="20"/>
                <w:szCs w:val="20"/>
                <w:color w:val="auto"/>
              </w:rPr>
            </w:pPr>
            <w:r>
              <w:rPr>
                <w:rFonts w:ascii="Arial" w:cs="Arial" w:eastAsia="Arial" w:hAnsi="Arial"/>
                <w:sz w:val="17"/>
                <w:szCs w:val="17"/>
                <w:color w:val="auto"/>
              </w:rPr>
              <w:t>—</w:t>
            </w:r>
          </w:p>
        </w:tc>
        <w:tc>
          <w:tcPr>
            <w:tcW w:w="200" w:type="dxa"/>
            <w:vAlign w:val="bottom"/>
            <w:shd w:val="clear" w:color="auto" w:fill="CCEEFF"/>
          </w:tcPr>
          <w:p>
            <w:pPr>
              <w:spacing w:after="0"/>
              <w:rPr>
                <w:sz w:val="16"/>
                <w:szCs w:val="16"/>
                <w:color w:val="auto"/>
              </w:rPr>
            </w:pPr>
          </w:p>
        </w:tc>
        <w:tc>
          <w:tcPr>
            <w:tcW w:w="1040" w:type="dxa"/>
            <w:vAlign w:val="bottom"/>
            <w:gridSpan w:val="2"/>
            <w:shd w:val="clear" w:color="auto" w:fill="CCEEFF"/>
          </w:tcPr>
          <w:p>
            <w:pPr>
              <w:jc w:val="right"/>
              <w:ind w:right="181"/>
              <w:spacing w:after="0" w:line="191" w:lineRule="exact"/>
              <w:rPr>
                <w:sz w:val="20"/>
                <w:szCs w:val="20"/>
                <w:color w:val="auto"/>
              </w:rPr>
            </w:pPr>
            <w:r>
              <w:rPr>
                <w:rFonts w:ascii="Arial" w:cs="Arial" w:eastAsia="Arial" w:hAnsi="Arial"/>
                <w:sz w:val="17"/>
                <w:szCs w:val="17"/>
                <w:color w:val="auto"/>
              </w:rPr>
              <w:t>0.9</w:t>
            </w:r>
          </w:p>
        </w:tc>
        <w:tc>
          <w:tcPr>
            <w:tcW w:w="1220" w:type="dxa"/>
            <w:vAlign w:val="bottom"/>
            <w:gridSpan w:val="2"/>
            <w:shd w:val="clear" w:color="auto" w:fill="CCEEFF"/>
          </w:tcPr>
          <w:p>
            <w:pPr>
              <w:jc w:val="right"/>
              <w:ind w:right="240"/>
              <w:spacing w:after="0" w:line="191"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740" w:type="dxa"/>
            <w:vAlign w:val="bottom"/>
            <w:gridSpan w:val="2"/>
          </w:tcPr>
          <w:p>
            <w:pPr>
              <w:ind w:left="140"/>
              <w:spacing w:after="0"/>
              <w:rPr>
                <w:sz w:val="20"/>
                <w:szCs w:val="20"/>
                <w:color w:val="auto"/>
              </w:rPr>
            </w:pPr>
            <w:r>
              <w:rPr>
                <w:rFonts w:ascii="Arial" w:cs="Arial" w:eastAsia="Arial" w:hAnsi="Arial"/>
                <w:sz w:val="17"/>
                <w:szCs w:val="17"/>
                <w:color w:val="auto"/>
              </w:rPr>
              <w:t>Other income (loss), net</w:t>
            </w:r>
          </w:p>
        </w:tc>
        <w:tc>
          <w:tcPr>
            <w:tcW w:w="200" w:type="dxa"/>
            <w:vAlign w:val="bottom"/>
          </w:tcPr>
          <w:p>
            <w:pPr>
              <w:spacing w:after="0"/>
              <w:rPr>
                <w:sz w:val="17"/>
                <w:szCs w:val="17"/>
                <w:color w:val="auto"/>
              </w:rPr>
            </w:pPr>
          </w:p>
        </w:tc>
        <w:tc>
          <w:tcPr>
            <w:tcW w:w="1040" w:type="dxa"/>
            <w:vAlign w:val="bottom"/>
            <w:gridSpan w:val="2"/>
          </w:tcPr>
          <w:p>
            <w:pPr>
              <w:jc w:val="right"/>
              <w:ind w:right="181"/>
              <w:spacing w:after="0"/>
              <w:rPr>
                <w:sz w:val="20"/>
                <w:szCs w:val="20"/>
                <w:color w:val="auto"/>
              </w:rPr>
            </w:pPr>
            <w:r>
              <w:rPr>
                <w:rFonts w:ascii="Arial" w:cs="Arial" w:eastAsia="Arial" w:hAnsi="Arial"/>
                <w:sz w:val="17"/>
                <w:szCs w:val="17"/>
                <w:color w:val="auto"/>
              </w:rPr>
              <w:t>6.2</w:t>
            </w:r>
          </w:p>
        </w:tc>
        <w:tc>
          <w:tcPr>
            <w:tcW w:w="200" w:type="dxa"/>
            <w:vAlign w:val="bottom"/>
          </w:tcPr>
          <w:p>
            <w:pPr>
              <w:spacing w:after="0"/>
              <w:rPr>
                <w:sz w:val="17"/>
                <w:szCs w:val="17"/>
                <w:color w:val="auto"/>
              </w:rPr>
            </w:pPr>
          </w:p>
        </w:tc>
        <w:tc>
          <w:tcPr>
            <w:tcW w:w="1020" w:type="dxa"/>
            <w:vAlign w:val="bottom"/>
            <w:gridSpan w:val="2"/>
          </w:tcPr>
          <w:p>
            <w:pPr>
              <w:jc w:val="right"/>
              <w:ind w:right="158"/>
              <w:spacing w:after="0"/>
              <w:rPr>
                <w:sz w:val="20"/>
                <w:szCs w:val="20"/>
                <w:color w:val="auto"/>
              </w:rPr>
            </w:pPr>
            <w:r>
              <w:rPr>
                <w:rFonts w:ascii="Arial" w:cs="Arial" w:eastAsia="Arial" w:hAnsi="Arial"/>
                <w:sz w:val="17"/>
                <w:szCs w:val="17"/>
                <w:color w:val="auto"/>
              </w:rPr>
              <w:t>(0.1)</w:t>
            </w:r>
          </w:p>
        </w:tc>
        <w:tc>
          <w:tcPr>
            <w:tcW w:w="1340" w:type="dxa"/>
            <w:vAlign w:val="bottom"/>
            <w:gridSpan w:val="2"/>
          </w:tcPr>
          <w:p>
            <w:pPr>
              <w:jc w:val="right"/>
              <w:ind w:right="360"/>
              <w:spacing w:after="0"/>
              <w:rPr>
                <w:sz w:val="20"/>
                <w:szCs w:val="20"/>
                <w:color w:val="auto"/>
              </w:rPr>
            </w:pPr>
            <w:r>
              <w:rPr>
                <w:rFonts w:ascii="Arial" w:cs="Arial" w:eastAsia="Arial" w:hAnsi="Arial"/>
                <w:sz w:val="17"/>
                <w:szCs w:val="17"/>
                <w:color w:val="auto"/>
              </w:rPr>
              <w:t>NMF</w:t>
            </w:r>
          </w:p>
        </w:tc>
        <w:tc>
          <w:tcPr>
            <w:tcW w:w="200" w:type="dxa"/>
            <w:vAlign w:val="bottom"/>
          </w:tcPr>
          <w:p>
            <w:pPr>
              <w:spacing w:after="0"/>
              <w:rPr>
                <w:sz w:val="17"/>
                <w:szCs w:val="17"/>
                <w:color w:val="auto"/>
              </w:rPr>
            </w:pPr>
          </w:p>
        </w:tc>
        <w:tc>
          <w:tcPr>
            <w:tcW w:w="1020" w:type="dxa"/>
            <w:vAlign w:val="bottom"/>
            <w:gridSpan w:val="2"/>
          </w:tcPr>
          <w:p>
            <w:pPr>
              <w:jc w:val="right"/>
              <w:ind w:right="158"/>
              <w:spacing w:after="0"/>
              <w:rPr>
                <w:sz w:val="20"/>
                <w:szCs w:val="20"/>
                <w:color w:val="auto"/>
              </w:rPr>
            </w:pPr>
            <w:r>
              <w:rPr>
                <w:rFonts w:ascii="Arial" w:cs="Arial" w:eastAsia="Arial" w:hAnsi="Arial"/>
                <w:sz w:val="17"/>
                <w:szCs w:val="17"/>
                <w:color w:val="auto"/>
              </w:rPr>
              <w:t>(8.8)</w:t>
            </w:r>
          </w:p>
        </w:tc>
        <w:tc>
          <w:tcPr>
            <w:tcW w:w="200" w:type="dxa"/>
            <w:vAlign w:val="bottom"/>
          </w:tcPr>
          <w:p>
            <w:pPr>
              <w:spacing w:after="0"/>
              <w:rPr>
                <w:sz w:val="17"/>
                <w:szCs w:val="17"/>
                <w:color w:val="auto"/>
              </w:rPr>
            </w:pPr>
          </w:p>
        </w:tc>
        <w:tc>
          <w:tcPr>
            <w:tcW w:w="1040" w:type="dxa"/>
            <w:vAlign w:val="bottom"/>
            <w:gridSpan w:val="2"/>
          </w:tcPr>
          <w:p>
            <w:pPr>
              <w:jc w:val="right"/>
              <w:ind w:right="181"/>
              <w:spacing w:after="0"/>
              <w:rPr>
                <w:sz w:val="20"/>
                <w:szCs w:val="20"/>
                <w:color w:val="auto"/>
              </w:rPr>
            </w:pPr>
            <w:r>
              <w:rPr>
                <w:rFonts w:ascii="Arial" w:cs="Arial" w:eastAsia="Arial" w:hAnsi="Arial"/>
                <w:sz w:val="17"/>
                <w:szCs w:val="17"/>
                <w:color w:val="auto"/>
              </w:rPr>
              <w:t>1.3</w:t>
            </w:r>
          </w:p>
        </w:tc>
        <w:tc>
          <w:tcPr>
            <w:tcW w:w="1220" w:type="dxa"/>
            <w:vAlign w:val="bottom"/>
            <w:gridSpan w:val="2"/>
          </w:tcPr>
          <w:p>
            <w:pPr>
              <w:jc w:val="right"/>
              <w:ind w:right="240"/>
              <w:spacing w:after="0"/>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3740" w:type="dxa"/>
            <w:vAlign w:val="bottom"/>
            <w:tcBorders>
              <w:top w:val="single" w:sz="8" w:color="CCEEFF"/>
            </w:tcBorders>
            <w:gridSpan w:val="2"/>
            <w:shd w:val="clear" w:color="auto" w:fill="CCEEFF"/>
          </w:tcPr>
          <w:p>
            <w:pPr>
              <w:ind w:left="280"/>
              <w:spacing w:after="0" w:line="183" w:lineRule="exact"/>
              <w:rPr>
                <w:sz w:val="20"/>
                <w:szCs w:val="20"/>
                <w:color w:val="auto"/>
              </w:rPr>
            </w:pPr>
            <w:r>
              <w:rPr>
                <w:rFonts w:ascii="Arial" w:cs="Arial" w:eastAsia="Arial" w:hAnsi="Arial"/>
                <w:sz w:val="17"/>
                <w:szCs w:val="17"/>
                <w:color w:val="auto"/>
              </w:rPr>
              <w:t>Non-operating loss, net</w:t>
            </w:r>
          </w:p>
        </w:tc>
        <w:tc>
          <w:tcPr>
            <w:tcW w:w="200" w:type="dxa"/>
            <w:vAlign w:val="bottom"/>
            <w:tcBorders>
              <w:top w:val="single" w:sz="8" w:color="auto"/>
              <w:bottom w:val="single" w:sz="8" w:color="auto"/>
            </w:tcBorders>
            <w:shd w:val="clear" w:color="auto" w:fill="CCEEFF"/>
          </w:tcPr>
          <w:p>
            <w:pPr>
              <w:spacing w:after="0"/>
              <w:rPr>
                <w:sz w:val="15"/>
                <w:szCs w:val="15"/>
                <w:color w:val="auto"/>
              </w:rPr>
            </w:pPr>
          </w:p>
        </w:tc>
        <w:tc>
          <w:tcPr>
            <w:tcW w:w="780" w:type="dxa"/>
            <w:vAlign w:val="bottom"/>
            <w:tcBorders>
              <w:top w:val="single" w:sz="8" w:color="auto"/>
              <w:bottom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(4.9</w:t>
            </w:r>
          </w:p>
        </w:tc>
        <w:tc>
          <w:tcPr>
            <w:tcW w:w="260" w:type="dxa"/>
            <w:vAlign w:val="bottom"/>
            <w:tcBorders>
              <w:top w:val="single" w:sz="8" w:color="CCEEFF"/>
              <w:right w:val="single" w:sz="8" w:color="CCEEFF"/>
            </w:tcBorders>
            <w:shd w:val="clear" w:color="auto" w:fill="CCEEFF"/>
          </w:tcPr>
          <w:p>
            <w:pPr>
              <w:jc w:val="right"/>
              <w:ind w:right="121"/>
              <w:spacing w:after="0" w:line="183" w:lineRule="exact"/>
              <w:rPr>
                <w:sz w:val="20"/>
                <w:szCs w:val="20"/>
                <w:color w:val="auto"/>
              </w:rPr>
            </w:pPr>
            <w:r>
              <w:rPr>
                <w:rFonts w:ascii="Arial" w:cs="Arial" w:eastAsia="Arial" w:hAnsi="Arial"/>
                <w:sz w:val="16"/>
                <w:szCs w:val="16"/>
                <w:color w:val="auto"/>
                <w:w w:val="74"/>
              </w:rPr>
              <w:t>)</w:t>
            </w:r>
          </w:p>
        </w:tc>
        <w:tc>
          <w:tcPr>
            <w:tcW w:w="200" w:type="dxa"/>
            <w:vAlign w:val="bottom"/>
            <w:tcBorders>
              <w:top w:val="single" w:sz="8" w:color="auto"/>
              <w:bottom w:val="single" w:sz="8" w:color="auto"/>
            </w:tcBorders>
            <w:shd w:val="clear" w:color="auto" w:fill="CCEEFF"/>
          </w:tcPr>
          <w:p>
            <w:pPr>
              <w:spacing w:after="0"/>
              <w:rPr>
                <w:sz w:val="15"/>
                <w:szCs w:val="15"/>
                <w:color w:val="auto"/>
              </w:rPr>
            </w:pPr>
          </w:p>
        </w:tc>
        <w:tc>
          <w:tcPr>
            <w:tcW w:w="780" w:type="dxa"/>
            <w:vAlign w:val="bottom"/>
            <w:tcBorders>
              <w:top w:val="single" w:sz="8" w:color="auto"/>
              <w:bottom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(0.6</w:t>
            </w:r>
          </w:p>
        </w:tc>
        <w:tc>
          <w:tcPr>
            <w:tcW w:w="240" w:type="dxa"/>
            <w:vAlign w:val="bottom"/>
            <w:tcBorders>
              <w:top w:val="single" w:sz="8" w:color="CCEEFF"/>
            </w:tcBorders>
            <w:shd w:val="clear" w:color="auto" w:fill="CCEEFF"/>
          </w:tcPr>
          <w:p>
            <w:pPr>
              <w:jc w:val="right"/>
              <w:ind w:right="158"/>
              <w:spacing w:after="0"/>
              <w:rPr>
                <w:sz w:val="20"/>
                <w:szCs w:val="20"/>
                <w:color w:val="auto"/>
              </w:rPr>
            </w:pPr>
            <w:r>
              <w:rPr>
                <w:rFonts w:ascii="Arial" w:cs="Arial" w:eastAsia="Arial" w:hAnsi="Arial"/>
                <w:sz w:val="8"/>
                <w:szCs w:val="8"/>
                <w:color w:val="auto"/>
                <w:w w:val="73"/>
              </w:rPr>
              <w:t>)</w:t>
            </w:r>
          </w:p>
        </w:tc>
        <w:tc>
          <w:tcPr>
            <w:tcW w:w="1340" w:type="dxa"/>
            <w:vAlign w:val="bottom"/>
            <w:tcBorders>
              <w:top w:val="single" w:sz="8" w:color="CCEEFF"/>
            </w:tcBorders>
            <w:gridSpan w:val="2"/>
            <w:shd w:val="clear" w:color="auto" w:fill="CCEEFF"/>
          </w:tcPr>
          <w:p>
            <w:pPr>
              <w:jc w:val="right"/>
              <w:ind w:right="360"/>
              <w:spacing w:after="0" w:line="183" w:lineRule="exact"/>
              <w:rPr>
                <w:sz w:val="20"/>
                <w:szCs w:val="20"/>
                <w:color w:val="auto"/>
              </w:rPr>
            </w:pPr>
            <w:r>
              <w:rPr>
                <w:rFonts w:ascii="Arial" w:cs="Arial" w:eastAsia="Arial" w:hAnsi="Arial"/>
                <w:sz w:val="17"/>
                <w:szCs w:val="17"/>
                <w:color w:val="auto"/>
              </w:rPr>
              <w:t>NMF</w:t>
            </w:r>
          </w:p>
        </w:tc>
        <w:tc>
          <w:tcPr>
            <w:tcW w:w="200" w:type="dxa"/>
            <w:vAlign w:val="bottom"/>
            <w:tcBorders>
              <w:top w:val="single" w:sz="8" w:color="auto"/>
              <w:bottom w:val="single" w:sz="8" w:color="auto"/>
            </w:tcBorders>
            <w:shd w:val="clear" w:color="auto" w:fill="CCEEFF"/>
          </w:tcPr>
          <w:p>
            <w:pPr>
              <w:spacing w:after="0"/>
              <w:rPr>
                <w:sz w:val="15"/>
                <w:szCs w:val="15"/>
                <w:color w:val="auto"/>
              </w:rPr>
            </w:pPr>
          </w:p>
        </w:tc>
        <w:tc>
          <w:tcPr>
            <w:tcW w:w="780" w:type="dxa"/>
            <w:vAlign w:val="bottom"/>
            <w:tcBorders>
              <w:top w:val="single" w:sz="8" w:color="auto"/>
              <w:bottom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(37.2</w:t>
            </w:r>
          </w:p>
        </w:tc>
        <w:tc>
          <w:tcPr>
            <w:tcW w:w="240" w:type="dxa"/>
            <w:vAlign w:val="bottom"/>
            <w:tcBorders>
              <w:top w:val="single" w:sz="8" w:color="CCEEFF"/>
              <w:right w:val="single" w:sz="8" w:color="CCEEFF"/>
            </w:tcBorders>
            <w:shd w:val="clear" w:color="auto" w:fill="CCEEFF"/>
          </w:tcPr>
          <w:p>
            <w:pPr>
              <w:jc w:val="right"/>
              <w:ind w:right="158"/>
              <w:spacing w:after="0"/>
              <w:rPr>
                <w:sz w:val="20"/>
                <w:szCs w:val="20"/>
                <w:color w:val="auto"/>
              </w:rPr>
            </w:pPr>
            <w:r>
              <w:rPr>
                <w:rFonts w:ascii="Arial" w:cs="Arial" w:eastAsia="Arial" w:hAnsi="Arial"/>
                <w:sz w:val="8"/>
                <w:szCs w:val="8"/>
                <w:color w:val="auto"/>
                <w:w w:val="73"/>
              </w:rPr>
              <w:t>)</w:t>
            </w:r>
          </w:p>
        </w:tc>
        <w:tc>
          <w:tcPr>
            <w:tcW w:w="200" w:type="dxa"/>
            <w:vAlign w:val="bottom"/>
            <w:tcBorders>
              <w:top w:val="single" w:sz="8" w:color="auto"/>
              <w:bottom w:val="single" w:sz="8" w:color="auto"/>
            </w:tcBorders>
            <w:shd w:val="clear" w:color="auto" w:fill="CCEEFF"/>
          </w:tcPr>
          <w:p>
            <w:pPr>
              <w:spacing w:after="0"/>
              <w:rPr>
                <w:sz w:val="15"/>
                <w:szCs w:val="15"/>
                <w:color w:val="auto"/>
              </w:rPr>
            </w:pPr>
          </w:p>
        </w:tc>
        <w:tc>
          <w:tcPr>
            <w:tcW w:w="780" w:type="dxa"/>
            <w:vAlign w:val="bottom"/>
            <w:tcBorders>
              <w:top w:val="single" w:sz="8" w:color="auto"/>
              <w:bottom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(6.5</w:t>
            </w:r>
          </w:p>
        </w:tc>
        <w:tc>
          <w:tcPr>
            <w:tcW w:w="260" w:type="dxa"/>
            <w:vAlign w:val="bottom"/>
            <w:tcBorders>
              <w:top w:val="single" w:sz="8" w:color="CCEEFF"/>
            </w:tcBorders>
            <w:shd w:val="clear" w:color="auto" w:fill="CCEEFF"/>
          </w:tcPr>
          <w:p>
            <w:pPr>
              <w:jc w:val="right"/>
              <w:ind w:right="121"/>
              <w:spacing w:after="0" w:line="183" w:lineRule="exact"/>
              <w:rPr>
                <w:sz w:val="20"/>
                <w:szCs w:val="20"/>
                <w:color w:val="auto"/>
              </w:rPr>
            </w:pPr>
            <w:r>
              <w:rPr>
                <w:rFonts w:ascii="Arial" w:cs="Arial" w:eastAsia="Arial" w:hAnsi="Arial"/>
                <w:sz w:val="16"/>
                <w:szCs w:val="16"/>
                <w:color w:val="auto"/>
                <w:w w:val="74"/>
              </w:rPr>
              <w:t>)</w:t>
            </w:r>
          </w:p>
        </w:tc>
        <w:tc>
          <w:tcPr>
            <w:tcW w:w="1220" w:type="dxa"/>
            <w:vAlign w:val="bottom"/>
            <w:tcBorders>
              <w:top w:val="single" w:sz="8" w:color="CCEEFF"/>
            </w:tcBorders>
            <w:gridSpan w:val="2"/>
            <w:shd w:val="clear" w:color="auto" w:fill="CCEEFF"/>
          </w:tcPr>
          <w:p>
            <w:pPr>
              <w:jc w:val="right"/>
              <w:ind w:right="240"/>
              <w:spacing w:after="0" w:line="183"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183"/>
        </w:trPr>
        <w:tc>
          <w:tcPr>
            <w:tcW w:w="20" w:type="dxa"/>
            <w:vAlign w:val="bottom"/>
            <w:vMerge w:val="restart"/>
          </w:tcPr>
          <w:p>
            <w:pPr>
              <w:spacing w:after="0"/>
              <w:rPr>
                <w:sz w:val="15"/>
                <w:szCs w:val="15"/>
                <w:color w:val="auto"/>
              </w:rPr>
            </w:pPr>
          </w:p>
        </w:tc>
        <w:tc>
          <w:tcPr>
            <w:tcW w:w="3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9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20" w:type="dxa"/>
            <w:vAlign w:val="bottom"/>
            <w:vMerge w:val="continue"/>
          </w:tcPr>
          <w:p>
            <w:pPr>
              <w:spacing w:after="0"/>
              <w:rPr>
                <w:sz w:val="16"/>
                <w:szCs w:val="16"/>
                <w:color w:val="auto"/>
              </w:rPr>
            </w:pPr>
          </w:p>
        </w:tc>
        <w:tc>
          <w:tcPr>
            <w:tcW w:w="3740" w:type="dxa"/>
            <w:vAlign w:val="bottom"/>
            <w:gridSpan w:val="2"/>
            <w:shd w:val="clear" w:color="auto" w:fill="CCEEFF"/>
          </w:tcPr>
          <w:p>
            <w:pPr>
              <w:spacing w:after="0" w:line="189" w:lineRule="exact"/>
              <w:rPr>
                <w:sz w:val="20"/>
                <w:szCs w:val="20"/>
                <w:color w:val="auto"/>
              </w:rPr>
            </w:pPr>
            <w:r>
              <w:rPr>
                <w:rFonts w:ascii="Arial" w:cs="Arial" w:eastAsia="Arial" w:hAnsi="Arial"/>
                <w:sz w:val="17"/>
                <w:szCs w:val="17"/>
                <w:color w:val="auto"/>
              </w:rPr>
              <w:t>Income before income taxes and equity in net</w:t>
            </w: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60" w:type="dxa"/>
            <w:vAlign w:val="bottom"/>
            <w:tcBorders>
              <w:right w:val="single" w:sz="8" w:color="CCEEFF"/>
            </w:tcBorders>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tcBorders>
              <w:right w:val="single" w:sz="8" w:color="CCEEFF"/>
            </w:tcBorders>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3740" w:type="dxa"/>
            <w:vAlign w:val="bottom"/>
            <w:gridSpan w:val="2"/>
            <w:shd w:val="clear" w:color="auto" w:fill="CCEEFF"/>
          </w:tcPr>
          <w:p>
            <w:pPr>
              <w:spacing w:after="0" w:line="191" w:lineRule="exact"/>
              <w:rPr>
                <w:sz w:val="20"/>
                <w:szCs w:val="20"/>
                <w:color w:val="auto"/>
              </w:rPr>
            </w:pPr>
            <w:r>
              <w:rPr>
                <w:rFonts w:ascii="Arial" w:cs="Arial" w:eastAsia="Arial" w:hAnsi="Arial"/>
                <w:sz w:val="17"/>
                <w:szCs w:val="17"/>
                <w:color w:val="auto"/>
              </w:rPr>
              <w:t>income (loss) of unconsolidated entities</w:t>
            </w:r>
          </w:p>
        </w:tc>
        <w:tc>
          <w:tcPr>
            <w:tcW w:w="200" w:type="dxa"/>
            <w:vAlign w:val="bottom"/>
            <w:shd w:val="clear" w:color="auto" w:fill="CCEEFF"/>
          </w:tcPr>
          <w:p>
            <w:pPr>
              <w:spacing w:after="0"/>
              <w:rPr>
                <w:sz w:val="16"/>
                <w:szCs w:val="16"/>
                <w:color w:val="auto"/>
              </w:rPr>
            </w:pPr>
          </w:p>
        </w:tc>
        <w:tc>
          <w:tcPr>
            <w:tcW w:w="1040" w:type="dxa"/>
            <w:vAlign w:val="bottom"/>
            <w:tcBorders>
              <w:right w:val="single" w:sz="8" w:color="CCEEFF"/>
            </w:tcBorders>
            <w:gridSpan w:val="2"/>
            <w:shd w:val="clear" w:color="auto" w:fill="CCEEFF"/>
          </w:tcPr>
          <w:p>
            <w:pPr>
              <w:jc w:val="right"/>
              <w:ind w:right="181"/>
              <w:spacing w:after="0" w:line="191" w:lineRule="exact"/>
              <w:rPr>
                <w:sz w:val="20"/>
                <w:szCs w:val="20"/>
                <w:color w:val="auto"/>
              </w:rPr>
            </w:pPr>
            <w:r>
              <w:rPr>
                <w:rFonts w:ascii="Arial" w:cs="Arial" w:eastAsia="Arial" w:hAnsi="Arial"/>
                <w:sz w:val="17"/>
                <w:szCs w:val="17"/>
                <w:color w:val="auto"/>
              </w:rPr>
              <w:t>30.6</w:t>
            </w: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jc w:val="right"/>
              <w:spacing w:after="0" w:line="191" w:lineRule="exact"/>
              <w:rPr>
                <w:sz w:val="20"/>
                <w:szCs w:val="20"/>
                <w:color w:val="auto"/>
              </w:rPr>
            </w:pPr>
            <w:r>
              <w:rPr>
                <w:rFonts w:ascii="Arial" w:cs="Arial" w:eastAsia="Arial" w:hAnsi="Arial"/>
                <w:sz w:val="17"/>
                <w:szCs w:val="17"/>
                <w:color w:val="auto"/>
              </w:rPr>
              <w:t>74.2</w:t>
            </w:r>
          </w:p>
        </w:tc>
        <w:tc>
          <w:tcPr>
            <w:tcW w:w="240" w:type="dxa"/>
            <w:vAlign w:val="bottom"/>
            <w:shd w:val="clear" w:color="auto" w:fill="CCEEFF"/>
          </w:tcPr>
          <w:p>
            <w:pPr>
              <w:spacing w:after="0"/>
              <w:rPr>
                <w:sz w:val="16"/>
                <w:szCs w:val="16"/>
                <w:color w:val="auto"/>
              </w:rPr>
            </w:pPr>
          </w:p>
        </w:tc>
        <w:tc>
          <w:tcPr>
            <w:tcW w:w="1340" w:type="dxa"/>
            <w:vAlign w:val="bottom"/>
            <w:gridSpan w:val="2"/>
            <w:shd w:val="clear" w:color="auto" w:fill="CCEEFF"/>
          </w:tcPr>
          <w:p>
            <w:pPr>
              <w:jc w:val="right"/>
              <w:ind w:right="160"/>
              <w:spacing w:after="0" w:line="191" w:lineRule="exact"/>
              <w:rPr>
                <w:sz w:val="20"/>
                <w:szCs w:val="20"/>
                <w:color w:val="auto"/>
              </w:rPr>
            </w:pPr>
            <w:r>
              <w:rPr>
                <w:rFonts w:ascii="Arial" w:cs="Arial" w:eastAsia="Arial" w:hAnsi="Arial"/>
                <w:sz w:val="17"/>
                <w:szCs w:val="17"/>
                <w:color w:val="auto"/>
              </w:rPr>
              <w:t>(58.8)%</w:t>
            </w:r>
          </w:p>
        </w:tc>
        <w:tc>
          <w:tcPr>
            <w:tcW w:w="200" w:type="dxa"/>
            <w:vAlign w:val="bottom"/>
            <w:shd w:val="clear" w:color="auto" w:fill="CCEEFF"/>
          </w:tcPr>
          <w:p>
            <w:pPr>
              <w:spacing w:after="0"/>
              <w:rPr>
                <w:sz w:val="16"/>
                <w:szCs w:val="16"/>
                <w:color w:val="auto"/>
              </w:rPr>
            </w:pPr>
          </w:p>
        </w:tc>
        <w:tc>
          <w:tcPr>
            <w:tcW w:w="1020" w:type="dxa"/>
            <w:vAlign w:val="bottom"/>
            <w:tcBorders>
              <w:right w:val="single" w:sz="8" w:color="CCEEFF"/>
            </w:tcBorders>
            <w:gridSpan w:val="2"/>
            <w:shd w:val="clear" w:color="auto" w:fill="CCEEFF"/>
          </w:tcPr>
          <w:p>
            <w:pPr>
              <w:jc w:val="right"/>
              <w:ind w:right="198"/>
              <w:spacing w:after="0" w:line="191" w:lineRule="exact"/>
              <w:rPr>
                <w:sz w:val="20"/>
                <w:szCs w:val="20"/>
                <w:color w:val="auto"/>
              </w:rPr>
            </w:pPr>
            <w:r>
              <w:rPr>
                <w:rFonts w:ascii="Arial" w:cs="Arial" w:eastAsia="Arial" w:hAnsi="Arial"/>
                <w:sz w:val="17"/>
                <w:szCs w:val="17"/>
                <w:color w:val="auto"/>
              </w:rPr>
              <w:t>130.6</w:t>
            </w:r>
          </w:p>
        </w:tc>
        <w:tc>
          <w:tcPr>
            <w:tcW w:w="200" w:type="dxa"/>
            <w:vAlign w:val="bottom"/>
            <w:shd w:val="clear" w:color="auto" w:fill="CCEEFF"/>
          </w:tcPr>
          <w:p>
            <w:pPr>
              <w:spacing w:after="0"/>
              <w:rPr>
                <w:sz w:val="16"/>
                <w:szCs w:val="16"/>
                <w:color w:val="auto"/>
              </w:rPr>
            </w:pPr>
          </w:p>
        </w:tc>
        <w:tc>
          <w:tcPr>
            <w:tcW w:w="1040" w:type="dxa"/>
            <w:vAlign w:val="bottom"/>
            <w:gridSpan w:val="2"/>
            <w:shd w:val="clear" w:color="auto" w:fill="CCEEFF"/>
          </w:tcPr>
          <w:p>
            <w:pPr>
              <w:jc w:val="right"/>
              <w:ind w:right="181"/>
              <w:spacing w:after="0" w:line="191" w:lineRule="exact"/>
              <w:rPr>
                <w:sz w:val="20"/>
                <w:szCs w:val="20"/>
                <w:color w:val="auto"/>
              </w:rPr>
            </w:pPr>
            <w:r>
              <w:rPr>
                <w:rFonts w:ascii="Arial" w:cs="Arial" w:eastAsia="Arial" w:hAnsi="Arial"/>
                <w:sz w:val="17"/>
                <w:szCs w:val="17"/>
                <w:color w:val="auto"/>
              </w:rPr>
              <w:t>250.5</w:t>
            </w:r>
          </w:p>
        </w:tc>
        <w:tc>
          <w:tcPr>
            <w:tcW w:w="1220" w:type="dxa"/>
            <w:vAlign w:val="bottom"/>
            <w:gridSpan w:val="2"/>
            <w:shd w:val="clear" w:color="auto" w:fill="CCEEFF"/>
          </w:tcPr>
          <w:p>
            <w:pPr>
              <w:jc w:val="right"/>
              <w:ind w:right="40"/>
              <w:spacing w:after="0" w:line="191" w:lineRule="exact"/>
              <w:rPr>
                <w:sz w:val="20"/>
                <w:szCs w:val="20"/>
                <w:color w:val="auto"/>
              </w:rPr>
            </w:pPr>
            <w:r>
              <w:rPr>
                <w:rFonts w:ascii="Arial" w:cs="Arial" w:eastAsia="Arial" w:hAnsi="Arial"/>
                <w:sz w:val="17"/>
                <w:szCs w:val="17"/>
                <w:color w:val="auto"/>
              </w:rPr>
              <w:t>(47.9)%</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3740" w:type="dxa"/>
            <w:vAlign w:val="bottom"/>
            <w:gridSpan w:val="2"/>
          </w:tcPr>
          <w:p>
            <w:pPr>
              <w:spacing w:after="0" w:line="189" w:lineRule="exact"/>
              <w:rPr>
                <w:sz w:val="20"/>
                <w:szCs w:val="20"/>
                <w:color w:val="auto"/>
              </w:rPr>
            </w:pPr>
            <w:r>
              <w:rPr>
                <w:rFonts w:ascii="Arial" w:cs="Arial" w:eastAsia="Arial" w:hAnsi="Arial"/>
                <w:sz w:val="17"/>
                <w:szCs w:val="17"/>
                <w:color w:val="auto"/>
              </w:rPr>
              <w:t>Equity in net income (loss) of unconsolidated</w:t>
            </w: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1"/>
        </w:trPr>
        <w:tc>
          <w:tcPr>
            <w:tcW w:w="3760" w:type="dxa"/>
            <w:vAlign w:val="bottom"/>
            <w:gridSpan w:val="3"/>
          </w:tcPr>
          <w:p>
            <w:pPr>
              <w:spacing w:after="0" w:line="191" w:lineRule="exact"/>
              <w:rPr>
                <w:sz w:val="20"/>
                <w:szCs w:val="20"/>
                <w:color w:val="auto"/>
              </w:rPr>
            </w:pPr>
            <w:r>
              <w:rPr>
                <w:rFonts w:ascii="Arial" w:cs="Arial" w:eastAsia="Arial" w:hAnsi="Arial"/>
                <w:sz w:val="17"/>
                <w:szCs w:val="17"/>
                <w:color w:val="auto"/>
              </w:rPr>
              <w:t>entities</w:t>
            </w:r>
          </w:p>
        </w:tc>
        <w:tc>
          <w:tcPr>
            <w:tcW w:w="200" w:type="dxa"/>
            <w:vAlign w:val="bottom"/>
          </w:tcPr>
          <w:p>
            <w:pPr>
              <w:spacing w:after="0"/>
              <w:rPr>
                <w:sz w:val="16"/>
                <w:szCs w:val="16"/>
                <w:color w:val="auto"/>
              </w:rPr>
            </w:pPr>
          </w:p>
        </w:tc>
        <w:tc>
          <w:tcPr>
            <w:tcW w:w="1040" w:type="dxa"/>
            <w:vAlign w:val="bottom"/>
            <w:gridSpan w:val="2"/>
          </w:tcPr>
          <w:p>
            <w:pPr>
              <w:jc w:val="right"/>
              <w:ind w:right="121"/>
              <w:spacing w:after="0" w:line="191" w:lineRule="exact"/>
              <w:rPr>
                <w:sz w:val="20"/>
                <w:szCs w:val="20"/>
                <w:color w:val="auto"/>
              </w:rPr>
            </w:pPr>
            <w:r>
              <w:rPr>
                <w:rFonts w:ascii="Arial" w:cs="Arial" w:eastAsia="Arial" w:hAnsi="Arial"/>
                <w:sz w:val="17"/>
                <w:szCs w:val="17"/>
                <w:color w:val="auto"/>
              </w:rPr>
              <w:t>(0.9)</w:t>
            </w:r>
          </w:p>
        </w:tc>
        <w:tc>
          <w:tcPr>
            <w:tcW w:w="200" w:type="dxa"/>
            <w:vAlign w:val="bottom"/>
          </w:tcPr>
          <w:p>
            <w:pPr>
              <w:spacing w:after="0"/>
              <w:rPr>
                <w:sz w:val="16"/>
                <w:szCs w:val="16"/>
                <w:color w:val="auto"/>
              </w:rPr>
            </w:pPr>
          </w:p>
        </w:tc>
        <w:tc>
          <w:tcPr>
            <w:tcW w:w="1020" w:type="dxa"/>
            <w:vAlign w:val="bottom"/>
            <w:gridSpan w:val="2"/>
          </w:tcPr>
          <w:p>
            <w:pPr>
              <w:jc w:val="right"/>
              <w:ind w:right="198"/>
              <w:spacing w:after="0" w:line="191" w:lineRule="exact"/>
              <w:rPr>
                <w:sz w:val="20"/>
                <w:szCs w:val="20"/>
                <w:color w:val="auto"/>
              </w:rPr>
            </w:pPr>
            <w:r>
              <w:rPr>
                <w:rFonts w:ascii="Arial" w:cs="Arial" w:eastAsia="Arial" w:hAnsi="Arial"/>
                <w:sz w:val="17"/>
                <w:szCs w:val="17"/>
                <w:color w:val="auto"/>
              </w:rPr>
              <w:t>0.8</w:t>
            </w:r>
          </w:p>
        </w:tc>
        <w:tc>
          <w:tcPr>
            <w:tcW w:w="1340" w:type="dxa"/>
            <w:vAlign w:val="bottom"/>
            <w:gridSpan w:val="2"/>
          </w:tcPr>
          <w:p>
            <w:pPr>
              <w:jc w:val="right"/>
              <w:ind w:right="360"/>
              <w:spacing w:after="0" w:line="191" w:lineRule="exact"/>
              <w:rPr>
                <w:sz w:val="20"/>
                <w:szCs w:val="20"/>
                <w:color w:val="auto"/>
              </w:rPr>
            </w:pPr>
            <w:r>
              <w:rPr>
                <w:rFonts w:ascii="Arial" w:cs="Arial" w:eastAsia="Arial" w:hAnsi="Arial"/>
                <w:sz w:val="17"/>
                <w:szCs w:val="17"/>
                <w:color w:val="auto"/>
              </w:rPr>
              <w:t>NMF</w:t>
            </w:r>
          </w:p>
        </w:tc>
        <w:tc>
          <w:tcPr>
            <w:tcW w:w="200" w:type="dxa"/>
            <w:vAlign w:val="bottom"/>
          </w:tcPr>
          <w:p>
            <w:pPr>
              <w:spacing w:after="0"/>
              <w:rPr>
                <w:sz w:val="16"/>
                <w:szCs w:val="16"/>
                <w:color w:val="auto"/>
              </w:rPr>
            </w:pPr>
          </w:p>
        </w:tc>
        <w:tc>
          <w:tcPr>
            <w:tcW w:w="1020" w:type="dxa"/>
            <w:vAlign w:val="bottom"/>
            <w:gridSpan w:val="2"/>
          </w:tcPr>
          <w:p>
            <w:pPr>
              <w:jc w:val="right"/>
              <w:ind w:right="158"/>
              <w:spacing w:after="0" w:line="191" w:lineRule="exact"/>
              <w:rPr>
                <w:sz w:val="20"/>
                <w:szCs w:val="20"/>
                <w:color w:val="auto"/>
              </w:rPr>
            </w:pPr>
            <w:r>
              <w:rPr>
                <w:rFonts w:ascii="Arial" w:cs="Arial" w:eastAsia="Arial" w:hAnsi="Arial"/>
                <w:sz w:val="17"/>
                <w:szCs w:val="17"/>
                <w:color w:val="auto"/>
              </w:rPr>
              <w:t>(3.6)</w:t>
            </w:r>
          </w:p>
        </w:tc>
        <w:tc>
          <w:tcPr>
            <w:tcW w:w="200" w:type="dxa"/>
            <w:vAlign w:val="bottom"/>
          </w:tcPr>
          <w:p>
            <w:pPr>
              <w:spacing w:after="0"/>
              <w:rPr>
                <w:sz w:val="16"/>
                <w:szCs w:val="16"/>
                <w:color w:val="auto"/>
              </w:rPr>
            </w:pPr>
          </w:p>
        </w:tc>
        <w:tc>
          <w:tcPr>
            <w:tcW w:w="1040" w:type="dxa"/>
            <w:vAlign w:val="bottom"/>
            <w:gridSpan w:val="2"/>
          </w:tcPr>
          <w:p>
            <w:pPr>
              <w:jc w:val="right"/>
              <w:ind w:right="181"/>
              <w:spacing w:after="0" w:line="191" w:lineRule="exact"/>
              <w:rPr>
                <w:sz w:val="20"/>
                <w:szCs w:val="20"/>
                <w:color w:val="auto"/>
              </w:rPr>
            </w:pPr>
            <w:r>
              <w:rPr>
                <w:rFonts w:ascii="Arial" w:cs="Arial" w:eastAsia="Arial" w:hAnsi="Arial"/>
                <w:sz w:val="17"/>
                <w:szCs w:val="17"/>
                <w:color w:val="auto"/>
              </w:rPr>
              <w:t>5.4</w:t>
            </w:r>
          </w:p>
        </w:tc>
        <w:tc>
          <w:tcPr>
            <w:tcW w:w="1220" w:type="dxa"/>
            <w:vAlign w:val="bottom"/>
            <w:gridSpan w:val="2"/>
          </w:tcPr>
          <w:p>
            <w:pPr>
              <w:jc w:val="right"/>
              <w:ind w:right="240"/>
              <w:spacing w:after="0" w:line="191"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74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Income tax expense</w:t>
            </w:r>
          </w:p>
        </w:tc>
        <w:tc>
          <w:tcPr>
            <w:tcW w:w="200" w:type="dxa"/>
            <w:vAlign w:val="bottom"/>
            <w:shd w:val="clear" w:color="auto" w:fill="CCEEFF"/>
          </w:tcPr>
          <w:p>
            <w:pPr>
              <w:spacing w:after="0"/>
              <w:rPr>
                <w:sz w:val="17"/>
                <w:szCs w:val="17"/>
                <w:color w:val="auto"/>
              </w:rPr>
            </w:pPr>
          </w:p>
        </w:tc>
        <w:tc>
          <w:tcPr>
            <w:tcW w:w="1040" w:type="dxa"/>
            <w:vAlign w:val="bottom"/>
            <w:tcBorders>
              <w:right w:val="single" w:sz="8" w:color="CCEEFF"/>
            </w:tcBorders>
            <w:gridSpan w:val="2"/>
            <w:shd w:val="clear" w:color="auto" w:fill="CCEEFF"/>
          </w:tcPr>
          <w:p>
            <w:pPr>
              <w:jc w:val="right"/>
              <w:ind w:right="181"/>
              <w:spacing w:after="0"/>
              <w:rPr>
                <w:sz w:val="20"/>
                <w:szCs w:val="20"/>
                <w:color w:val="auto"/>
              </w:rPr>
            </w:pPr>
            <w:r>
              <w:rPr>
                <w:rFonts w:ascii="Arial" w:cs="Arial" w:eastAsia="Arial" w:hAnsi="Arial"/>
                <w:sz w:val="17"/>
                <w:szCs w:val="17"/>
                <w:color w:val="auto"/>
              </w:rPr>
              <w:t>26.4</w:t>
            </w:r>
          </w:p>
        </w:tc>
        <w:tc>
          <w:tcPr>
            <w:tcW w:w="200" w:type="dxa"/>
            <w:vAlign w:val="bottom"/>
            <w:shd w:val="clear" w:color="auto" w:fill="CCEEFF"/>
          </w:tcPr>
          <w:p>
            <w:pPr>
              <w:spacing w:after="0"/>
              <w:rPr>
                <w:sz w:val="17"/>
                <w:szCs w:val="17"/>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18.5</w:t>
            </w:r>
          </w:p>
        </w:tc>
        <w:tc>
          <w:tcPr>
            <w:tcW w:w="240" w:type="dxa"/>
            <w:vAlign w:val="bottom"/>
            <w:shd w:val="clear" w:color="auto" w:fill="CCEEFF"/>
          </w:tcPr>
          <w:p>
            <w:pPr>
              <w:spacing w:after="0"/>
              <w:rPr>
                <w:sz w:val="17"/>
                <w:szCs w:val="17"/>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7"/>
                <w:szCs w:val="17"/>
                <w:color w:val="auto"/>
              </w:rPr>
              <w:t>42.7%</w:t>
            </w:r>
          </w:p>
        </w:tc>
        <w:tc>
          <w:tcPr>
            <w:tcW w:w="200" w:type="dxa"/>
            <w:vAlign w:val="bottom"/>
            <w:shd w:val="clear" w:color="auto" w:fill="CCEEFF"/>
          </w:tcPr>
          <w:p>
            <w:pPr>
              <w:spacing w:after="0"/>
              <w:rPr>
                <w:sz w:val="17"/>
                <w:szCs w:val="17"/>
                <w:color w:val="auto"/>
              </w:rPr>
            </w:pPr>
          </w:p>
        </w:tc>
        <w:tc>
          <w:tcPr>
            <w:tcW w:w="1020" w:type="dxa"/>
            <w:vAlign w:val="bottom"/>
            <w:tcBorders>
              <w:right w:val="single" w:sz="8" w:color="CCEEFF"/>
            </w:tcBorders>
            <w:gridSpan w:val="2"/>
            <w:shd w:val="clear" w:color="auto" w:fill="CCEEFF"/>
          </w:tcPr>
          <w:p>
            <w:pPr>
              <w:jc w:val="right"/>
              <w:ind w:right="198"/>
              <w:spacing w:after="0"/>
              <w:rPr>
                <w:sz w:val="20"/>
                <w:szCs w:val="20"/>
                <w:color w:val="auto"/>
              </w:rPr>
            </w:pPr>
            <w:r>
              <w:rPr>
                <w:rFonts w:ascii="Arial" w:cs="Arial" w:eastAsia="Arial" w:hAnsi="Arial"/>
                <w:sz w:val="17"/>
                <w:szCs w:val="17"/>
                <w:color w:val="auto"/>
              </w:rPr>
              <w:t>56.5</w:t>
            </w:r>
          </w:p>
        </w:tc>
        <w:tc>
          <w:tcPr>
            <w:tcW w:w="200" w:type="dxa"/>
            <w:vAlign w:val="bottom"/>
            <w:shd w:val="clear" w:color="auto" w:fill="CCEEFF"/>
          </w:tcPr>
          <w:p>
            <w:pPr>
              <w:spacing w:after="0"/>
              <w:rPr>
                <w:sz w:val="17"/>
                <w:szCs w:val="17"/>
                <w:color w:val="auto"/>
              </w:rPr>
            </w:pPr>
          </w:p>
        </w:tc>
        <w:tc>
          <w:tcPr>
            <w:tcW w:w="1040" w:type="dxa"/>
            <w:vAlign w:val="bottom"/>
            <w:gridSpan w:val="2"/>
            <w:shd w:val="clear" w:color="auto" w:fill="CCEEFF"/>
          </w:tcPr>
          <w:p>
            <w:pPr>
              <w:jc w:val="right"/>
              <w:ind w:right="181"/>
              <w:spacing w:after="0"/>
              <w:rPr>
                <w:sz w:val="20"/>
                <w:szCs w:val="20"/>
                <w:color w:val="auto"/>
              </w:rPr>
            </w:pPr>
            <w:r>
              <w:rPr>
                <w:rFonts w:ascii="Arial" w:cs="Arial" w:eastAsia="Arial" w:hAnsi="Arial"/>
                <w:sz w:val="17"/>
                <w:szCs w:val="17"/>
                <w:color w:val="auto"/>
              </w:rPr>
              <w:t>62.6</w:t>
            </w:r>
          </w:p>
        </w:tc>
        <w:tc>
          <w:tcPr>
            <w:tcW w:w="1220" w:type="dxa"/>
            <w:vAlign w:val="bottom"/>
            <w:gridSpan w:val="2"/>
            <w:shd w:val="clear" w:color="auto" w:fill="CCEEFF"/>
          </w:tcPr>
          <w:p>
            <w:pPr>
              <w:jc w:val="right"/>
              <w:ind w:right="40"/>
              <w:spacing w:after="0"/>
              <w:rPr>
                <w:sz w:val="20"/>
                <w:szCs w:val="20"/>
                <w:color w:val="auto"/>
              </w:rPr>
            </w:pPr>
            <w:r>
              <w:rPr>
                <w:rFonts w:ascii="Arial" w:cs="Arial" w:eastAsia="Arial" w:hAnsi="Arial"/>
                <w:sz w:val="17"/>
                <w:szCs w:val="17"/>
                <w:color w:val="auto"/>
              </w:rPr>
              <w:t>(9.7)%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740" w:type="dxa"/>
            <w:vAlign w:val="bottom"/>
            <w:gridSpan w:val="2"/>
            <w:vMerge w:val="restart"/>
          </w:tcPr>
          <w:p>
            <w:pPr>
              <w:spacing w:after="0"/>
              <w:rPr>
                <w:sz w:val="20"/>
                <w:szCs w:val="20"/>
                <w:color w:val="auto"/>
              </w:rPr>
            </w:pPr>
            <w:r>
              <w:rPr>
                <w:rFonts w:ascii="Arial" w:cs="Arial" w:eastAsia="Arial" w:hAnsi="Arial"/>
                <w:sz w:val="17"/>
                <w:szCs w:val="17"/>
                <w:color w:val="auto"/>
              </w:rPr>
              <w:t>Consolidated net income</w:t>
            </w:r>
          </w:p>
        </w:tc>
        <w:tc>
          <w:tcPr>
            <w:tcW w:w="20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340" w:type="dxa"/>
            <w:vAlign w:val="bottom"/>
            <w:gridSpan w:val="2"/>
            <w:vMerge w:val="restart"/>
          </w:tcPr>
          <w:p>
            <w:pPr>
              <w:jc w:val="right"/>
              <w:ind w:right="160"/>
              <w:spacing w:after="0" w:line="216" w:lineRule="exact"/>
              <w:rPr>
                <w:sz w:val="20"/>
                <w:szCs w:val="20"/>
                <w:color w:val="auto"/>
              </w:rPr>
            </w:pPr>
            <w:r>
              <w:rPr>
                <w:rFonts w:ascii="Arial" w:cs="Arial" w:eastAsia="Arial" w:hAnsi="Arial"/>
                <w:sz w:val="14"/>
                <w:szCs w:val="14"/>
                <w:color w:val="auto"/>
              </w:rPr>
              <w:t>(94.2</w:t>
            </w:r>
            <w:r>
              <w:rPr>
                <w:rFonts w:ascii="Arial" w:cs="Arial" w:eastAsia="Arial" w:hAnsi="Arial"/>
                <w:sz w:val="24"/>
                <w:szCs w:val="24"/>
                <w:color w:val="auto"/>
                <w:vertAlign w:val="superscript"/>
              </w:rPr>
              <w:t>)%</w:t>
            </w:r>
          </w:p>
        </w:tc>
        <w:tc>
          <w:tcPr>
            <w:tcW w:w="20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20" w:type="dxa"/>
            <w:vAlign w:val="bottom"/>
            <w:gridSpan w:val="2"/>
            <w:vMerge w:val="restart"/>
          </w:tcPr>
          <w:p>
            <w:pPr>
              <w:jc w:val="right"/>
              <w:ind w:right="40"/>
              <w:spacing w:after="0" w:line="216" w:lineRule="exact"/>
              <w:rPr>
                <w:sz w:val="20"/>
                <w:szCs w:val="20"/>
                <w:color w:val="auto"/>
              </w:rPr>
            </w:pPr>
            <w:r>
              <w:rPr>
                <w:rFonts w:ascii="Arial" w:cs="Arial" w:eastAsia="Arial" w:hAnsi="Arial"/>
                <w:sz w:val="14"/>
                <w:szCs w:val="14"/>
                <w:color w:val="auto"/>
              </w:rPr>
              <w:t>(63.5</w:t>
            </w:r>
            <w:r>
              <w:rPr>
                <w:rFonts w:ascii="Arial" w:cs="Arial" w:eastAsia="Arial" w:hAnsi="Arial"/>
                <w:sz w:val="24"/>
                <w:szCs w:val="24"/>
                <w:color w:val="auto"/>
                <w:vertAlign w:val="superscript"/>
              </w:rPr>
              <w:t>)%</w:t>
            </w:r>
          </w:p>
        </w:tc>
        <w:tc>
          <w:tcPr>
            <w:tcW w:w="0" w:type="dxa"/>
            <w:vAlign w:val="bottom"/>
          </w:tcPr>
          <w:p>
            <w:pPr>
              <w:spacing w:after="0" w:line="20" w:lineRule="exact"/>
              <w:rPr>
                <w:sz w:val="1"/>
                <w:szCs w:val="1"/>
                <w:color w:val="auto"/>
              </w:rPr>
            </w:pPr>
          </w:p>
        </w:tc>
      </w:tr>
      <w:tr>
        <w:trPr>
          <w:trHeight w:val="236"/>
        </w:trPr>
        <w:tc>
          <w:tcPr>
            <w:tcW w:w="20" w:type="dxa"/>
            <w:vAlign w:val="bottom"/>
          </w:tcPr>
          <w:p>
            <w:pPr>
              <w:spacing w:after="0"/>
              <w:rPr>
                <w:sz w:val="20"/>
                <w:szCs w:val="20"/>
                <w:color w:val="auto"/>
              </w:rPr>
            </w:pPr>
          </w:p>
        </w:tc>
        <w:tc>
          <w:tcPr>
            <w:tcW w:w="3740" w:type="dxa"/>
            <w:vAlign w:val="bottom"/>
            <w:gridSpan w:val="2"/>
            <w:vMerge w:val="continue"/>
          </w:tcPr>
          <w:p>
            <w:pPr>
              <w:spacing w:after="0"/>
              <w:rPr>
                <w:sz w:val="20"/>
                <w:szCs w:val="20"/>
                <w:color w:val="auto"/>
              </w:rPr>
            </w:pPr>
          </w:p>
        </w:tc>
        <w:tc>
          <w:tcPr>
            <w:tcW w:w="200" w:type="dxa"/>
            <w:vAlign w:val="bottom"/>
          </w:tcPr>
          <w:p>
            <w:pPr>
              <w:jc w:val="right"/>
              <w:ind w:right="16"/>
              <w:spacing w:after="0"/>
              <w:rPr>
                <w:sz w:val="20"/>
                <w:szCs w:val="20"/>
                <w:color w:val="auto"/>
              </w:rPr>
            </w:pPr>
            <w:r>
              <w:rPr>
                <w:rFonts w:ascii="Arial" w:cs="Arial" w:eastAsia="Arial" w:hAnsi="Arial"/>
                <w:sz w:val="17"/>
                <w:szCs w:val="17"/>
                <w:color w:val="auto"/>
                <w:w w:val="84"/>
              </w:rPr>
              <w:t>$</w:t>
            </w:r>
          </w:p>
        </w:tc>
        <w:tc>
          <w:tcPr>
            <w:tcW w:w="1040" w:type="dxa"/>
            <w:vAlign w:val="bottom"/>
            <w:gridSpan w:val="2"/>
          </w:tcPr>
          <w:p>
            <w:pPr>
              <w:jc w:val="right"/>
              <w:ind w:right="181"/>
              <w:spacing w:after="0"/>
              <w:rPr>
                <w:sz w:val="20"/>
                <w:szCs w:val="20"/>
                <w:color w:val="auto"/>
              </w:rPr>
            </w:pPr>
            <w:r>
              <w:rPr>
                <w:rFonts w:ascii="Arial" w:cs="Arial" w:eastAsia="Arial" w:hAnsi="Arial"/>
                <w:sz w:val="17"/>
                <w:szCs w:val="17"/>
                <w:color w:val="auto"/>
              </w:rPr>
              <w:t>3.3</w:t>
            </w:r>
          </w:p>
        </w:tc>
        <w:tc>
          <w:tcPr>
            <w:tcW w:w="200" w:type="dxa"/>
            <w:vAlign w:val="bottom"/>
          </w:tcPr>
          <w:p>
            <w:pPr>
              <w:jc w:val="right"/>
              <w:ind w:right="16"/>
              <w:spacing w:after="0"/>
              <w:rPr>
                <w:sz w:val="20"/>
                <w:szCs w:val="20"/>
                <w:color w:val="auto"/>
              </w:rPr>
            </w:pPr>
            <w:r>
              <w:rPr>
                <w:rFonts w:ascii="Arial" w:cs="Arial" w:eastAsia="Arial" w:hAnsi="Arial"/>
                <w:sz w:val="17"/>
                <w:szCs w:val="17"/>
                <w:color w:val="auto"/>
                <w:w w:val="84"/>
              </w:rPr>
              <w:t>$</w:t>
            </w:r>
          </w:p>
        </w:tc>
        <w:tc>
          <w:tcPr>
            <w:tcW w:w="780" w:type="dxa"/>
            <w:vAlign w:val="bottom"/>
          </w:tcPr>
          <w:p>
            <w:pPr>
              <w:jc w:val="right"/>
              <w:spacing w:after="0"/>
              <w:rPr>
                <w:sz w:val="20"/>
                <w:szCs w:val="20"/>
                <w:color w:val="auto"/>
              </w:rPr>
            </w:pPr>
            <w:r>
              <w:rPr>
                <w:rFonts w:ascii="Arial" w:cs="Arial" w:eastAsia="Arial" w:hAnsi="Arial"/>
                <w:sz w:val="17"/>
                <w:szCs w:val="17"/>
                <w:color w:val="auto"/>
              </w:rPr>
              <w:t>56.5</w:t>
            </w:r>
          </w:p>
        </w:tc>
        <w:tc>
          <w:tcPr>
            <w:tcW w:w="240" w:type="dxa"/>
            <w:vAlign w:val="bottom"/>
          </w:tcPr>
          <w:p>
            <w:pPr>
              <w:spacing w:after="0"/>
              <w:rPr>
                <w:sz w:val="20"/>
                <w:szCs w:val="20"/>
                <w:color w:val="auto"/>
              </w:rPr>
            </w:pPr>
          </w:p>
        </w:tc>
        <w:tc>
          <w:tcPr>
            <w:tcW w:w="1340" w:type="dxa"/>
            <w:vAlign w:val="bottom"/>
            <w:gridSpan w:val="2"/>
            <w:vMerge w:val="continue"/>
          </w:tcPr>
          <w:p>
            <w:pPr>
              <w:spacing w:after="0"/>
              <w:rPr>
                <w:sz w:val="20"/>
                <w:szCs w:val="20"/>
                <w:color w:val="auto"/>
              </w:rPr>
            </w:pPr>
          </w:p>
        </w:tc>
        <w:tc>
          <w:tcPr>
            <w:tcW w:w="200" w:type="dxa"/>
            <w:vAlign w:val="bottom"/>
          </w:tcPr>
          <w:p>
            <w:pPr>
              <w:jc w:val="right"/>
              <w:ind w:right="16"/>
              <w:spacing w:after="0"/>
              <w:rPr>
                <w:sz w:val="20"/>
                <w:szCs w:val="20"/>
                <w:color w:val="auto"/>
              </w:rPr>
            </w:pPr>
            <w:r>
              <w:rPr>
                <w:rFonts w:ascii="Arial" w:cs="Arial" w:eastAsia="Arial" w:hAnsi="Arial"/>
                <w:sz w:val="17"/>
                <w:szCs w:val="17"/>
                <w:color w:val="auto"/>
                <w:w w:val="84"/>
              </w:rPr>
              <w:t>$</w:t>
            </w:r>
          </w:p>
        </w:tc>
        <w:tc>
          <w:tcPr>
            <w:tcW w:w="1020" w:type="dxa"/>
            <w:vAlign w:val="bottom"/>
            <w:gridSpan w:val="2"/>
          </w:tcPr>
          <w:p>
            <w:pPr>
              <w:jc w:val="right"/>
              <w:ind w:right="198"/>
              <w:spacing w:after="0"/>
              <w:rPr>
                <w:sz w:val="20"/>
                <w:szCs w:val="20"/>
                <w:color w:val="auto"/>
              </w:rPr>
            </w:pPr>
            <w:r>
              <w:rPr>
                <w:rFonts w:ascii="Arial" w:cs="Arial" w:eastAsia="Arial" w:hAnsi="Arial"/>
                <w:sz w:val="17"/>
                <w:szCs w:val="17"/>
                <w:color w:val="auto"/>
              </w:rPr>
              <w:t>70.5</w:t>
            </w:r>
          </w:p>
        </w:tc>
        <w:tc>
          <w:tcPr>
            <w:tcW w:w="200" w:type="dxa"/>
            <w:vAlign w:val="bottom"/>
          </w:tcPr>
          <w:p>
            <w:pPr>
              <w:jc w:val="right"/>
              <w:ind w:right="16"/>
              <w:spacing w:after="0"/>
              <w:rPr>
                <w:sz w:val="20"/>
                <w:szCs w:val="20"/>
                <w:color w:val="auto"/>
              </w:rPr>
            </w:pPr>
            <w:r>
              <w:rPr>
                <w:rFonts w:ascii="Arial" w:cs="Arial" w:eastAsia="Arial" w:hAnsi="Arial"/>
                <w:sz w:val="17"/>
                <w:szCs w:val="17"/>
                <w:color w:val="auto"/>
                <w:w w:val="84"/>
              </w:rPr>
              <w:t>$</w:t>
            </w:r>
          </w:p>
        </w:tc>
        <w:tc>
          <w:tcPr>
            <w:tcW w:w="1040" w:type="dxa"/>
            <w:vAlign w:val="bottom"/>
            <w:gridSpan w:val="2"/>
          </w:tcPr>
          <w:p>
            <w:pPr>
              <w:jc w:val="right"/>
              <w:ind w:right="181"/>
              <w:spacing w:after="0"/>
              <w:rPr>
                <w:sz w:val="20"/>
                <w:szCs w:val="20"/>
                <w:color w:val="auto"/>
              </w:rPr>
            </w:pPr>
            <w:r>
              <w:rPr>
                <w:rFonts w:ascii="Arial" w:cs="Arial" w:eastAsia="Arial" w:hAnsi="Arial"/>
                <w:sz w:val="17"/>
                <w:szCs w:val="17"/>
                <w:color w:val="auto"/>
              </w:rPr>
              <w:t>193.3</w:t>
            </w:r>
          </w:p>
        </w:tc>
        <w:tc>
          <w:tcPr>
            <w:tcW w:w="122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20" w:type="dxa"/>
            <w:vAlign w:val="bottom"/>
            <w:vMerge w:val="restart"/>
          </w:tcPr>
          <w:p>
            <w:pPr>
              <w:spacing w:after="0"/>
              <w:rPr>
                <w:sz w:val="14"/>
                <w:szCs w:val="14"/>
                <w:color w:val="auto"/>
              </w:rPr>
            </w:pPr>
          </w:p>
        </w:tc>
        <w:tc>
          <w:tcPr>
            <w:tcW w:w="364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200" w:type="dxa"/>
            <w:vAlign w:val="bottom"/>
            <w:tcBorders>
              <w:top w:val="single" w:sz="8" w:color="auto"/>
            </w:tcBorders>
            <w:shd w:val="clear" w:color="auto" w:fill="CCEEFF"/>
          </w:tcPr>
          <w:p>
            <w:pPr>
              <w:spacing w:after="0"/>
              <w:rPr>
                <w:sz w:val="14"/>
                <w:szCs w:val="14"/>
                <w:color w:val="auto"/>
              </w:rPr>
            </w:pPr>
          </w:p>
        </w:tc>
        <w:tc>
          <w:tcPr>
            <w:tcW w:w="780" w:type="dxa"/>
            <w:vAlign w:val="bottom"/>
            <w:tcBorders>
              <w:top w:val="single" w:sz="8" w:color="auto"/>
            </w:tcBorders>
            <w:shd w:val="clear" w:color="auto" w:fill="CCEEFF"/>
          </w:tcPr>
          <w:p>
            <w:pPr>
              <w:spacing w:after="0"/>
              <w:rPr>
                <w:sz w:val="14"/>
                <w:szCs w:val="14"/>
                <w:color w:val="auto"/>
              </w:rPr>
            </w:pPr>
          </w:p>
        </w:tc>
        <w:tc>
          <w:tcPr>
            <w:tcW w:w="260" w:type="dxa"/>
            <w:vAlign w:val="bottom"/>
            <w:tcBorders>
              <w:top w:val="single" w:sz="8" w:color="CCEEFF"/>
              <w:right w:val="single" w:sz="8" w:color="CCEEFF"/>
            </w:tcBorders>
            <w:shd w:val="clear" w:color="auto" w:fill="CCEEFF"/>
          </w:tcPr>
          <w:p>
            <w:pPr>
              <w:spacing w:after="0"/>
              <w:rPr>
                <w:sz w:val="14"/>
                <w:szCs w:val="14"/>
                <w:color w:val="auto"/>
              </w:rPr>
            </w:pPr>
          </w:p>
        </w:tc>
        <w:tc>
          <w:tcPr>
            <w:tcW w:w="200" w:type="dxa"/>
            <w:vAlign w:val="bottom"/>
            <w:tcBorders>
              <w:top w:val="single" w:sz="8" w:color="auto"/>
            </w:tcBorders>
            <w:shd w:val="clear" w:color="auto" w:fill="CCEEFF"/>
          </w:tcPr>
          <w:p>
            <w:pPr>
              <w:spacing w:after="0"/>
              <w:rPr>
                <w:sz w:val="14"/>
                <w:szCs w:val="14"/>
                <w:color w:val="auto"/>
              </w:rPr>
            </w:pPr>
          </w:p>
        </w:tc>
        <w:tc>
          <w:tcPr>
            <w:tcW w:w="7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CCEEFF"/>
            </w:tcBorders>
            <w:shd w:val="clear" w:color="auto" w:fill="CCEEFF"/>
          </w:tcPr>
          <w:p>
            <w:pPr>
              <w:spacing w:after="0"/>
              <w:rPr>
                <w:sz w:val="14"/>
                <w:szCs w:val="14"/>
                <w:color w:val="auto"/>
              </w:rPr>
            </w:pPr>
          </w:p>
        </w:tc>
        <w:tc>
          <w:tcPr>
            <w:tcW w:w="980" w:type="dxa"/>
            <w:vAlign w:val="bottom"/>
            <w:tcBorders>
              <w:top w:val="single" w:sz="8" w:color="CCEEFF"/>
            </w:tcBorders>
            <w:shd w:val="clear" w:color="auto" w:fill="CCEEFF"/>
          </w:tcPr>
          <w:p>
            <w:pPr>
              <w:spacing w:after="0"/>
              <w:rPr>
                <w:sz w:val="14"/>
                <w:szCs w:val="14"/>
                <w:color w:val="auto"/>
              </w:rPr>
            </w:pPr>
          </w:p>
        </w:tc>
        <w:tc>
          <w:tcPr>
            <w:tcW w:w="360" w:type="dxa"/>
            <w:vAlign w:val="bottom"/>
            <w:tcBorders>
              <w:top w:val="single" w:sz="8" w:color="CCEEFF"/>
            </w:tcBorders>
            <w:shd w:val="clear" w:color="auto" w:fill="CCEEFF"/>
          </w:tcPr>
          <w:p>
            <w:pPr>
              <w:spacing w:after="0"/>
              <w:rPr>
                <w:sz w:val="14"/>
                <w:szCs w:val="14"/>
                <w:color w:val="auto"/>
              </w:rPr>
            </w:pPr>
          </w:p>
        </w:tc>
        <w:tc>
          <w:tcPr>
            <w:tcW w:w="200" w:type="dxa"/>
            <w:vAlign w:val="bottom"/>
            <w:tcBorders>
              <w:top w:val="single" w:sz="8" w:color="auto"/>
            </w:tcBorders>
            <w:shd w:val="clear" w:color="auto" w:fill="CCEEFF"/>
          </w:tcPr>
          <w:p>
            <w:pPr>
              <w:spacing w:after="0"/>
              <w:rPr>
                <w:sz w:val="14"/>
                <w:szCs w:val="14"/>
                <w:color w:val="auto"/>
              </w:rPr>
            </w:pPr>
          </w:p>
        </w:tc>
        <w:tc>
          <w:tcPr>
            <w:tcW w:w="7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CCEEFF"/>
              <w:right w:val="single" w:sz="8" w:color="CCEEFF"/>
            </w:tcBorders>
            <w:shd w:val="clear" w:color="auto" w:fill="CCEEFF"/>
          </w:tcPr>
          <w:p>
            <w:pPr>
              <w:spacing w:after="0"/>
              <w:rPr>
                <w:sz w:val="14"/>
                <w:szCs w:val="14"/>
                <w:color w:val="auto"/>
              </w:rPr>
            </w:pPr>
          </w:p>
        </w:tc>
        <w:tc>
          <w:tcPr>
            <w:tcW w:w="200" w:type="dxa"/>
            <w:vAlign w:val="bottom"/>
            <w:tcBorders>
              <w:top w:val="single" w:sz="8" w:color="auto"/>
            </w:tcBorders>
            <w:shd w:val="clear" w:color="auto" w:fill="CCEEFF"/>
          </w:tcPr>
          <w:p>
            <w:pPr>
              <w:spacing w:after="0"/>
              <w:rPr>
                <w:sz w:val="14"/>
                <w:szCs w:val="14"/>
                <w:color w:val="auto"/>
              </w:rPr>
            </w:pPr>
          </w:p>
        </w:tc>
        <w:tc>
          <w:tcPr>
            <w:tcW w:w="780" w:type="dxa"/>
            <w:vAlign w:val="bottom"/>
            <w:tcBorders>
              <w:top w:val="single" w:sz="8" w:color="auto"/>
            </w:tcBorders>
            <w:shd w:val="clear" w:color="auto" w:fill="CCEEFF"/>
          </w:tcPr>
          <w:p>
            <w:pPr>
              <w:spacing w:after="0"/>
              <w:rPr>
                <w:sz w:val="14"/>
                <w:szCs w:val="14"/>
                <w:color w:val="auto"/>
              </w:rPr>
            </w:pPr>
          </w:p>
        </w:tc>
        <w:tc>
          <w:tcPr>
            <w:tcW w:w="260" w:type="dxa"/>
            <w:vAlign w:val="bottom"/>
            <w:tcBorders>
              <w:top w:val="single" w:sz="8" w:color="CCEEFF"/>
            </w:tcBorders>
            <w:shd w:val="clear" w:color="auto" w:fill="CCEEFF"/>
          </w:tcPr>
          <w:p>
            <w:pPr>
              <w:spacing w:after="0"/>
              <w:rPr>
                <w:sz w:val="14"/>
                <w:szCs w:val="14"/>
                <w:color w:val="auto"/>
              </w:rPr>
            </w:pPr>
          </w:p>
        </w:tc>
        <w:tc>
          <w:tcPr>
            <w:tcW w:w="980" w:type="dxa"/>
            <w:vAlign w:val="bottom"/>
            <w:tcBorders>
              <w:top w:val="single" w:sz="8" w:color="CCEEFF"/>
            </w:tcBorders>
            <w:shd w:val="clear" w:color="auto" w:fill="CCEEFF"/>
          </w:tcPr>
          <w:p>
            <w:pPr>
              <w:spacing w:after="0"/>
              <w:rPr>
                <w:sz w:val="14"/>
                <w:szCs w:val="14"/>
                <w:color w:val="auto"/>
              </w:rPr>
            </w:pPr>
          </w:p>
        </w:tc>
        <w:tc>
          <w:tcPr>
            <w:tcW w:w="24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3740" w:type="dxa"/>
            <w:vAlign w:val="bottom"/>
            <w:gridSpan w:val="2"/>
          </w:tcPr>
          <w:p>
            <w:pPr>
              <w:spacing w:after="0" w:line="190" w:lineRule="exact"/>
              <w:rPr>
                <w:sz w:val="20"/>
                <w:szCs w:val="20"/>
                <w:color w:val="auto"/>
              </w:rPr>
            </w:pPr>
            <w:r>
              <w:rPr>
                <w:rFonts w:ascii="Arial" w:cs="Arial" w:eastAsia="Arial" w:hAnsi="Arial"/>
                <w:sz w:val="17"/>
                <w:szCs w:val="17"/>
                <w:color w:val="auto"/>
              </w:rPr>
              <w:t>Net income per share:</w:t>
            </w: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Basic</w:t>
            </w:r>
          </w:p>
        </w:tc>
        <w:tc>
          <w:tcPr>
            <w:tcW w:w="200" w:type="dxa"/>
            <w:vAlign w:val="bottom"/>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w w:val="84"/>
              </w:rPr>
              <w:t>$</w:t>
            </w:r>
          </w:p>
        </w:tc>
        <w:tc>
          <w:tcPr>
            <w:tcW w:w="1040" w:type="dxa"/>
            <w:vAlign w:val="bottom"/>
            <w:tcBorders>
              <w:right w:val="single" w:sz="8" w:color="CCEEFF"/>
            </w:tcBorders>
            <w:gridSpan w:val="2"/>
            <w:shd w:val="clear" w:color="auto" w:fill="CCEEFF"/>
          </w:tcPr>
          <w:p>
            <w:pPr>
              <w:jc w:val="right"/>
              <w:ind w:right="181"/>
              <w:spacing w:after="0" w:line="190" w:lineRule="exact"/>
              <w:rPr>
                <w:sz w:val="20"/>
                <w:szCs w:val="20"/>
                <w:color w:val="auto"/>
              </w:rPr>
            </w:pPr>
            <w:r>
              <w:rPr>
                <w:rFonts w:ascii="Arial" w:cs="Arial" w:eastAsia="Arial" w:hAnsi="Arial"/>
                <w:sz w:val="17"/>
                <w:szCs w:val="17"/>
                <w:color w:val="auto"/>
              </w:rPr>
              <w:t>0.08</w:t>
            </w:r>
          </w:p>
        </w:tc>
        <w:tc>
          <w:tcPr>
            <w:tcW w:w="200" w:type="dxa"/>
            <w:vAlign w:val="bottom"/>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w w:val="84"/>
              </w:rPr>
              <w:t>$</w:t>
            </w:r>
          </w:p>
        </w:tc>
        <w:tc>
          <w:tcPr>
            <w:tcW w:w="78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1.31</w:t>
            </w:r>
          </w:p>
        </w:tc>
        <w:tc>
          <w:tcPr>
            <w:tcW w:w="240" w:type="dxa"/>
            <w:vAlign w:val="bottom"/>
            <w:shd w:val="clear" w:color="auto" w:fill="CCEEFF"/>
          </w:tcPr>
          <w:p>
            <w:pPr>
              <w:spacing w:after="0"/>
              <w:rPr>
                <w:sz w:val="16"/>
                <w:szCs w:val="16"/>
                <w:color w:val="auto"/>
              </w:rPr>
            </w:pPr>
          </w:p>
        </w:tc>
        <w:tc>
          <w:tcPr>
            <w:tcW w:w="1340" w:type="dxa"/>
            <w:vAlign w:val="bottom"/>
            <w:gridSpan w:val="2"/>
            <w:shd w:val="clear" w:color="auto" w:fill="CCEEFF"/>
          </w:tcPr>
          <w:p>
            <w:pPr>
              <w:jc w:val="right"/>
              <w:ind w:right="160"/>
              <w:spacing w:after="0" w:line="190" w:lineRule="exact"/>
              <w:rPr>
                <w:sz w:val="20"/>
                <w:szCs w:val="20"/>
                <w:color w:val="auto"/>
              </w:rPr>
            </w:pPr>
            <w:r>
              <w:rPr>
                <w:rFonts w:ascii="Arial" w:cs="Arial" w:eastAsia="Arial" w:hAnsi="Arial"/>
                <w:sz w:val="17"/>
                <w:szCs w:val="17"/>
                <w:color w:val="auto"/>
              </w:rPr>
              <w:t>(93.9)%</w:t>
            </w:r>
          </w:p>
        </w:tc>
        <w:tc>
          <w:tcPr>
            <w:tcW w:w="200" w:type="dxa"/>
            <w:vAlign w:val="bottom"/>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w w:val="84"/>
              </w:rPr>
              <w:t>$</w:t>
            </w:r>
          </w:p>
        </w:tc>
        <w:tc>
          <w:tcPr>
            <w:tcW w:w="1020" w:type="dxa"/>
            <w:vAlign w:val="bottom"/>
            <w:tcBorders>
              <w:right w:val="single" w:sz="8" w:color="CCEEFF"/>
            </w:tcBorders>
            <w:gridSpan w:val="2"/>
            <w:shd w:val="clear" w:color="auto" w:fill="CCEEFF"/>
          </w:tcPr>
          <w:p>
            <w:pPr>
              <w:jc w:val="right"/>
              <w:ind w:right="198"/>
              <w:spacing w:after="0" w:line="190" w:lineRule="exact"/>
              <w:rPr>
                <w:sz w:val="20"/>
                <w:szCs w:val="20"/>
                <w:color w:val="auto"/>
              </w:rPr>
            </w:pPr>
            <w:r>
              <w:rPr>
                <w:rFonts w:ascii="Arial" w:cs="Arial" w:eastAsia="Arial" w:hAnsi="Arial"/>
                <w:sz w:val="17"/>
                <w:szCs w:val="17"/>
                <w:color w:val="auto"/>
              </w:rPr>
              <w:t>1.65</w:t>
            </w:r>
          </w:p>
        </w:tc>
        <w:tc>
          <w:tcPr>
            <w:tcW w:w="200" w:type="dxa"/>
            <w:vAlign w:val="bottom"/>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w w:val="84"/>
              </w:rPr>
              <w:t>$</w:t>
            </w:r>
          </w:p>
        </w:tc>
        <w:tc>
          <w:tcPr>
            <w:tcW w:w="1040" w:type="dxa"/>
            <w:vAlign w:val="bottom"/>
            <w:gridSpan w:val="2"/>
            <w:shd w:val="clear" w:color="auto" w:fill="CCEEFF"/>
          </w:tcPr>
          <w:p>
            <w:pPr>
              <w:jc w:val="right"/>
              <w:ind w:right="181"/>
              <w:spacing w:after="0" w:line="190" w:lineRule="exact"/>
              <w:rPr>
                <w:sz w:val="20"/>
                <w:szCs w:val="20"/>
                <w:color w:val="auto"/>
              </w:rPr>
            </w:pPr>
            <w:r>
              <w:rPr>
                <w:rFonts w:ascii="Arial" w:cs="Arial" w:eastAsia="Arial" w:hAnsi="Arial"/>
                <w:sz w:val="17"/>
                <w:szCs w:val="17"/>
                <w:color w:val="auto"/>
              </w:rPr>
              <w:t>4.50</w:t>
            </w:r>
          </w:p>
        </w:tc>
        <w:tc>
          <w:tcPr>
            <w:tcW w:w="1220" w:type="dxa"/>
            <w:vAlign w:val="bottom"/>
            <w:gridSpan w:val="2"/>
            <w:shd w:val="clear" w:color="auto" w:fill="CCEEFF"/>
          </w:tcPr>
          <w:p>
            <w:pPr>
              <w:jc w:val="right"/>
              <w:ind w:right="40"/>
              <w:spacing w:after="0" w:line="190" w:lineRule="exact"/>
              <w:rPr>
                <w:sz w:val="20"/>
                <w:szCs w:val="20"/>
                <w:color w:val="auto"/>
              </w:rPr>
            </w:pPr>
            <w:r>
              <w:rPr>
                <w:rFonts w:ascii="Arial" w:cs="Arial" w:eastAsia="Arial" w:hAnsi="Arial"/>
                <w:sz w:val="17"/>
                <w:szCs w:val="17"/>
                <w:color w:val="auto"/>
              </w:rPr>
              <w:t>(63.3)%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tcPr>
          <w:p>
            <w:pPr>
              <w:ind w:left="140"/>
              <w:spacing w:after="0" w:line="190" w:lineRule="exact"/>
              <w:rPr>
                <w:sz w:val="20"/>
                <w:szCs w:val="20"/>
                <w:color w:val="auto"/>
              </w:rPr>
            </w:pPr>
            <w:r>
              <w:rPr>
                <w:rFonts w:ascii="Arial" w:cs="Arial" w:eastAsia="Arial" w:hAnsi="Arial"/>
                <w:sz w:val="17"/>
                <w:szCs w:val="17"/>
                <w:color w:val="auto"/>
              </w:rPr>
              <w:t>Diluted</w:t>
            </w:r>
          </w:p>
        </w:tc>
        <w:tc>
          <w:tcPr>
            <w:tcW w:w="200" w:type="dxa"/>
            <w:vAlign w:val="bottom"/>
          </w:tcPr>
          <w:p>
            <w:pPr>
              <w:jc w:val="right"/>
              <w:ind w:right="16"/>
              <w:spacing w:after="0" w:line="190" w:lineRule="exact"/>
              <w:rPr>
                <w:sz w:val="20"/>
                <w:szCs w:val="20"/>
                <w:color w:val="auto"/>
              </w:rPr>
            </w:pPr>
            <w:r>
              <w:rPr>
                <w:rFonts w:ascii="Arial" w:cs="Arial" w:eastAsia="Arial" w:hAnsi="Arial"/>
                <w:sz w:val="17"/>
                <w:szCs w:val="17"/>
                <w:color w:val="auto"/>
                <w:w w:val="84"/>
              </w:rPr>
              <w:t>$</w:t>
            </w:r>
          </w:p>
        </w:tc>
        <w:tc>
          <w:tcPr>
            <w:tcW w:w="1040" w:type="dxa"/>
            <w:vAlign w:val="bottom"/>
            <w:gridSpan w:val="2"/>
          </w:tcPr>
          <w:p>
            <w:pPr>
              <w:jc w:val="right"/>
              <w:ind w:right="181"/>
              <w:spacing w:after="0" w:line="190" w:lineRule="exact"/>
              <w:rPr>
                <w:sz w:val="20"/>
                <w:szCs w:val="20"/>
                <w:color w:val="auto"/>
              </w:rPr>
            </w:pPr>
            <w:r>
              <w:rPr>
                <w:rFonts w:ascii="Arial" w:cs="Arial" w:eastAsia="Arial" w:hAnsi="Arial"/>
                <w:sz w:val="17"/>
                <w:szCs w:val="17"/>
                <w:color w:val="auto"/>
              </w:rPr>
              <w:t>0.08</w:t>
            </w:r>
          </w:p>
        </w:tc>
        <w:tc>
          <w:tcPr>
            <w:tcW w:w="200" w:type="dxa"/>
            <w:vAlign w:val="bottom"/>
          </w:tcPr>
          <w:p>
            <w:pPr>
              <w:jc w:val="right"/>
              <w:ind w:right="16"/>
              <w:spacing w:after="0" w:line="190" w:lineRule="exact"/>
              <w:rPr>
                <w:sz w:val="20"/>
                <w:szCs w:val="20"/>
                <w:color w:val="auto"/>
              </w:rPr>
            </w:pPr>
            <w:r>
              <w:rPr>
                <w:rFonts w:ascii="Arial" w:cs="Arial" w:eastAsia="Arial" w:hAnsi="Arial"/>
                <w:sz w:val="17"/>
                <w:szCs w:val="17"/>
                <w:color w:val="auto"/>
                <w:w w:val="84"/>
              </w:rPr>
              <w:t>$</w:t>
            </w:r>
          </w:p>
        </w:tc>
        <w:tc>
          <w:tcPr>
            <w:tcW w:w="780" w:type="dxa"/>
            <w:vAlign w:val="bottom"/>
          </w:tcPr>
          <w:p>
            <w:pPr>
              <w:jc w:val="right"/>
              <w:spacing w:after="0" w:line="190" w:lineRule="exact"/>
              <w:rPr>
                <w:sz w:val="20"/>
                <w:szCs w:val="20"/>
                <w:color w:val="auto"/>
              </w:rPr>
            </w:pPr>
            <w:r>
              <w:rPr>
                <w:rFonts w:ascii="Arial" w:cs="Arial" w:eastAsia="Arial" w:hAnsi="Arial"/>
                <w:sz w:val="17"/>
                <w:szCs w:val="17"/>
                <w:color w:val="auto"/>
              </w:rPr>
              <w:t>1.30</w:t>
            </w:r>
          </w:p>
        </w:tc>
        <w:tc>
          <w:tcPr>
            <w:tcW w:w="240" w:type="dxa"/>
            <w:vAlign w:val="bottom"/>
          </w:tcPr>
          <w:p>
            <w:pPr>
              <w:spacing w:after="0"/>
              <w:rPr>
                <w:sz w:val="16"/>
                <w:szCs w:val="16"/>
                <w:color w:val="auto"/>
              </w:rPr>
            </w:pPr>
          </w:p>
        </w:tc>
        <w:tc>
          <w:tcPr>
            <w:tcW w:w="1340" w:type="dxa"/>
            <w:vAlign w:val="bottom"/>
            <w:gridSpan w:val="2"/>
          </w:tcPr>
          <w:p>
            <w:pPr>
              <w:jc w:val="right"/>
              <w:ind w:right="160"/>
              <w:spacing w:after="0" w:line="190" w:lineRule="exact"/>
              <w:rPr>
                <w:sz w:val="20"/>
                <w:szCs w:val="20"/>
                <w:color w:val="auto"/>
              </w:rPr>
            </w:pPr>
            <w:r>
              <w:rPr>
                <w:rFonts w:ascii="Arial" w:cs="Arial" w:eastAsia="Arial" w:hAnsi="Arial"/>
                <w:sz w:val="17"/>
                <w:szCs w:val="17"/>
                <w:color w:val="auto"/>
              </w:rPr>
              <w:t>(93.8)%</w:t>
            </w:r>
          </w:p>
        </w:tc>
        <w:tc>
          <w:tcPr>
            <w:tcW w:w="200" w:type="dxa"/>
            <w:vAlign w:val="bottom"/>
          </w:tcPr>
          <w:p>
            <w:pPr>
              <w:jc w:val="right"/>
              <w:ind w:right="16"/>
              <w:spacing w:after="0" w:line="190" w:lineRule="exact"/>
              <w:rPr>
                <w:sz w:val="20"/>
                <w:szCs w:val="20"/>
                <w:color w:val="auto"/>
              </w:rPr>
            </w:pPr>
            <w:r>
              <w:rPr>
                <w:rFonts w:ascii="Arial" w:cs="Arial" w:eastAsia="Arial" w:hAnsi="Arial"/>
                <w:sz w:val="17"/>
                <w:szCs w:val="17"/>
                <w:color w:val="auto"/>
                <w:w w:val="84"/>
              </w:rPr>
              <w:t>$</w:t>
            </w:r>
          </w:p>
        </w:tc>
        <w:tc>
          <w:tcPr>
            <w:tcW w:w="1020" w:type="dxa"/>
            <w:vAlign w:val="bottom"/>
            <w:gridSpan w:val="2"/>
          </w:tcPr>
          <w:p>
            <w:pPr>
              <w:jc w:val="right"/>
              <w:ind w:right="198"/>
              <w:spacing w:after="0" w:line="190" w:lineRule="exact"/>
              <w:rPr>
                <w:sz w:val="20"/>
                <w:szCs w:val="20"/>
                <w:color w:val="auto"/>
              </w:rPr>
            </w:pPr>
            <w:r>
              <w:rPr>
                <w:rFonts w:ascii="Arial" w:cs="Arial" w:eastAsia="Arial" w:hAnsi="Arial"/>
                <w:sz w:val="17"/>
                <w:szCs w:val="17"/>
                <w:color w:val="auto"/>
              </w:rPr>
              <w:t>1.64</w:t>
            </w:r>
          </w:p>
        </w:tc>
        <w:tc>
          <w:tcPr>
            <w:tcW w:w="200" w:type="dxa"/>
            <w:vAlign w:val="bottom"/>
          </w:tcPr>
          <w:p>
            <w:pPr>
              <w:jc w:val="right"/>
              <w:ind w:right="16"/>
              <w:spacing w:after="0" w:line="190" w:lineRule="exact"/>
              <w:rPr>
                <w:sz w:val="20"/>
                <w:szCs w:val="20"/>
                <w:color w:val="auto"/>
              </w:rPr>
            </w:pPr>
            <w:r>
              <w:rPr>
                <w:rFonts w:ascii="Arial" w:cs="Arial" w:eastAsia="Arial" w:hAnsi="Arial"/>
                <w:sz w:val="17"/>
                <w:szCs w:val="17"/>
                <w:color w:val="auto"/>
                <w:w w:val="84"/>
              </w:rPr>
              <w:t>$</w:t>
            </w:r>
          </w:p>
        </w:tc>
        <w:tc>
          <w:tcPr>
            <w:tcW w:w="1040" w:type="dxa"/>
            <w:vAlign w:val="bottom"/>
            <w:gridSpan w:val="2"/>
          </w:tcPr>
          <w:p>
            <w:pPr>
              <w:jc w:val="right"/>
              <w:ind w:right="181"/>
              <w:spacing w:after="0" w:line="190" w:lineRule="exact"/>
              <w:rPr>
                <w:sz w:val="20"/>
                <w:szCs w:val="20"/>
                <w:color w:val="auto"/>
              </w:rPr>
            </w:pPr>
            <w:r>
              <w:rPr>
                <w:rFonts w:ascii="Arial" w:cs="Arial" w:eastAsia="Arial" w:hAnsi="Arial"/>
                <w:sz w:val="17"/>
                <w:szCs w:val="17"/>
                <w:color w:val="auto"/>
              </w:rPr>
              <w:t>4.45</w:t>
            </w:r>
          </w:p>
        </w:tc>
        <w:tc>
          <w:tcPr>
            <w:tcW w:w="1220" w:type="dxa"/>
            <w:vAlign w:val="bottom"/>
            <w:gridSpan w:val="2"/>
          </w:tcPr>
          <w:p>
            <w:pPr>
              <w:jc w:val="right"/>
              <w:ind w:right="40"/>
              <w:spacing w:after="0" w:line="190" w:lineRule="exact"/>
              <w:rPr>
                <w:sz w:val="20"/>
                <w:szCs w:val="20"/>
                <w:color w:val="auto"/>
              </w:rPr>
            </w:pPr>
            <w:r>
              <w:rPr>
                <w:rFonts w:ascii="Arial" w:cs="Arial" w:eastAsia="Arial" w:hAnsi="Arial"/>
                <w:sz w:val="17"/>
                <w:szCs w:val="17"/>
                <w:color w:val="auto"/>
              </w:rPr>
              <w:t>(63.1)%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Weighted average shares outstanding:</w:t>
            </w: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60" w:type="dxa"/>
            <w:vAlign w:val="bottom"/>
            <w:tcBorders>
              <w:right w:val="single" w:sz="8" w:color="CCEEFF"/>
            </w:tcBorders>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40" w:type="dxa"/>
            <w:vAlign w:val="bottom"/>
            <w:tcBorders>
              <w:right w:val="single" w:sz="8" w:color="CCEEFF"/>
            </w:tcBorders>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tcPr>
          <w:p>
            <w:pPr>
              <w:ind w:left="140"/>
              <w:spacing w:after="0" w:line="190" w:lineRule="exact"/>
              <w:rPr>
                <w:sz w:val="20"/>
                <w:szCs w:val="20"/>
                <w:color w:val="auto"/>
              </w:rPr>
            </w:pPr>
            <w:r>
              <w:rPr>
                <w:rFonts w:ascii="Arial" w:cs="Arial" w:eastAsia="Arial" w:hAnsi="Arial"/>
                <w:sz w:val="17"/>
                <w:szCs w:val="17"/>
                <w:color w:val="auto"/>
              </w:rPr>
              <w:t>Basic</w:t>
            </w:r>
          </w:p>
        </w:tc>
        <w:tc>
          <w:tcPr>
            <w:tcW w:w="200" w:type="dxa"/>
            <w:vAlign w:val="bottom"/>
          </w:tcPr>
          <w:p>
            <w:pPr>
              <w:spacing w:after="0"/>
              <w:rPr>
                <w:sz w:val="16"/>
                <w:szCs w:val="16"/>
                <w:color w:val="auto"/>
              </w:rPr>
            </w:pPr>
          </w:p>
        </w:tc>
        <w:tc>
          <w:tcPr>
            <w:tcW w:w="1040" w:type="dxa"/>
            <w:vAlign w:val="bottom"/>
            <w:gridSpan w:val="2"/>
          </w:tcPr>
          <w:p>
            <w:pPr>
              <w:jc w:val="right"/>
              <w:ind w:right="181"/>
              <w:spacing w:after="0" w:line="190" w:lineRule="exact"/>
              <w:rPr>
                <w:sz w:val="20"/>
                <w:szCs w:val="20"/>
                <w:color w:val="auto"/>
              </w:rPr>
            </w:pPr>
            <w:r>
              <w:rPr>
                <w:rFonts w:ascii="Arial" w:cs="Arial" w:eastAsia="Arial" w:hAnsi="Arial"/>
                <w:sz w:val="17"/>
                <w:szCs w:val="17"/>
                <w:color w:val="auto"/>
              </w:rPr>
              <w:t>42.5</w:t>
            </w:r>
          </w:p>
        </w:tc>
        <w:tc>
          <w:tcPr>
            <w:tcW w:w="200" w:type="dxa"/>
            <w:vAlign w:val="bottom"/>
          </w:tcPr>
          <w:p>
            <w:pPr>
              <w:spacing w:after="0"/>
              <w:rPr>
                <w:sz w:val="16"/>
                <w:szCs w:val="16"/>
                <w:color w:val="auto"/>
              </w:rPr>
            </w:pPr>
          </w:p>
        </w:tc>
        <w:tc>
          <w:tcPr>
            <w:tcW w:w="780" w:type="dxa"/>
            <w:vAlign w:val="bottom"/>
          </w:tcPr>
          <w:p>
            <w:pPr>
              <w:jc w:val="right"/>
              <w:spacing w:after="0" w:line="190" w:lineRule="exact"/>
              <w:rPr>
                <w:sz w:val="20"/>
                <w:szCs w:val="20"/>
                <w:color w:val="auto"/>
              </w:rPr>
            </w:pPr>
            <w:r>
              <w:rPr>
                <w:rFonts w:ascii="Arial" w:cs="Arial" w:eastAsia="Arial" w:hAnsi="Arial"/>
                <w:sz w:val="17"/>
                <w:szCs w:val="17"/>
                <w:color w:val="auto"/>
              </w:rPr>
              <w:t>43.1</w:t>
            </w:r>
          </w:p>
        </w:tc>
        <w:tc>
          <w:tcPr>
            <w:tcW w:w="240" w:type="dxa"/>
            <w:vAlign w:val="bottom"/>
          </w:tcPr>
          <w:p>
            <w:pPr>
              <w:spacing w:after="0"/>
              <w:rPr>
                <w:sz w:val="16"/>
                <w:szCs w:val="16"/>
                <w:color w:val="auto"/>
              </w:rPr>
            </w:pPr>
          </w:p>
        </w:tc>
        <w:tc>
          <w:tcPr>
            <w:tcW w:w="1340" w:type="dxa"/>
            <w:vAlign w:val="bottom"/>
            <w:gridSpan w:val="2"/>
          </w:tcPr>
          <w:p>
            <w:pPr>
              <w:jc w:val="right"/>
              <w:ind w:right="160"/>
              <w:spacing w:after="0" w:line="190" w:lineRule="exact"/>
              <w:rPr>
                <w:sz w:val="20"/>
                <w:szCs w:val="20"/>
                <w:color w:val="auto"/>
              </w:rPr>
            </w:pPr>
            <w:r>
              <w:rPr>
                <w:rFonts w:ascii="Arial" w:cs="Arial" w:eastAsia="Arial" w:hAnsi="Arial"/>
                <w:sz w:val="17"/>
                <w:szCs w:val="17"/>
                <w:color w:val="auto"/>
              </w:rPr>
              <w:t>(1.4)%</w:t>
            </w:r>
          </w:p>
        </w:tc>
        <w:tc>
          <w:tcPr>
            <w:tcW w:w="200" w:type="dxa"/>
            <w:vAlign w:val="bottom"/>
          </w:tcPr>
          <w:p>
            <w:pPr>
              <w:spacing w:after="0"/>
              <w:rPr>
                <w:sz w:val="16"/>
                <w:szCs w:val="16"/>
                <w:color w:val="auto"/>
              </w:rPr>
            </w:pPr>
          </w:p>
        </w:tc>
        <w:tc>
          <w:tcPr>
            <w:tcW w:w="1020" w:type="dxa"/>
            <w:vAlign w:val="bottom"/>
            <w:gridSpan w:val="2"/>
          </w:tcPr>
          <w:p>
            <w:pPr>
              <w:jc w:val="right"/>
              <w:ind w:right="198"/>
              <w:spacing w:after="0" w:line="190" w:lineRule="exact"/>
              <w:rPr>
                <w:sz w:val="20"/>
                <w:szCs w:val="20"/>
                <w:color w:val="auto"/>
              </w:rPr>
            </w:pPr>
            <w:r>
              <w:rPr>
                <w:rFonts w:ascii="Arial" w:cs="Arial" w:eastAsia="Arial" w:hAnsi="Arial"/>
                <w:sz w:val="17"/>
                <w:szCs w:val="17"/>
                <w:color w:val="auto"/>
              </w:rPr>
              <w:t>42.6</w:t>
            </w:r>
          </w:p>
        </w:tc>
        <w:tc>
          <w:tcPr>
            <w:tcW w:w="200" w:type="dxa"/>
            <w:vAlign w:val="bottom"/>
          </w:tcPr>
          <w:p>
            <w:pPr>
              <w:spacing w:after="0"/>
              <w:rPr>
                <w:sz w:val="16"/>
                <w:szCs w:val="16"/>
                <w:color w:val="auto"/>
              </w:rPr>
            </w:pPr>
          </w:p>
        </w:tc>
        <w:tc>
          <w:tcPr>
            <w:tcW w:w="1040" w:type="dxa"/>
            <w:vAlign w:val="bottom"/>
            <w:gridSpan w:val="2"/>
          </w:tcPr>
          <w:p>
            <w:pPr>
              <w:jc w:val="right"/>
              <w:ind w:right="181"/>
              <w:spacing w:after="0" w:line="190" w:lineRule="exact"/>
              <w:rPr>
                <w:sz w:val="20"/>
                <w:szCs w:val="20"/>
                <w:color w:val="auto"/>
              </w:rPr>
            </w:pPr>
            <w:r>
              <w:rPr>
                <w:rFonts w:ascii="Arial" w:cs="Arial" w:eastAsia="Arial" w:hAnsi="Arial"/>
                <w:sz w:val="17"/>
                <w:szCs w:val="17"/>
                <w:color w:val="auto"/>
              </w:rPr>
              <w:t>43.0</w:t>
            </w:r>
          </w:p>
        </w:tc>
        <w:tc>
          <w:tcPr>
            <w:tcW w:w="1220" w:type="dxa"/>
            <w:vAlign w:val="bottom"/>
            <w:gridSpan w:val="2"/>
          </w:tcPr>
          <w:p>
            <w:pPr>
              <w:jc w:val="right"/>
              <w:ind w:right="40"/>
              <w:spacing w:after="0" w:line="190" w:lineRule="exact"/>
              <w:rPr>
                <w:sz w:val="20"/>
                <w:szCs w:val="20"/>
                <w:color w:val="auto"/>
              </w:rPr>
            </w:pPr>
            <w:r>
              <w:rPr>
                <w:rFonts w:ascii="Arial" w:cs="Arial" w:eastAsia="Arial" w:hAnsi="Arial"/>
                <w:sz w:val="17"/>
                <w:szCs w:val="17"/>
                <w:color w:val="auto"/>
              </w:rPr>
              <w:t>(0.9)%</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74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Diluted</w:t>
            </w:r>
          </w:p>
        </w:tc>
        <w:tc>
          <w:tcPr>
            <w:tcW w:w="200" w:type="dxa"/>
            <w:vAlign w:val="bottom"/>
            <w:shd w:val="clear" w:color="auto" w:fill="CCEEFF"/>
          </w:tcPr>
          <w:p>
            <w:pPr>
              <w:spacing w:after="0"/>
              <w:rPr>
                <w:sz w:val="16"/>
                <w:szCs w:val="16"/>
                <w:color w:val="auto"/>
              </w:rPr>
            </w:pPr>
          </w:p>
        </w:tc>
        <w:tc>
          <w:tcPr>
            <w:tcW w:w="1040" w:type="dxa"/>
            <w:vAlign w:val="bottom"/>
            <w:tcBorders>
              <w:right w:val="single" w:sz="8" w:color="CCEEFF"/>
            </w:tcBorders>
            <w:gridSpan w:val="2"/>
            <w:shd w:val="clear" w:color="auto" w:fill="CCEEFF"/>
          </w:tcPr>
          <w:p>
            <w:pPr>
              <w:jc w:val="right"/>
              <w:ind w:right="181"/>
              <w:spacing w:after="0" w:line="190" w:lineRule="exact"/>
              <w:rPr>
                <w:sz w:val="20"/>
                <w:szCs w:val="20"/>
                <w:color w:val="auto"/>
              </w:rPr>
            </w:pPr>
            <w:r>
              <w:rPr>
                <w:rFonts w:ascii="Arial" w:cs="Arial" w:eastAsia="Arial" w:hAnsi="Arial"/>
                <w:sz w:val="17"/>
                <w:szCs w:val="17"/>
                <w:color w:val="auto"/>
              </w:rPr>
              <w:t>42.7</w:t>
            </w:r>
          </w:p>
        </w:tc>
        <w:tc>
          <w:tcPr>
            <w:tcW w:w="200" w:type="dxa"/>
            <w:vAlign w:val="bottom"/>
            <w:shd w:val="clear" w:color="auto" w:fill="CCEEFF"/>
          </w:tcPr>
          <w:p>
            <w:pPr>
              <w:spacing w:after="0"/>
              <w:rPr>
                <w:sz w:val="16"/>
                <w:szCs w:val="16"/>
                <w:color w:val="auto"/>
              </w:rPr>
            </w:pPr>
          </w:p>
        </w:tc>
        <w:tc>
          <w:tcPr>
            <w:tcW w:w="78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43.4</w:t>
            </w:r>
          </w:p>
        </w:tc>
        <w:tc>
          <w:tcPr>
            <w:tcW w:w="240" w:type="dxa"/>
            <w:vAlign w:val="bottom"/>
            <w:shd w:val="clear" w:color="auto" w:fill="CCEEFF"/>
          </w:tcPr>
          <w:p>
            <w:pPr>
              <w:spacing w:after="0"/>
              <w:rPr>
                <w:sz w:val="16"/>
                <w:szCs w:val="16"/>
                <w:color w:val="auto"/>
              </w:rPr>
            </w:pPr>
          </w:p>
        </w:tc>
        <w:tc>
          <w:tcPr>
            <w:tcW w:w="1340" w:type="dxa"/>
            <w:vAlign w:val="bottom"/>
            <w:gridSpan w:val="2"/>
            <w:shd w:val="clear" w:color="auto" w:fill="CCEEFF"/>
          </w:tcPr>
          <w:p>
            <w:pPr>
              <w:jc w:val="right"/>
              <w:ind w:right="160"/>
              <w:spacing w:after="0" w:line="190" w:lineRule="exact"/>
              <w:rPr>
                <w:sz w:val="20"/>
                <w:szCs w:val="20"/>
                <w:color w:val="auto"/>
              </w:rPr>
            </w:pPr>
            <w:r>
              <w:rPr>
                <w:rFonts w:ascii="Arial" w:cs="Arial" w:eastAsia="Arial" w:hAnsi="Arial"/>
                <w:sz w:val="17"/>
                <w:szCs w:val="17"/>
                <w:color w:val="auto"/>
              </w:rPr>
              <w:t>(1.6)%</w:t>
            </w:r>
          </w:p>
        </w:tc>
        <w:tc>
          <w:tcPr>
            <w:tcW w:w="200" w:type="dxa"/>
            <w:vAlign w:val="bottom"/>
            <w:shd w:val="clear" w:color="auto" w:fill="CCEEFF"/>
          </w:tcPr>
          <w:p>
            <w:pPr>
              <w:spacing w:after="0"/>
              <w:rPr>
                <w:sz w:val="16"/>
                <w:szCs w:val="16"/>
                <w:color w:val="auto"/>
              </w:rPr>
            </w:pPr>
          </w:p>
        </w:tc>
        <w:tc>
          <w:tcPr>
            <w:tcW w:w="1020" w:type="dxa"/>
            <w:vAlign w:val="bottom"/>
            <w:tcBorders>
              <w:right w:val="single" w:sz="8" w:color="CCEEFF"/>
            </w:tcBorders>
            <w:gridSpan w:val="2"/>
            <w:shd w:val="clear" w:color="auto" w:fill="CCEEFF"/>
          </w:tcPr>
          <w:p>
            <w:pPr>
              <w:jc w:val="right"/>
              <w:ind w:right="198"/>
              <w:spacing w:after="0" w:line="190" w:lineRule="exact"/>
              <w:rPr>
                <w:sz w:val="20"/>
                <w:szCs w:val="20"/>
                <w:color w:val="auto"/>
              </w:rPr>
            </w:pPr>
            <w:r>
              <w:rPr>
                <w:rFonts w:ascii="Arial" w:cs="Arial" w:eastAsia="Arial" w:hAnsi="Arial"/>
                <w:sz w:val="17"/>
                <w:szCs w:val="17"/>
                <w:color w:val="auto"/>
              </w:rPr>
              <w:t>42.9</w:t>
            </w:r>
          </w:p>
        </w:tc>
        <w:tc>
          <w:tcPr>
            <w:tcW w:w="200" w:type="dxa"/>
            <w:vAlign w:val="bottom"/>
            <w:shd w:val="clear" w:color="auto" w:fill="CCEEFF"/>
          </w:tcPr>
          <w:p>
            <w:pPr>
              <w:spacing w:after="0"/>
              <w:rPr>
                <w:sz w:val="16"/>
                <w:szCs w:val="16"/>
                <w:color w:val="auto"/>
              </w:rPr>
            </w:pPr>
          </w:p>
        </w:tc>
        <w:tc>
          <w:tcPr>
            <w:tcW w:w="1040" w:type="dxa"/>
            <w:vAlign w:val="bottom"/>
            <w:gridSpan w:val="2"/>
            <w:shd w:val="clear" w:color="auto" w:fill="CCEEFF"/>
          </w:tcPr>
          <w:p>
            <w:pPr>
              <w:jc w:val="right"/>
              <w:ind w:right="181"/>
              <w:spacing w:after="0" w:line="190" w:lineRule="exact"/>
              <w:rPr>
                <w:sz w:val="20"/>
                <w:szCs w:val="20"/>
                <w:color w:val="auto"/>
              </w:rPr>
            </w:pPr>
            <w:r>
              <w:rPr>
                <w:rFonts w:ascii="Arial" w:cs="Arial" w:eastAsia="Arial" w:hAnsi="Arial"/>
                <w:sz w:val="17"/>
                <w:szCs w:val="17"/>
                <w:color w:val="auto"/>
              </w:rPr>
              <w:t>43.4</w:t>
            </w:r>
          </w:p>
        </w:tc>
        <w:tc>
          <w:tcPr>
            <w:tcW w:w="1220" w:type="dxa"/>
            <w:vAlign w:val="bottom"/>
            <w:gridSpan w:val="2"/>
            <w:shd w:val="clear" w:color="auto" w:fill="CCEEFF"/>
          </w:tcPr>
          <w:p>
            <w:pPr>
              <w:jc w:val="right"/>
              <w:ind w:right="40"/>
              <w:spacing w:after="0" w:line="190" w:lineRule="exact"/>
              <w:rPr>
                <w:sz w:val="20"/>
                <w:szCs w:val="20"/>
                <w:color w:val="auto"/>
              </w:rPr>
            </w:pPr>
            <w:r>
              <w:rPr>
                <w:rFonts w:ascii="Arial" w:cs="Arial" w:eastAsia="Arial" w:hAnsi="Arial"/>
                <w:sz w:val="17"/>
                <w:szCs w:val="17"/>
                <w:color w:val="auto"/>
              </w:rPr>
              <w:t>(1.2)%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153035</wp:posOffset>
            </wp:positionV>
            <wp:extent cx="1786890" cy="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786890" cy="8255"/>
                    </a:xfrm>
                    <a:prstGeom prst="rect">
                      <a:avLst/>
                    </a:prstGeom>
                    <a:noFill/>
                  </pic:spPr>
                </pic:pic>
              </a:graphicData>
            </a:graphic>
          </wp:anchor>
        </w:drawing>
      </w:r>
    </w:p>
    <w:p>
      <w:pPr>
        <w:spacing w:after="0" w:line="278"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NMF - Not meaningful, pp - percentage points</w:t>
      </w:r>
    </w:p>
    <w:p>
      <w:pPr>
        <w:spacing w:after="0" w:line="386"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12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17780</wp:posOffset>
            </wp:positionV>
            <wp:extent cx="7140575" cy="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41" w:right="339" w:bottom="1440" w:gutter="0" w:footer="0" w:header="0"/>
        </w:sectPr>
      </w:pPr>
    </w:p>
    <w:bookmarkStart w:id="16" w:name="page17"/>
    <w:bookmarkEnd w:id="16"/>
    <w:tbl>
      <w:tblPr>
        <w:tblLayout w:type="fixed"/>
        <w:tblInd w:w="0" w:type="dxa"/>
        <w:tblCellMar>
          <w:top w:w="0" w:type="dxa"/>
          <w:left w:w="0" w:type="dxa"/>
          <w:bottom w:w="0" w:type="dxa"/>
          <w:right w:w="0" w:type="dxa"/>
        </w:tblCellMar>
      </w:tblPr>
      <w:tr>
        <w:trPr>
          <w:trHeight w:val="223"/>
        </w:trPr>
        <w:tc>
          <w:tcPr>
            <w:tcW w:w="7740" w:type="dxa"/>
            <w:vAlign w:val="bottom"/>
            <w:gridSpan w:val="3"/>
          </w:tcPr>
          <w:p>
            <w:pPr>
              <w:spacing w:after="0"/>
              <w:rPr>
                <w:sz w:val="20"/>
                <w:szCs w:val="20"/>
                <w:color w:val="auto"/>
              </w:rPr>
            </w:pPr>
            <w:r>
              <w:rPr>
                <w:rFonts w:ascii="Arial" w:cs="Arial" w:eastAsia="Arial" w:hAnsi="Arial"/>
                <w:sz w:val="17"/>
                <w:szCs w:val="17"/>
                <w:b w:val="1"/>
                <w:bCs w:val="1"/>
                <w:color w:val="auto"/>
              </w:rPr>
              <w:t>Morningstar, Inc. and Subsidiaries</w:t>
            </w:r>
          </w:p>
        </w:tc>
        <w:tc>
          <w:tcPr>
            <w:tcW w:w="36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80"/>
        </w:trPr>
        <w:tc>
          <w:tcPr>
            <w:tcW w:w="7740" w:type="dxa"/>
            <w:vAlign w:val="bottom"/>
            <w:gridSpan w:val="3"/>
          </w:tcPr>
          <w:p>
            <w:pPr>
              <w:spacing w:after="0"/>
              <w:rPr>
                <w:sz w:val="20"/>
                <w:szCs w:val="20"/>
                <w:color w:val="auto"/>
              </w:rPr>
            </w:pPr>
            <w:r>
              <w:rPr>
                <w:rFonts w:ascii="Arial" w:cs="Arial" w:eastAsia="Arial" w:hAnsi="Arial"/>
                <w:sz w:val="17"/>
                <w:szCs w:val="17"/>
                <w:b w:val="1"/>
                <w:bCs w:val="1"/>
                <w:color w:val="auto"/>
              </w:rPr>
              <w:t>Unaudited Condensed Consolidated Balance Sheets</w:t>
            </w:r>
          </w:p>
        </w:tc>
        <w:tc>
          <w:tcPr>
            <w:tcW w:w="36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0"/>
        </w:trPr>
        <w:tc>
          <w:tcPr>
            <w:tcW w:w="20" w:type="dxa"/>
            <w:vAlign w:val="bottom"/>
          </w:tcPr>
          <w:p>
            <w:pPr>
              <w:spacing w:after="0"/>
              <w:rPr>
                <w:sz w:val="24"/>
                <w:szCs w:val="24"/>
                <w:color w:val="auto"/>
              </w:rPr>
            </w:pPr>
          </w:p>
        </w:tc>
        <w:tc>
          <w:tcPr>
            <w:tcW w:w="7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880" w:type="dxa"/>
            <w:vAlign w:val="bottom"/>
            <w:gridSpan w:val="3"/>
          </w:tcPr>
          <w:p>
            <w:pPr>
              <w:spacing w:after="0"/>
              <w:rPr>
                <w:sz w:val="20"/>
                <w:szCs w:val="20"/>
                <w:color w:val="auto"/>
              </w:rPr>
            </w:pPr>
            <w:r>
              <w:rPr>
                <w:rFonts w:ascii="Arial" w:cs="Arial" w:eastAsia="Arial" w:hAnsi="Arial"/>
                <w:sz w:val="17"/>
                <w:szCs w:val="17"/>
                <w:b w:val="1"/>
                <w:bCs w:val="1"/>
                <w:color w:val="auto"/>
              </w:rPr>
              <w:t>As of December 31,</w:t>
            </w:r>
          </w:p>
        </w:tc>
        <w:tc>
          <w:tcPr>
            <w:tcW w:w="1620" w:type="dxa"/>
            <w:vAlign w:val="bottom"/>
            <w:gridSpan w:val="3"/>
          </w:tcPr>
          <w:p>
            <w:pPr>
              <w:spacing w:after="0"/>
              <w:rPr>
                <w:sz w:val="20"/>
                <w:szCs w:val="20"/>
                <w:color w:val="auto"/>
              </w:rPr>
            </w:pPr>
            <w:r>
              <w:rPr>
                <w:rFonts w:ascii="Arial" w:cs="Arial" w:eastAsia="Arial" w:hAnsi="Arial"/>
                <w:sz w:val="17"/>
                <w:szCs w:val="17"/>
                <w:b w:val="1"/>
                <w:bCs w:val="1"/>
                <w:color w:val="auto"/>
              </w:rPr>
              <w:t>As of December 31</w:t>
            </w:r>
          </w:p>
        </w:tc>
        <w:tc>
          <w:tcPr>
            <w:tcW w:w="0" w:type="dxa"/>
            <w:vAlign w:val="bottom"/>
          </w:tcPr>
          <w:p>
            <w:pPr>
              <w:spacing w:after="0"/>
              <w:rPr>
                <w:sz w:val="1"/>
                <w:szCs w:val="1"/>
                <w:color w:val="auto"/>
              </w:rPr>
            </w:pPr>
          </w:p>
        </w:tc>
      </w:tr>
      <w:tr>
        <w:trPr>
          <w:trHeight w:val="211"/>
        </w:trPr>
        <w:tc>
          <w:tcPr>
            <w:tcW w:w="7740" w:type="dxa"/>
            <w:vAlign w:val="bottom"/>
            <w:gridSpan w:val="3"/>
          </w:tcPr>
          <w:p>
            <w:pPr>
              <w:spacing w:after="0"/>
              <w:rPr>
                <w:sz w:val="20"/>
                <w:szCs w:val="20"/>
                <w:color w:val="auto"/>
              </w:rPr>
            </w:pPr>
            <w:r>
              <w:rPr>
                <w:rFonts w:ascii="Arial" w:cs="Arial" w:eastAsia="Arial" w:hAnsi="Arial"/>
                <w:sz w:val="17"/>
                <w:szCs w:val="17"/>
                <w:b w:val="1"/>
                <w:bCs w:val="1"/>
                <w:color w:val="auto"/>
              </w:rPr>
              <w:t>(in millions)</w:t>
            </w:r>
          </w:p>
        </w:tc>
        <w:tc>
          <w:tcPr>
            <w:tcW w:w="360" w:type="dxa"/>
            <w:vAlign w:val="bottom"/>
          </w:tcPr>
          <w:p>
            <w:pPr>
              <w:spacing w:after="0"/>
              <w:rPr>
                <w:sz w:val="18"/>
                <w:szCs w:val="18"/>
                <w:color w:val="auto"/>
              </w:rPr>
            </w:pPr>
          </w:p>
        </w:tc>
        <w:tc>
          <w:tcPr>
            <w:tcW w:w="1200" w:type="dxa"/>
            <w:vAlign w:val="bottom"/>
          </w:tcPr>
          <w:p>
            <w:pPr>
              <w:jc w:val="right"/>
              <w:ind w:right="496"/>
              <w:spacing w:after="0"/>
              <w:rPr>
                <w:sz w:val="20"/>
                <w:szCs w:val="20"/>
                <w:color w:val="auto"/>
              </w:rPr>
            </w:pPr>
            <w:r>
              <w:rPr>
                <w:rFonts w:ascii="Arial" w:cs="Arial" w:eastAsia="Arial" w:hAnsi="Arial"/>
                <w:sz w:val="17"/>
                <w:szCs w:val="17"/>
                <w:b w:val="1"/>
                <w:bCs w:val="1"/>
                <w:color w:val="auto"/>
              </w:rPr>
              <w:t>2022</w:t>
            </w:r>
          </w:p>
        </w:tc>
        <w:tc>
          <w:tcPr>
            <w:tcW w:w="3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00" w:type="dxa"/>
            <w:vAlign w:val="bottom"/>
          </w:tcPr>
          <w:p>
            <w:pPr>
              <w:jc w:val="right"/>
              <w:ind w:right="496"/>
              <w:spacing w:after="0"/>
              <w:rPr>
                <w:sz w:val="20"/>
                <w:szCs w:val="20"/>
                <w:color w:val="auto"/>
              </w:rPr>
            </w:pPr>
            <w:r>
              <w:rPr>
                <w:rFonts w:ascii="Arial" w:cs="Arial" w:eastAsia="Arial" w:hAnsi="Arial"/>
                <w:sz w:val="17"/>
                <w:szCs w:val="17"/>
                <w:b w:val="1"/>
                <w:bCs w:val="1"/>
                <w:color w:val="auto"/>
              </w:rPr>
              <w:t>2021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7520" w:type="dxa"/>
            <w:vAlign w:val="bottom"/>
            <w:tcBorders>
              <w:top w:val="single" w:sz="8" w:color="auto"/>
            </w:tcBorders>
            <w:shd w:val="clear" w:color="auto" w:fill="CCEEFF"/>
          </w:tcPr>
          <w:p>
            <w:pPr>
              <w:spacing w:after="0" w:line="183" w:lineRule="exact"/>
              <w:rPr>
                <w:sz w:val="20"/>
                <w:szCs w:val="20"/>
                <w:color w:val="auto"/>
              </w:rPr>
            </w:pPr>
            <w:r>
              <w:rPr>
                <w:rFonts w:ascii="Arial" w:cs="Arial" w:eastAsia="Arial" w:hAnsi="Arial"/>
                <w:sz w:val="17"/>
                <w:szCs w:val="17"/>
                <w:b w:val="1"/>
                <w:bCs w:val="1"/>
                <w:color w:val="auto"/>
              </w:rPr>
              <w:t>Assets</w:t>
            </w:r>
          </w:p>
        </w:tc>
        <w:tc>
          <w:tcPr>
            <w:tcW w:w="200" w:type="dxa"/>
            <w:vAlign w:val="bottom"/>
            <w:tcBorders>
              <w:top w:val="single" w:sz="8" w:color="CCEEFF"/>
            </w:tcBorders>
            <w:shd w:val="clear" w:color="auto" w:fill="CCEEFF"/>
          </w:tcPr>
          <w:p>
            <w:pPr>
              <w:spacing w:after="0"/>
              <w:rPr>
                <w:sz w:val="15"/>
                <w:szCs w:val="15"/>
                <w:color w:val="auto"/>
              </w:rPr>
            </w:pPr>
          </w:p>
        </w:tc>
        <w:tc>
          <w:tcPr>
            <w:tcW w:w="360" w:type="dxa"/>
            <w:vAlign w:val="bottom"/>
            <w:tcBorders>
              <w:top w:val="single" w:sz="8" w:color="auto"/>
            </w:tcBorders>
            <w:shd w:val="clear" w:color="auto" w:fill="CCEEFF"/>
          </w:tcPr>
          <w:p>
            <w:pPr>
              <w:spacing w:after="0"/>
              <w:rPr>
                <w:sz w:val="15"/>
                <w:szCs w:val="15"/>
                <w:color w:val="auto"/>
              </w:rPr>
            </w:pPr>
          </w:p>
        </w:tc>
        <w:tc>
          <w:tcPr>
            <w:tcW w:w="1200" w:type="dxa"/>
            <w:vAlign w:val="bottom"/>
            <w:tcBorders>
              <w:top w:val="single" w:sz="8" w:color="auto"/>
            </w:tcBorders>
            <w:shd w:val="clear" w:color="auto" w:fill="CCEEFF"/>
          </w:tcPr>
          <w:p>
            <w:pPr>
              <w:spacing w:after="0"/>
              <w:rPr>
                <w:sz w:val="15"/>
                <w:szCs w:val="15"/>
                <w:color w:val="auto"/>
              </w:rPr>
            </w:pPr>
          </w:p>
        </w:tc>
        <w:tc>
          <w:tcPr>
            <w:tcW w:w="320" w:type="dxa"/>
            <w:vAlign w:val="bottom"/>
            <w:tcBorders>
              <w:top w:val="single" w:sz="8" w:color="CCEEFF"/>
            </w:tcBorders>
            <w:shd w:val="clear" w:color="auto" w:fill="CCEEFF"/>
          </w:tcPr>
          <w:p>
            <w:pPr>
              <w:spacing w:after="0"/>
              <w:rPr>
                <w:sz w:val="15"/>
                <w:szCs w:val="15"/>
                <w:color w:val="auto"/>
              </w:rPr>
            </w:pPr>
          </w:p>
        </w:tc>
        <w:tc>
          <w:tcPr>
            <w:tcW w:w="320" w:type="dxa"/>
            <w:vAlign w:val="bottom"/>
            <w:tcBorders>
              <w:top w:val="single" w:sz="8" w:color="auto"/>
            </w:tcBorders>
            <w:shd w:val="clear" w:color="auto" w:fill="CCEEFF"/>
          </w:tcPr>
          <w:p>
            <w:pPr>
              <w:spacing w:after="0"/>
              <w:rPr>
                <w:sz w:val="15"/>
                <w:szCs w:val="15"/>
                <w:color w:val="auto"/>
              </w:rPr>
            </w:pPr>
          </w:p>
        </w:tc>
        <w:tc>
          <w:tcPr>
            <w:tcW w:w="120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spacing w:after="0" w:line="190" w:lineRule="exact"/>
              <w:rPr>
                <w:sz w:val="20"/>
                <w:szCs w:val="20"/>
                <w:color w:val="auto"/>
              </w:rPr>
            </w:pPr>
            <w:r>
              <w:rPr>
                <w:rFonts w:ascii="Arial" w:cs="Arial" w:eastAsia="Arial" w:hAnsi="Arial"/>
                <w:sz w:val="17"/>
                <w:szCs w:val="17"/>
                <w:color w:val="auto"/>
              </w:rPr>
              <w:t>Current assets:</w:t>
            </w:r>
          </w:p>
        </w:tc>
        <w:tc>
          <w:tcPr>
            <w:tcW w:w="36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Cash and cash equivalents</w:t>
            </w:r>
          </w:p>
        </w:tc>
        <w:tc>
          <w:tcPr>
            <w:tcW w:w="360" w:type="dxa"/>
            <w:vAlign w:val="bottom"/>
            <w:shd w:val="clear" w:color="auto" w:fill="CCEEFF"/>
          </w:tcPr>
          <w:p>
            <w:pPr>
              <w:spacing w:after="0" w:line="190" w:lineRule="exact"/>
              <w:rPr>
                <w:sz w:val="20"/>
                <w:szCs w:val="20"/>
                <w:color w:val="auto"/>
              </w:rPr>
            </w:pPr>
            <w:r>
              <w:rPr>
                <w:rFonts w:ascii="Arial" w:cs="Arial" w:eastAsia="Arial" w:hAnsi="Arial"/>
                <w:sz w:val="17"/>
                <w:szCs w:val="17"/>
                <w:color w:val="auto"/>
              </w:rPr>
              <w:t>$</w:t>
            </w: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376.6</w:t>
            </w:r>
          </w:p>
        </w:tc>
        <w:tc>
          <w:tcPr>
            <w:tcW w:w="320" w:type="dxa"/>
            <w:vAlign w:val="bottom"/>
            <w:shd w:val="clear" w:color="auto" w:fill="CCEEFF"/>
          </w:tcPr>
          <w:p>
            <w:pPr>
              <w:spacing w:after="0" w:line="190" w:lineRule="exact"/>
              <w:rPr>
                <w:sz w:val="20"/>
                <w:szCs w:val="20"/>
                <w:color w:val="auto"/>
              </w:rPr>
            </w:pPr>
            <w:r>
              <w:rPr>
                <w:rFonts w:ascii="Arial" w:cs="Arial" w:eastAsia="Arial" w:hAnsi="Arial"/>
                <w:sz w:val="17"/>
                <w:szCs w:val="17"/>
                <w:color w:val="auto"/>
              </w:rPr>
              <w:t>$</w:t>
            </w: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483.8</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ind w:left="140"/>
              <w:spacing w:after="0" w:line="190" w:lineRule="exact"/>
              <w:rPr>
                <w:sz w:val="20"/>
                <w:szCs w:val="20"/>
                <w:color w:val="auto"/>
              </w:rPr>
            </w:pPr>
            <w:r>
              <w:rPr>
                <w:rFonts w:ascii="Arial" w:cs="Arial" w:eastAsia="Arial" w:hAnsi="Arial"/>
                <w:sz w:val="17"/>
                <w:szCs w:val="17"/>
                <w:color w:val="auto"/>
              </w:rPr>
              <w:t>Investments</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38.0</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62.3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Accounts receivable, net</w:t>
            </w:r>
          </w:p>
        </w:tc>
        <w:tc>
          <w:tcPr>
            <w:tcW w:w="360" w:type="dxa"/>
            <w:vAlign w:val="bottom"/>
            <w:shd w:val="clear" w:color="auto" w:fill="CCEEFF"/>
          </w:tcPr>
          <w:p>
            <w:pPr>
              <w:spacing w:after="0"/>
              <w:rPr>
                <w:sz w:val="16"/>
                <w:szCs w:val="16"/>
                <w:color w:val="auto"/>
              </w:rPr>
            </w:pP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307.9</w:t>
            </w:r>
          </w:p>
        </w:tc>
        <w:tc>
          <w:tcPr>
            <w:tcW w:w="320" w:type="dxa"/>
            <w:vAlign w:val="bottom"/>
            <w:shd w:val="clear" w:color="auto" w:fill="CCEEFF"/>
          </w:tcPr>
          <w:p>
            <w:pPr>
              <w:spacing w:after="0"/>
              <w:rPr>
                <w:sz w:val="16"/>
                <w:szCs w:val="16"/>
                <w:color w:val="auto"/>
              </w:rPr>
            </w:pP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268.9</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ind w:left="140"/>
              <w:spacing w:after="0" w:line="190" w:lineRule="exact"/>
              <w:rPr>
                <w:sz w:val="20"/>
                <w:szCs w:val="20"/>
                <w:color w:val="auto"/>
              </w:rPr>
            </w:pPr>
            <w:r>
              <w:rPr>
                <w:rFonts w:ascii="Arial" w:cs="Arial" w:eastAsia="Arial" w:hAnsi="Arial"/>
                <w:sz w:val="17"/>
                <w:szCs w:val="17"/>
                <w:color w:val="auto"/>
              </w:rPr>
              <w:t>Income tax receivable, net</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8.9</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720" w:type="dxa"/>
            <w:vAlign w:val="bottom"/>
            <w:gridSpan w:val="2"/>
            <w:shd w:val="clear" w:color="auto" w:fill="CCEEFF"/>
          </w:tcPr>
          <w:p>
            <w:pPr>
              <w:ind w:left="140"/>
              <w:spacing w:after="0"/>
              <w:rPr>
                <w:sz w:val="20"/>
                <w:szCs w:val="20"/>
                <w:color w:val="auto"/>
              </w:rPr>
            </w:pPr>
            <w:r>
              <w:rPr>
                <w:rFonts w:ascii="Arial" w:cs="Arial" w:eastAsia="Arial" w:hAnsi="Arial"/>
                <w:sz w:val="17"/>
                <w:szCs w:val="17"/>
                <w:color w:val="auto"/>
              </w:rPr>
              <w:t>Other current assets</w:t>
            </w:r>
          </w:p>
        </w:tc>
        <w:tc>
          <w:tcPr>
            <w:tcW w:w="36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320"/>
              <w:spacing w:after="0"/>
              <w:rPr>
                <w:sz w:val="20"/>
                <w:szCs w:val="20"/>
                <w:color w:val="auto"/>
              </w:rPr>
            </w:pPr>
            <w:r>
              <w:rPr>
                <w:rFonts w:ascii="Arial" w:cs="Arial" w:eastAsia="Arial" w:hAnsi="Arial"/>
                <w:sz w:val="17"/>
                <w:szCs w:val="17"/>
                <w:color w:val="auto"/>
              </w:rPr>
              <w:t>88.3</w:t>
            </w:r>
          </w:p>
        </w:tc>
        <w:tc>
          <w:tcPr>
            <w:tcW w:w="3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7"/>
                <w:szCs w:val="17"/>
                <w:color w:val="auto"/>
              </w:rPr>
              <w:t>63.7</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7720" w:type="dxa"/>
            <w:vAlign w:val="bottom"/>
            <w:gridSpan w:val="2"/>
          </w:tcPr>
          <w:p>
            <w:pPr>
              <w:ind w:left="280"/>
              <w:spacing w:after="0" w:line="183" w:lineRule="exact"/>
              <w:rPr>
                <w:sz w:val="20"/>
                <w:szCs w:val="20"/>
                <w:color w:val="auto"/>
              </w:rPr>
            </w:pPr>
            <w:r>
              <w:rPr>
                <w:rFonts w:ascii="Arial" w:cs="Arial" w:eastAsia="Arial" w:hAnsi="Arial"/>
                <w:sz w:val="17"/>
                <w:szCs w:val="17"/>
                <w:color w:val="auto"/>
              </w:rPr>
              <w:t>Total current assets</w:t>
            </w:r>
          </w:p>
        </w:tc>
        <w:tc>
          <w:tcPr>
            <w:tcW w:w="360" w:type="dxa"/>
            <w:vAlign w:val="bottom"/>
            <w:tcBorders>
              <w:top w:val="single" w:sz="8" w:color="auto"/>
            </w:tcBorders>
          </w:tcPr>
          <w:p>
            <w:pPr>
              <w:spacing w:after="0"/>
              <w:rPr>
                <w:sz w:val="15"/>
                <w:szCs w:val="15"/>
                <w:color w:val="auto"/>
              </w:rPr>
            </w:pPr>
          </w:p>
        </w:tc>
        <w:tc>
          <w:tcPr>
            <w:tcW w:w="1200" w:type="dxa"/>
            <w:vAlign w:val="bottom"/>
            <w:tcBorders>
              <w:top w:val="single" w:sz="8" w:color="auto"/>
            </w:tcBorders>
          </w:tcPr>
          <w:p>
            <w:pPr>
              <w:jc w:val="right"/>
              <w:spacing w:after="0" w:line="183" w:lineRule="exact"/>
              <w:rPr>
                <w:sz w:val="20"/>
                <w:szCs w:val="20"/>
                <w:color w:val="auto"/>
              </w:rPr>
            </w:pPr>
            <w:r>
              <w:rPr>
                <w:rFonts w:ascii="Arial" w:cs="Arial" w:eastAsia="Arial" w:hAnsi="Arial"/>
                <w:sz w:val="17"/>
                <w:szCs w:val="17"/>
                <w:color w:val="auto"/>
              </w:rPr>
              <w:t>810.8</w:t>
            </w:r>
          </w:p>
        </w:tc>
        <w:tc>
          <w:tcPr>
            <w:tcW w:w="320" w:type="dxa"/>
            <w:vAlign w:val="bottom"/>
          </w:tcPr>
          <w:p>
            <w:pPr>
              <w:spacing w:after="0"/>
              <w:rPr>
                <w:sz w:val="15"/>
                <w:szCs w:val="15"/>
                <w:color w:val="auto"/>
              </w:rPr>
            </w:pPr>
          </w:p>
        </w:tc>
        <w:tc>
          <w:tcPr>
            <w:tcW w:w="320" w:type="dxa"/>
            <w:vAlign w:val="bottom"/>
            <w:tcBorders>
              <w:top w:val="single" w:sz="8" w:color="auto"/>
            </w:tcBorders>
          </w:tcPr>
          <w:p>
            <w:pPr>
              <w:spacing w:after="0"/>
              <w:rPr>
                <w:sz w:val="15"/>
                <w:szCs w:val="15"/>
                <w:color w:val="auto"/>
              </w:rPr>
            </w:pPr>
          </w:p>
        </w:tc>
        <w:tc>
          <w:tcPr>
            <w:tcW w:w="1200" w:type="dxa"/>
            <w:vAlign w:val="bottom"/>
            <w:tcBorders>
              <w:top w:val="single" w:sz="8" w:color="auto"/>
            </w:tcBorders>
          </w:tcPr>
          <w:p>
            <w:pPr>
              <w:jc w:val="right"/>
              <w:spacing w:after="0" w:line="183" w:lineRule="exact"/>
              <w:rPr>
                <w:sz w:val="20"/>
                <w:szCs w:val="20"/>
                <w:color w:val="auto"/>
              </w:rPr>
            </w:pPr>
            <w:r>
              <w:rPr>
                <w:rFonts w:ascii="Arial" w:cs="Arial" w:eastAsia="Arial" w:hAnsi="Arial"/>
                <w:sz w:val="17"/>
                <w:szCs w:val="17"/>
                <w:color w:val="auto"/>
              </w:rPr>
              <w:t>887.6</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0"/>
        </w:trPr>
        <w:tc>
          <w:tcPr>
            <w:tcW w:w="20" w:type="dxa"/>
            <w:vAlign w:val="bottom"/>
            <w:vMerge w:val="restart"/>
          </w:tcPr>
          <w:p>
            <w:pPr>
              <w:spacing w:after="0"/>
              <w:rPr>
                <w:sz w:val="16"/>
                <w:szCs w:val="16"/>
                <w:color w:val="auto"/>
              </w:rPr>
            </w:pPr>
          </w:p>
        </w:tc>
        <w:tc>
          <w:tcPr>
            <w:tcW w:w="75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7720" w:type="dxa"/>
            <w:vAlign w:val="bottom"/>
            <w:gridSpan w:val="2"/>
          </w:tcPr>
          <w:p>
            <w:pPr>
              <w:spacing w:after="0" w:line="190" w:lineRule="exact"/>
              <w:rPr>
                <w:sz w:val="20"/>
                <w:szCs w:val="20"/>
                <w:color w:val="auto"/>
              </w:rPr>
            </w:pPr>
            <w:r>
              <w:rPr>
                <w:rFonts w:ascii="Arial" w:cs="Arial" w:eastAsia="Arial" w:hAnsi="Arial"/>
                <w:sz w:val="17"/>
                <w:szCs w:val="17"/>
                <w:color w:val="auto"/>
              </w:rPr>
              <w:t>Goodwill</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1,571.7</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1,207.0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Intangible assets, net</w:t>
            </w:r>
          </w:p>
        </w:tc>
        <w:tc>
          <w:tcPr>
            <w:tcW w:w="360" w:type="dxa"/>
            <w:vAlign w:val="bottom"/>
            <w:shd w:val="clear" w:color="auto" w:fill="CCEEFF"/>
          </w:tcPr>
          <w:p>
            <w:pPr>
              <w:spacing w:after="0"/>
              <w:rPr>
                <w:sz w:val="16"/>
                <w:szCs w:val="16"/>
                <w:color w:val="auto"/>
              </w:rPr>
            </w:pP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548.6</w:t>
            </w:r>
          </w:p>
        </w:tc>
        <w:tc>
          <w:tcPr>
            <w:tcW w:w="320" w:type="dxa"/>
            <w:vAlign w:val="bottom"/>
            <w:shd w:val="clear" w:color="auto" w:fill="CCEEFF"/>
          </w:tcPr>
          <w:p>
            <w:pPr>
              <w:spacing w:after="0"/>
              <w:rPr>
                <w:sz w:val="16"/>
                <w:szCs w:val="16"/>
                <w:color w:val="auto"/>
              </w:rPr>
            </w:pP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328.2</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spacing w:after="0" w:line="190" w:lineRule="exact"/>
              <w:rPr>
                <w:sz w:val="20"/>
                <w:szCs w:val="20"/>
                <w:color w:val="auto"/>
              </w:rPr>
            </w:pPr>
            <w:r>
              <w:rPr>
                <w:rFonts w:ascii="Arial" w:cs="Arial" w:eastAsia="Arial" w:hAnsi="Arial"/>
                <w:sz w:val="17"/>
                <w:szCs w:val="17"/>
                <w:color w:val="auto"/>
              </w:rPr>
              <w:t>Property, equipment, and capitalized software, net</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199.4</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171.8</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Operating lease assets</w:t>
            </w:r>
          </w:p>
        </w:tc>
        <w:tc>
          <w:tcPr>
            <w:tcW w:w="360" w:type="dxa"/>
            <w:vAlign w:val="bottom"/>
            <w:shd w:val="clear" w:color="auto" w:fill="CCEEFF"/>
          </w:tcPr>
          <w:p>
            <w:pPr>
              <w:spacing w:after="0"/>
              <w:rPr>
                <w:sz w:val="16"/>
                <w:szCs w:val="16"/>
                <w:color w:val="auto"/>
              </w:rPr>
            </w:pP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191.6</w:t>
            </w:r>
          </w:p>
        </w:tc>
        <w:tc>
          <w:tcPr>
            <w:tcW w:w="320" w:type="dxa"/>
            <w:vAlign w:val="bottom"/>
            <w:shd w:val="clear" w:color="auto" w:fill="CCEEFF"/>
          </w:tcPr>
          <w:p>
            <w:pPr>
              <w:spacing w:after="0"/>
              <w:rPr>
                <w:sz w:val="16"/>
                <w:szCs w:val="16"/>
                <w:color w:val="auto"/>
              </w:rPr>
            </w:pP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149.2</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spacing w:after="0" w:line="190" w:lineRule="exact"/>
              <w:rPr>
                <w:sz w:val="20"/>
                <w:szCs w:val="20"/>
                <w:color w:val="auto"/>
              </w:rPr>
            </w:pPr>
            <w:r>
              <w:rPr>
                <w:rFonts w:ascii="Arial" w:cs="Arial" w:eastAsia="Arial" w:hAnsi="Arial"/>
                <w:sz w:val="17"/>
                <w:szCs w:val="17"/>
                <w:color w:val="auto"/>
              </w:rPr>
              <w:t>Investments in unconsolidated entities</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96.0</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63.3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Deferred tax asset, net</w:t>
            </w:r>
          </w:p>
        </w:tc>
        <w:tc>
          <w:tcPr>
            <w:tcW w:w="360" w:type="dxa"/>
            <w:vAlign w:val="bottom"/>
            <w:shd w:val="clear" w:color="auto" w:fill="CCEEFF"/>
          </w:tcPr>
          <w:p>
            <w:pPr>
              <w:spacing w:after="0"/>
              <w:rPr>
                <w:sz w:val="16"/>
                <w:szCs w:val="16"/>
                <w:color w:val="auto"/>
              </w:rPr>
            </w:pP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10.8</w:t>
            </w:r>
          </w:p>
        </w:tc>
        <w:tc>
          <w:tcPr>
            <w:tcW w:w="320" w:type="dxa"/>
            <w:vAlign w:val="bottom"/>
            <w:shd w:val="clear" w:color="auto" w:fill="CCEEFF"/>
          </w:tcPr>
          <w:p>
            <w:pPr>
              <w:spacing w:after="0"/>
              <w:rPr>
                <w:sz w:val="16"/>
                <w:szCs w:val="16"/>
                <w:color w:val="auto"/>
              </w:rPr>
            </w:pP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12.8</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720" w:type="dxa"/>
            <w:vAlign w:val="bottom"/>
            <w:gridSpan w:val="2"/>
          </w:tcPr>
          <w:p>
            <w:pPr>
              <w:spacing w:after="0"/>
              <w:rPr>
                <w:sz w:val="20"/>
                <w:szCs w:val="20"/>
                <w:color w:val="auto"/>
              </w:rPr>
            </w:pPr>
            <w:r>
              <w:rPr>
                <w:rFonts w:ascii="Arial" w:cs="Arial" w:eastAsia="Arial" w:hAnsi="Arial"/>
                <w:sz w:val="17"/>
                <w:szCs w:val="17"/>
                <w:color w:val="auto"/>
              </w:rPr>
              <w:t>Other assets</w:t>
            </w:r>
          </w:p>
        </w:tc>
        <w:tc>
          <w:tcPr>
            <w:tcW w:w="360" w:type="dxa"/>
            <w:vAlign w:val="bottom"/>
          </w:tcPr>
          <w:p>
            <w:pPr>
              <w:spacing w:after="0"/>
              <w:rPr>
                <w:sz w:val="17"/>
                <w:szCs w:val="17"/>
                <w:color w:val="auto"/>
              </w:rPr>
            </w:pPr>
          </w:p>
        </w:tc>
        <w:tc>
          <w:tcPr>
            <w:tcW w:w="1520" w:type="dxa"/>
            <w:vAlign w:val="bottom"/>
            <w:gridSpan w:val="2"/>
          </w:tcPr>
          <w:p>
            <w:pPr>
              <w:jc w:val="right"/>
              <w:ind w:right="320"/>
              <w:spacing w:after="0"/>
              <w:rPr>
                <w:sz w:val="20"/>
                <w:szCs w:val="20"/>
                <w:color w:val="auto"/>
              </w:rPr>
            </w:pPr>
            <w:r>
              <w:rPr>
                <w:rFonts w:ascii="Arial" w:cs="Arial" w:eastAsia="Arial" w:hAnsi="Arial"/>
                <w:sz w:val="17"/>
                <w:szCs w:val="17"/>
                <w:color w:val="auto"/>
              </w:rPr>
              <w:t>45.9</w:t>
            </w:r>
          </w:p>
        </w:tc>
        <w:tc>
          <w:tcPr>
            <w:tcW w:w="320" w:type="dxa"/>
            <w:vAlign w:val="bottom"/>
          </w:tcPr>
          <w:p>
            <w:pPr>
              <w:spacing w:after="0"/>
              <w:rPr>
                <w:sz w:val="17"/>
                <w:szCs w:val="17"/>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7"/>
                <w:szCs w:val="17"/>
                <w:color w:val="auto"/>
              </w:rPr>
              <w:t>42.8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720" w:type="dxa"/>
            <w:vAlign w:val="bottom"/>
            <w:gridSpan w:val="2"/>
            <w:vMerge w:val="restart"/>
            <w:shd w:val="clear" w:color="auto" w:fill="CCEEFF"/>
          </w:tcPr>
          <w:p>
            <w:pPr>
              <w:ind w:left="140"/>
              <w:spacing w:after="0"/>
              <w:rPr>
                <w:sz w:val="20"/>
                <w:szCs w:val="20"/>
                <w:color w:val="auto"/>
              </w:rPr>
            </w:pPr>
            <w:r>
              <w:rPr>
                <w:rFonts w:ascii="Arial" w:cs="Arial" w:eastAsia="Arial" w:hAnsi="Arial"/>
                <w:sz w:val="17"/>
                <w:szCs w:val="17"/>
                <w:color w:val="auto"/>
              </w:rPr>
              <w:t>Total assets</w:t>
            </w:r>
          </w:p>
        </w:tc>
        <w:tc>
          <w:tcPr>
            <w:tcW w:w="36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7720" w:type="dxa"/>
            <w:vAlign w:val="bottom"/>
            <w:gridSpan w:val="2"/>
            <w:vMerge w:val="continue"/>
            <w:shd w:val="clear" w:color="auto" w:fill="CCEEFF"/>
          </w:tcPr>
          <w:p>
            <w:pPr>
              <w:spacing w:after="0"/>
              <w:rPr>
                <w:sz w:val="17"/>
                <w:szCs w:val="17"/>
                <w:color w:val="auto"/>
              </w:rPr>
            </w:pPr>
          </w:p>
        </w:tc>
        <w:tc>
          <w:tcPr>
            <w:tcW w:w="360" w:type="dxa"/>
            <w:vAlign w:val="bottom"/>
            <w:shd w:val="clear" w:color="auto" w:fill="CCEEFF"/>
          </w:tcPr>
          <w:p>
            <w:pPr>
              <w:spacing w:after="0"/>
              <w:rPr>
                <w:sz w:val="20"/>
                <w:szCs w:val="20"/>
                <w:color w:val="auto"/>
              </w:rPr>
            </w:pPr>
            <w:r>
              <w:rPr>
                <w:rFonts w:ascii="Arial" w:cs="Arial" w:eastAsia="Arial" w:hAnsi="Arial"/>
                <w:sz w:val="17"/>
                <w:szCs w:val="17"/>
                <w:color w:val="auto"/>
              </w:rPr>
              <w:t>$</w:t>
            </w:r>
          </w:p>
        </w:tc>
        <w:tc>
          <w:tcPr>
            <w:tcW w:w="1520" w:type="dxa"/>
            <w:vAlign w:val="bottom"/>
            <w:gridSpan w:val="2"/>
            <w:shd w:val="clear" w:color="auto" w:fill="CCEEFF"/>
          </w:tcPr>
          <w:p>
            <w:pPr>
              <w:jc w:val="right"/>
              <w:ind w:right="320"/>
              <w:spacing w:after="0"/>
              <w:rPr>
                <w:sz w:val="20"/>
                <w:szCs w:val="20"/>
                <w:color w:val="auto"/>
              </w:rPr>
            </w:pPr>
            <w:r>
              <w:rPr>
                <w:rFonts w:ascii="Arial" w:cs="Arial" w:eastAsia="Arial" w:hAnsi="Arial"/>
                <w:sz w:val="17"/>
                <w:szCs w:val="17"/>
                <w:color w:val="auto"/>
              </w:rPr>
              <w:t>3,474.8</w:t>
            </w:r>
          </w:p>
        </w:tc>
        <w:tc>
          <w:tcPr>
            <w:tcW w:w="320" w:type="dxa"/>
            <w:vAlign w:val="bottom"/>
            <w:shd w:val="clear" w:color="auto" w:fill="CCEEFF"/>
          </w:tcPr>
          <w:p>
            <w:pPr>
              <w:spacing w:after="0"/>
              <w:rPr>
                <w:sz w:val="20"/>
                <w:szCs w:val="20"/>
                <w:color w:val="auto"/>
              </w:rPr>
            </w:pPr>
            <w:r>
              <w:rPr>
                <w:rFonts w:ascii="Arial" w:cs="Arial" w:eastAsia="Arial" w:hAnsi="Arial"/>
                <w:sz w:val="17"/>
                <w:szCs w:val="17"/>
                <w:color w:val="auto"/>
              </w:rPr>
              <w:t>$</w:t>
            </w: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7"/>
                <w:szCs w:val="17"/>
                <w:color w:val="auto"/>
              </w:rPr>
              <w:t>2,862.7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5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8"/>
        </w:trPr>
        <w:tc>
          <w:tcPr>
            <w:tcW w:w="20" w:type="dxa"/>
            <w:vAlign w:val="bottom"/>
            <w:vMerge w:val="restart"/>
          </w:tcPr>
          <w:p>
            <w:pPr>
              <w:spacing w:after="0"/>
              <w:rPr>
                <w:sz w:val="14"/>
                <w:szCs w:val="14"/>
                <w:color w:val="auto"/>
              </w:rPr>
            </w:pPr>
          </w:p>
        </w:tc>
        <w:tc>
          <w:tcPr>
            <w:tcW w:w="7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772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b w:val="1"/>
                <w:bCs w:val="1"/>
                <w:color w:val="auto"/>
              </w:rPr>
              <w:t>Liabilities and equity</w:t>
            </w:r>
          </w:p>
        </w:tc>
        <w:tc>
          <w:tcPr>
            <w:tcW w:w="36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spacing w:after="0" w:line="190" w:lineRule="exact"/>
              <w:rPr>
                <w:sz w:val="20"/>
                <w:szCs w:val="20"/>
                <w:color w:val="auto"/>
              </w:rPr>
            </w:pPr>
            <w:r>
              <w:rPr>
                <w:rFonts w:ascii="Arial" w:cs="Arial" w:eastAsia="Arial" w:hAnsi="Arial"/>
                <w:sz w:val="17"/>
                <w:szCs w:val="17"/>
                <w:color w:val="auto"/>
              </w:rPr>
              <w:t>Current liabilities:</w:t>
            </w:r>
          </w:p>
        </w:tc>
        <w:tc>
          <w:tcPr>
            <w:tcW w:w="36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Deferred revenue</w:t>
            </w:r>
          </w:p>
        </w:tc>
        <w:tc>
          <w:tcPr>
            <w:tcW w:w="360" w:type="dxa"/>
            <w:vAlign w:val="bottom"/>
            <w:shd w:val="clear" w:color="auto" w:fill="CCEEFF"/>
          </w:tcPr>
          <w:p>
            <w:pPr>
              <w:spacing w:after="0" w:line="190" w:lineRule="exact"/>
              <w:rPr>
                <w:sz w:val="20"/>
                <w:szCs w:val="20"/>
                <w:color w:val="auto"/>
              </w:rPr>
            </w:pPr>
            <w:r>
              <w:rPr>
                <w:rFonts w:ascii="Arial" w:cs="Arial" w:eastAsia="Arial" w:hAnsi="Arial"/>
                <w:sz w:val="17"/>
                <w:szCs w:val="17"/>
                <w:color w:val="auto"/>
              </w:rPr>
              <w:t>$</w:t>
            </w: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455.6</w:t>
            </w:r>
          </w:p>
        </w:tc>
        <w:tc>
          <w:tcPr>
            <w:tcW w:w="320" w:type="dxa"/>
            <w:vAlign w:val="bottom"/>
            <w:shd w:val="clear" w:color="auto" w:fill="CCEEFF"/>
          </w:tcPr>
          <w:p>
            <w:pPr>
              <w:spacing w:after="0" w:line="190" w:lineRule="exact"/>
              <w:rPr>
                <w:sz w:val="20"/>
                <w:szCs w:val="20"/>
                <w:color w:val="auto"/>
              </w:rPr>
            </w:pPr>
            <w:r>
              <w:rPr>
                <w:rFonts w:ascii="Arial" w:cs="Arial" w:eastAsia="Arial" w:hAnsi="Arial"/>
                <w:sz w:val="17"/>
                <w:szCs w:val="17"/>
                <w:color w:val="auto"/>
              </w:rPr>
              <w:t>$</w:t>
            </w: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377.4</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ind w:left="140"/>
              <w:spacing w:after="0" w:line="190" w:lineRule="exact"/>
              <w:rPr>
                <w:sz w:val="20"/>
                <w:szCs w:val="20"/>
                <w:color w:val="auto"/>
              </w:rPr>
            </w:pPr>
            <w:r>
              <w:rPr>
                <w:rFonts w:ascii="Arial" w:cs="Arial" w:eastAsia="Arial" w:hAnsi="Arial"/>
                <w:sz w:val="17"/>
                <w:szCs w:val="17"/>
                <w:color w:val="auto"/>
              </w:rPr>
              <w:t>Accrued compensation</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220.1</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273.7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Accounts payable and accrued liabilities</w:t>
            </w:r>
          </w:p>
        </w:tc>
        <w:tc>
          <w:tcPr>
            <w:tcW w:w="360" w:type="dxa"/>
            <w:vAlign w:val="bottom"/>
            <w:shd w:val="clear" w:color="auto" w:fill="CCEEFF"/>
          </w:tcPr>
          <w:p>
            <w:pPr>
              <w:spacing w:after="0"/>
              <w:rPr>
                <w:sz w:val="16"/>
                <w:szCs w:val="16"/>
                <w:color w:val="auto"/>
              </w:rPr>
            </w:pP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76.2</w:t>
            </w:r>
          </w:p>
        </w:tc>
        <w:tc>
          <w:tcPr>
            <w:tcW w:w="320" w:type="dxa"/>
            <w:vAlign w:val="bottom"/>
            <w:shd w:val="clear" w:color="auto" w:fill="CCEEFF"/>
          </w:tcPr>
          <w:p>
            <w:pPr>
              <w:spacing w:after="0"/>
              <w:rPr>
                <w:sz w:val="16"/>
                <w:szCs w:val="16"/>
                <w:color w:val="auto"/>
              </w:rPr>
            </w:pP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76.5</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ind w:left="140"/>
              <w:spacing w:after="0" w:line="190" w:lineRule="exact"/>
              <w:rPr>
                <w:sz w:val="20"/>
                <w:szCs w:val="20"/>
                <w:color w:val="auto"/>
              </w:rPr>
            </w:pPr>
            <w:r>
              <w:rPr>
                <w:rFonts w:ascii="Arial" w:cs="Arial" w:eastAsia="Arial" w:hAnsi="Arial"/>
                <w:sz w:val="17"/>
                <w:szCs w:val="17"/>
                <w:color w:val="auto"/>
              </w:rPr>
              <w:t>Operating lease liabilities</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37.3</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36.4</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Current portion of long-term debt</w:t>
            </w:r>
          </w:p>
        </w:tc>
        <w:tc>
          <w:tcPr>
            <w:tcW w:w="360" w:type="dxa"/>
            <w:vAlign w:val="bottom"/>
            <w:shd w:val="clear" w:color="auto" w:fill="CCEEFF"/>
          </w:tcPr>
          <w:p>
            <w:pPr>
              <w:spacing w:after="0"/>
              <w:rPr>
                <w:sz w:val="16"/>
                <w:szCs w:val="16"/>
                <w:color w:val="auto"/>
              </w:rPr>
            </w:pP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32.1</w:t>
            </w:r>
          </w:p>
        </w:tc>
        <w:tc>
          <w:tcPr>
            <w:tcW w:w="320" w:type="dxa"/>
            <w:vAlign w:val="bottom"/>
            <w:shd w:val="clear" w:color="auto" w:fill="CCEEFF"/>
          </w:tcPr>
          <w:p>
            <w:pPr>
              <w:spacing w:after="0"/>
              <w:rPr>
                <w:sz w:val="16"/>
                <w:szCs w:val="16"/>
                <w:color w:val="auto"/>
              </w:rPr>
            </w:pP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ind w:left="140"/>
              <w:spacing w:after="0" w:line="190" w:lineRule="exact"/>
              <w:rPr>
                <w:sz w:val="20"/>
                <w:szCs w:val="20"/>
                <w:color w:val="auto"/>
              </w:rPr>
            </w:pPr>
            <w:r>
              <w:rPr>
                <w:rFonts w:ascii="Arial" w:cs="Arial" w:eastAsia="Arial" w:hAnsi="Arial"/>
                <w:sz w:val="17"/>
                <w:szCs w:val="17"/>
                <w:color w:val="auto"/>
              </w:rPr>
              <w:t>Contingent consideration liability</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50.0</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17.3</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720" w:type="dxa"/>
            <w:vAlign w:val="bottom"/>
            <w:gridSpan w:val="2"/>
            <w:shd w:val="clear" w:color="auto" w:fill="CCEEFF"/>
          </w:tcPr>
          <w:p>
            <w:pPr>
              <w:ind w:left="140"/>
              <w:spacing w:after="0"/>
              <w:rPr>
                <w:sz w:val="20"/>
                <w:szCs w:val="20"/>
                <w:color w:val="auto"/>
              </w:rPr>
            </w:pPr>
            <w:r>
              <w:rPr>
                <w:rFonts w:ascii="Arial" w:cs="Arial" w:eastAsia="Arial" w:hAnsi="Arial"/>
                <w:sz w:val="17"/>
                <w:szCs w:val="17"/>
                <w:color w:val="auto"/>
              </w:rPr>
              <w:t>Other current liabilities</w:t>
            </w:r>
          </w:p>
        </w:tc>
        <w:tc>
          <w:tcPr>
            <w:tcW w:w="360" w:type="dxa"/>
            <w:vAlign w:val="bottom"/>
            <w:shd w:val="clear" w:color="auto" w:fill="CCEEFF"/>
          </w:tcPr>
          <w:p>
            <w:pPr>
              <w:spacing w:after="0"/>
              <w:rPr>
                <w:sz w:val="17"/>
                <w:szCs w:val="17"/>
                <w:color w:val="auto"/>
              </w:rPr>
            </w:pPr>
          </w:p>
        </w:tc>
        <w:tc>
          <w:tcPr>
            <w:tcW w:w="1520" w:type="dxa"/>
            <w:vAlign w:val="bottom"/>
            <w:gridSpan w:val="2"/>
            <w:shd w:val="clear" w:color="auto" w:fill="CCEEFF"/>
          </w:tcPr>
          <w:p>
            <w:pPr>
              <w:jc w:val="right"/>
              <w:ind w:right="320"/>
              <w:spacing w:after="0"/>
              <w:rPr>
                <w:sz w:val="20"/>
                <w:szCs w:val="20"/>
                <w:color w:val="auto"/>
              </w:rPr>
            </w:pPr>
            <w:r>
              <w:rPr>
                <w:rFonts w:ascii="Arial" w:cs="Arial" w:eastAsia="Arial" w:hAnsi="Arial"/>
                <w:sz w:val="17"/>
                <w:szCs w:val="17"/>
                <w:color w:val="auto"/>
              </w:rPr>
              <w:t>11.2</w:t>
            </w:r>
          </w:p>
        </w:tc>
        <w:tc>
          <w:tcPr>
            <w:tcW w:w="320" w:type="dxa"/>
            <w:vAlign w:val="bottom"/>
            <w:shd w:val="clear" w:color="auto" w:fill="CCEEFF"/>
          </w:tcPr>
          <w:p>
            <w:pPr>
              <w:spacing w:after="0"/>
              <w:rPr>
                <w:sz w:val="17"/>
                <w:szCs w:val="17"/>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7"/>
                <w:szCs w:val="17"/>
                <w:color w:val="auto"/>
              </w:rPr>
              <w:t>2.2</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7720" w:type="dxa"/>
            <w:vAlign w:val="bottom"/>
            <w:gridSpan w:val="2"/>
          </w:tcPr>
          <w:p>
            <w:pPr>
              <w:ind w:left="280"/>
              <w:spacing w:after="0" w:line="183" w:lineRule="exact"/>
              <w:rPr>
                <w:sz w:val="20"/>
                <w:szCs w:val="20"/>
                <w:color w:val="auto"/>
              </w:rPr>
            </w:pPr>
            <w:r>
              <w:rPr>
                <w:rFonts w:ascii="Arial" w:cs="Arial" w:eastAsia="Arial" w:hAnsi="Arial"/>
                <w:sz w:val="17"/>
                <w:szCs w:val="17"/>
                <w:color w:val="auto"/>
              </w:rPr>
              <w:t>Total current liabilities</w:t>
            </w:r>
          </w:p>
        </w:tc>
        <w:tc>
          <w:tcPr>
            <w:tcW w:w="360" w:type="dxa"/>
            <w:vAlign w:val="bottom"/>
            <w:tcBorders>
              <w:top w:val="single" w:sz="8" w:color="auto"/>
            </w:tcBorders>
          </w:tcPr>
          <w:p>
            <w:pPr>
              <w:spacing w:after="0"/>
              <w:rPr>
                <w:sz w:val="15"/>
                <w:szCs w:val="15"/>
                <w:color w:val="auto"/>
              </w:rPr>
            </w:pPr>
          </w:p>
        </w:tc>
        <w:tc>
          <w:tcPr>
            <w:tcW w:w="1200" w:type="dxa"/>
            <w:vAlign w:val="bottom"/>
            <w:tcBorders>
              <w:top w:val="single" w:sz="8" w:color="auto"/>
            </w:tcBorders>
          </w:tcPr>
          <w:p>
            <w:pPr>
              <w:jc w:val="right"/>
              <w:spacing w:after="0" w:line="183" w:lineRule="exact"/>
              <w:rPr>
                <w:sz w:val="20"/>
                <w:szCs w:val="20"/>
                <w:color w:val="auto"/>
              </w:rPr>
            </w:pPr>
            <w:r>
              <w:rPr>
                <w:rFonts w:ascii="Arial" w:cs="Arial" w:eastAsia="Arial" w:hAnsi="Arial"/>
                <w:sz w:val="17"/>
                <w:szCs w:val="17"/>
                <w:color w:val="auto"/>
              </w:rPr>
              <w:t>882.5</w:t>
            </w:r>
          </w:p>
        </w:tc>
        <w:tc>
          <w:tcPr>
            <w:tcW w:w="320" w:type="dxa"/>
            <w:vAlign w:val="bottom"/>
          </w:tcPr>
          <w:p>
            <w:pPr>
              <w:spacing w:after="0"/>
              <w:rPr>
                <w:sz w:val="15"/>
                <w:szCs w:val="15"/>
                <w:color w:val="auto"/>
              </w:rPr>
            </w:pPr>
          </w:p>
        </w:tc>
        <w:tc>
          <w:tcPr>
            <w:tcW w:w="320" w:type="dxa"/>
            <w:vAlign w:val="bottom"/>
            <w:tcBorders>
              <w:top w:val="single" w:sz="8" w:color="auto"/>
            </w:tcBorders>
          </w:tcPr>
          <w:p>
            <w:pPr>
              <w:spacing w:after="0"/>
              <w:rPr>
                <w:sz w:val="15"/>
                <w:szCs w:val="15"/>
                <w:color w:val="auto"/>
              </w:rPr>
            </w:pPr>
          </w:p>
        </w:tc>
        <w:tc>
          <w:tcPr>
            <w:tcW w:w="1200" w:type="dxa"/>
            <w:vAlign w:val="bottom"/>
            <w:tcBorders>
              <w:top w:val="single" w:sz="8" w:color="auto"/>
            </w:tcBorders>
          </w:tcPr>
          <w:p>
            <w:pPr>
              <w:jc w:val="right"/>
              <w:spacing w:after="0" w:line="183" w:lineRule="exact"/>
              <w:rPr>
                <w:sz w:val="20"/>
                <w:szCs w:val="20"/>
                <w:color w:val="auto"/>
              </w:rPr>
            </w:pPr>
            <w:r>
              <w:rPr>
                <w:rFonts w:ascii="Arial" w:cs="Arial" w:eastAsia="Arial" w:hAnsi="Arial"/>
                <w:sz w:val="17"/>
                <w:szCs w:val="17"/>
                <w:color w:val="auto"/>
              </w:rPr>
              <w:t>783.5</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0"/>
        </w:trPr>
        <w:tc>
          <w:tcPr>
            <w:tcW w:w="20" w:type="dxa"/>
            <w:vAlign w:val="bottom"/>
            <w:vMerge w:val="restart"/>
          </w:tcPr>
          <w:p>
            <w:pPr>
              <w:spacing w:after="0"/>
              <w:rPr>
                <w:sz w:val="16"/>
                <w:szCs w:val="16"/>
                <w:color w:val="auto"/>
              </w:rPr>
            </w:pPr>
          </w:p>
        </w:tc>
        <w:tc>
          <w:tcPr>
            <w:tcW w:w="75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7720" w:type="dxa"/>
            <w:vAlign w:val="bottom"/>
            <w:gridSpan w:val="2"/>
          </w:tcPr>
          <w:p>
            <w:pPr>
              <w:spacing w:after="0" w:line="190" w:lineRule="exact"/>
              <w:rPr>
                <w:sz w:val="20"/>
                <w:szCs w:val="20"/>
                <w:color w:val="auto"/>
              </w:rPr>
            </w:pPr>
            <w:r>
              <w:rPr>
                <w:rFonts w:ascii="Arial" w:cs="Arial" w:eastAsia="Arial" w:hAnsi="Arial"/>
                <w:sz w:val="17"/>
                <w:szCs w:val="17"/>
                <w:color w:val="auto"/>
              </w:rPr>
              <w:t>Operating lease liabilities</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176.7</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135.7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Accrued compensation</w:t>
            </w:r>
          </w:p>
        </w:tc>
        <w:tc>
          <w:tcPr>
            <w:tcW w:w="360" w:type="dxa"/>
            <w:vAlign w:val="bottom"/>
            <w:shd w:val="clear" w:color="auto" w:fill="CCEEFF"/>
          </w:tcPr>
          <w:p>
            <w:pPr>
              <w:spacing w:after="0"/>
              <w:rPr>
                <w:sz w:val="16"/>
                <w:szCs w:val="16"/>
                <w:color w:val="auto"/>
              </w:rPr>
            </w:pP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20.7</w:t>
            </w:r>
          </w:p>
        </w:tc>
        <w:tc>
          <w:tcPr>
            <w:tcW w:w="320" w:type="dxa"/>
            <w:vAlign w:val="bottom"/>
            <w:shd w:val="clear" w:color="auto" w:fill="CCEEFF"/>
          </w:tcPr>
          <w:p>
            <w:pPr>
              <w:spacing w:after="0"/>
              <w:rPr>
                <w:sz w:val="16"/>
                <w:szCs w:val="16"/>
                <w:color w:val="auto"/>
              </w:rPr>
            </w:pP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16.3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tcPr>
          <w:p>
            <w:pPr>
              <w:spacing w:after="0" w:line="190" w:lineRule="exact"/>
              <w:rPr>
                <w:sz w:val="20"/>
                <w:szCs w:val="20"/>
                <w:color w:val="auto"/>
              </w:rPr>
            </w:pPr>
            <w:r>
              <w:rPr>
                <w:rFonts w:ascii="Arial" w:cs="Arial" w:eastAsia="Arial" w:hAnsi="Arial"/>
                <w:sz w:val="17"/>
                <w:szCs w:val="17"/>
                <w:color w:val="auto"/>
              </w:rPr>
              <w:t>Deferred tax liability, net</w:t>
            </w:r>
          </w:p>
        </w:tc>
        <w:tc>
          <w:tcPr>
            <w:tcW w:w="360" w:type="dxa"/>
            <w:vAlign w:val="bottom"/>
          </w:tcPr>
          <w:p>
            <w:pPr>
              <w:spacing w:after="0"/>
              <w:rPr>
                <w:sz w:val="16"/>
                <w:szCs w:val="16"/>
                <w:color w:val="auto"/>
              </w:rPr>
            </w:pPr>
          </w:p>
        </w:tc>
        <w:tc>
          <w:tcPr>
            <w:tcW w:w="1520" w:type="dxa"/>
            <w:vAlign w:val="bottom"/>
            <w:gridSpan w:val="2"/>
          </w:tcPr>
          <w:p>
            <w:pPr>
              <w:jc w:val="right"/>
              <w:ind w:right="320"/>
              <w:spacing w:after="0" w:line="190" w:lineRule="exact"/>
              <w:rPr>
                <w:sz w:val="20"/>
                <w:szCs w:val="20"/>
                <w:color w:val="auto"/>
              </w:rPr>
            </w:pPr>
            <w:r>
              <w:rPr>
                <w:rFonts w:ascii="Arial" w:cs="Arial" w:eastAsia="Arial" w:hAnsi="Arial"/>
                <w:sz w:val="17"/>
                <w:szCs w:val="17"/>
                <w:color w:val="auto"/>
              </w:rPr>
              <w:t>62.9</w:t>
            </w:r>
          </w:p>
        </w:tc>
        <w:tc>
          <w:tcPr>
            <w:tcW w:w="320" w:type="dxa"/>
            <w:vAlign w:val="bottom"/>
          </w:tcPr>
          <w:p>
            <w:pPr>
              <w:spacing w:after="0"/>
              <w:rPr>
                <w:sz w:val="16"/>
                <w:szCs w:val="16"/>
                <w:color w:val="auto"/>
              </w:rPr>
            </w:pPr>
          </w:p>
        </w:tc>
        <w:tc>
          <w:tcPr>
            <w:tcW w:w="130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101.7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72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Long-term debt</w:t>
            </w:r>
          </w:p>
        </w:tc>
        <w:tc>
          <w:tcPr>
            <w:tcW w:w="360" w:type="dxa"/>
            <w:vAlign w:val="bottom"/>
            <w:shd w:val="clear" w:color="auto" w:fill="CCEEFF"/>
          </w:tcPr>
          <w:p>
            <w:pPr>
              <w:spacing w:after="0"/>
              <w:rPr>
                <w:sz w:val="16"/>
                <w:szCs w:val="16"/>
                <w:color w:val="auto"/>
              </w:rPr>
            </w:pPr>
          </w:p>
        </w:tc>
        <w:tc>
          <w:tcPr>
            <w:tcW w:w="1520" w:type="dxa"/>
            <w:vAlign w:val="bottom"/>
            <w:gridSpan w:val="2"/>
            <w:shd w:val="clear" w:color="auto" w:fill="CCEEFF"/>
          </w:tcPr>
          <w:p>
            <w:pPr>
              <w:jc w:val="right"/>
              <w:ind w:right="320"/>
              <w:spacing w:after="0" w:line="190" w:lineRule="exact"/>
              <w:rPr>
                <w:sz w:val="20"/>
                <w:szCs w:val="20"/>
                <w:color w:val="auto"/>
              </w:rPr>
            </w:pPr>
            <w:r>
              <w:rPr>
                <w:rFonts w:ascii="Arial" w:cs="Arial" w:eastAsia="Arial" w:hAnsi="Arial"/>
                <w:sz w:val="17"/>
                <w:szCs w:val="17"/>
                <w:color w:val="auto"/>
              </w:rPr>
              <w:t>1,077.5</w:t>
            </w:r>
          </w:p>
        </w:tc>
        <w:tc>
          <w:tcPr>
            <w:tcW w:w="320" w:type="dxa"/>
            <w:vAlign w:val="bottom"/>
            <w:shd w:val="clear" w:color="auto" w:fill="CCEEFF"/>
          </w:tcPr>
          <w:p>
            <w:pPr>
              <w:spacing w:after="0"/>
              <w:rPr>
                <w:sz w:val="16"/>
                <w:szCs w:val="16"/>
                <w:color w:val="auto"/>
              </w:rPr>
            </w:pPr>
          </w:p>
        </w:tc>
        <w:tc>
          <w:tcPr>
            <w:tcW w:w="130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359.4</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720" w:type="dxa"/>
            <w:vAlign w:val="bottom"/>
            <w:gridSpan w:val="2"/>
          </w:tcPr>
          <w:p>
            <w:pPr>
              <w:spacing w:after="0"/>
              <w:rPr>
                <w:sz w:val="20"/>
                <w:szCs w:val="20"/>
                <w:color w:val="auto"/>
              </w:rPr>
            </w:pPr>
            <w:r>
              <w:rPr>
                <w:rFonts w:ascii="Arial" w:cs="Arial" w:eastAsia="Arial" w:hAnsi="Arial"/>
                <w:sz w:val="17"/>
                <w:szCs w:val="17"/>
                <w:color w:val="auto"/>
              </w:rPr>
              <w:t>Other long-term liabilities</w:t>
            </w:r>
          </w:p>
        </w:tc>
        <w:tc>
          <w:tcPr>
            <w:tcW w:w="360" w:type="dxa"/>
            <w:vAlign w:val="bottom"/>
          </w:tcPr>
          <w:p>
            <w:pPr>
              <w:spacing w:after="0"/>
              <w:rPr>
                <w:sz w:val="17"/>
                <w:szCs w:val="17"/>
                <w:color w:val="auto"/>
              </w:rPr>
            </w:pPr>
          </w:p>
        </w:tc>
        <w:tc>
          <w:tcPr>
            <w:tcW w:w="1520" w:type="dxa"/>
            <w:vAlign w:val="bottom"/>
            <w:gridSpan w:val="2"/>
          </w:tcPr>
          <w:p>
            <w:pPr>
              <w:jc w:val="right"/>
              <w:ind w:right="320"/>
              <w:spacing w:after="0"/>
              <w:rPr>
                <w:sz w:val="20"/>
                <w:szCs w:val="20"/>
                <w:color w:val="auto"/>
              </w:rPr>
            </w:pPr>
            <w:r>
              <w:rPr>
                <w:rFonts w:ascii="Arial" w:cs="Arial" w:eastAsia="Arial" w:hAnsi="Arial"/>
                <w:sz w:val="17"/>
                <w:szCs w:val="17"/>
                <w:color w:val="auto"/>
              </w:rPr>
              <w:t>47.4</w:t>
            </w:r>
          </w:p>
        </w:tc>
        <w:tc>
          <w:tcPr>
            <w:tcW w:w="320" w:type="dxa"/>
            <w:vAlign w:val="bottom"/>
          </w:tcPr>
          <w:p>
            <w:pPr>
              <w:spacing w:after="0"/>
              <w:rPr>
                <w:sz w:val="17"/>
                <w:szCs w:val="17"/>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7"/>
                <w:szCs w:val="17"/>
                <w:color w:val="auto"/>
              </w:rPr>
              <w:t>50.2</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7720" w:type="dxa"/>
            <w:vAlign w:val="bottom"/>
            <w:tcBorders>
              <w:top w:val="single" w:sz="8" w:color="CCEEFF"/>
            </w:tcBorders>
            <w:gridSpan w:val="2"/>
            <w:shd w:val="clear" w:color="auto" w:fill="CCEEFF"/>
          </w:tcPr>
          <w:p>
            <w:pPr>
              <w:ind w:left="140"/>
              <w:spacing w:after="0" w:line="183" w:lineRule="exact"/>
              <w:rPr>
                <w:sz w:val="20"/>
                <w:szCs w:val="20"/>
                <w:color w:val="auto"/>
              </w:rPr>
            </w:pPr>
            <w:r>
              <w:rPr>
                <w:rFonts w:ascii="Arial" w:cs="Arial" w:eastAsia="Arial" w:hAnsi="Arial"/>
                <w:sz w:val="17"/>
                <w:szCs w:val="17"/>
                <w:color w:val="auto"/>
              </w:rPr>
              <w:t>Total liabilities</w:t>
            </w:r>
          </w:p>
        </w:tc>
        <w:tc>
          <w:tcPr>
            <w:tcW w:w="360" w:type="dxa"/>
            <w:vAlign w:val="bottom"/>
            <w:tcBorders>
              <w:top w:val="single" w:sz="8" w:color="auto"/>
            </w:tcBorders>
            <w:shd w:val="clear" w:color="auto" w:fill="CCEEFF"/>
          </w:tcPr>
          <w:p>
            <w:pPr>
              <w:spacing w:after="0"/>
              <w:rPr>
                <w:sz w:val="15"/>
                <w:szCs w:val="15"/>
                <w:color w:val="auto"/>
              </w:rPr>
            </w:pPr>
          </w:p>
        </w:tc>
        <w:tc>
          <w:tcPr>
            <w:tcW w:w="120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2,267.7</w:t>
            </w:r>
          </w:p>
        </w:tc>
        <w:tc>
          <w:tcPr>
            <w:tcW w:w="320" w:type="dxa"/>
            <w:vAlign w:val="bottom"/>
            <w:tcBorders>
              <w:top w:val="single" w:sz="8" w:color="CCEEFF"/>
            </w:tcBorders>
            <w:shd w:val="clear" w:color="auto" w:fill="CCEEFF"/>
          </w:tcPr>
          <w:p>
            <w:pPr>
              <w:spacing w:after="0"/>
              <w:rPr>
                <w:sz w:val="15"/>
                <w:szCs w:val="15"/>
                <w:color w:val="auto"/>
              </w:rPr>
            </w:pPr>
          </w:p>
        </w:tc>
        <w:tc>
          <w:tcPr>
            <w:tcW w:w="320" w:type="dxa"/>
            <w:vAlign w:val="bottom"/>
            <w:tcBorders>
              <w:top w:val="single" w:sz="8" w:color="auto"/>
            </w:tcBorders>
            <w:shd w:val="clear" w:color="auto" w:fill="CCEEFF"/>
          </w:tcPr>
          <w:p>
            <w:pPr>
              <w:spacing w:after="0"/>
              <w:rPr>
                <w:sz w:val="15"/>
                <w:szCs w:val="15"/>
                <w:color w:val="auto"/>
              </w:rPr>
            </w:pPr>
          </w:p>
        </w:tc>
        <w:tc>
          <w:tcPr>
            <w:tcW w:w="120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1,446.8</w:t>
            </w:r>
          </w:p>
        </w:tc>
        <w:tc>
          <w:tcPr>
            <w:tcW w:w="10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720" w:type="dxa"/>
            <w:vAlign w:val="bottom"/>
            <w:gridSpan w:val="2"/>
          </w:tcPr>
          <w:p>
            <w:pPr>
              <w:ind w:left="140"/>
              <w:spacing w:after="0"/>
              <w:rPr>
                <w:sz w:val="20"/>
                <w:szCs w:val="20"/>
                <w:color w:val="auto"/>
              </w:rPr>
            </w:pPr>
            <w:r>
              <w:rPr>
                <w:rFonts w:ascii="Arial" w:cs="Arial" w:eastAsia="Arial" w:hAnsi="Arial"/>
                <w:sz w:val="17"/>
                <w:szCs w:val="17"/>
                <w:color w:val="auto"/>
              </w:rPr>
              <w:t>Total equity</w:t>
            </w:r>
          </w:p>
        </w:tc>
        <w:tc>
          <w:tcPr>
            <w:tcW w:w="360" w:type="dxa"/>
            <w:vAlign w:val="bottom"/>
          </w:tcPr>
          <w:p>
            <w:pPr>
              <w:spacing w:after="0"/>
              <w:rPr>
                <w:sz w:val="17"/>
                <w:szCs w:val="17"/>
                <w:color w:val="auto"/>
              </w:rPr>
            </w:pPr>
          </w:p>
        </w:tc>
        <w:tc>
          <w:tcPr>
            <w:tcW w:w="1520" w:type="dxa"/>
            <w:vAlign w:val="bottom"/>
            <w:gridSpan w:val="2"/>
          </w:tcPr>
          <w:p>
            <w:pPr>
              <w:jc w:val="right"/>
              <w:ind w:right="320"/>
              <w:spacing w:after="0"/>
              <w:rPr>
                <w:sz w:val="20"/>
                <w:szCs w:val="20"/>
                <w:color w:val="auto"/>
              </w:rPr>
            </w:pPr>
            <w:r>
              <w:rPr>
                <w:rFonts w:ascii="Arial" w:cs="Arial" w:eastAsia="Arial" w:hAnsi="Arial"/>
                <w:sz w:val="17"/>
                <w:szCs w:val="17"/>
                <w:color w:val="auto"/>
              </w:rPr>
              <w:t>1,207.1</w:t>
            </w:r>
          </w:p>
        </w:tc>
        <w:tc>
          <w:tcPr>
            <w:tcW w:w="320" w:type="dxa"/>
            <w:vAlign w:val="bottom"/>
          </w:tcPr>
          <w:p>
            <w:pPr>
              <w:spacing w:after="0"/>
              <w:rPr>
                <w:sz w:val="17"/>
                <w:szCs w:val="17"/>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7"/>
                <w:szCs w:val="17"/>
                <w:color w:val="auto"/>
              </w:rPr>
              <w:t>1,415.9</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720" w:type="dxa"/>
            <w:vAlign w:val="bottom"/>
            <w:gridSpan w:val="2"/>
            <w:vMerge w:val="restart"/>
            <w:shd w:val="clear" w:color="auto" w:fill="CCEEFF"/>
          </w:tcPr>
          <w:p>
            <w:pPr>
              <w:ind w:left="140"/>
              <w:spacing w:after="0"/>
              <w:rPr>
                <w:sz w:val="20"/>
                <w:szCs w:val="20"/>
                <w:color w:val="auto"/>
              </w:rPr>
            </w:pPr>
            <w:r>
              <w:rPr>
                <w:rFonts w:ascii="Arial" w:cs="Arial" w:eastAsia="Arial" w:hAnsi="Arial"/>
                <w:sz w:val="17"/>
                <w:szCs w:val="17"/>
                <w:color w:val="auto"/>
              </w:rPr>
              <w:t>Total liabilities and equity</w:t>
            </w:r>
          </w:p>
        </w:tc>
        <w:tc>
          <w:tcPr>
            <w:tcW w:w="36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7720" w:type="dxa"/>
            <w:vAlign w:val="bottom"/>
            <w:gridSpan w:val="2"/>
            <w:vMerge w:val="continue"/>
            <w:shd w:val="clear" w:color="auto" w:fill="CCEEFF"/>
          </w:tcPr>
          <w:p>
            <w:pPr>
              <w:spacing w:after="0"/>
              <w:rPr>
                <w:sz w:val="17"/>
                <w:szCs w:val="17"/>
                <w:color w:val="auto"/>
              </w:rPr>
            </w:pPr>
          </w:p>
        </w:tc>
        <w:tc>
          <w:tcPr>
            <w:tcW w:w="360" w:type="dxa"/>
            <w:vAlign w:val="bottom"/>
            <w:shd w:val="clear" w:color="auto" w:fill="CCEEFF"/>
          </w:tcPr>
          <w:p>
            <w:pPr>
              <w:spacing w:after="0"/>
              <w:rPr>
                <w:sz w:val="20"/>
                <w:szCs w:val="20"/>
                <w:color w:val="auto"/>
              </w:rPr>
            </w:pPr>
            <w:r>
              <w:rPr>
                <w:rFonts w:ascii="Arial" w:cs="Arial" w:eastAsia="Arial" w:hAnsi="Arial"/>
                <w:sz w:val="17"/>
                <w:szCs w:val="17"/>
                <w:color w:val="auto"/>
              </w:rPr>
              <w:t>$</w:t>
            </w:r>
          </w:p>
        </w:tc>
        <w:tc>
          <w:tcPr>
            <w:tcW w:w="1520" w:type="dxa"/>
            <w:vAlign w:val="bottom"/>
            <w:gridSpan w:val="2"/>
            <w:shd w:val="clear" w:color="auto" w:fill="CCEEFF"/>
          </w:tcPr>
          <w:p>
            <w:pPr>
              <w:jc w:val="right"/>
              <w:ind w:right="320"/>
              <w:spacing w:after="0"/>
              <w:rPr>
                <w:sz w:val="20"/>
                <w:szCs w:val="20"/>
                <w:color w:val="auto"/>
              </w:rPr>
            </w:pPr>
            <w:r>
              <w:rPr>
                <w:rFonts w:ascii="Arial" w:cs="Arial" w:eastAsia="Arial" w:hAnsi="Arial"/>
                <w:sz w:val="17"/>
                <w:szCs w:val="17"/>
                <w:color w:val="auto"/>
              </w:rPr>
              <w:t>3,474.8</w:t>
            </w:r>
          </w:p>
        </w:tc>
        <w:tc>
          <w:tcPr>
            <w:tcW w:w="320" w:type="dxa"/>
            <w:vAlign w:val="bottom"/>
            <w:shd w:val="clear" w:color="auto" w:fill="CCEEFF"/>
          </w:tcPr>
          <w:p>
            <w:pPr>
              <w:spacing w:after="0"/>
              <w:rPr>
                <w:sz w:val="20"/>
                <w:szCs w:val="20"/>
                <w:color w:val="auto"/>
              </w:rPr>
            </w:pPr>
            <w:r>
              <w:rPr>
                <w:rFonts w:ascii="Arial" w:cs="Arial" w:eastAsia="Arial" w:hAnsi="Arial"/>
                <w:sz w:val="17"/>
                <w:szCs w:val="17"/>
                <w:color w:val="auto"/>
              </w:rPr>
              <w:t>$</w:t>
            </w: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7"/>
                <w:szCs w:val="17"/>
                <w:color w:val="auto"/>
              </w:rPr>
              <w:t>2,862.7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5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7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13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41" w:right="339" w:bottom="1440" w:gutter="0" w:footer="0" w:header="0"/>
        </w:sectPr>
      </w:pPr>
    </w:p>
    <w:bookmarkStart w:id="17" w:name="page18"/>
    <w:bookmarkEnd w:id="17"/>
    <w:tbl>
      <w:tblPr>
        <w:tblLayout w:type="fixed"/>
        <w:tblInd w:w="0" w:type="dxa"/>
        <w:tblCellMar>
          <w:top w:w="0" w:type="dxa"/>
          <w:left w:w="0" w:type="dxa"/>
          <w:bottom w:w="0" w:type="dxa"/>
          <w:right w:w="0" w:type="dxa"/>
        </w:tblCellMar>
      </w:tblPr>
      <w:tr>
        <w:trPr>
          <w:trHeight w:val="223"/>
        </w:trPr>
        <w:tc>
          <w:tcPr>
            <w:tcW w:w="5180" w:type="dxa"/>
            <w:vAlign w:val="bottom"/>
            <w:gridSpan w:val="2"/>
          </w:tcPr>
          <w:p>
            <w:pPr>
              <w:spacing w:after="0"/>
              <w:rPr>
                <w:sz w:val="20"/>
                <w:szCs w:val="20"/>
                <w:color w:val="auto"/>
              </w:rPr>
            </w:pPr>
            <w:r>
              <w:rPr>
                <w:rFonts w:ascii="Arial" w:cs="Arial" w:eastAsia="Arial" w:hAnsi="Arial"/>
                <w:sz w:val="17"/>
                <w:szCs w:val="17"/>
                <w:b w:val="1"/>
                <w:bCs w:val="1"/>
                <w:color w:val="auto"/>
              </w:rPr>
              <w:t>Morningstar, Inc. and Subsidiaries</w:t>
            </w:r>
          </w:p>
        </w:tc>
        <w:tc>
          <w:tcPr>
            <w:tcW w:w="28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80"/>
        </w:trPr>
        <w:tc>
          <w:tcPr>
            <w:tcW w:w="5180" w:type="dxa"/>
            <w:vAlign w:val="bottom"/>
            <w:gridSpan w:val="2"/>
          </w:tcPr>
          <w:p>
            <w:pPr>
              <w:spacing w:after="0"/>
              <w:rPr>
                <w:sz w:val="20"/>
                <w:szCs w:val="20"/>
                <w:color w:val="auto"/>
              </w:rPr>
            </w:pPr>
            <w:r>
              <w:rPr>
                <w:rFonts w:ascii="Arial" w:cs="Arial" w:eastAsia="Arial" w:hAnsi="Arial"/>
                <w:sz w:val="17"/>
                <w:szCs w:val="17"/>
                <w:b w:val="1"/>
                <w:bCs w:val="1"/>
                <w:color w:val="auto"/>
              </w:rPr>
              <w:t>Unaudited Condensed Consolidated Statements of Cash Flows</w:t>
            </w:r>
          </w:p>
        </w:tc>
        <w:tc>
          <w:tcPr>
            <w:tcW w:w="2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1"/>
        </w:trPr>
        <w:tc>
          <w:tcPr>
            <w:tcW w:w="5180" w:type="dxa"/>
            <w:vAlign w:val="bottom"/>
            <w:gridSpan w:val="2"/>
            <w:vMerge w:val="restart"/>
          </w:tcPr>
          <w:p>
            <w:pPr>
              <w:spacing w:after="0"/>
              <w:rPr>
                <w:sz w:val="20"/>
                <w:szCs w:val="20"/>
                <w:color w:val="auto"/>
              </w:rPr>
            </w:pPr>
            <w:r>
              <w:rPr>
                <w:rFonts w:ascii="Arial" w:cs="Arial" w:eastAsia="Arial" w:hAnsi="Arial"/>
                <w:sz w:val="17"/>
                <w:szCs w:val="17"/>
                <w:b w:val="1"/>
                <w:bCs w:val="1"/>
                <w:color w:val="auto"/>
              </w:rPr>
              <w:t>(in millions)</w:t>
            </w:r>
          </w:p>
        </w:tc>
        <w:tc>
          <w:tcPr>
            <w:tcW w:w="3040" w:type="dxa"/>
            <w:vAlign w:val="bottom"/>
            <w:gridSpan w:val="6"/>
          </w:tcPr>
          <w:p>
            <w:pPr>
              <w:ind w:left="20"/>
              <w:spacing w:after="0"/>
              <w:rPr>
                <w:sz w:val="20"/>
                <w:szCs w:val="20"/>
                <w:color w:val="auto"/>
              </w:rPr>
            </w:pPr>
            <w:r>
              <w:rPr>
                <w:rFonts w:ascii="Arial" w:cs="Arial" w:eastAsia="Arial" w:hAnsi="Arial"/>
                <w:sz w:val="17"/>
                <w:szCs w:val="17"/>
                <w:b w:val="1"/>
                <w:bCs w:val="1"/>
                <w:color w:val="auto"/>
              </w:rPr>
              <w:t>Three months ended December 31,</w:t>
            </w: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60" w:type="dxa"/>
            <w:vAlign w:val="bottom"/>
            <w:gridSpan w:val="6"/>
          </w:tcPr>
          <w:p>
            <w:pPr>
              <w:jc w:val="right"/>
              <w:ind w:right="460"/>
              <w:spacing w:after="0"/>
              <w:rPr>
                <w:sz w:val="20"/>
                <w:szCs w:val="20"/>
                <w:color w:val="auto"/>
              </w:rPr>
            </w:pPr>
            <w:r>
              <w:rPr>
                <w:rFonts w:ascii="Arial" w:cs="Arial" w:eastAsia="Arial" w:hAnsi="Arial"/>
                <w:sz w:val="17"/>
                <w:szCs w:val="17"/>
                <w:b w:val="1"/>
                <w:bCs w:val="1"/>
                <w:color w:val="auto"/>
              </w:rPr>
              <w:t>Year ended December 31,</w:t>
            </w:r>
          </w:p>
        </w:tc>
        <w:tc>
          <w:tcPr>
            <w:tcW w:w="0" w:type="dxa"/>
            <w:vAlign w:val="bottom"/>
          </w:tcPr>
          <w:p>
            <w:pPr>
              <w:spacing w:after="0"/>
              <w:rPr>
                <w:sz w:val="1"/>
                <w:szCs w:val="1"/>
                <w:color w:val="auto"/>
              </w:rPr>
            </w:pPr>
          </w:p>
        </w:tc>
      </w:tr>
      <w:tr>
        <w:trPr>
          <w:trHeight w:val="196"/>
        </w:trPr>
        <w:tc>
          <w:tcPr>
            <w:tcW w:w="5180" w:type="dxa"/>
            <w:vAlign w:val="bottom"/>
            <w:gridSpan w:val="2"/>
            <w:vMerge w:val="continue"/>
          </w:tcPr>
          <w:p>
            <w:pPr>
              <w:spacing w:after="0"/>
              <w:rPr>
                <w:sz w:val="17"/>
                <w:szCs w:val="17"/>
                <w:color w:val="auto"/>
              </w:rPr>
            </w:pPr>
          </w:p>
        </w:tc>
        <w:tc>
          <w:tcPr>
            <w:tcW w:w="280" w:type="dxa"/>
            <w:vAlign w:val="bottom"/>
            <w:tcBorders>
              <w:top w:val="single" w:sz="8" w:color="auto"/>
            </w:tcBorders>
          </w:tcPr>
          <w:p>
            <w:pPr>
              <w:spacing w:after="0"/>
              <w:rPr>
                <w:sz w:val="17"/>
                <w:szCs w:val="17"/>
                <w:color w:val="auto"/>
              </w:rPr>
            </w:pPr>
          </w:p>
        </w:tc>
        <w:tc>
          <w:tcPr>
            <w:tcW w:w="960" w:type="dxa"/>
            <w:vAlign w:val="bottom"/>
            <w:tcBorders>
              <w:top w:val="single" w:sz="8" w:color="auto"/>
            </w:tcBorders>
          </w:tcPr>
          <w:p>
            <w:pPr>
              <w:jc w:val="right"/>
              <w:ind w:right="336"/>
              <w:spacing w:after="0"/>
              <w:rPr>
                <w:sz w:val="20"/>
                <w:szCs w:val="20"/>
                <w:color w:val="auto"/>
              </w:rPr>
            </w:pPr>
            <w:r>
              <w:rPr>
                <w:rFonts w:ascii="Arial" w:cs="Arial" w:eastAsia="Arial" w:hAnsi="Arial"/>
                <w:sz w:val="17"/>
                <w:szCs w:val="17"/>
                <w:b w:val="1"/>
                <w:bCs w:val="1"/>
                <w:color w:val="auto"/>
              </w:rPr>
              <w:t>2022</w:t>
            </w:r>
          </w:p>
        </w:tc>
        <w:tc>
          <w:tcPr>
            <w:tcW w:w="360" w:type="dxa"/>
            <w:vAlign w:val="bottom"/>
            <w:tcBorders>
              <w:top w:val="single" w:sz="8" w:color="auto"/>
            </w:tcBorders>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jc w:val="right"/>
              <w:ind w:right="356"/>
              <w:spacing w:after="0"/>
              <w:rPr>
                <w:sz w:val="20"/>
                <w:szCs w:val="20"/>
                <w:color w:val="auto"/>
              </w:rPr>
            </w:pPr>
            <w:r>
              <w:rPr>
                <w:rFonts w:ascii="Arial" w:cs="Arial" w:eastAsia="Arial" w:hAnsi="Arial"/>
                <w:sz w:val="17"/>
                <w:szCs w:val="17"/>
                <w:b w:val="1"/>
                <w:bCs w:val="1"/>
                <w:color w:val="auto"/>
              </w:rPr>
              <w:t>2021</w:t>
            </w: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1020" w:type="dxa"/>
            <w:vAlign w:val="bottom"/>
            <w:tcBorders>
              <w:top w:val="single" w:sz="8" w:color="auto"/>
            </w:tcBorders>
          </w:tcPr>
          <w:p>
            <w:pPr>
              <w:jc w:val="right"/>
              <w:ind w:right="356"/>
              <w:spacing w:after="0"/>
              <w:rPr>
                <w:sz w:val="20"/>
                <w:szCs w:val="20"/>
                <w:color w:val="auto"/>
              </w:rPr>
            </w:pPr>
            <w:r>
              <w:rPr>
                <w:rFonts w:ascii="Arial" w:cs="Arial" w:eastAsia="Arial" w:hAnsi="Arial"/>
                <w:sz w:val="17"/>
                <w:szCs w:val="17"/>
                <w:b w:val="1"/>
                <w:bCs w:val="1"/>
                <w:color w:val="auto"/>
              </w:rPr>
              <w:t>2022</w:t>
            </w:r>
          </w:p>
        </w:tc>
        <w:tc>
          <w:tcPr>
            <w:tcW w:w="20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960" w:type="dxa"/>
            <w:vAlign w:val="bottom"/>
            <w:tcBorders>
              <w:top w:val="single" w:sz="8" w:color="auto"/>
            </w:tcBorders>
          </w:tcPr>
          <w:p>
            <w:pPr>
              <w:jc w:val="right"/>
              <w:ind w:right="336"/>
              <w:spacing w:after="0"/>
              <w:rPr>
                <w:sz w:val="20"/>
                <w:szCs w:val="20"/>
                <w:color w:val="auto"/>
              </w:rPr>
            </w:pPr>
            <w:r>
              <w:rPr>
                <w:rFonts w:ascii="Arial" w:cs="Arial" w:eastAsia="Arial" w:hAnsi="Arial"/>
                <w:sz w:val="17"/>
                <w:szCs w:val="17"/>
                <w:b w:val="1"/>
                <w:bCs w:val="1"/>
                <w:color w:val="auto"/>
              </w:rPr>
              <w:t>2021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3"/>
        </w:trPr>
        <w:tc>
          <w:tcPr>
            <w:tcW w:w="4960" w:type="dxa"/>
            <w:vAlign w:val="bottom"/>
            <w:tcBorders>
              <w:top w:val="single" w:sz="8" w:color="auto"/>
            </w:tcBorders>
            <w:shd w:val="clear" w:color="auto" w:fill="CCEEFF"/>
          </w:tcPr>
          <w:p>
            <w:pPr>
              <w:spacing w:after="0" w:line="183" w:lineRule="exact"/>
              <w:rPr>
                <w:sz w:val="20"/>
                <w:szCs w:val="20"/>
                <w:color w:val="auto"/>
              </w:rPr>
            </w:pPr>
            <w:r>
              <w:rPr>
                <w:rFonts w:ascii="Arial" w:cs="Arial" w:eastAsia="Arial" w:hAnsi="Arial"/>
                <w:sz w:val="17"/>
                <w:szCs w:val="17"/>
                <w:b w:val="1"/>
                <w:bCs w:val="1"/>
                <w:color w:val="auto"/>
              </w:rPr>
              <w:t>Operating activities</w:t>
            </w:r>
          </w:p>
        </w:tc>
        <w:tc>
          <w:tcPr>
            <w:tcW w:w="220" w:type="dxa"/>
            <w:vAlign w:val="bottom"/>
            <w:tcBorders>
              <w:top w:val="single" w:sz="8" w:color="CCEEFF"/>
              <w:right w:val="single" w:sz="8" w:color="CCEEFF"/>
            </w:tcBorders>
            <w:shd w:val="clear" w:color="auto" w:fill="CCEEFF"/>
          </w:tcPr>
          <w:p>
            <w:pPr>
              <w:spacing w:after="0"/>
              <w:rPr>
                <w:sz w:val="15"/>
                <w:szCs w:val="15"/>
                <w:color w:val="auto"/>
              </w:rPr>
            </w:pPr>
          </w:p>
        </w:tc>
        <w:tc>
          <w:tcPr>
            <w:tcW w:w="280" w:type="dxa"/>
            <w:vAlign w:val="bottom"/>
            <w:tcBorders>
              <w:top w:val="single" w:sz="8" w:color="auto"/>
            </w:tcBorders>
            <w:shd w:val="clear" w:color="auto" w:fill="CCEEFF"/>
          </w:tcPr>
          <w:p>
            <w:pPr>
              <w:spacing w:after="0"/>
              <w:rPr>
                <w:sz w:val="15"/>
                <w:szCs w:val="15"/>
                <w:color w:val="auto"/>
              </w:rPr>
            </w:pPr>
          </w:p>
        </w:tc>
        <w:tc>
          <w:tcPr>
            <w:tcW w:w="960" w:type="dxa"/>
            <w:vAlign w:val="bottom"/>
            <w:tcBorders>
              <w:top w:val="single" w:sz="8" w:color="auto"/>
            </w:tcBorders>
            <w:shd w:val="clear" w:color="auto" w:fill="CCEEFF"/>
          </w:tcPr>
          <w:p>
            <w:pPr>
              <w:spacing w:after="0"/>
              <w:rPr>
                <w:sz w:val="15"/>
                <w:szCs w:val="15"/>
                <w:color w:val="auto"/>
              </w:rPr>
            </w:pPr>
          </w:p>
        </w:tc>
        <w:tc>
          <w:tcPr>
            <w:tcW w:w="36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98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102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96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0"/>
        </w:trPr>
        <w:tc>
          <w:tcPr>
            <w:tcW w:w="5180" w:type="dxa"/>
            <w:vAlign w:val="bottom"/>
            <w:gridSpan w:val="2"/>
          </w:tcPr>
          <w:p>
            <w:pPr>
              <w:spacing w:after="0" w:line="190" w:lineRule="exact"/>
              <w:rPr>
                <w:sz w:val="20"/>
                <w:szCs w:val="20"/>
                <w:color w:val="auto"/>
              </w:rPr>
            </w:pPr>
            <w:r>
              <w:rPr>
                <w:rFonts w:ascii="Arial" w:cs="Arial" w:eastAsia="Arial" w:hAnsi="Arial"/>
                <w:sz w:val="17"/>
                <w:szCs w:val="17"/>
                <w:color w:val="auto"/>
              </w:rPr>
              <w:t>Consolidated net income</w:t>
            </w:r>
          </w:p>
        </w:tc>
        <w:tc>
          <w:tcPr>
            <w:tcW w:w="280" w:type="dxa"/>
            <w:vAlign w:val="bottom"/>
          </w:tcPr>
          <w:p>
            <w:pPr>
              <w:spacing w:after="0" w:line="190" w:lineRule="exact"/>
              <w:rPr>
                <w:sz w:val="20"/>
                <w:szCs w:val="20"/>
                <w:color w:val="auto"/>
              </w:rPr>
            </w:pPr>
            <w:r>
              <w:rPr>
                <w:rFonts w:ascii="Arial" w:cs="Arial" w:eastAsia="Arial" w:hAnsi="Arial"/>
                <w:sz w:val="17"/>
                <w:szCs w:val="17"/>
                <w:color w:val="auto"/>
              </w:rPr>
              <w:t>$</w:t>
            </w:r>
          </w:p>
        </w:tc>
        <w:tc>
          <w:tcPr>
            <w:tcW w:w="1320" w:type="dxa"/>
            <w:vAlign w:val="bottom"/>
            <w:gridSpan w:val="2"/>
          </w:tcPr>
          <w:p>
            <w:pPr>
              <w:jc w:val="right"/>
              <w:ind w:right="360"/>
              <w:spacing w:after="0" w:line="190" w:lineRule="exact"/>
              <w:rPr>
                <w:sz w:val="20"/>
                <w:szCs w:val="20"/>
                <w:color w:val="auto"/>
              </w:rPr>
            </w:pPr>
            <w:r>
              <w:rPr>
                <w:rFonts w:ascii="Arial" w:cs="Arial" w:eastAsia="Arial" w:hAnsi="Arial"/>
                <w:sz w:val="17"/>
                <w:szCs w:val="17"/>
                <w:color w:val="auto"/>
              </w:rPr>
              <w:t>3.3</w:t>
            </w:r>
          </w:p>
        </w:tc>
        <w:tc>
          <w:tcPr>
            <w:tcW w:w="260" w:type="dxa"/>
            <w:vAlign w:val="bottom"/>
          </w:tcPr>
          <w:p>
            <w:pPr>
              <w:jc w:val="right"/>
              <w:ind w:right="106"/>
              <w:spacing w:after="0"/>
              <w:rPr>
                <w:sz w:val="20"/>
                <w:szCs w:val="20"/>
                <w:color w:val="auto"/>
              </w:rPr>
            </w:pPr>
            <w:r>
              <w:rPr>
                <w:rFonts w:ascii="Arial" w:cs="Arial" w:eastAsia="Arial" w:hAnsi="Arial"/>
                <w:sz w:val="15"/>
                <w:szCs w:val="15"/>
                <w:color w:val="auto"/>
                <w:w w:val="71"/>
              </w:rPr>
              <w:t>$</w:t>
            </w:r>
          </w:p>
        </w:tc>
        <w:tc>
          <w:tcPr>
            <w:tcW w:w="1180" w:type="dxa"/>
            <w:vAlign w:val="bottom"/>
            <w:gridSpan w:val="2"/>
          </w:tcPr>
          <w:p>
            <w:pPr>
              <w:jc w:val="right"/>
              <w:ind w:right="200"/>
              <w:spacing w:after="0" w:line="190" w:lineRule="exact"/>
              <w:rPr>
                <w:sz w:val="20"/>
                <w:szCs w:val="20"/>
                <w:color w:val="auto"/>
              </w:rPr>
            </w:pPr>
            <w:r>
              <w:rPr>
                <w:rFonts w:ascii="Arial" w:cs="Arial" w:eastAsia="Arial" w:hAnsi="Arial"/>
                <w:sz w:val="17"/>
                <w:szCs w:val="17"/>
                <w:color w:val="auto"/>
              </w:rPr>
              <w:t>56.5</w:t>
            </w:r>
          </w:p>
        </w:tc>
        <w:tc>
          <w:tcPr>
            <w:tcW w:w="360" w:type="dxa"/>
            <w:vAlign w:val="bottom"/>
            <w:gridSpan w:val="2"/>
          </w:tcPr>
          <w:p>
            <w:pPr>
              <w:jc w:val="right"/>
              <w:ind w:right="120"/>
              <w:spacing w:after="0" w:line="190" w:lineRule="exact"/>
              <w:rPr>
                <w:sz w:val="20"/>
                <w:szCs w:val="20"/>
                <w:color w:val="auto"/>
              </w:rPr>
            </w:pPr>
            <w:r>
              <w:rPr>
                <w:rFonts w:ascii="Arial" w:cs="Arial" w:eastAsia="Arial" w:hAnsi="Arial"/>
                <w:sz w:val="17"/>
                <w:szCs w:val="17"/>
                <w:color w:val="auto"/>
              </w:rPr>
              <w:t>$</w:t>
            </w:r>
          </w:p>
        </w:tc>
        <w:tc>
          <w:tcPr>
            <w:tcW w:w="1020" w:type="dxa"/>
            <w:vAlign w:val="bottom"/>
          </w:tcPr>
          <w:p>
            <w:pPr>
              <w:jc w:val="right"/>
              <w:spacing w:after="0" w:line="190" w:lineRule="exact"/>
              <w:rPr>
                <w:sz w:val="20"/>
                <w:szCs w:val="20"/>
                <w:color w:val="auto"/>
              </w:rPr>
            </w:pPr>
            <w:r>
              <w:rPr>
                <w:rFonts w:ascii="Arial" w:cs="Arial" w:eastAsia="Arial" w:hAnsi="Arial"/>
                <w:sz w:val="17"/>
                <w:szCs w:val="17"/>
                <w:color w:val="auto"/>
              </w:rPr>
              <w:t>70.5</w:t>
            </w:r>
          </w:p>
        </w:tc>
        <w:tc>
          <w:tcPr>
            <w:tcW w:w="200" w:type="dxa"/>
            <w:vAlign w:val="bottom"/>
          </w:tcPr>
          <w:p>
            <w:pPr>
              <w:spacing w:after="0"/>
              <w:rPr>
                <w:sz w:val="16"/>
                <w:szCs w:val="16"/>
                <w:color w:val="auto"/>
              </w:rPr>
            </w:pPr>
          </w:p>
        </w:tc>
        <w:tc>
          <w:tcPr>
            <w:tcW w:w="380" w:type="dxa"/>
            <w:vAlign w:val="bottom"/>
            <w:gridSpan w:val="2"/>
          </w:tcPr>
          <w:p>
            <w:pPr>
              <w:jc w:val="right"/>
              <w:ind w:right="160"/>
              <w:spacing w:after="0" w:line="190" w:lineRule="exact"/>
              <w:rPr>
                <w:sz w:val="20"/>
                <w:szCs w:val="20"/>
                <w:color w:val="auto"/>
              </w:rPr>
            </w:pPr>
            <w:r>
              <w:rPr>
                <w:rFonts w:ascii="Arial" w:cs="Arial" w:eastAsia="Arial" w:hAnsi="Arial"/>
                <w:sz w:val="17"/>
                <w:szCs w:val="17"/>
                <w:color w:val="auto"/>
              </w:rPr>
              <w:t>$</w:t>
            </w:r>
          </w:p>
        </w:tc>
        <w:tc>
          <w:tcPr>
            <w:tcW w:w="106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193.3</w:t>
            </w:r>
          </w:p>
        </w:tc>
        <w:tc>
          <w:tcPr>
            <w:tcW w:w="0" w:type="dxa"/>
            <w:vAlign w:val="bottom"/>
          </w:tcPr>
          <w:p>
            <w:pPr>
              <w:spacing w:after="0"/>
              <w:rPr>
                <w:sz w:val="1"/>
                <w:szCs w:val="1"/>
                <w:color w:val="auto"/>
              </w:rPr>
            </w:pPr>
          </w:p>
        </w:tc>
      </w:tr>
      <w:tr>
        <w:trPr>
          <w:trHeight w:val="189"/>
        </w:trPr>
        <w:tc>
          <w:tcPr>
            <w:tcW w:w="5180" w:type="dxa"/>
            <w:vAlign w:val="bottom"/>
            <w:tcBorders>
              <w:right w:val="single" w:sz="8" w:color="CCEEFF"/>
            </w:tcBorders>
            <w:gridSpan w:val="2"/>
            <w:shd w:val="clear" w:color="auto" w:fill="CCEEFF"/>
          </w:tcPr>
          <w:p>
            <w:pPr>
              <w:spacing w:after="0" w:line="189" w:lineRule="exact"/>
              <w:rPr>
                <w:sz w:val="20"/>
                <w:szCs w:val="20"/>
                <w:color w:val="auto"/>
              </w:rPr>
            </w:pPr>
            <w:r>
              <w:rPr>
                <w:rFonts w:ascii="Arial" w:cs="Arial" w:eastAsia="Arial" w:hAnsi="Arial"/>
                <w:sz w:val="17"/>
                <w:szCs w:val="17"/>
                <w:color w:val="auto"/>
              </w:rPr>
              <w:t>Adjustments to reconcile consolidated net income to net cash</w:t>
            </w:r>
          </w:p>
        </w:tc>
        <w:tc>
          <w:tcPr>
            <w:tcW w:w="28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1"/>
        </w:trPr>
        <w:tc>
          <w:tcPr>
            <w:tcW w:w="5180" w:type="dxa"/>
            <w:vAlign w:val="bottom"/>
            <w:tcBorders>
              <w:right w:val="single" w:sz="8" w:color="CCEEFF"/>
            </w:tcBorders>
            <w:gridSpan w:val="2"/>
            <w:shd w:val="clear" w:color="auto" w:fill="CCEEFF"/>
          </w:tcPr>
          <w:p>
            <w:pPr>
              <w:spacing w:after="0" w:line="191" w:lineRule="exact"/>
              <w:rPr>
                <w:sz w:val="20"/>
                <w:szCs w:val="20"/>
                <w:color w:val="auto"/>
              </w:rPr>
            </w:pPr>
            <w:r>
              <w:rPr>
                <w:rFonts w:ascii="Arial" w:cs="Arial" w:eastAsia="Arial" w:hAnsi="Arial"/>
                <w:sz w:val="17"/>
                <w:szCs w:val="17"/>
                <w:color w:val="auto"/>
              </w:rPr>
              <w:t>flows from operating activities</w:t>
            </w:r>
          </w:p>
        </w:tc>
        <w:tc>
          <w:tcPr>
            <w:tcW w:w="280" w:type="dxa"/>
            <w:vAlign w:val="bottom"/>
            <w:shd w:val="clear" w:color="auto" w:fill="CCEEFF"/>
          </w:tcPr>
          <w:p>
            <w:pPr>
              <w:spacing w:after="0"/>
              <w:rPr>
                <w:sz w:val="16"/>
                <w:szCs w:val="16"/>
                <w:color w:val="auto"/>
              </w:rPr>
            </w:pPr>
          </w:p>
        </w:tc>
        <w:tc>
          <w:tcPr>
            <w:tcW w:w="960" w:type="dxa"/>
            <w:vAlign w:val="bottom"/>
            <w:shd w:val="clear" w:color="auto" w:fill="CCEEFF"/>
          </w:tcPr>
          <w:p>
            <w:pPr>
              <w:jc w:val="right"/>
              <w:spacing w:after="0" w:line="191" w:lineRule="exact"/>
              <w:rPr>
                <w:sz w:val="20"/>
                <w:szCs w:val="20"/>
                <w:color w:val="auto"/>
              </w:rPr>
            </w:pPr>
            <w:r>
              <w:rPr>
                <w:rFonts w:ascii="Arial" w:cs="Arial" w:eastAsia="Arial" w:hAnsi="Arial"/>
                <w:sz w:val="17"/>
                <w:szCs w:val="17"/>
                <w:color w:val="auto"/>
              </w:rPr>
              <w:t>56.2</w:t>
            </w:r>
          </w:p>
        </w:tc>
        <w:tc>
          <w:tcPr>
            <w:tcW w:w="36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180" w:type="dxa"/>
            <w:vAlign w:val="bottom"/>
            <w:gridSpan w:val="2"/>
            <w:shd w:val="clear" w:color="auto" w:fill="CCEEFF"/>
          </w:tcPr>
          <w:p>
            <w:pPr>
              <w:jc w:val="right"/>
              <w:ind w:right="200"/>
              <w:spacing w:after="0" w:line="191" w:lineRule="exact"/>
              <w:rPr>
                <w:sz w:val="20"/>
                <w:szCs w:val="20"/>
                <w:color w:val="auto"/>
              </w:rPr>
            </w:pPr>
            <w:r>
              <w:rPr>
                <w:rFonts w:ascii="Arial" w:cs="Arial" w:eastAsia="Arial" w:hAnsi="Arial"/>
                <w:sz w:val="17"/>
                <w:szCs w:val="17"/>
                <w:color w:val="auto"/>
              </w:rPr>
              <w:t>39.1</w:t>
            </w:r>
          </w:p>
        </w:tc>
        <w:tc>
          <w:tcPr>
            <w:tcW w:w="1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220" w:type="dxa"/>
            <w:vAlign w:val="bottom"/>
            <w:gridSpan w:val="2"/>
            <w:shd w:val="clear" w:color="auto" w:fill="CCEEFF"/>
          </w:tcPr>
          <w:p>
            <w:pPr>
              <w:jc w:val="right"/>
              <w:ind w:right="200"/>
              <w:spacing w:after="0" w:line="191" w:lineRule="exact"/>
              <w:rPr>
                <w:sz w:val="20"/>
                <w:szCs w:val="20"/>
                <w:color w:val="auto"/>
              </w:rPr>
            </w:pPr>
            <w:r>
              <w:rPr>
                <w:rFonts w:ascii="Arial" w:cs="Arial" w:eastAsia="Arial" w:hAnsi="Arial"/>
                <w:sz w:val="17"/>
                <w:szCs w:val="17"/>
                <w:color w:val="auto"/>
              </w:rPr>
              <w:t>239.3</w:t>
            </w: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jc w:val="right"/>
              <w:ind w:right="100"/>
              <w:spacing w:after="0" w:line="191" w:lineRule="exact"/>
              <w:rPr>
                <w:sz w:val="20"/>
                <w:szCs w:val="20"/>
                <w:color w:val="auto"/>
              </w:rPr>
            </w:pPr>
            <w:r>
              <w:rPr>
                <w:rFonts w:ascii="Arial" w:cs="Arial" w:eastAsia="Arial" w:hAnsi="Arial"/>
                <w:sz w:val="17"/>
                <w:szCs w:val="17"/>
                <w:color w:val="auto"/>
              </w:rPr>
              <w:t>193.0</w:t>
            </w:r>
          </w:p>
        </w:tc>
        <w:tc>
          <w:tcPr>
            <w:tcW w:w="0" w:type="dxa"/>
            <w:vAlign w:val="bottom"/>
          </w:tcPr>
          <w:p>
            <w:pPr>
              <w:spacing w:after="0"/>
              <w:rPr>
                <w:sz w:val="1"/>
                <w:szCs w:val="1"/>
                <w:color w:val="auto"/>
              </w:rPr>
            </w:pPr>
          </w:p>
        </w:tc>
      </w:tr>
      <w:tr>
        <w:trPr>
          <w:trHeight w:val="203"/>
        </w:trPr>
        <w:tc>
          <w:tcPr>
            <w:tcW w:w="5180" w:type="dxa"/>
            <w:vAlign w:val="bottom"/>
            <w:gridSpan w:val="2"/>
          </w:tcPr>
          <w:p>
            <w:pPr>
              <w:spacing w:after="0"/>
              <w:rPr>
                <w:sz w:val="20"/>
                <w:szCs w:val="20"/>
                <w:color w:val="auto"/>
              </w:rPr>
            </w:pPr>
            <w:r>
              <w:rPr>
                <w:rFonts w:ascii="Arial" w:cs="Arial" w:eastAsia="Arial" w:hAnsi="Arial"/>
                <w:sz w:val="17"/>
                <w:szCs w:val="17"/>
                <w:color w:val="auto"/>
              </w:rPr>
              <w:t>Changes in operating assets and liabilities, net</w:t>
            </w:r>
          </w:p>
        </w:tc>
        <w:tc>
          <w:tcPr>
            <w:tcW w:w="280" w:type="dxa"/>
            <w:vAlign w:val="bottom"/>
          </w:tcPr>
          <w:p>
            <w:pPr>
              <w:spacing w:after="0"/>
              <w:rPr>
                <w:sz w:val="17"/>
                <w:szCs w:val="17"/>
                <w:color w:val="auto"/>
              </w:rPr>
            </w:pPr>
          </w:p>
        </w:tc>
        <w:tc>
          <w:tcPr>
            <w:tcW w:w="960" w:type="dxa"/>
            <w:vAlign w:val="bottom"/>
          </w:tcPr>
          <w:p>
            <w:pPr>
              <w:jc w:val="right"/>
              <w:spacing w:after="0"/>
              <w:rPr>
                <w:sz w:val="20"/>
                <w:szCs w:val="20"/>
                <w:color w:val="auto"/>
              </w:rPr>
            </w:pPr>
            <w:r>
              <w:rPr>
                <w:rFonts w:ascii="Arial" w:cs="Arial" w:eastAsia="Arial" w:hAnsi="Arial"/>
                <w:sz w:val="17"/>
                <w:szCs w:val="17"/>
                <w:color w:val="auto"/>
              </w:rPr>
              <w:t>44.0</w:t>
            </w:r>
          </w:p>
        </w:tc>
        <w:tc>
          <w:tcPr>
            <w:tcW w:w="3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7"/>
                <w:szCs w:val="17"/>
                <w:color w:val="auto"/>
              </w:rPr>
              <w:t>40.3</w:t>
            </w: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7"/>
                <w:szCs w:val="17"/>
                <w:color w:val="auto"/>
              </w:rPr>
              <w:t>(12.0)</w:t>
            </w: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60" w:type="dxa"/>
            <w:vAlign w:val="bottom"/>
            <w:gridSpan w:val="2"/>
          </w:tcPr>
          <w:p>
            <w:pPr>
              <w:jc w:val="right"/>
              <w:ind w:right="100"/>
              <w:spacing w:after="0"/>
              <w:rPr>
                <w:sz w:val="20"/>
                <w:szCs w:val="20"/>
                <w:color w:val="auto"/>
              </w:rPr>
            </w:pPr>
            <w:r>
              <w:rPr>
                <w:rFonts w:ascii="Arial" w:cs="Arial" w:eastAsia="Arial" w:hAnsi="Arial"/>
                <w:sz w:val="17"/>
                <w:szCs w:val="17"/>
                <w:color w:val="auto"/>
              </w:rPr>
              <w:t>63.6</w:t>
            </w:r>
          </w:p>
        </w:tc>
        <w:tc>
          <w:tcPr>
            <w:tcW w:w="0" w:type="dxa"/>
            <w:vAlign w:val="bottom"/>
          </w:tcPr>
          <w:p>
            <w:pPr>
              <w:spacing w:after="0"/>
              <w:rPr>
                <w:sz w:val="1"/>
                <w:szCs w:val="1"/>
                <w:color w:val="auto"/>
              </w:rPr>
            </w:pPr>
          </w:p>
        </w:tc>
      </w:tr>
      <w:tr>
        <w:trPr>
          <w:trHeight w:val="183"/>
        </w:trPr>
        <w:tc>
          <w:tcPr>
            <w:tcW w:w="5180" w:type="dxa"/>
            <w:vAlign w:val="bottom"/>
            <w:tcBorders>
              <w:top w:val="single" w:sz="8" w:color="CCEEFF"/>
              <w:right w:val="single" w:sz="8" w:color="CCEEFF"/>
            </w:tcBorders>
            <w:gridSpan w:val="2"/>
            <w:shd w:val="clear" w:color="auto" w:fill="CCEEFF"/>
          </w:tcPr>
          <w:p>
            <w:pPr>
              <w:ind w:left="160"/>
              <w:spacing w:after="0" w:line="183" w:lineRule="exact"/>
              <w:rPr>
                <w:sz w:val="20"/>
                <w:szCs w:val="20"/>
                <w:color w:val="auto"/>
              </w:rPr>
            </w:pPr>
            <w:r>
              <w:rPr>
                <w:rFonts w:ascii="Arial" w:cs="Arial" w:eastAsia="Arial" w:hAnsi="Arial"/>
                <w:sz w:val="17"/>
                <w:szCs w:val="17"/>
                <w:color w:val="auto"/>
              </w:rPr>
              <w:t>Cash provided by operating activities</w:t>
            </w:r>
          </w:p>
        </w:tc>
        <w:tc>
          <w:tcPr>
            <w:tcW w:w="280" w:type="dxa"/>
            <w:vAlign w:val="bottom"/>
            <w:tcBorders>
              <w:top w:val="single" w:sz="8" w:color="auto"/>
            </w:tcBorders>
            <w:shd w:val="clear" w:color="auto" w:fill="CCEEFF"/>
          </w:tcPr>
          <w:p>
            <w:pPr>
              <w:spacing w:after="0"/>
              <w:rPr>
                <w:sz w:val="15"/>
                <w:szCs w:val="15"/>
                <w:color w:val="auto"/>
              </w:rPr>
            </w:pPr>
          </w:p>
        </w:tc>
        <w:tc>
          <w:tcPr>
            <w:tcW w:w="96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103.5</w:t>
            </w:r>
          </w:p>
        </w:tc>
        <w:tc>
          <w:tcPr>
            <w:tcW w:w="36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98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135.9</w:t>
            </w:r>
          </w:p>
        </w:tc>
        <w:tc>
          <w:tcPr>
            <w:tcW w:w="20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102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297.8</w:t>
            </w:r>
          </w:p>
        </w:tc>
        <w:tc>
          <w:tcPr>
            <w:tcW w:w="2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96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449.9</w:t>
            </w:r>
          </w:p>
        </w:tc>
        <w:tc>
          <w:tcPr>
            <w:tcW w:w="10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0"/>
        </w:trPr>
        <w:tc>
          <w:tcPr>
            <w:tcW w:w="5180" w:type="dxa"/>
            <w:vAlign w:val="bottom"/>
            <w:gridSpan w:val="2"/>
          </w:tcPr>
          <w:p>
            <w:pPr>
              <w:spacing w:after="0" w:line="190" w:lineRule="exact"/>
              <w:rPr>
                <w:sz w:val="20"/>
                <w:szCs w:val="20"/>
                <w:color w:val="auto"/>
              </w:rPr>
            </w:pPr>
            <w:r>
              <w:rPr>
                <w:rFonts w:ascii="Arial" w:cs="Arial" w:eastAsia="Arial" w:hAnsi="Arial"/>
                <w:sz w:val="17"/>
                <w:szCs w:val="17"/>
                <w:b w:val="1"/>
                <w:bCs w:val="1"/>
                <w:color w:val="auto"/>
              </w:rPr>
              <w:t>Investing activities</w:t>
            </w:r>
          </w:p>
        </w:tc>
        <w:tc>
          <w:tcPr>
            <w:tcW w:w="28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5180" w:type="dxa"/>
            <w:vAlign w:val="bottom"/>
            <w:tcBorders>
              <w:right w:val="single" w:sz="8" w:color="CCEEFF"/>
            </w:tcBorders>
            <w:gridSpan w:val="2"/>
            <w:shd w:val="clear" w:color="auto" w:fill="CCEEFF"/>
          </w:tcPr>
          <w:p>
            <w:pPr>
              <w:spacing w:after="0" w:line="190" w:lineRule="exact"/>
              <w:rPr>
                <w:sz w:val="20"/>
                <w:szCs w:val="20"/>
                <w:color w:val="auto"/>
              </w:rPr>
            </w:pPr>
            <w:r>
              <w:rPr>
                <w:rFonts w:ascii="Arial" w:cs="Arial" w:eastAsia="Arial" w:hAnsi="Arial"/>
                <w:sz w:val="17"/>
                <w:szCs w:val="17"/>
                <w:color w:val="auto"/>
              </w:rPr>
              <w:t>Capital expenditures</w:t>
            </w:r>
          </w:p>
        </w:tc>
        <w:tc>
          <w:tcPr>
            <w:tcW w:w="280" w:type="dxa"/>
            <w:vAlign w:val="bottom"/>
            <w:shd w:val="clear" w:color="auto" w:fill="CCEEFF"/>
          </w:tcPr>
          <w:p>
            <w:pPr>
              <w:spacing w:after="0"/>
              <w:rPr>
                <w:sz w:val="16"/>
                <w:szCs w:val="16"/>
                <w:color w:val="auto"/>
              </w:rPr>
            </w:pPr>
          </w:p>
        </w:tc>
        <w:tc>
          <w:tcPr>
            <w:tcW w:w="1320" w:type="dxa"/>
            <w:vAlign w:val="bottom"/>
            <w:gridSpan w:val="2"/>
            <w:shd w:val="clear" w:color="auto" w:fill="CCEEFF"/>
          </w:tcPr>
          <w:p>
            <w:pPr>
              <w:jc w:val="right"/>
              <w:ind w:right="300"/>
              <w:spacing w:after="0" w:line="190" w:lineRule="exact"/>
              <w:rPr>
                <w:sz w:val="20"/>
                <w:szCs w:val="20"/>
                <w:color w:val="auto"/>
              </w:rPr>
            </w:pPr>
            <w:r>
              <w:rPr>
                <w:rFonts w:ascii="Arial" w:cs="Arial" w:eastAsia="Arial" w:hAnsi="Arial"/>
                <w:sz w:val="17"/>
                <w:szCs w:val="17"/>
                <w:color w:val="auto"/>
              </w:rPr>
              <w:t>(36.1)</w:t>
            </w:r>
          </w:p>
        </w:tc>
        <w:tc>
          <w:tcPr>
            <w:tcW w:w="260" w:type="dxa"/>
            <w:vAlign w:val="bottom"/>
            <w:shd w:val="clear" w:color="auto" w:fill="CCEEFF"/>
          </w:tcPr>
          <w:p>
            <w:pPr>
              <w:spacing w:after="0"/>
              <w:rPr>
                <w:sz w:val="16"/>
                <w:szCs w:val="16"/>
                <w:color w:val="auto"/>
              </w:rPr>
            </w:pPr>
          </w:p>
        </w:tc>
        <w:tc>
          <w:tcPr>
            <w:tcW w:w="1180" w:type="dxa"/>
            <w:vAlign w:val="bottom"/>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(30.2)</w:t>
            </w:r>
          </w:p>
        </w:tc>
        <w:tc>
          <w:tcPr>
            <w:tcW w:w="1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220" w:type="dxa"/>
            <w:vAlign w:val="bottom"/>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(129.5)</w:t>
            </w: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jc w:val="right"/>
              <w:ind w:right="40"/>
              <w:spacing w:after="0" w:line="190" w:lineRule="exact"/>
              <w:rPr>
                <w:sz w:val="20"/>
                <w:szCs w:val="20"/>
                <w:color w:val="auto"/>
              </w:rPr>
            </w:pPr>
            <w:r>
              <w:rPr>
                <w:rFonts w:ascii="Arial" w:cs="Arial" w:eastAsia="Arial" w:hAnsi="Arial"/>
                <w:sz w:val="17"/>
                <w:szCs w:val="17"/>
                <w:color w:val="auto"/>
              </w:rPr>
              <w:t>(101.8)</w:t>
            </w:r>
          </w:p>
        </w:tc>
        <w:tc>
          <w:tcPr>
            <w:tcW w:w="0" w:type="dxa"/>
            <w:vAlign w:val="bottom"/>
          </w:tcPr>
          <w:p>
            <w:pPr>
              <w:spacing w:after="0"/>
              <w:rPr>
                <w:sz w:val="1"/>
                <w:szCs w:val="1"/>
                <w:color w:val="auto"/>
              </w:rPr>
            </w:pPr>
          </w:p>
        </w:tc>
      </w:tr>
      <w:tr>
        <w:trPr>
          <w:trHeight w:val="190"/>
        </w:trPr>
        <w:tc>
          <w:tcPr>
            <w:tcW w:w="5180" w:type="dxa"/>
            <w:vAlign w:val="bottom"/>
            <w:gridSpan w:val="2"/>
          </w:tcPr>
          <w:p>
            <w:pPr>
              <w:spacing w:after="0" w:line="190" w:lineRule="exact"/>
              <w:rPr>
                <w:sz w:val="20"/>
                <w:szCs w:val="20"/>
                <w:color w:val="auto"/>
              </w:rPr>
            </w:pPr>
            <w:r>
              <w:rPr>
                <w:rFonts w:ascii="Arial" w:cs="Arial" w:eastAsia="Arial" w:hAnsi="Arial"/>
                <w:sz w:val="17"/>
                <w:szCs w:val="17"/>
                <w:color w:val="auto"/>
              </w:rPr>
              <w:t>Acquisitions, net of cash acquired</w:t>
            </w:r>
          </w:p>
        </w:tc>
        <w:tc>
          <w:tcPr>
            <w:tcW w:w="280" w:type="dxa"/>
            <w:vAlign w:val="bottom"/>
          </w:tcPr>
          <w:p>
            <w:pPr>
              <w:spacing w:after="0"/>
              <w:rPr>
                <w:sz w:val="16"/>
                <w:szCs w:val="16"/>
                <w:color w:val="auto"/>
              </w:rPr>
            </w:pPr>
          </w:p>
        </w:tc>
        <w:tc>
          <w:tcPr>
            <w:tcW w:w="1320" w:type="dxa"/>
            <w:vAlign w:val="bottom"/>
            <w:gridSpan w:val="2"/>
          </w:tcPr>
          <w:p>
            <w:pPr>
              <w:jc w:val="right"/>
              <w:ind w:right="360"/>
              <w:spacing w:after="0" w:line="190" w:lineRule="exact"/>
              <w:rPr>
                <w:sz w:val="20"/>
                <w:szCs w:val="20"/>
                <w:color w:val="auto"/>
              </w:rPr>
            </w:pPr>
            <w:r>
              <w:rPr>
                <w:rFonts w:ascii="Arial" w:cs="Arial" w:eastAsia="Arial" w:hAnsi="Arial"/>
                <w:sz w:val="17"/>
                <w:szCs w:val="17"/>
                <w:color w:val="auto"/>
              </w:rPr>
              <w:t>0.1</w:t>
            </w:r>
          </w:p>
        </w:tc>
        <w:tc>
          <w:tcPr>
            <w:tcW w:w="260" w:type="dxa"/>
            <w:vAlign w:val="bottom"/>
          </w:tcPr>
          <w:p>
            <w:pPr>
              <w:spacing w:after="0"/>
              <w:rPr>
                <w:sz w:val="16"/>
                <w:szCs w:val="16"/>
                <w:color w:val="auto"/>
              </w:rPr>
            </w:pPr>
          </w:p>
        </w:tc>
        <w:tc>
          <w:tcPr>
            <w:tcW w:w="1180" w:type="dxa"/>
            <w:vAlign w:val="bottom"/>
            <w:gridSpan w:val="2"/>
          </w:tcPr>
          <w:p>
            <w:pPr>
              <w:jc w:val="right"/>
              <w:ind w:right="140"/>
              <w:spacing w:after="0" w:line="190" w:lineRule="exact"/>
              <w:rPr>
                <w:sz w:val="20"/>
                <w:szCs w:val="20"/>
                <w:color w:val="auto"/>
              </w:rPr>
            </w:pPr>
            <w:r>
              <w:rPr>
                <w:rFonts w:ascii="Arial" w:cs="Arial" w:eastAsia="Arial" w:hAnsi="Arial"/>
                <w:sz w:val="17"/>
                <w:szCs w:val="17"/>
                <w:color w:val="auto"/>
              </w:rPr>
              <w:t>(0.2)</w:t>
            </w:r>
          </w:p>
        </w:tc>
        <w:tc>
          <w:tcPr>
            <w:tcW w:w="1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220" w:type="dxa"/>
            <w:vAlign w:val="bottom"/>
            <w:gridSpan w:val="2"/>
          </w:tcPr>
          <w:p>
            <w:pPr>
              <w:jc w:val="right"/>
              <w:ind w:right="140"/>
              <w:spacing w:after="0" w:line="190" w:lineRule="exact"/>
              <w:rPr>
                <w:sz w:val="20"/>
                <w:szCs w:val="20"/>
                <w:color w:val="auto"/>
              </w:rPr>
            </w:pPr>
            <w:r>
              <w:rPr>
                <w:rFonts w:ascii="Arial" w:cs="Arial" w:eastAsia="Arial" w:hAnsi="Arial"/>
                <w:sz w:val="17"/>
                <w:szCs w:val="17"/>
                <w:color w:val="auto"/>
              </w:rPr>
              <w:t>(646.7)</w:t>
            </w:r>
          </w:p>
        </w:tc>
        <w:tc>
          <w:tcPr>
            <w:tcW w:w="1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060" w:type="dxa"/>
            <w:vAlign w:val="bottom"/>
            <w:gridSpan w:val="2"/>
          </w:tcPr>
          <w:p>
            <w:pPr>
              <w:jc w:val="right"/>
              <w:ind w:right="40"/>
              <w:spacing w:after="0" w:line="190" w:lineRule="exact"/>
              <w:rPr>
                <w:sz w:val="20"/>
                <w:szCs w:val="20"/>
                <w:color w:val="auto"/>
              </w:rPr>
            </w:pPr>
            <w:r>
              <w:rPr>
                <w:rFonts w:ascii="Arial" w:cs="Arial" w:eastAsia="Arial" w:hAnsi="Arial"/>
                <w:sz w:val="17"/>
                <w:szCs w:val="17"/>
                <w:color w:val="auto"/>
              </w:rPr>
              <w:t>(24.8)</w:t>
            </w:r>
          </w:p>
        </w:tc>
        <w:tc>
          <w:tcPr>
            <w:tcW w:w="0" w:type="dxa"/>
            <w:vAlign w:val="bottom"/>
          </w:tcPr>
          <w:p>
            <w:pPr>
              <w:spacing w:after="0"/>
              <w:rPr>
                <w:sz w:val="1"/>
                <w:szCs w:val="1"/>
                <w:color w:val="auto"/>
              </w:rPr>
            </w:pPr>
          </w:p>
        </w:tc>
      </w:tr>
      <w:tr>
        <w:trPr>
          <w:trHeight w:val="190"/>
        </w:trPr>
        <w:tc>
          <w:tcPr>
            <w:tcW w:w="5180" w:type="dxa"/>
            <w:vAlign w:val="bottom"/>
            <w:tcBorders>
              <w:right w:val="single" w:sz="8" w:color="CCEEFF"/>
            </w:tcBorders>
            <w:gridSpan w:val="2"/>
            <w:shd w:val="clear" w:color="auto" w:fill="CCEEFF"/>
          </w:tcPr>
          <w:p>
            <w:pPr>
              <w:spacing w:after="0" w:line="190" w:lineRule="exact"/>
              <w:rPr>
                <w:sz w:val="20"/>
                <w:szCs w:val="20"/>
                <w:color w:val="auto"/>
              </w:rPr>
            </w:pPr>
            <w:r>
              <w:rPr>
                <w:rFonts w:ascii="Arial" w:cs="Arial" w:eastAsia="Arial" w:hAnsi="Arial"/>
                <w:sz w:val="17"/>
                <w:szCs w:val="17"/>
                <w:color w:val="auto"/>
              </w:rPr>
              <w:t>Purchases of investments in unconsolidated entities</w:t>
            </w:r>
          </w:p>
        </w:tc>
        <w:tc>
          <w:tcPr>
            <w:tcW w:w="280" w:type="dxa"/>
            <w:vAlign w:val="bottom"/>
            <w:shd w:val="clear" w:color="auto" w:fill="CCEEFF"/>
          </w:tcPr>
          <w:p>
            <w:pPr>
              <w:spacing w:after="0"/>
              <w:rPr>
                <w:sz w:val="16"/>
                <w:szCs w:val="16"/>
                <w:color w:val="auto"/>
              </w:rPr>
            </w:pPr>
          </w:p>
        </w:tc>
        <w:tc>
          <w:tcPr>
            <w:tcW w:w="1320" w:type="dxa"/>
            <w:vAlign w:val="bottom"/>
            <w:gridSpan w:val="2"/>
            <w:shd w:val="clear" w:color="auto" w:fill="CCEEFF"/>
          </w:tcPr>
          <w:p>
            <w:pPr>
              <w:jc w:val="right"/>
              <w:ind w:right="300"/>
              <w:spacing w:after="0" w:line="190" w:lineRule="exact"/>
              <w:rPr>
                <w:sz w:val="20"/>
                <w:szCs w:val="20"/>
                <w:color w:val="auto"/>
              </w:rPr>
            </w:pPr>
            <w:r>
              <w:rPr>
                <w:rFonts w:ascii="Arial" w:cs="Arial" w:eastAsia="Arial" w:hAnsi="Arial"/>
                <w:sz w:val="17"/>
                <w:szCs w:val="17"/>
                <w:color w:val="auto"/>
              </w:rPr>
              <w:t>(1.1)</w:t>
            </w:r>
          </w:p>
        </w:tc>
        <w:tc>
          <w:tcPr>
            <w:tcW w:w="260" w:type="dxa"/>
            <w:vAlign w:val="bottom"/>
            <w:shd w:val="clear" w:color="auto" w:fill="CCEEFF"/>
          </w:tcPr>
          <w:p>
            <w:pPr>
              <w:spacing w:after="0"/>
              <w:rPr>
                <w:sz w:val="16"/>
                <w:szCs w:val="16"/>
                <w:color w:val="auto"/>
              </w:rPr>
            </w:pPr>
          </w:p>
        </w:tc>
        <w:tc>
          <w:tcPr>
            <w:tcW w:w="1180" w:type="dxa"/>
            <w:vAlign w:val="bottom"/>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(14.0)</w:t>
            </w:r>
          </w:p>
        </w:tc>
        <w:tc>
          <w:tcPr>
            <w:tcW w:w="1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220" w:type="dxa"/>
            <w:vAlign w:val="bottom"/>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(29.4)</w:t>
            </w: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jc w:val="right"/>
              <w:ind w:right="40"/>
              <w:spacing w:after="0" w:line="190" w:lineRule="exact"/>
              <w:rPr>
                <w:sz w:val="20"/>
                <w:szCs w:val="20"/>
                <w:color w:val="auto"/>
              </w:rPr>
            </w:pPr>
            <w:r>
              <w:rPr>
                <w:rFonts w:ascii="Arial" w:cs="Arial" w:eastAsia="Arial" w:hAnsi="Arial"/>
                <w:sz w:val="17"/>
                <w:szCs w:val="17"/>
                <w:color w:val="auto"/>
              </w:rPr>
              <w:t>(29.8)</w:t>
            </w:r>
          </w:p>
        </w:tc>
        <w:tc>
          <w:tcPr>
            <w:tcW w:w="0" w:type="dxa"/>
            <w:vAlign w:val="bottom"/>
          </w:tcPr>
          <w:p>
            <w:pPr>
              <w:spacing w:after="0"/>
              <w:rPr>
                <w:sz w:val="1"/>
                <w:szCs w:val="1"/>
                <w:color w:val="auto"/>
              </w:rPr>
            </w:pPr>
          </w:p>
        </w:tc>
      </w:tr>
      <w:tr>
        <w:trPr>
          <w:trHeight w:val="203"/>
        </w:trPr>
        <w:tc>
          <w:tcPr>
            <w:tcW w:w="5180" w:type="dxa"/>
            <w:vAlign w:val="bottom"/>
            <w:gridSpan w:val="2"/>
          </w:tcPr>
          <w:p>
            <w:pPr>
              <w:spacing w:after="0"/>
              <w:rPr>
                <w:sz w:val="20"/>
                <w:szCs w:val="20"/>
                <w:color w:val="auto"/>
              </w:rPr>
            </w:pPr>
            <w:r>
              <w:rPr>
                <w:rFonts w:ascii="Arial" w:cs="Arial" w:eastAsia="Arial" w:hAnsi="Arial"/>
                <w:sz w:val="17"/>
                <w:szCs w:val="17"/>
                <w:color w:val="auto"/>
              </w:rPr>
              <w:t>Other, net</w:t>
            </w:r>
          </w:p>
        </w:tc>
        <w:tc>
          <w:tcPr>
            <w:tcW w:w="280" w:type="dxa"/>
            <w:vAlign w:val="bottom"/>
          </w:tcPr>
          <w:p>
            <w:pPr>
              <w:spacing w:after="0"/>
              <w:rPr>
                <w:sz w:val="17"/>
                <w:szCs w:val="17"/>
                <w:color w:val="auto"/>
              </w:rPr>
            </w:pPr>
          </w:p>
        </w:tc>
        <w:tc>
          <w:tcPr>
            <w:tcW w:w="1320" w:type="dxa"/>
            <w:vAlign w:val="bottom"/>
            <w:gridSpan w:val="2"/>
          </w:tcPr>
          <w:p>
            <w:pPr>
              <w:jc w:val="right"/>
              <w:ind w:right="300"/>
              <w:spacing w:after="0"/>
              <w:rPr>
                <w:sz w:val="20"/>
                <w:szCs w:val="20"/>
                <w:color w:val="auto"/>
              </w:rPr>
            </w:pPr>
            <w:r>
              <w:rPr>
                <w:rFonts w:ascii="Arial" w:cs="Arial" w:eastAsia="Arial" w:hAnsi="Arial"/>
                <w:sz w:val="17"/>
                <w:szCs w:val="17"/>
                <w:color w:val="auto"/>
              </w:rPr>
              <w:t>(1.2)</w:t>
            </w:r>
          </w:p>
        </w:tc>
        <w:tc>
          <w:tcPr>
            <w:tcW w:w="260" w:type="dxa"/>
            <w:vAlign w:val="bottom"/>
          </w:tcPr>
          <w:p>
            <w:pPr>
              <w:spacing w:after="0"/>
              <w:rPr>
                <w:sz w:val="17"/>
                <w:szCs w:val="17"/>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7"/>
                <w:szCs w:val="17"/>
                <w:color w:val="auto"/>
              </w:rPr>
              <w:t>2.1</w:t>
            </w: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20" w:type="dxa"/>
            <w:vAlign w:val="bottom"/>
            <w:gridSpan w:val="2"/>
          </w:tcPr>
          <w:p>
            <w:pPr>
              <w:jc w:val="right"/>
              <w:ind w:right="200"/>
              <w:spacing w:after="0"/>
              <w:rPr>
                <w:sz w:val="20"/>
                <w:szCs w:val="20"/>
                <w:color w:val="auto"/>
              </w:rPr>
            </w:pPr>
            <w:r>
              <w:rPr>
                <w:rFonts w:ascii="Arial" w:cs="Arial" w:eastAsia="Arial" w:hAnsi="Arial"/>
                <w:sz w:val="17"/>
                <w:szCs w:val="17"/>
                <w:color w:val="auto"/>
              </w:rPr>
              <w:t>6.3</w:t>
            </w: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60" w:type="dxa"/>
            <w:vAlign w:val="bottom"/>
            <w:gridSpan w:val="2"/>
          </w:tcPr>
          <w:p>
            <w:pPr>
              <w:jc w:val="right"/>
              <w:ind w:right="40"/>
              <w:spacing w:after="0"/>
              <w:rPr>
                <w:sz w:val="20"/>
                <w:szCs w:val="20"/>
                <w:color w:val="auto"/>
              </w:rPr>
            </w:pPr>
            <w:r>
              <w:rPr>
                <w:rFonts w:ascii="Arial" w:cs="Arial" w:eastAsia="Arial" w:hAnsi="Arial"/>
                <w:sz w:val="17"/>
                <w:szCs w:val="17"/>
                <w:color w:val="auto"/>
              </w:rPr>
              <w:t>(11.3)</w:t>
            </w:r>
          </w:p>
        </w:tc>
        <w:tc>
          <w:tcPr>
            <w:tcW w:w="0" w:type="dxa"/>
            <w:vAlign w:val="bottom"/>
          </w:tcPr>
          <w:p>
            <w:pPr>
              <w:spacing w:after="0"/>
              <w:rPr>
                <w:sz w:val="1"/>
                <w:szCs w:val="1"/>
                <w:color w:val="auto"/>
              </w:rPr>
            </w:pPr>
          </w:p>
        </w:tc>
      </w:tr>
      <w:tr>
        <w:trPr>
          <w:trHeight w:val="20"/>
        </w:trPr>
        <w:tc>
          <w:tcPr>
            <w:tcW w:w="5180" w:type="dxa"/>
            <w:vAlign w:val="bottom"/>
            <w:tcBorders>
              <w:right w:val="single" w:sz="8" w:color="CCEEFF"/>
            </w:tcBorders>
            <w:gridSpan w:val="2"/>
            <w:vMerge w:val="restart"/>
            <w:shd w:val="clear" w:color="auto" w:fill="CCEEFF"/>
          </w:tcPr>
          <w:p>
            <w:pPr>
              <w:ind w:left="160"/>
              <w:spacing w:after="0"/>
              <w:rPr>
                <w:sz w:val="20"/>
                <w:szCs w:val="20"/>
                <w:color w:val="auto"/>
              </w:rPr>
            </w:pPr>
            <w:r>
              <w:rPr>
                <w:rFonts w:ascii="Arial" w:cs="Arial" w:eastAsia="Arial" w:hAnsi="Arial"/>
                <w:sz w:val="17"/>
                <w:szCs w:val="17"/>
                <w:color w:val="auto"/>
              </w:rPr>
              <w:t>Cash used for investing activities</w:t>
            </w:r>
          </w:p>
        </w:tc>
        <w:tc>
          <w:tcPr>
            <w:tcW w:w="28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5180" w:type="dxa"/>
            <w:vAlign w:val="bottom"/>
            <w:tcBorders>
              <w:right w:val="single" w:sz="8" w:color="CCEEFF"/>
            </w:tcBorders>
            <w:gridSpan w:val="2"/>
            <w:vMerge w:val="continue"/>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1320" w:type="dxa"/>
            <w:vAlign w:val="bottom"/>
            <w:gridSpan w:val="2"/>
            <w:shd w:val="clear" w:color="auto" w:fill="CCEEFF"/>
          </w:tcPr>
          <w:p>
            <w:pPr>
              <w:jc w:val="right"/>
              <w:ind w:right="300"/>
              <w:spacing w:after="0" w:line="183" w:lineRule="exact"/>
              <w:rPr>
                <w:sz w:val="20"/>
                <w:szCs w:val="20"/>
                <w:color w:val="auto"/>
              </w:rPr>
            </w:pPr>
            <w:r>
              <w:rPr>
                <w:rFonts w:ascii="Arial" w:cs="Arial" w:eastAsia="Arial" w:hAnsi="Arial"/>
                <w:sz w:val="17"/>
                <w:szCs w:val="17"/>
                <w:color w:val="auto"/>
              </w:rPr>
              <w:t>(38.3)</w:t>
            </w:r>
          </w:p>
        </w:tc>
        <w:tc>
          <w:tcPr>
            <w:tcW w:w="260" w:type="dxa"/>
            <w:vAlign w:val="bottom"/>
            <w:shd w:val="clear" w:color="auto" w:fill="CCEEFF"/>
          </w:tcPr>
          <w:p>
            <w:pPr>
              <w:spacing w:after="0"/>
              <w:rPr>
                <w:sz w:val="15"/>
                <w:szCs w:val="15"/>
                <w:color w:val="auto"/>
              </w:rPr>
            </w:pPr>
          </w:p>
        </w:tc>
        <w:tc>
          <w:tcPr>
            <w:tcW w:w="1180" w:type="dxa"/>
            <w:vAlign w:val="bottom"/>
            <w:gridSpan w:val="2"/>
            <w:shd w:val="clear" w:color="auto" w:fill="CCEEFF"/>
          </w:tcPr>
          <w:p>
            <w:pPr>
              <w:jc w:val="right"/>
              <w:ind w:right="140"/>
              <w:spacing w:after="0" w:line="183" w:lineRule="exact"/>
              <w:rPr>
                <w:sz w:val="20"/>
                <w:szCs w:val="20"/>
                <w:color w:val="auto"/>
              </w:rPr>
            </w:pPr>
            <w:r>
              <w:rPr>
                <w:rFonts w:ascii="Arial" w:cs="Arial" w:eastAsia="Arial" w:hAnsi="Arial"/>
                <w:sz w:val="17"/>
                <w:szCs w:val="17"/>
                <w:color w:val="auto"/>
              </w:rPr>
              <w:t>(42.3)</w:t>
            </w:r>
          </w:p>
        </w:tc>
        <w:tc>
          <w:tcPr>
            <w:tcW w:w="14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220" w:type="dxa"/>
            <w:vAlign w:val="bottom"/>
            <w:gridSpan w:val="2"/>
            <w:shd w:val="clear" w:color="auto" w:fill="CCEEFF"/>
          </w:tcPr>
          <w:p>
            <w:pPr>
              <w:jc w:val="right"/>
              <w:ind w:right="140"/>
              <w:spacing w:after="0" w:line="183" w:lineRule="exact"/>
              <w:rPr>
                <w:sz w:val="20"/>
                <w:szCs w:val="20"/>
                <w:color w:val="auto"/>
              </w:rPr>
            </w:pPr>
            <w:r>
              <w:rPr>
                <w:rFonts w:ascii="Arial" w:cs="Arial" w:eastAsia="Arial" w:hAnsi="Arial"/>
                <w:sz w:val="17"/>
                <w:szCs w:val="17"/>
                <w:color w:val="auto"/>
              </w:rPr>
              <w:t>(799.3)</w:t>
            </w:r>
          </w:p>
        </w:tc>
        <w:tc>
          <w:tcPr>
            <w:tcW w:w="12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060" w:type="dxa"/>
            <w:vAlign w:val="bottom"/>
            <w:gridSpan w:val="2"/>
            <w:shd w:val="clear" w:color="auto" w:fill="CCEEFF"/>
          </w:tcPr>
          <w:p>
            <w:pPr>
              <w:jc w:val="right"/>
              <w:ind w:right="40"/>
              <w:spacing w:after="0" w:line="183" w:lineRule="exact"/>
              <w:rPr>
                <w:sz w:val="20"/>
                <w:szCs w:val="20"/>
                <w:color w:val="auto"/>
              </w:rPr>
            </w:pPr>
            <w:r>
              <w:rPr>
                <w:rFonts w:ascii="Arial" w:cs="Arial" w:eastAsia="Arial" w:hAnsi="Arial"/>
                <w:sz w:val="17"/>
                <w:szCs w:val="17"/>
                <w:color w:val="auto"/>
              </w:rPr>
              <w:t>(167.7)</w:t>
            </w:r>
          </w:p>
        </w:tc>
        <w:tc>
          <w:tcPr>
            <w:tcW w:w="0" w:type="dxa"/>
            <w:vAlign w:val="bottom"/>
          </w:tcPr>
          <w:p>
            <w:pPr>
              <w:spacing w:after="0"/>
              <w:rPr>
                <w:sz w:val="1"/>
                <w:szCs w:val="1"/>
                <w:color w:val="auto"/>
              </w:rPr>
            </w:pPr>
          </w:p>
        </w:tc>
      </w:tr>
      <w:tr>
        <w:trPr>
          <w:trHeight w:val="190"/>
        </w:trPr>
        <w:tc>
          <w:tcPr>
            <w:tcW w:w="5180" w:type="dxa"/>
            <w:vAlign w:val="bottom"/>
            <w:gridSpan w:val="2"/>
          </w:tcPr>
          <w:p>
            <w:pPr>
              <w:spacing w:after="0" w:line="190" w:lineRule="exact"/>
              <w:rPr>
                <w:sz w:val="20"/>
                <w:szCs w:val="20"/>
                <w:color w:val="auto"/>
              </w:rPr>
            </w:pPr>
            <w:r>
              <w:rPr>
                <w:rFonts w:ascii="Arial" w:cs="Arial" w:eastAsia="Arial" w:hAnsi="Arial"/>
                <w:sz w:val="17"/>
                <w:szCs w:val="17"/>
                <w:b w:val="1"/>
                <w:bCs w:val="1"/>
                <w:color w:val="auto"/>
              </w:rPr>
              <w:t>Financing activities</w:t>
            </w:r>
          </w:p>
        </w:tc>
        <w:tc>
          <w:tcPr>
            <w:tcW w:w="28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5180" w:type="dxa"/>
            <w:vAlign w:val="bottom"/>
            <w:tcBorders>
              <w:right w:val="single" w:sz="8" w:color="CCEEFF"/>
            </w:tcBorders>
            <w:gridSpan w:val="2"/>
            <w:shd w:val="clear" w:color="auto" w:fill="CCEEFF"/>
          </w:tcPr>
          <w:p>
            <w:pPr>
              <w:spacing w:after="0" w:line="190" w:lineRule="exact"/>
              <w:rPr>
                <w:sz w:val="20"/>
                <w:szCs w:val="20"/>
                <w:color w:val="auto"/>
              </w:rPr>
            </w:pPr>
            <w:r>
              <w:rPr>
                <w:rFonts w:ascii="Arial" w:cs="Arial" w:eastAsia="Arial" w:hAnsi="Arial"/>
                <w:sz w:val="17"/>
                <w:szCs w:val="17"/>
                <w:color w:val="auto"/>
              </w:rPr>
              <w:t>Common shares repurchased</w:t>
            </w:r>
          </w:p>
        </w:tc>
        <w:tc>
          <w:tcPr>
            <w:tcW w:w="280" w:type="dxa"/>
            <w:vAlign w:val="bottom"/>
            <w:shd w:val="clear" w:color="auto" w:fill="CCEEFF"/>
          </w:tcPr>
          <w:p>
            <w:pPr>
              <w:spacing w:after="0"/>
              <w:rPr>
                <w:sz w:val="16"/>
                <w:szCs w:val="16"/>
                <w:color w:val="auto"/>
              </w:rPr>
            </w:pPr>
          </w:p>
        </w:tc>
        <w:tc>
          <w:tcPr>
            <w:tcW w:w="1320" w:type="dxa"/>
            <w:vAlign w:val="bottom"/>
            <w:gridSpan w:val="2"/>
            <w:shd w:val="clear" w:color="auto" w:fill="CCEEFF"/>
          </w:tcPr>
          <w:p>
            <w:pPr>
              <w:jc w:val="right"/>
              <w:ind w:right="300"/>
              <w:spacing w:after="0" w:line="190" w:lineRule="exact"/>
              <w:rPr>
                <w:sz w:val="20"/>
                <w:szCs w:val="20"/>
                <w:color w:val="auto"/>
              </w:rPr>
            </w:pPr>
            <w:r>
              <w:rPr>
                <w:rFonts w:ascii="Arial" w:cs="Arial" w:eastAsia="Arial" w:hAnsi="Arial"/>
                <w:sz w:val="17"/>
                <w:szCs w:val="17"/>
                <w:color w:val="auto"/>
              </w:rPr>
              <w:t>(8.3)</w:t>
            </w:r>
          </w:p>
        </w:tc>
        <w:tc>
          <w:tcPr>
            <w:tcW w:w="260" w:type="dxa"/>
            <w:vAlign w:val="bottom"/>
            <w:shd w:val="clear" w:color="auto" w:fill="CCEEFF"/>
          </w:tcPr>
          <w:p>
            <w:pPr>
              <w:spacing w:after="0"/>
              <w:rPr>
                <w:sz w:val="16"/>
                <w:szCs w:val="16"/>
                <w:color w:val="auto"/>
              </w:rPr>
            </w:pPr>
          </w:p>
        </w:tc>
        <w:tc>
          <w:tcPr>
            <w:tcW w:w="1180" w:type="dxa"/>
            <w:vAlign w:val="bottom"/>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(1.2)</w:t>
            </w:r>
          </w:p>
        </w:tc>
        <w:tc>
          <w:tcPr>
            <w:tcW w:w="1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220" w:type="dxa"/>
            <w:vAlign w:val="bottom"/>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(226.0)</w:t>
            </w: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jc w:val="right"/>
              <w:ind w:right="40"/>
              <w:spacing w:after="0" w:line="190" w:lineRule="exact"/>
              <w:rPr>
                <w:sz w:val="20"/>
                <w:szCs w:val="20"/>
                <w:color w:val="auto"/>
              </w:rPr>
            </w:pPr>
            <w:r>
              <w:rPr>
                <w:rFonts w:ascii="Arial" w:cs="Arial" w:eastAsia="Arial" w:hAnsi="Arial"/>
                <w:sz w:val="17"/>
                <w:szCs w:val="17"/>
                <w:color w:val="auto"/>
              </w:rPr>
              <w:t>(1.3)</w:t>
            </w:r>
          </w:p>
        </w:tc>
        <w:tc>
          <w:tcPr>
            <w:tcW w:w="0" w:type="dxa"/>
            <w:vAlign w:val="bottom"/>
          </w:tcPr>
          <w:p>
            <w:pPr>
              <w:spacing w:after="0"/>
              <w:rPr>
                <w:sz w:val="1"/>
                <w:szCs w:val="1"/>
                <w:color w:val="auto"/>
              </w:rPr>
            </w:pPr>
          </w:p>
        </w:tc>
      </w:tr>
      <w:tr>
        <w:trPr>
          <w:trHeight w:val="190"/>
        </w:trPr>
        <w:tc>
          <w:tcPr>
            <w:tcW w:w="5180" w:type="dxa"/>
            <w:vAlign w:val="bottom"/>
            <w:gridSpan w:val="2"/>
          </w:tcPr>
          <w:p>
            <w:pPr>
              <w:spacing w:after="0" w:line="190" w:lineRule="exact"/>
              <w:rPr>
                <w:sz w:val="20"/>
                <w:szCs w:val="20"/>
                <w:color w:val="auto"/>
              </w:rPr>
            </w:pPr>
            <w:r>
              <w:rPr>
                <w:rFonts w:ascii="Arial" w:cs="Arial" w:eastAsia="Arial" w:hAnsi="Arial"/>
                <w:sz w:val="17"/>
                <w:szCs w:val="17"/>
                <w:color w:val="auto"/>
              </w:rPr>
              <w:t>Dividends paid</w:t>
            </w:r>
          </w:p>
        </w:tc>
        <w:tc>
          <w:tcPr>
            <w:tcW w:w="280" w:type="dxa"/>
            <w:vAlign w:val="bottom"/>
          </w:tcPr>
          <w:p>
            <w:pPr>
              <w:spacing w:after="0"/>
              <w:rPr>
                <w:sz w:val="16"/>
                <w:szCs w:val="16"/>
                <w:color w:val="auto"/>
              </w:rPr>
            </w:pPr>
          </w:p>
        </w:tc>
        <w:tc>
          <w:tcPr>
            <w:tcW w:w="1320" w:type="dxa"/>
            <w:vAlign w:val="bottom"/>
            <w:gridSpan w:val="2"/>
          </w:tcPr>
          <w:p>
            <w:pPr>
              <w:jc w:val="right"/>
              <w:ind w:right="300"/>
              <w:spacing w:after="0" w:line="190" w:lineRule="exact"/>
              <w:rPr>
                <w:sz w:val="20"/>
                <w:szCs w:val="20"/>
                <w:color w:val="auto"/>
              </w:rPr>
            </w:pPr>
            <w:r>
              <w:rPr>
                <w:rFonts w:ascii="Arial" w:cs="Arial" w:eastAsia="Arial" w:hAnsi="Arial"/>
                <w:sz w:val="17"/>
                <w:szCs w:val="17"/>
                <w:color w:val="auto"/>
              </w:rPr>
              <w:t>(15.3)</w:t>
            </w:r>
          </w:p>
        </w:tc>
        <w:tc>
          <w:tcPr>
            <w:tcW w:w="260" w:type="dxa"/>
            <w:vAlign w:val="bottom"/>
          </w:tcPr>
          <w:p>
            <w:pPr>
              <w:spacing w:after="0"/>
              <w:rPr>
                <w:sz w:val="16"/>
                <w:szCs w:val="16"/>
                <w:color w:val="auto"/>
              </w:rPr>
            </w:pPr>
          </w:p>
        </w:tc>
        <w:tc>
          <w:tcPr>
            <w:tcW w:w="1180" w:type="dxa"/>
            <w:vAlign w:val="bottom"/>
            <w:gridSpan w:val="2"/>
          </w:tcPr>
          <w:p>
            <w:pPr>
              <w:jc w:val="right"/>
              <w:ind w:right="140"/>
              <w:spacing w:after="0" w:line="190" w:lineRule="exact"/>
              <w:rPr>
                <w:sz w:val="20"/>
                <w:szCs w:val="20"/>
                <w:color w:val="auto"/>
              </w:rPr>
            </w:pPr>
            <w:r>
              <w:rPr>
                <w:rFonts w:ascii="Arial" w:cs="Arial" w:eastAsia="Arial" w:hAnsi="Arial"/>
                <w:sz w:val="17"/>
                <w:szCs w:val="17"/>
                <w:color w:val="auto"/>
              </w:rPr>
              <w:t>(13.6)</w:t>
            </w:r>
          </w:p>
        </w:tc>
        <w:tc>
          <w:tcPr>
            <w:tcW w:w="1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220" w:type="dxa"/>
            <w:vAlign w:val="bottom"/>
            <w:gridSpan w:val="2"/>
          </w:tcPr>
          <w:p>
            <w:pPr>
              <w:jc w:val="right"/>
              <w:ind w:right="140"/>
              <w:spacing w:after="0" w:line="190" w:lineRule="exact"/>
              <w:rPr>
                <w:sz w:val="20"/>
                <w:szCs w:val="20"/>
                <w:color w:val="auto"/>
              </w:rPr>
            </w:pPr>
            <w:r>
              <w:rPr>
                <w:rFonts w:ascii="Arial" w:cs="Arial" w:eastAsia="Arial" w:hAnsi="Arial"/>
                <w:sz w:val="17"/>
                <w:szCs w:val="17"/>
                <w:color w:val="auto"/>
              </w:rPr>
              <w:t>(61.5)</w:t>
            </w:r>
          </w:p>
        </w:tc>
        <w:tc>
          <w:tcPr>
            <w:tcW w:w="1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060" w:type="dxa"/>
            <w:vAlign w:val="bottom"/>
            <w:gridSpan w:val="2"/>
          </w:tcPr>
          <w:p>
            <w:pPr>
              <w:jc w:val="right"/>
              <w:ind w:right="40"/>
              <w:spacing w:after="0" w:line="190" w:lineRule="exact"/>
              <w:rPr>
                <w:sz w:val="20"/>
                <w:szCs w:val="20"/>
                <w:color w:val="auto"/>
              </w:rPr>
            </w:pPr>
            <w:r>
              <w:rPr>
                <w:rFonts w:ascii="Arial" w:cs="Arial" w:eastAsia="Arial" w:hAnsi="Arial"/>
                <w:sz w:val="17"/>
                <w:szCs w:val="17"/>
                <w:color w:val="auto"/>
              </w:rPr>
              <w:t>(54.2)</w:t>
            </w:r>
          </w:p>
        </w:tc>
        <w:tc>
          <w:tcPr>
            <w:tcW w:w="0" w:type="dxa"/>
            <w:vAlign w:val="bottom"/>
          </w:tcPr>
          <w:p>
            <w:pPr>
              <w:spacing w:after="0"/>
              <w:rPr>
                <w:sz w:val="1"/>
                <w:szCs w:val="1"/>
                <w:color w:val="auto"/>
              </w:rPr>
            </w:pPr>
          </w:p>
        </w:tc>
      </w:tr>
      <w:tr>
        <w:trPr>
          <w:trHeight w:val="190"/>
        </w:trPr>
        <w:tc>
          <w:tcPr>
            <w:tcW w:w="5180" w:type="dxa"/>
            <w:vAlign w:val="bottom"/>
            <w:tcBorders>
              <w:right w:val="single" w:sz="8" w:color="CCEEFF"/>
            </w:tcBorders>
            <w:gridSpan w:val="2"/>
            <w:shd w:val="clear" w:color="auto" w:fill="CCEEFF"/>
          </w:tcPr>
          <w:p>
            <w:pPr>
              <w:spacing w:after="0" w:line="190" w:lineRule="exact"/>
              <w:rPr>
                <w:sz w:val="20"/>
                <w:szCs w:val="20"/>
                <w:color w:val="auto"/>
              </w:rPr>
            </w:pPr>
            <w:r>
              <w:rPr>
                <w:rFonts w:ascii="Arial" w:cs="Arial" w:eastAsia="Arial" w:hAnsi="Arial"/>
                <w:sz w:val="17"/>
                <w:szCs w:val="17"/>
                <w:color w:val="auto"/>
              </w:rPr>
              <w:t>Repayments of debt</w:t>
            </w:r>
          </w:p>
        </w:tc>
        <w:tc>
          <w:tcPr>
            <w:tcW w:w="280" w:type="dxa"/>
            <w:vAlign w:val="bottom"/>
            <w:shd w:val="clear" w:color="auto" w:fill="CCEEFF"/>
          </w:tcPr>
          <w:p>
            <w:pPr>
              <w:spacing w:after="0"/>
              <w:rPr>
                <w:sz w:val="16"/>
                <w:szCs w:val="16"/>
                <w:color w:val="auto"/>
              </w:rPr>
            </w:pPr>
          </w:p>
        </w:tc>
        <w:tc>
          <w:tcPr>
            <w:tcW w:w="1320" w:type="dxa"/>
            <w:vAlign w:val="bottom"/>
            <w:gridSpan w:val="2"/>
            <w:shd w:val="clear" w:color="auto" w:fill="CCEEFF"/>
          </w:tcPr>
          <w:p>
            <w:pPr>
              <w:jc w:val="right"/>
              <w:ind w:right="300"/>
              <w:spacing w:after="0" w:line="190" w:lineRule="exact"/>
              <w:rPr>
                <w:sz w:val="20"/>
                <w:szCs w:val="20"/>
                <w:color w:val="auto"/>
              </w:rPr>
            </w:pPr>
            <w:r>
              <w:rPr>
                <w:rFonts w:ascii="Arial" w:cs="Arial" w:eastAsia="Arial" w:hAnsi="Arial"/>
                <w:sz w:val="17"/>
                <w:szCs w:val="17"/>
                <w:color w:val="auto"/>
              </w:rPr>
              <w:t>(63.2)</w:t>
            </w:r>
          </w:p>
        </w:tc>
        <w:tc>
          <w:tcPr>
            <w:tcW w:w="260" w:type="dxa"/>
            <w:vAlign w:val="bottom"/>
            <w:shd w:val="clear" w:color="auto" w:fill="CCEEFF"/>
          </w:tcPr>
          <w:p>
            <w:pPr>
              <w:spacing w:after="0"/>
              <w:rPr>
                <w:sz w:val="16"/>
                <w:szCs w:val="16"/>
                <w:color w:val="auto"/>
              </w:rPr>
            </w:pPr>
          </w:p>
        </w:tc>
        <w:tc>
          <w:tcPr>
            <w:tcW w:w="1180" w:type="dxa"/>
            <w:vAlign w:val="bottom"/>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(15.0)</w:t>
            </w:r>
          </w:p>
        </w:tc>
        <w:tc>
          <w:tcPr>
            <w:tcW w:w="1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220" w:type="dxa"/>
            <w:vAlign w:val="bottom"/>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(374.1)</w:t>
            </w: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jc w:val="right"/>
              <w:ind w:right="40"/>
              <w:spacing w:after="0" w:line="190" w:lineRule="exact"/>
              <w:rPr>
                <w:sz w:val="20"/>
                <w:szCs w:val="20"/>
                <w:color w:val="auto"/>
              </w:rPr>
            </w:pPr>
            <w:r>
              <w:rPr>
                <w:rFonts w:ascii="Arial" w:cs="Arial" w:eastAsia="Arial" w:hAnsi="Arial"/>
                <w:sz w:val="17"/>
                <w:szCs w:val="17"/>
                <w:color w:val="auto"/>
              </w:rPr>
              <w:t>(100.0)</w:t>
            </w:r>
          </w:p>
        </w:tc>
        <w:tc>
          <w:tcPr>
            <w:tcW w:w="0" w:type="dxa"/>
            <w:vAlign w:val="bottom"/>
          </w:tcPr>
          <w:p>
            <w:pPr>
              <w:spacing w:after="0"/>
              <w:rPr>
                <w:sz w:val="1"/>
                <w:szCs w:val="1"/>
                <w:color w:val="auto"/>
              </w:rPr>
            </w:pPr>
          </w:p>
        </w:tc>
      </w:tr>
      <w:tr>
        <w:trPr>
          <w:trHeight w:val="190"/>
        </w:trPr>
        <w:tc>
          <w:tcPr>
            <w:tcW w:w="5180" w:type="dxa"/>
            <w:vAlign w:val="bottom"/>
            <w:gridSpan w:val="2"/>
          </w:tcPr>
          <w:p>
            <w:pPr>
              <w:spacing w:after="0" w:line="190" w:lineRule="exact"/>
              <w:rPr>
                <w:sz w:val="20"/>
                <w:szCs w:val="20"/>
                <w:color w:val="auto"/>
              </w:rPr>
            </w:pPr>
            <w:r>
              <w:rPr>
                <w:rFonts w:ascii="Arial" w:cs="Arial" w:eastAsia="Arial" w:hAnsi="Arial"/>
                <w:sz w:val="17"/>
                <w:szCs w:val="17"/>
                <w:color w:val="auto"/>
              </w:rPr>
              <w:t>Proceeds from debt</w:t>
            </w:r>
          </w:p>
        </w:tc>
        <w:tc>
          <w:tcPr>
            <w:tcW w:w="280" w:type="dxa"/>
            <w:vAlign w:val="bottom"/>
          </w:tcPr>
          <w:p>
            <w:pPr>
              <w:spacing w:after="0"/>
              <w:rPr>
                <w:sz w:val="16"/>
                <w:szCs w:val="16"/>
                <w:color w:val="auto"/>
              </w:rPr>
            </w:pPr>
          </w:p>
        </w:tc>
        <w:tc>
          <w:tcPr>
            <w:tcW w:w="960" w:type="dxa"/>
            <w:vAlign w:val="bottom"/>
          </w:tcPr>
          <w:p>
            <w:pPr>
              <w:jc w:val="right"/>
              <w:spacing w:after="0" w:line="190" w:lineRule="exact"/>
              <w:rPr>
                <w:sz w:val="20"/>
                <w:szCs w:val="20"/>
                <w:color w:val="auto"/>
              </w:rPr>
            </w:pPr>
            <w:r>
              <w:rPr>
                <w:rFonts w:ascii="Arial" w:cs="Arial" w:eastAsia="Arial" w:hAnsi="Arial"/>
                <w:sz w:val="17"/>
                <w:szCs w:val="17"/>
                <w:color w:val="auto"/>
              </w:rPr>
              <w:t>15.0</w:t>
            </w:r>
          </w:p>
        </w:tc>
        <w:tc>
          <w:tcPr>
            <w:tcW w:w="36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180" w:type="dxa"/>
            <w:vAlign w:val="bottom"/>
            <w:gridSpan w:val="2"/>
          </w:tcPr>
          <w:p>
            <w:pPr>
              <w:jc w:val="right"/>
              <w:ind w:right="200"/>
              <w:spacing w:after="0" w:line="190" w:lineRule="exact"/>
              <w:rPr>
                <w:sz w:val="20"/>
                <w:szCs w:val="20"/>
                <w:color w:val="auto"/>
              </w:rPr>
            </w:pPr>
            <w:r>
              <w:rPr>
                <w:rFonts w:ascii="Arial" w:cs="Arial" w:eastAsia="Arial" w:hAnsi="Arial"/>
                <w:sz w:val="17"/>
                <w:szCs w:val="17"/>
                <w:color w:val="auto"/>
              </w:rPr>
              <w:t>—</w:t>
            </w:r>
          </w:p>
        </w:tc>
        <w:tc>
          <w:tcPr>
            <w:tcW w:w="1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220" w:type="dxa"/>
            <w:vAlign w:val="bottom"/>
            <w:gridSpan w:val="2"/>
          </w:tcPr>
          <w:p>
            <w:pPr>
              <w:jc w:val="right"/>
              <w:ind w:right="200"/>
              <w:spacing w:after="0" w:line="190" w:lineRule="exact"/>
              <w:rPr>
                <w:sz w:val="20"/>
                <w:szCs w:val="20"/>
                <w:color w:val="auto"/>
              </w:rPr>
            </w:pPr>
            <w:r>
              <w:rPr>
                <w:rFonts w:ascii="Arial" w:cs="Arial" w:eastAsia="Arial" w:hAnsi="Arial"/>
                <w:sz w:val="17"/>
                <w:szCs w:val="17"/>
                <w:color w:val="auto"/>
              </w:rPr>
              <w:t>1,125.0</w:t>
            </w:r>
          </w:p>
        </w:tc>
        <w:tc>
          <w:tcPr>
            <w:tcW w:w="1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06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10.0</w:t>
            </w:r>
          </w:p>
        </w:tc>
        <w:tc>
          <w:tcPr>
            <w:tcW w:w="0" w:type="dxa"/>
            <w:vAlign w:val="bottom"/>
          </w:tcPr>
          <w:p>
            <w:pPr>
              <w:spacing w:after="0"/>
              <w:rPr>
                <w:sz w:val="1"/>
                <w:szCs w:val="1"/>
                <w:color w:val="auto"/>
              </w:rPr>
            </w:pPr>
          </w:p>
        </w:tc>
      </w:tr>
      <w:tr>
        <w:trPr>
          <w:trHeight w:val="190"/>
        </w:trPr>
        <w:tc>
          <w:tcPr>
            <w:tcW w:w="5180" w:type="dxa"/>
            <w:vAlign w:val="bottom"/>
            <w:tcBorders>
              <w:right w:val="single" w:sz="8" w:color="CCEEFF"/>
            </w:tcBorders>
            <w:gridSpan w:val="2"/>
            <w:shd w:val="clear" w:color="auto" w:fill="CCEEFF"/>
          </w:tcPr>
          <w:p>
            <w:pPr>
              <w:spacing w:after="0" w:line="190" w:lineRule="exact"/>
              <w:rPr>
                <w:sz w:val="20"/>
                <w:szCs w:val="20"/>
                <w:color w:val="auto"/>
              </w:rPr>
            </w:pPr>
            <w:r>
              <w:rPr>
                <w:rFonts w:ascii="Arial" w:cs="Arial" w:eastAsia="Arial" w:hAnsi="Arial"/>
                <w:sz w:val="17"/>
                <w:szCs w:val="17"/>
                <w:color w:val="auto"/>
              </w:rPr>
              <w:t>Payment for acquisition-related earn-outs</w:t>
            </w:r>
          </w:p>
        </w:tc>
        <w:tc>
          <w:tcPr>
            <w:tcW w:w="280" w:type="dxa"/>
            <w:vAlign w:val="bottom"/>
            <w:shd w:val="clear" w:color="auto" w:fill="CCEEFF"/>
          </w:tcPr>
          <w:p>
            <w:pPr>
              <w:spacing w:after="0"/>
              <w:rPr>
                <w:sz w:val="16"/>
                <w:szCs w:val="16"/>
                <w:color w:val="auto"/>
              </w:rPr>
            </w:pPr>
          </w:p>
        </w:tc>
        <w:tc>
          <w:tcPr>
            <w:tcW w:w="1320" w:type="dxa"/>
            <w:vAlign w:val="bottom"/>
            <w:gridSpan w:val="2"/>
            <w:shd w:val="clear" w:color="auto" w:fill="CCEEFF"/>
          </w:tcPr>
          <w:p>
            <w:pPr>
              <w:jc w:val="right"/>
              <w:ind w:right="360"/>
              <w:spacing w:after="0" w:line="190" w:lineRule="exact"/>
              <w:rPr>
                <w:sz w:val="20"/>
                <w:szCs w:val="20"/>
                <w:color w:val="auto"/>
              </w:rPr>
            </w:pPr>
            <w:r>
              <w:rPr>
                <w:rFonts w:ascii="Arial" w:cs="Arial" w:eastAsia="Arial" w:hAnsi="Arial"/>
                <w:sz w:val="17"/>
                <w:szCs w:val="17"/>
                <w:color w:val="auto"/>
              </w:rPr>
              <w:t>—</w:t>
            </w:r>
          </w:p>
        </w:tc>
        <w:tc>
          <w:tcPr>
            <w:tcW w:w="260" w:type="dxa"/>
            <w:vAlign w:val="bottom"/>
            <w:shd w:val="clear" w:color="auto" w:fill="CCEEFF"/>
          </w:tcPr>
          <w:p>
            <w:pPr>
              <w:spacing w:after="0"/>
              <w:rPr>
                <w:sz w:val="16"/>
                <w:szCs w:val="16"/>
                <w:color w:val="auto"/>
              </w:rPr>
            </w:pPr>
          </w:p>
        </w:tc>
        <w:tc>
          <w:tcPr>
            <w:tcW w:w="1180" w:type="dxa"/>
            <w:vAlign w:val="bottom"/>
            <w:gridSpan w:val="2"/>
            <w:shd w:val="clear" w:color="auto" w:fill="CCEEFF"/>
          </w:tcPr>
          <w:p>
            <w:pPr>
              <w:jc w:val="right"/>
              <w:ind w:right="200"/>
              <w:spacing w:after="0" w:line="190" w:lineRule="exact"/>
              <w:rPr>
                <w:sz w:val="20"/>
                <w:szCs w:val="20"/>
                <w:color w:val="auto"/>
              </w:rPr>
            </w:pPr>
            <w:r>
              <w:rPr>
                <w:rFonts w:ascii="Arial" w:cs="Arial" w:eastAsia="Arial" w:hAnsi="Arial"/>
                <w:sz w:val="17"/>
                <w:szCs w:val="17"/>
                <w:color w:val="auto"/>
              </w:rPr>
              <w:t>—</w:t>
            </w:r>
          </w:p>
        </w:tc>
        <w:tc>
          <w:tcPr>
            <w:tcW w:w="1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1220" w:type="dxa"/>
            <w:vAlign w:val="bottom"/>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(16.2)</w:t>
            </w:r>
          </w:p>
        </w:tc>
        <w:tc>
          <w:tcPr>
            <w:tcW w:w="1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1060" w:type="dxa"/>
            <w:vAlign w:val="bottom"/>
            <w:gridSpan w:val="2"/>
            <w:shd w:val="clear" w:color="auto" w:fill="CCEEFF"/>
          </w:tcPr>
          <w:p>
            <w:pPr>
              <w:jc w:val="right"/>
              <w:ind w:right="40"/>
              <w:spacing w:after="0" w:line="190" w:lineRule="exact"/>
              <w:rPr>
                <w:sz w:val="20"/>
                <w:szCs w:val="20"/>
                <w:color w:val="auto"/>
              </w:rPr>
            </w:pPr>
            <w:r>
              <w:rPr>
                <w:rFonts w:ascii="Arial" w:cs="Arial" w:eastAsia="Arial" w:hAnsi="Arial"/>
                <w:sz w:val="17"/>
                <w:szCs w:val="17"/>
                <w:color w:val="auto"/>
              </w:rPr>
              <w:t>(34.4)</w:t>
            </w:r>
          </w:p>
        </w:tc>
        <w:tc>
          <w:tcPr>
            <w:tcW w:w="0" w:type="dxa"/>
            <w:vAlign w:val="bottom"/>
          </w:tcPr>
          <w:p>
            <w:pPr>
              <w:spacing w:after="0"/>
              <w:rPr>
                <w:sz w:val="1"/>
                <w:szCs w:val="1"/>
                <w:color w:val="auto"/>
              </w:rPr>
            </w:pPr>
          </w:p>
        </w:tc>
      </w:tr>
      <w:tr>
        <w:trPr>
          <w:trHeight w:val="203"/>
        </w:trPr>
        <w:tc>
          <w:tcPr>
            <w:tcW w:w="5180" w:type="dxa"/>
            <w:vAlign w:val="bottom"/>
            <w:gridSpan w:val="2"/>
          </w:tcPr>
          <w:p>
            <w:pPr>
              <w:spacing w:after="0"/>
              <w:rPr>
                <w:sz w:val="20"/>
                <w:szCs w:val="20"/>
                <w:color w:val="auto"/>
              </w:rPr>
            </w:pPr>
            <w:r>
              <w:rPr>
                <w:rFonts w:ascii="Arial" w:cs="Arial" w:eastAsia="Arial" w:hAnsi="Arial"/>
                <w:sz w:val="17"/>
                <w:szCs w:val="17"/>
                <w:color w:val="auto"/>
              </w:rPr>
              <w:t>Other, net</w:t>
            </w:r>
          </w:p>
        </w:tc>
        <w:tc>
          <w:tcPr>
            <w:tcW w:w="280" w:type="dxa"/>
            <w:vAlign w:val="bottom"/>
          </w:tcPr>
          <w:p>
            <w:pPr>
              <w:spacing w:after="0"/>
              <w:rPr>
                <w:sz w:val="17"/>
                <w:szCs w:val="17"/>
                <w:color w:val="auto"/>
              </w:rPr>
            </w:pPr>
          </w:p>
        </w:tc>
        <w:tc>
          <w:tcPr>
            <w:tcW w:w="1320" w:type="dxa"/>
            <w:vAlign w:val="bottom"/>
            <w:gridSpan w:val="2"/>
          </w:tcPr>
          <w:p>
            <w:pPr>
              <w:jc w:val="right"/>
              <w:ind w:right="300"/>
              <w:spacing w:after="0"/>
              <w:rPr>
                <w:sz w:val="20"/>
                <w:szCs w:val="20"/>
                <w:color w:val="auto"/>
              </w:rPr>
            </w:pPr>
            <w:r>
              <w:rPr>
                <w:rFonts w:ascii="Arial" w:cs="Arial" w:eastAsia="Arial" w:hAnsi="Arial"/>
                <w:sz w:val="17"/>
                <w:szCs w:val="17"/>
                <w:color w:val="auto"/>
              </w:rPr>
              <w:t>(4.9)</w:t>
            </w:r>
          </w:p>
        </w:tc>
        <w:tc>
          <w:tcPr>
            <w:tcW w:w="260" w:type="dxa"/>
            <w:vAlign w:val="bottom"/>
          </w:tcPr>
          <w:p>
            <w:pPr>
              <w:spacing w:after="0"/>
              <w:rPr>
                <w:sz w:val="17"/>
                <w:szCs w:val="17"/>
                <w:color w:val="auto"/>
              </w:rPr>
            </w:pPr>
          </w:p>
        </w:tc>
        <w:tc>
          <w:tcPr>
            <w:tcW w:w="1180" w:type="dxa"/>
            <w:vAlign w:val="bottom"/>
            <w:gridSpan w:val="2"/>
          </w:tcPr>
          <w:p>
            <w:pPr>
              <w:jc w:val="right"/>
              <w:ind w:right="140"/>
              <w:spacing w:after="0"/>
              <w:rPr>
                <w:sz w:val="20"/>
                <w:szCs w:val="20"/>
                <w:color w:val="auto"/>
              </w:rPr>
            </w:pPr>
            <w:r>
              <w:rPr>
                <w:rFonts w:ascii="Arial" w:cs="Arial" w:eastAsia="Arial" w:hAnsi="Arial"/>
                <w:sz w:val="17"/>
                <w:szCs w:val="17"/>
                <w:color w:val="auto"/>
              </w:rPr>
              <w:t>(6.5)</w:t>
            </w: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7"/>
                <w:szCs w:val="17"/>
                <w:color w:val="auto"/>
              </w:rPr>
              <w:t>(32.1)</w:t>
            </w: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60" w:type="dxa"/>
            <w:vAlign w:val="bottom"/>
            <w:gridSpan w:val="2"/>
          </w:tcPr>
          <w:p>
            <w:pPr>
              <w:jc w:val="right"/>
              <w:ind w:right="40"/>
              <w:spacing w:after="0"/>
              <w:rPr>
                <w:sz w:val="20"/>
                <w:szCs w:val="20"/>
                <w:color w:val="auto"/>
              </w:rPr>
            </w:pPr>
            <w:r>
              <w:rPr>
                <w:rFonts w:ascii="Arial" w:cs="Arial" w:eastAsia="Arial" w:hAnsi="Arial"/>
                <w:sz w:val="17"/>
                <w:szCs w:val="17"/>
                <w:color w:val="auto"/>
              </w:rPr>
              <w:t>(31.9)</w:t>
            </w:r>
          </w:p>
        </w:tc>
        <w:tc>
          <w:tcPr>
            <w:tcW w:w="0" w:type="dxa"/>
            <w:vAlign w:val="bottom"/>
          </w:tcPr>
          <w:p>
            <w:pPr>
              <w:spacing w:after="0"/>
              <w:rPr>
                <w:sz w:val="1"/>
                <w:szCs w:val="1"/>
                <w:color w:val="auto"/>
              </w:rPr>
            </w:pPr>
          </w:p>
        </w:tc>
      </w:tr>
      <w:tr>
        <w:trPr>
          <w:trHeight w:val="183"/>
        </w:trPr>
        <w:tc>
          <w:tcPr>
            <w:tcW w:w="5180" w:type="dxa"/>
            <w:vAlign w:val="bottom"/>
            <w:tcBorders>
              <w:top w:val="single" w:sz="8" w:color="CCEEFF"/>
              <w:right w:val="single" w:sz="8" w:color="CCEEFF"/>
            </w:tcBorders>
            <w:gridSpan w:val="2"/>
            <w:shd w:val="clear" w:color="auto" w:fill="CCEEFF"/>
          </w:tcPr>
          <w:p>
            <w:pPr>
              <w:ind w:left="160"/>
              <w:spacing w:after="0" w:line="183" w:lineRule="exact"/>
              <w:rPr>
                <w:sz w:val="20"/>
                <w:szCs w:val="20"/>
                <w:color w:val="auto"/>
              </w:rPr>
            </w:pPr>
            <w:r>
              <w:rPr>
                <w:rFonts w:ascii="Arial" w:cs="Arial" w:eastAsia="Arial" w:hAnsi="Arial"/>
                <w:sz w:val="17"/>
                <w:szCs w:val="17"/>
                <w:color w:val="auto"/>
              </w:rPr>
              <w:t>Cash provided by (used for) financing activities</w:t>
            </w:r>
          </w:p>
        </w:tc>
        <w:tc>
          <w:tcPr>
            <w:tcW w:w="280" w:type="dxa"/>
            <w:vAlign w:val="bottom"/>
            <w:tcBorders>
              <w:top w:val="single" w:sz="8" w:color="auto"/>
            </w:tcBorders>
            <w:shd w:val="clear" w:color="auto" w:fill="CCEEFF"/>
          </w:tcPr>
          <w:p>
            <w:pPr>
              <w:spacing w:after="0"/>
              <w:rPr>
                <w:sz w:val="15"/>
                <w:szCs w:val="15"/>
                <w:color w:val="auto"/>
              </w:rPr>
            </w:pPr>
          </w:p>
        </w:tc>
        <w:tc>
          <w:tcPr>
            <w:tcW w:w="96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(76.7)</w:t>
            </w:r>
          </w:p>
        </w:tc>
        <w:tc>
          <w:tcPr>
            <w:tcW w:w="36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98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(36.3)</w:t>
            </w:r>
          </w:p>
        </w:tc>
        <w:tc>
          <w:tcPr>
            <w:tcW w:w="20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102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415.1</w:t>
            </w:r>
          </w:p>
        </w:tc>
        <w:tc>
          <w:tcPr>
            <w:tcW w:w="2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96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(211.8)</w:t>
            </w:r>
          </w:p>
        </w:tc>
        <w:tc>
          <w:tcPr>
            <w:tcW w:w="10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5180" w:type="dxa"/>
            <w:vAlign w:val="bottom"/>
            <w:gridSpan w:val="2"/>
          </w:tcPr>
          <w:p>
            <w:pPr>
              <w:spacing w:after="0"/>
              <w:rPr>
                <w:sz w:val="20"/>
                <w:szCs w:val="20"/>
                <w:color w:val="auto"/>
              </w:rPr>
            </w:pPr>
            <w:r>
              <w:rPr>
                <w:rFonts w:ascii="Arial" w:cs="Arial" w:eastAsia="Arial" w:hAnsi="Arial"/>
                <w:sz w:val="17"/>
                <w:szCs w:val="17"/>
                <w:color w:val="auto"/>
              </w:rPr>
              <w:t>Effect of exchange rate changes on cash and cash equivalents</w:t>
            </w:r>
          </w:p>
        </w:tc>
        <w:tc>
          <w:tcPr>
            <w:tcW w:w="280" w:type="dxa"/>
            <w:vAlign w:val="bottom"/>
          </w:tcPr>
          <w:p>
            <w:pPr>
              <w:spacing w:after="0"/>
              <w:rPr>
                <w:sz w:val="17"/>
                <w:szCs w:val="17"/>
                <w:color w:val="auto"/>
              </w:rPr>
            </w:pPr>
          </w:p>
        </w:tc>
        <w:tc>
          <w:tcPr>
            <w:tcW w:w="960" w:type="dxa"/>
            <w:vAlign w:val="bottom"/>
          </w:tcPr>
          <w:p>
            <w:pPr>
              <w:jc w:val="right"/>
              <w:spacing w:after="0"/>
              <w:rPr>
                <w:sz w:val="20"/>
                <w:szCs w:val="20"/>
                <w:color w:val="auto"/>
              </w:rPr>
            </w:pPr>
            <w:r>
              <w:rPr>
                <w:rFonts w:ascii="Arial" w:cs="Arial" w:eastAsia="Arial" w:hAnsi="Arial"/>
                <w:sz w:val="17"/>
                <w:szCs w:val="17"/>
                <w:color w:val="auto"/>
              </w:rPr>
              <w:t>15.4</w:t>
            </w:r>
          </w:p>
        </w:tc>
        <w:tc>
          <w:tcPr>
            <w:tcW w:w="3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180" w:type="dxa"/>
            <w:vAlign w:val="bottom"/>
            <w:gridSpan w:val="2"/>
          </w:tcPr>
          <w:p>
            <w:pPr>
              <w:jc w:val="right"/>
              <w:ind w:right="140"/>
              <w:spacing w:after="0"/>
              <w:rPr>
                <w:sz w:val="20"/>
                <w:szCs w:val="20"/>
                <w:color w:val="auto"/>
              </w:rPr>
            </w:pPr>
            <w:r>
              <w:rPr>
                <w:rFonts w:ascii="Arial" w:cs="Arial" w:eastAsia="Arial" w:hAnsi="Arial"/>
                <w:sz w:val="17"/>
                <w:szCs w:val="17"/>
                <w:color w:val="auto"/>
              </w:rPr>
              <w:t>(0.5)</w:t>
            </w: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20" w:type="dxa"/>
            <w:vAlign w:val="bottom"/>
            <w:gridSpan w:val="2"/>
          </w:tcPr>
          <w:p>
            <w:pPr>
              <w:jc w:val="right"/>
              <w:ind w:right="140"/>
              <w:spacing w:after="0"/>
              <w:rPr>
                <w:sz w:val="20"/>
                <w:szCs w:val="20"/>
                <w:color w:val="auto"/>
              </w:rPr>
            </w:pPr>
            <w:r>
              <w:rPr>
                <w:rFonts w:ascii="Arial" w:cs="Arial" w:eastAsia="Arial" w:hAnsi="Arial"/>
                <w:sz w:val="17"/>
                <w:szCs w:val="17"/>
                <w:color w:val="auto"/>
              </w:rPr>
              <w:t>(20.8)</w:t>
            </w: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60" w:type="dxa"/>
            <w:vAlign w:val="bottom"/>
            <w:gridSpan w:val="2"/>
          </w:tcPr>
          <w:p>
            <w:pPr>
              <w:jc w:val="right"/>
              <w:ind w:right="40"/>
              <w:spacing w:after="0"/>
              <w:rPr>
                <w:sz w:val="20"/>
                <w:szCs w:val="20"/>
                <w:color w:val="auto"/>
              </w:rPr>
            </w:pPr>
            <w:r>
              <w:rPr>
                <w:rFonts w:ascii="Arial" w:cs="Arial" w:eastAsia="Arial" w:hAnsi="Arial"/>
                <w:sz w:val="17"/>
                <w:szCs w:val="17"/>
                <w:color w:val="auto"/>
              </w:rPr>
              <w:t>(9.1)</w:t>
            </w:r>
          </w:p>
        </w:tc>
        <w:tc>
          <w:tcPr>
            <w:tcW w:w="0" w:type="dxa"/>
            <w:vAlign w:val="bottom"/>
          </w:tcPr>
          <w:p>
            <w:pPr>
              <w:spacing w:after="0"/>
              <w:rPr>
                <w:sz w:val="1"/>
                <w:szCs w:val="1"/>
                <w:color w:val="auto"/>
              </w:rPr>
            </w:pPr>
          </w:p>
        </w:tc>
      </w:tr>
      <w:tr>
        <w:trPr>
          <w:trHeight w:val="183"/>
        </w:trPr>
        <w:tc>
          <w:tcPr>
            <w:tcW w:w="5180" w:type="dxa"/>
            <w:vAlign w:val="bottom"/>
            <w:tcBorders>
              <w:top w:val="single" w:sz="8" w:color="CCEEFF"/>
              <w:right w:val="single" w:sz="8" w:color="CCEEFF"/>
            </w:tcBorders>
            <w:gridSpan w:val="2"/>
            <w:shd w:val="clear" w:color="auto" w:fill="CCEEFF"/>
          </w:tcPr>
          <w:p>
            <w:pPr>
              <w:spacing w:after="0" w:line="183" w:lineRule="exact"/>
              <w:rPr>
                <w:sz w:val="20"/>
                <w:szCs w:val="20"/>
                <w:color w:val="auto"/>
              </w:rPr>
            </w:pPr>
            <w:r>
              <w:rPr>
                <w:rFonts w:ascii="Arial" w:cs="Arial" w:eastAsia="Arial" w:hAnsi="Arial"/>
                <w:sz w:val="17"/>
                <w:szCs w:val="17"/>
                <w:color w:val="auto"/>
              </w:rPr>
              <w:t>Net increase (decrease) in cash and cash equivalents</w:t>
            </w:r>
          </w:p>
        </w:tc>
        <w:tc>
          <w:tcPr>
            <w:tcW w:w="280" w:type="dxa"/>
            <w:vAlign w:val="bottom"/>
            <w:tcBorders>
              <w:top w:val="single" w:sz="8" w:color="auto"/>
            </w:tcBorders>
            <w:shd w:val="clear" w:color="auto" w:fill="CCEEFF"/>
          </w:tcPr>
          <w:p>
            <w:pPr>
              <w:spacing w:after="0"/>
              <w:rPr>
                <w:sz w:val="15"/>
                <w:szCs w:val="15"/>
                <w:color w:val="auto"/>
              </w:rPr>
            </w:pPr>
          </w:p>
        </w:tc>
        <w:tc>
          <w:tcPr>
            <w:tcW w:w="96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3.9</w:t>
            </w:r>
          </w:p>
        </w:tc>
        <w:tc>
          <w:tcPr>
            <w:tcW w:w="36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98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56.8</w:t>
            </w:r>
          </w:p>
        </w:tc>
        <w:tc>
          <w:tcPr>
            <w:tcW w:w="20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102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(107.2)</w:t>
            </w:r>
          </w:p>
        </w:tc>
        <w:tc>
          <w:tcPr>
            <w:tcW w:w="2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960" w:type="dxa"/>
            <w:vAlign w:val="bottom"/>
            <w:tcBorders>
              <w:top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rPr>
              <w:t>61.3</w:t>
            </w:r>
          </w:p>
        </w:tc>
        <w:tc>
          <w:tcPr>
            <w:tcW w:w="10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5180" w:type="dxa"/>
            <w:vAlign w:val="bottom"/>
            <w:gridSpan w:val="2"/>
          </w:tcPr>
          <w:p>
            <w:pPr>
              <w:spacing w:after="0"/>
              <w:rPr>
                <w:sz w:val="20"/>
                <w:szCs w:val="20"/>
                <w:color w:val="auto"/>
              </w:rPr>
            </w:pPr>
            <w:r>
              <w:rPr>
                <w:rFonts w:ascii="Arial" w:cs="Arial" w:eastAsia="Arial" w:hAnsi="Arial"/>
                <w:sz w:val="17"/>
                <w:szCs w:val="17"/>
                <w:color w:val="auto"/>
              </w:rPr>
              <w:t>Cash and cash equivalents-beginning of period</w:t>
            </w:r>
          </w:p>
        </w:tc>
        <w:tc>
          <w:tcPr>
            <w:tcW w:w="280" w:type="dxa"/>
            <w:vAlign w:val="bottom"/>
          </w:tcPr>
          <w:p>
            <w:pPr>
              <w:spacing w:after="0"/>
              <w:rPr>
                <w:sz w:val="17"/>
                <w:szCs w:val="17"/>
                <w:color w:val="auto"/>
              </w:rPr>
            </w:pPr>
          </w:p>
        </w:tc>
        <w:tc>
          <w:tcPr>
            <w:tcW w:w="1320" w:type="dxa"/>
            <w:vAlign w:val="bottom"/>
            <w:gridSpan w:val="2"/>
          </w:tcPr>
          <w:p>
            <w:pPr>
              <w:jc w:val="right"/>
              <w:ind w:right="360"/>
              <w:spacing w:after="0"/>
              <w:rPr>
                <w:sz w:val="20"/>
                <w:szCs w:val="20"/>
                <w:color w:val="auto"/>
              </w:rPr>
            </w:pPr>
            <w:r>
              <w:rPr>
                <w:rFonts w:ascii="Arial" w:cs="Arial" w:eastAsia="Arial" w:hAnsi="Arial"/>
                <w:sz w:val="17"/>
                <w:szCs w:val="17"/>
                <w:color w:val="auto"/>
              </w:rPr>
              <w:t>372.7</w:t>
            </w:r>
          </w:p>
        </w:tc>
        <w:tc>
          <w:tcPr>
            <w:tcW w:w="260" w:type="dxa"/>
            <w:vAlign w:val="bottom"/>
          </w:tcPr>
          <w:p>
            <w:pPr>
              <w:spacing w:after="0"/>
              <w:rPr>
                <w:sz w:val="17"/>
                <w:szCs w:val="17"/>
                <w:color w:val="auto"/>
              </w:rPr>
            </w:pPr>
          </w:p>
        </w:tc>
        <w:tc>
          <w:tcPr>
            <w:tcW w:w="1180" w:type="dxa"/>
            <w:vAlign w:val="bottom"/>
            <w:gridSpan w:val="2"/>
          </w:tcPr>
          <w:p>
            <w:pPr>
              <w:jc w:val="right"/>
              <w:ind w:right="200"/>
              <w:spacing w:after="0"/>
              <w:rPr>
                <w:sz w:val="20"/>
                <w:szCs w:val="20"/>
                <w:color w:val="auto"/>
              </w:rPr>
            </w:pPr>
            <w:r>
              <w:rPr>
                <w:rFonts w:ascii="Arial" w:cs="Arial" w:eastAsia="Arial" w:hAnsi="Arial"/>
                <w:sz w:val="17"/>
                <w:szCs w:val="17"/>
                <w:color w:val="auto"/>
              </w:rPr>
              <w:t>427.0</w:t>
            </w: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20" w:type="dxa"/>
            <w:vAlign w:val="bottom"/>
            <w:gridSpan w:val="2"/>
          </w:tcPr>
          <w:p>
            <w:pPr>
              <w:jc w:val="right"/>
              <w:ind w:right="200"/>
              <w:spacing w:after="0"/>
              <w:rPr>
                <w:sz w:val="20"/>
                <w:szCs w:val="20"/>
                <w:color w:val="auto"/>
              </w:rPr>
            </w:pPr>
            <w:r>
              <w:rPr>
                <w:rFonts w:ascii="Arial" w:cs="Arial" w:eastAsia="Arial" w:hAnsi="Arial"/>
                <w:sz w:val="17"/>
                <w:szCs w:val="17"/>
                <w:color w:val="auto"/>
              </w:rPr>
              <w:t>483.8</w:t>
            </w:r>
          </w:p>
        </w:tc>
        <w:tc>
          <w:tcPr>
            <w:tcW w:w="1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60" w:type="dxa"/>
            <w:vAlign w:val="bottom"/>
            <w:gridSpan w:val="2"/>
          </w:tcPr>
          <w:p>
            <w:pPr>
              <w:jc w:val="right"/>
              <w:ind w:right="100"/>
              <w:spacing w:after="0"/>
              <w:rPr>
                <w:sz w:val="20"/>
                <w:szCs w:val="20"/>
                <w:color w:val="auto"/>
              </w:rPr>
            </w:pPr>
            <w:r>
              <w:rPr>
                <w:rFonts w:ascii="Arial" w:cs="Arial" w:eastAsia="Arial" w:hAnsi="Arial"/>
                <w:sz w:val="17"/>
                <w:szCs w:val="17"/>
                <w:color w:val="auto"/>
              </w:rPr>
              <w:t>422.5</w:t>
            </w:r>
          </w:p>
        </w:tc>
        <w:tc>
          <w:tcPr>
            <w:tcW w:w="0" w:type="dxa"/>
            <w:vAlign w:val="bottom"/>
          </w:tcPr>
          <w:p>
            <w:pPr>
              <w:spacing w:after="0"/>
              <w:rPr>
                <w:sz w:val="1"/>
                <w:szCs w:val="1"/>
                <w:color w:val="auto"/>
              </w:rPr>
            </w:pPr>
          </w:p>
        </w:tc>
      </w:tr>
      <w:tr>
        <w:trPr>
          <w:trHeight w:val="20"/>
        </w:trPr>
        <w:tc>
          <w:tcPr>
            <w:tcW w:w="5180" w:type="dxa"/>
            <w:vAlign w:val="bottom"/>
            <w:tcBorders>
              <w:right w:val="single" w:sz="8" w:color="CCEEFF"/>
            </w:tcBorders>
            <w:gridSpan w:val="2"/>
            <w:vMerge w:val="restart"/>
            <w:shd w:val="clear" w:color="auto" w:fill="CCEEFF"/>
          </w:tcPr>
          <w:p>
            <w:pPr>
              <w:spacing w:after="0"/>
              <w:rPr>
                <w:sz w:val="20"/>
                <w:szCs w:val="20"/>
                <w:color w:val="auto"/>
              </w:rPr>
            </w:pPr>
            <w:r>
              <w:rPr>
                <w:rFonts w:ascii="Arial" w:cs="Arial" w:eastAsia="Arial" w:hAnsi="Arial"/>
                <w:sz w:val="17"/>
                <w:szCs w:val="17"/>
                <w:color w:val="auto"/>
              </w:rPr>
              <w:t>Cash and cash equivalents-end of period</w:t>
            </w:r>
          </w:p>
        </w:tc>
        <w:tc>
          <w:tcPr>
            <w:tcW w:w="28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180" w:type="dxa"/>
            <w:vAlign w:val="bottom"/>
            <w:tcBorders>
              <w:right w:val="single" w:sz="8" w:color="CCEEFF"/>
            </w:tcBorders>
            <w:gridSpan w:val="2"/>
            <w:vMerge w:val="continue"/>
            <w:shd w:val="clear" w:color="auto" w:fill="CCEEFF"/>
          </w:tcPr>
          <w:p>
            <w:pPr>
              <w:spacing w:after="0"/>
              <w:rPr>
                <w:sz w:val="17"/>
                <w:szCs w:val="17"/>
                <w:color w:val="auto"/>
              </w:rPr>
            </w:pPr>
          </w:p>
        </w:tc>
        <w:tc>
          <w:tcPr>
            <w:tcW w:w="280" w:type="dxa"/>
            <w:vAlign w:val="bottom"/>
            <w:shd w:val="clear" w:color="auto" w:fill="CCEEFF"/>
          </w:tcPr>
          <w:p>
            <w:pPr>
              <w:spacing w:after="0"/>
              <w:rPr>
                <w:sz w:val="20"/>
                <w:szCs w:val="20"/>
                <w:color w:val="auto"/>
              </w:rPr>
            </w:pPr>
            <w:r>
              <w:rPr>
                <w:rFonts w:ascii="Arial" w:cs="Arial" w:eastAsia="Arial" w:hAnsi="Arial"/>
                <w:sz w:val="17"/>
                <w:szCs w:val="17"/>
                <w:color w:val="auto"/>
              </w:rPr>
              <w:t>$</w:t>
            </w:r>
          </w:p>
        </w:tc>
        <w:tc>
          <w:tcPr>
            <w:tcW w:w="1320" w:type="dxa"/>
            <w:vAlign w:val="bottom"/>
            <w:gridSpan w:val="2"/>
            <w:shd w:val="clear" w:color="auto" w:fill="CCEEFF"/>
          </w:tcPr>
          <w:p>
            <w:pPr>
              <w:jc w:val="right"/>
              <w:ind w:right="360"/>
              <w:spacing w:after="0"/>
              <w:rPr>
                <w:sz w:val="20"/>
                <w:szCs w:val="20"/>
                <w:color w:val="auto"/>
              </w:rPr>
            </w:pPr>
            <w:r>
              <w:rPr>
                <w:rFonts w:ascii="Arial" w:cs="Arial" w:eastAsia="Arial" w:hAnsi="Arial"/>
                <w:sz w:val="17"/>
                <w:szCs w:val="17"/>
                <w:color w:val="auto"/>
              </w:rPr>
              <w:t>376.6</w:t>
            </w:r>
          </w:p>
        </w:tc>
        <w:tc>
          <w:tcPr>
            <w:tcW w:w="260" w:type="dxa"/>
            <w:vAlign w:val="bottom"/>
            <w:shd w:val="clear" w:color="auto" w:fill="CCEEFF"/>
          </w:tcPr>
          <w:p>
            <w:pPr>
              <w:jc w:val="right"/>
              <w:ind w:right="106"/>
              <w:spacing w:after="0"/>
              <w:rPr>
                <w:sz w:val="20"/>
                <w:szCs w:val="20"/>
                <w:color w:val="auto"/>
              </w:rPr>
            </w:pPr>
            <w:r>
              <w:rPr>
                <w:rFonts w:ascii="Arial" w:cs="Arial" w:eastAsia="Arial" w:hAnsi="Arial"/>
                <w:sz w:val="15"/>
                <w:szCs w:val="15"/>
                <w:color w:val="auto"/>
                <w:w w:val="71"/>
              </w:rPr>
              <w:t>$</w:t>
            </w: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7"/>
                <w:szCs w:val="17"/>
                <w:color w:val="auto"/>
              </w:rPr>
              <w:t>483.8</w:t>
            </w:r>
          </w:p>
        </w:tc>
        <w:tc>
          <w:tcPr>
            <w:tcW w:w="360" w:type="dxa"/>
            <w:vAlign w:val="bottom"/>
            <w:gridSpan w:val="2"/>
            <w:shd w:val="clear" w:color="auto" w:fill="CCEEFF"/>
          </w:tcPr>
          <w:p>
            <w:pPr>
              <w:jc w:val="right"/>
              <w:ind w:right="120"/>
              <w:spacing w:after="0"/>
              <w:rPr>
                <w:sz w:val="20"/>
                <w:szCs w:val="20"/>
                <w:color w:val="auto"/>
              </w:rPr>
            </w:pPr>
            <w:r>
              <w:rPr>
                <w:rFonts w:ascii="Arial" w:cs="Arial" w:eastAsia="Arial" w:hAnsi="Arial"/>
                <w:sz w:val="17"/>
                <w:szCs w:val="17"/>
                <w:color w:val="auto"/>
              </w:rPr>
              <w:t>$</w:t>
            </w:r>
          </w:p>
        </w:tc>
        <w:tc>
          <w:tcPr>
            <w:tcW w:w="1220" w:type="dxa"/>
            <w:vAlign w:val="bottom"/>
            <w:gridSpan w:val="2"/>
            <w:shd w:val="clear" w:color="auto" w:fill="CCEEFF"/>
          </w:tcPr>
          <w:p>
            <w:pPr>
              <w:jc w:val="right"/>
              <w:ind w:right="200"/>
              <w:spacing w:after="0"/>
              <w:rPr>
                <w:sz w:val="20"/>
                <w:szCs w:val="20"/>
                <w:color w:val="auto"/>
              </w:rPr>
            </w:pPr>
            <w:r>
              <w:rPr>
                <w:rFonts w:ascii="Arial" w:cs="Arial" w:eastAsia="Arial" w:hAnsi="Arial"/>
                <w:sz w:val="17"/>
                <w:szCs w:val="17"/>
                <w:color w:val="auto"/>
              </w:rPr>
              <w:t>376.6</w:t>
            </w:r>
          </w:p>
        </w:tc>
        <w:tc>
          <w:tcPr>
            <w:tcW w:w="380" w:type="dxa"/>
            <w:vAlign w:val="bottom"/>
            <w:gridSpan w:val="2"/>
            <w:shd w:val="clear" w:color="auto" w:fill="CCEEFF"/>
          </w:tcPr>
          <w:p>
            <w:pPr>
              <w:jc w:val="right"/>
              <w:ind w:right="160"/>
              <w:spacing w:after="0"/>
              <w:rPr>
                <w:sz w:val="20"/>
                <w:szCs w:val="20"/>
                <w:color w:val="auto"/>
              </w:rPr>
            </w:pPr>
            <w:r>
              <w:rPr>
                <w:rFonts w:ascii="Arial" w:cs="Arial" w:eastAsia="Arial" w:hAnsi="Arial"/>
                <w:sz w:val="17"/>
                <w:szCs w:val="17"/>
                <w:color w:val="auto"/>
              </w:rPr>
              <w:t>$</w:t>
            </w: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7"/>
                <w:szCs w:val="17"/>
                <w:color w:val="auto"/>
              </w:rPr>
              <w:t>483.8</w:t>
            </w:r>
          </w:p>
        </w:tc>
        <w:tc>
          <w:tcPr>
            <w:tcW w:w="0" w:type="dxa"/>
            <w:vAlign w:val="bottom"/>
          </w:tcPr>
          <w:p>
            <w:pPr>
              <w:spacing w:after="0"/>
              <w:rPr>
                <w:sz w:val="1"/>
                <w:szCs w:val="1"/>
                <w:color w:val="auto"/>
              </w:rPr>
            </w:pPr>
          </w:p>
        </w:tc>
      </w:tr>
      <w:tr>
        <w:trPr>
          <w:trHeight w:val="20"/>
        </w:trPr>
        <w:tc>
          <w:tcPr>
            <w:tcW w:w="49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7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14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41" w:right="339" w:bottom="1440" w:gutter="0" w:footer="0" w:header="0"/>
        </w:sectPr>
      </w:pPr>
    </w:p>
    <w:bookmarkStart w:id="18" w:name="page19"/>
    <w:bookmarkEnd w:id="18"/>
    <w:tbl>
      <w:tblPr>
        <w:tblLayout w:type="fixed"/>
        <w:tblInd w:w="0" w:type="dxa"/>
        <w:tblCellMar>
          <w:top w:w="0" w:type="dxa"/>
          <w:left w:w="0" w:type="dxa"/>
          <w:bottom w:w="0" w:type="dxa"/>
          <w:right w:w="0" w:type="dxa"/>
        </w:tblCellMar>
      </w:tblPr>
      <w:tr>
        <w:trPr>
          <w:trHeight w:val="223"/>
        </w:trPr>
        <w:tc>
          <w:tcPr>
            <w:tcW w:w="2760" w:type="dxa"/>
            <w:vAlign w:val="bottom"/>
            <w:gridSpan w:val="3"/>
          </w:tcPr>
          <w:p>
            <w:pPr>
              <w:spacing w:after="0"/>
              <w:rPr>
                <w:sz w:val="20"/>
                <w:szCs w:val="20"/>
                <w:color w:val="auto"/>
              </w:rPr>
            </w:pPr>
            <w:r>
              <w:rPr>
                <w:rFonts w:ascii="Arial" w:cs="Arial" w:eastAsia="Arial" w:hAnsi="Arial"/>
                <w:sz w:val="17"/>
                <w:szCs w:val="17"/>
                <w:b w:val="1"/>
                <w:bCs w:val="1"/>
                <w:color w:val="auto"/>
                <w:w w:val="98"/>
              </w:rPr>
              <w:t>Morningstar, Inc. and Subsidiaries</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80"/>
        </w:trPr>
        <w:tc>
          <w:tcPr>
            <w:tcW w:w="2760" w:type="dxa"/>
            <w:vAlign w:val="bottom"/>
            <w:gridSpan w:val="3"/>
          </w:tcPr>
          <w:p>
            <w:pPr>
              <w:spacing w:after="0"/>
              <w:rPr>
                <w:sz w:val="20"/>
                <w:szCs w:val="20"/>
                <w:color w:val="auto"/>
              </w:rPr>
            </w:pPr>
            <w:r>
              <w:rPr>
                <w:rFonts w:ascii="Arial" w:cs="Arial" w:eastAsia="Arial" w:hAnsi="Arial"/>
                <w:sz w:val="17"/>
                <w:szCs w:val="17"/>
                <w:b w:val="1"/>
                <w:bCs w:val="1"/>
                <w:color w:val="auto"/>
              </w:rPr>
              <w:t>Supplemental Data (Unaudited)</w:t>
            </w: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1"/>
        </w:trPr>
        <w:tc>
          <w:tcPr>
            <w:tcW w:w="2760" w:type="dxa"/>
            <w:vAlign w:val="bottom"/>
            <w:gridSpan w:val="3"/>
            <w:vMerge w:val="restart"/>
          </w:tcPr>
          <w:p>
            <w:pPr>
              <w:spacing w:after="0"/>
              <w:rPr>
                <w:sz w:val="20"/>
                <w:szCs w:val="20"/>
                <w:color w:val="auto"/>
              </w:rPr>
            </w:pPr>
            <w:r>
              <w:rPr>
                <w:rFonts w:ascii="Arial" w:cs="Arial" w:eastAsia="Arial" w:hAnsi="Arial"/>
                <w:sz w:val="17"/>
                <w:szCs w:val="17"/>
                <w:b w:val="1"/>
                <w:bCs w:val="1"/>
                <w:color w:val="auto"/>
              </w:rPr>
              <w:t>(in millions)</w:t>
            </w: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3360" w:type="dxa"/>
            <w:vAlign w:val="bottom"/>
            <w:tcBorders>
              <w:bottom w:val="single" w:sz="8" w:color="auto"/>
            </w:tcBorders>
            <w:gridSpan w:val="21"/>
          </w:tcPr>
          <w:p>
            <w:pPr>
              <w:ind w:left="440"/>
              <w:spacing w:after="0"/>
              <w:rPr>
                <w:sz w:val="20"/>
                <w:szCs w:val="20"/>
                <w:color w:val="auto"/>
              </w:rPr>
            </w:pPr>
            <w:r>
              <w:rPr>
                <w:rFonts w:ascii="Arial" w:cs="Arial" w:eastAsia="Arial" w:hAnsi="Arial"/>
                <w:sz w:val="17"/>
                <w:szCs w:val="17"/>
                <w:b w:val="1"/>
                <w:bCs w:val="1"/>
                <w:color w:val="auto"/>
              </w:rPr>
              <w:t>Three months ended December 31,</w:t>
            </w:r>
          </w:p>
        </w:tc>
        <w:tc>
          <w:tcPr>
            <w:tcW w:w="24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100" w:type="dxa"/>
            <w:vAlign w:val="bottom"/>
            <w:tcBorders>
              <w:bottom w:val="single" w:sz="8" w:color="auto"/>
            </w:tcBorders>
            <w:gridSpan w:val="10"/>
          </w:tcPr>
          <w:p>
            <w:pPr>
              <w:jc w:val="right"/>
              <w:ind w:right="20"/>
              <w:spacing w:after="0"/>
              <w:rPr>
                <w:sz w:val="20"/>
                <w:szCs w:val="20"/>
                <w:color w:val="auto"/>
              </w:rPr>
            </w:pPr>
            <w:r>
              <w:rPr>
                <w:rFonts w:ascii="Arial" w:cs="Arial" w:eastAsia="Arial" w:hAnsi="Arial"/>
                <w:sz w:val="17"/>
                <w:szCs w:val="17"/>
                <w:b w:val="1"/>
                <w:bCs w:val="1"/>
                <w:color w:val="auto"/>
                <w:w w:val="99"/>
              </w:rPr>
              <w:t>Year ended December 31,</w:t>
            </w: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2760" w:type="dxa"/>
            <w:vAlign w:val="bottom"/>
            <w:gridSpan w:val="3"/>
            <w:vMerge w:val="continue"/>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60" w:type="dxa"/>
            <w:vAlign w:val="bottom"/>
          </w:tcPr>
          <w:p>
            <w:pPr>
              <w:jc w:val="right"/>
              <w:ind w:right="96"/>
              <w:spacing w:after="0"/>
              <w:rPr>
                <w:sz w:val="20"/>
                <w:szCs w:val="20"/>
                <w:color w:val="auto"/>
              </w:rPr>
            </w:pPr>
            <w:r>
              <w:rPr>
                <w:rFonts w:ascii="Arial" w:cs="Arial" w:eastAsia="Arial" w:hAnsi="Arial"/>
                <w:sz w:val="17"/>
                <w:szCs w:val="17"/>
                <w:b w:val="1"/>
                <w:bCs w:val="1"/>
                <w:color w:val="auto"/>
              </w:rPr>
              <w:t>2022</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80" w:type="dxa"/>
            <w:vAlign w:val="bottom"/>
          </w:tcPr>
          <w:p>
            <w:pPr>
              <w:jc w:val="right"/>
              <w:ind w:right="96"/>
              <w:spacing w:after="0"/>
              <w:rPr>
                <w:sz w:val="20"/>
                <w:szCs w:val="20"/>
                <w:color w:val="auto"/>
              </w:rPr>
            </w:pPr>
            <w:r>
              <w:rPr>
                <w:rFonts w:ascii="Arial" w:cs="Arial" w:eastAsia="Arial" w:hAnsi="Arial"/>
                <w:sz w:val="17"/>
                <w:szCs w:val="17"/>
                <w:b w:val="1"/>
                <w:bCs w:val="1"/>
                <w:color w:val="auto"/>
              </w:rPr>
              <w:t>2021</w:t>
            </w: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60" w:type="dxa"/>
            <w:vAlign w:val="bottom"/>
            <w:gridSpan w:val="3"/>
          </w:tcPr>
          <w:p>
            <w:pPr>
              <w:jc w:val="right"/>
              <w:ind w:right="20"/>
              <w:spacing w:after="0"/>
              <w:rPr>
                <w:sz w:val="20"/>
                <w:szCs w:val="20"/>
                <w:color w:val="auto"/>
              </w:rPr>
            </w:pPr>
            <w:r>
              <w:rPr>
                <w:rFonts w:ascii="Arial" w:cs="Arial" w:eastAsia="Arial" w:hAnsi="Arial"/>
                <w:sz w:val="17"/>
                <w:szCs w:val="17"/>
                <w:b w:val="1"/>
                <w:bCs w:val="1"/>
                <w:color w:val="auto"/>
                <w:w w:val="99"/>
              </w:rPr>
              <w:t>Change</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gridSpan w:val="6"/>
          </w:tcPr>
          <w:p>
            <w:pPr>
              <w:ind w:left="40"/>
              <w:spacing w:after="0"/>
              <w:rPr>
                <w:sz w:val="20"/>
                <w:szCs w:val="20"/>
                <w:color w:val="auto"/>
              </w:rPr>
            </w:pPr>
            <w:r>
              <w:rPr>
                <w:rFonts w:ascii="Arial" w:cs="Arial" w:eastAsia="Arial" w:hAnsi="Arial"/>
                <w:sz w:val="17"/>
                <w:szCs w:val="17"/>
                <w:b w:val="1"/>
                <w:bCs w:val="1"/>
                <w:color w:val="auto"/>
                <w:w w:val="98"/>
              </w:rPr>
              <w:t>Organic (1)</w:t>
            </w: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440" w:type="dxa"/>
            <w:vAlign w:val="bottom"/>
          </w:tcPr>
          <w:p>
            <w:pPr>
              <w:jc w:val="right"/>
              <w:spacing w:after="0"/>
              <w:rPr>
                <w:sz w:val="20"/>
                <w:szCs w:val="20"/>
                <w:color w:val="auto"/>
              </w:rPr>
            </w:pPr>
            <w:r>
              <w:rPr>
                <w:rFonts w:ascii="Arial" w:cs="Arial" w:eastAsia="Arial" w:hAnsi="Arial"/>
                <w:sz w:val="17"/>
                <w:szCs w:val="17"/>
                <w:b w:val="1"/>
                <w:bCs w:val="1"/>
                <w:color w:val="auto"/>
              </w:rPr>
              <w:t>2022</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20" w:type="dxa"/>
            <w:vAlign w:val="bottom"/>
          </w:tcPr>
          <w:p>
            <w:pPr>
              <w:jc w:val="right"/>
              <w:ind w:right="116"/>
              <w:spacing w:after="0"/>
              <w:rPr>
                <w:sz w:val="20"/>
                <w:szCs w:val="20"/>
                <w:color w:val="auto"/>
              </w:rPr>
            </w:pPr>
            <w:r>
              <w:rPr>
                <w:rFonts w:ascii="Arial" w:cs="Arial" w:eastAsia="Arial" w:hAnsi="Arial"/>
                <w:sz w:val="17"/>
                <w:szCs w:val="17"/>
                <w:b w:val="1"/>
                <w:bCs w:val="1"/>
                <w:color w:val="auto"/>
              </w:rPr>
              <w:t>2021</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gridSpan w:val="4"/>
          </w:tcPr>
          <w:p>
            <w:pPr>
              <w:ind w:left="20"/>
              <w:spacing w:after="0"/>
              <w:rPr>
                <w:sz w:val="20"/>
                <w:szCs w:val="20"/>
                <w:color w:val="auto"/>
              </w:rPr>
            </w:pPr>
            <w:r>
              <w:rPr>
                <w:rFonts w:ascii="Arial" w:cs="Arial" w:eastAsia="Arial" w:hAnsi="Arial"/>
                <w:sz w:val="17"/>
                <w:szCs w:val="17"/>
                <w:b w:val="1"/>
                <w:bCs w:val="1"/>
                <w:color w:val="auto"/>
              </w:rPr>
              <w:t>Change</w:t>
            </w:r>
          </w:p>
        </w:tc>
        <w:tc>
          <w:tcPr>
            <w:tcW w:w="920" w:type="dxa"/>
            <w:vAlign w:val="bottom"/>
            <w:gridSpan w:val="3"/>
          </w:tcPr>
          <w:p>
            <w:pPr>
              <w:ind w:left="20"/>
              <w:spacing w:after="0"/>
              <w:rPr>
                <w:sz w:val="20"/>
                <w:szCs w:val="20"/>
                <w:color w:val="auto"/>
              </w:rPr>
            </w:pPr>
            <w:r>
              <w:rPr>
                <w:rFonts w:ascii="Arial" w:cs="Arial" w:eastAsia="Arial" w:hAnsi="Arial"/>
                <w:sz w:val="17"/>
                <w:szCs w:val="17"/>
                <w:b w:val="1"/>
                <w:bCs w:val="1"/>
                <w:color w:val="auto"/>
                <w:w w:val="98"/>
              </w:rPr>
              <w:t>Organic (1)</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2740" w:type="dxa"/>
            <w:vAlign w:val="bottom"/>
            <w:tcBorders>
              <w:top w:val="single" w:sz="8" w:color="auto"/>
            </w:tcBorders>
            <w:gridSpan w:val="2"/>
            <w:shd w:val="clear" w:color="auto" w:fill="CCEEFF"/>
          </w:tcPr>
          <w:p>
            <w:pPr>
              <w:spacing w:after="0" w:line="183" w:lineRule="exact"/>
              <w:rPr>
                <w:sz w:val="20"/>
                <w:szCs w:val="20"/>
                <w:color w:val="auto"/>
              </w:rPr>
            </w:pPr>
            <w:r>
              <w:rPr>
                <w:rFonts w:ascii="Arial" w:cs="Arial" w:eastAsia="Arial" w:hAnsi="Arial"/>
                <w:sz w:val="17"/>
                <w:szCs w:val="17"/>
                <w:b w:val="1"/>
                <w:bCs w:val="1"/>
                <w:color w:val="auto"/>
              </w:rPr>
              <w:t>Revenue by type</w:t>
            </w:r>
          </w:p>
        </w:tc>
        <w:tc>
          <w:tcPr>
            <w:tcW w:w="6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66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58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CCEEFF"/>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160" w:type="dxa"/>
            <w:vAlign w:val="bottom"/>
            <w:tcBorders>
              <w:top w:val="single" w:sz="8" w:color="auto"/>
            </w:tcBorders>
            <w:shd w:val="clear" w:color="auto" w:fill="CCEEFF"/>
          </w:tcPr>
          <w:p>
            <w:pPr>
              <w:spacing w:after="0"/>
              <w:rPr>
                <w:sz w:val="15"/>
                <w:szCs w:val="15"/>
                <w:color w:val="auto"/>
              </w:rPr>
            </w:pPr>
          </w:p>
        </w:tc>
        <w:tc>
          <w:tcPr>
            <w:tcW w:w="48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auto"/>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40" w:type="dxa"/>
            <w:vAlign w:val="bottom"/>
            <w:tcBorders>
              <w:top w:val="single" w:sz="8" w:color="CCEEFF"/>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26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auto"/>
            </w:tcBorders>
            <w:shd w:val="clear" w:color="auto" w:fill="CCEEFF"/>
          </w:tcPr>
          <w:p>
            <w:pPr>
              <w:spacing w:after="0"/>
              <w:rPr>
                <w:sz w:val="15"/>
                <w:szCs w:val="15"/>
                <w:color w:val="auto"/>
              </w:rPr>
            </w:pPr>
          </w:p>
        </w:tc>
        <w:tc>
          <w:tcPr>
            <w:tcW w:w="240" w:type="dxa"/>
            <w:vAlign w:val="bottom"/>
            <w:tcBorders>
              <w:top w:val="single" w:sz="8" w:color="auto"/>
            </w:tcBorders>
            <w:shd w:val="clear" w:color="auto" w:fill="CCEEFF"/>
          </w:tcPr>
          <w:p>
            <w:pPr>
              <w:spacing w:after="0"/>
              <w:rPr>
                <w:sz w:val="15"/>
                <w:szCs w:val="15"/>
                <w:color w:val="auto"/>
              </w:rPr>
            </w:pPr>
          </w:p>
        </w:tc>
        <w:tc>
          <w:tcPr>
            <w:tcW w:w="18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CCEEFF"/>
            </w:tcBorders>
            <w:shd w:val="clear" w:color="auto" w:fill="CCEEFF"/>
          </w:tcPr>
          <w:p>
            <w:pPr>
              <w:spacing w:after="0"/>
              <w:rPr>
                <w:sz w:val="15"/>
                <w:szCs w:val="15"/>
                <w:color w:val="auto"/>
              </w:rPr>
            </w:pPr>
          </w:p>
        </w:tc>
        <w:tc>
          <w:tcPr>
            <w:tcW w:w="24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440" w:type="dxa"/>
            <w:vAlign w:val="bottom"/>
            <w:tcBorders>
              <w:top w:val="single" w:sz="8" w:color="auto"/>
            </w:tcBorders>
            <w:shd w:val="clear" w:color="auto" w:fill="CCEEFF"/>
          </w:tcPr>
          <w:p>
            <w:pPr>
              <w:spacing w:after="0"/>
              <w:rPr>
                <w:sz w:val="15"/>
                <w:szCs w:val="15"/>
                <w:color w:val="auto"/>
              </w:rPr>
            </w:pPr>
          </w:p>
        </w:tc>
        <w:tc>
          <w:tcPr>
            <w:tcW w:w="18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4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60" w:type="dxa"/>
            <w:vAlign w:val="bottom"/>
            <w:tcBorders>
              <w:top w:val="single" w:sz="8" w:color="auto"/>
            </w:tcBorders>
            <w:shd w:val="clear" w:color="auto" w:fill="CCEEFF"/>
          </w:tcPr>
          <w:p>
            <w:pPr>
              <w:spacing w:after="0"/>
              <w:rPr>
                <w:sz w:val="15"/>
                <w:szCs w:val="15"/>
                <w:color w:val="auto"/>
              </w:rPr>
            </w:pPr>
          </w:p>
        </w:tc>
        <w:tc>
          <w:tcPr>
            <w:tcW w:w="62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auto"/>
            </w:tcBorders>
            <w:shd w:val="clear" w:color="auto" w:fill="CCEEFF"/>
          </w:tcPr>
          <w:p>
            <w:pPr>
              <w:spacing w:after="0"/>
              <w:rPr>
                <w:sz w:val="15"/>
                <w:szCs w:val="15"/>
                <w:color w:val="auto"/>
              </w:rPr>
            </w:pPr>
          </w:p>
        </w:tc>
        <w:tc>
          <w:tcPr>
            <w:tcW w:w="180" w:type="dxa"/>
            <w:vAlign w:val="bottom"/>
            <w:tcBorders>
              <w:top w:val="single" w:sz="8" w:color="auto"/>
            </w:tcBorders>
            <w:shd w:val="clear" w:color="auto" w:fill="CCEEFF"/>
          </w:tcPr>
          <w:p>
            <w:pPr>
              <w:spacing w:after="0"/>
              <w:rPr>
                <w:sz w:val="15"/>
                <w:szCs w:val="15"/>
                <w:color w:val="auto"/>
              </w:rPr>
            </w:pPr>
          </w:p>
        </w:tc>
        <w:tc>
          <w:tcPr>
            <w:tcW w:w="520" w:type="dxa"/>
            <w:vAlign w:val="bottom"/>
            <w:tcBorders>
              <w:top w:val="single" w:sz="8" w:color="auto"/>
            </w:tcBorders>
            <w:shd w:val="clear" w:color="auto" w:fill="CCEEFF"/>
          </w:tcPr>
          <w:p>
            <w:pPr>
              <w:spacing w:after="0"/>
              <w:rPr>
                <w:sz w:val="15"/>
                <w:szCs w:val="15"/>
                <w:color w:val="auto"/>
              </w:rPr>
            </w:pPr>
          </w:p>
        </w:tc>
        <w:tc>
          <w:tcPr>
            <w:tcW w:w="18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2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auto"/>
            </w:tcBorders>
            <w:shd w:val="clear" w:color="auto" w:fill="CCEEFF"/>
          </w:tcPr>
          <w:p>
            <w:pPr>
              <w:spacing w:after="0"/>
              <w:rPr>
                <w:sz w:val="15"/>
                <w:szCs w:val="15"/>
                <w:color w:val="auto"/>
              </w:rPr>
            </w:pPr>
          </w:p>
        </w:tc>
        <w:tc>
          <w:tcPr>
            <w:tcW w:w="84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tcPr>
          <w:p>
            <w:pPr>
              <w:spacing w:after="0" w:line="190" w:lineRule="exact"/>
              <w:rPr>
                <w:sz w:val="20"/>
                <w:szCs w:val="20"/>
                <w:color w:val="auto"/>
              </w:rPr>
            </w:pPr>
            <w:r>
              <w:rPr>
                <w:rFonts w:ascii="Arial" w:cs="Arial" w:eastAsia="Arial" w:hAnsi="Arial"/>
                <w:sz w:val="17"/>
                <w:szCs w:val="17"/>
                <w:color w:val="auto"/>
              </w:rPr>
              <w:t>License-based (2)</w:t>
            </w:r>
          </w:p>
        </w:tc>
        <w:tc>
          <w:tcPr>
            <w:tcW w:w="260" w:type="dxa"/>
            <w:vAlign w:val="bottom"/>
            <w:gridSpan w:val="3"/>
          </w:tcPr>
          <w:p>
            <w:pPr>
              <w:jc w:val="right"/>
              <w:spacing w:after="0" w:line="190" w:lineRule="exact"/>
              <w:rPr>
                <w:sz w:val="20"/>
                <w:szCs w:val="20"/>
                <w:color w:val="auto"/>
              </w:rPr>
            </w:pPr>
            <w:r>
              <w:rPr>
                <w:rFonts w:ascii="Arial" w:cs="Arial" w:eastAsia="Arial" w:hAnsi="Arial"/>
                <w:sz w:val="17"/>
                <w:szCs w:val="17"/>
                <w:color w:val="auto"/>
              </w:rPr>
              <w:t>$</w:t>
            </w:r>
          </w:p>
        </w:tc>
        <w:tc>
          <w:tcPr>
            <w:tcW w:w="680" w:type="dxa"/>
            <w:vAlign w:val="bottom"/>
            <w:gridSpan w:val="2"/>
          </w:tcPr>
          <w:p>
            <w:pPr>
              <w:jc w:val="right"/>
              <w:ind w:right="20"/>
              <w:spacing w:after="0" w:line="190" w:lineRule="exact"/>
              <w:rPr>
                <w:sz w:val="20"/>
                <w:szCs w:val="20"/>
                <w:color w:val="auto"/>
              </w:rPr>
            </w:pPr>
            <w:r>
              <w:rPr>
                <w:rFonts w:ascii="Arial" w:cs="Arial" w:eastAsia="Arial" w:hAnsi="Arial"/>
                <w:sz w:val="17"/>
                <w:szCs w:val="17"/>
                <w:color w:val="auto"/>
              </w:rPr>
              <w:t>349.7</w:t>
            </w:r>
          </w:p>
        </w:tc>
        <w:tc>
          <w:tcPr>
            <w:tcW w:w="80" w:type="dxa"/>
            <w:vAlign w:val="bottom"/>
          </w:tcPr>
          <w:p>
            <w:pPr>
              <w:spacing w:after="0"/>
              <w:rPr>
                <w:sz w:val="16"/>
                <w:szCs w:val="16"/>
                <w:color w:val="auto"/>
              </w:rPr>
            </w:pPr>
          </w:p>
        </w:tc>
        <w:tc>
          <w:tcPr>
            <w:tcW w:w="260" w:type="dxa"/>
            <w:vAlign w:val="bottom"/>
            <w:gridSpan w:val="3"/>
          </w:tcPr>
          <w:p>
            <w:pPr>
              <w:jc w:val="right"/>
              <w:spacing w:after="0" w:line="190" w:lineRule="exact"/>
              <w:rPr>
                <w:sz w:val="20"/>
                <w:szCs w:val="20"/>
                <w:color w:val="auto"/>
              </w:rPr>
            </w:pPr>
            <w:r>
              <w:rPr>
                <w:rFonts w:ascii="Arial" w:cs="Arial" w:eastAsia="Arial" w:hAnsi="Arial"/>
                <w:sz w:val="17"/>
                <w:szCs w:val="17"/>
                <w:color w:val="auto"/>
              </w:rPr>
              <w:t>$</w:t>
            </w:r>
          </w:p>
        </w:tc>
        <w:tc>
          <w:tcPr>
            <w:tcW w:w="800" w:type="dxa"/>
            <w:vAlign w:val="bottom"/>
            <w:gridSpan w:val="3"/>
          </w:tcPr>
          <w:p>
            <w:pPr>
              <w:jc w:val="right"/>
              <w:ind w:right="136"/>
              <w:spacing w:after="0" w:line="190" w:lineRule="exact"/>
              <w:rPr>
                <w:sz w:val="20"/>
                <w:szCs w:val="20"/>
                <w:color w:val="auto"/>
              </w:rPr>
            </w:pPr>
            <w:r>
              <w:rPr>
                <w:rFonts w:ascii="Arial" w:cs="Arial" w:eastAsia="Arial" w:hAnsi="Arial"/>
                <w:sz w:val="17"/>
                <w:szCs w:val="17"/>
                <w:color w:val="auto"/>
              </w:rPr>
              <w:t>301.4</w:t>
            </w: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80" w:type="dxa"/>
            <w:vAlign w:val="bottom"/>
            <w:gridSpan w:val="6"/>
          </w:tcPr>
          <w:p>
            <w:pPr>
              <w:jc w:val="right"/>
              <w:ind w:right="46"/>
              <w:spacing w:after="0" w:line="190" w:lineRule="exact"/>
              <w:rPr>
                <w:sz w:val="20"/>
                <w:szCs w:val="20"/>
                <w:color w:val="auto"/>
              </w:rPr>
            </w:pPr>
            <w:r>
              <w:rPr>
                <w:rFonts w:ascii="Arial" w:cs="Arial" w:eastAsia="Arial" w:hAnsi="Arial"/>
                <w:sz w:val="17"/>
                <w:szCs w:val="17"/>
                <w:color w:val="auto"/>
              </w:rPr>
              <w:t>16.0%</w:t>
            </w: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80" w:type="dxa"/>
            <w:vAlign w:val="bottom"/>
            <w:gridSpan w:val="4"/>
          </w:tcPr>
          <w:p>
            <w:pPr>
              <w:jc w:val="right"/>
              <w:ind w:right="36"/>
              <w:spacing w:after="0" w:line="190" w:lineRule="exact"/>
              <w:rPr>
                <w:sz w:val="20"/>
                <w:szCs w:val="20"/>
                <w:color w:val="auto"/>
              </w:rPr>
            </w:pPr>
            <w:r>
              <w:rPr>
                <w:rFonts w:ascii="Arial" w:cs="Arial" w:eastAsia="Arial" w:hAnsi="Arial"/>
                <w:sz w:val="17"/>
                <w:szCs w:val="17"/>
                <w:color w:val="auto"/>
              </w:rPr>
              <w:t>14.9%</w:t>
            </w:r>
          </w:p>
        </w:tc>
        <w:tc>
          <w:tcPr>
            <w:tcW w:w="200" w:type="dxa"/>
            <w:vAlign w:val="bottom"/>
            <w:gridSpan w:val="2"/>
          </w:tcPr>
          <w:p>
            <w:pPr>
              <w:jc w:val="right"/>
              <w:ind w:right="60"/>
              <w:spacing w:after="0" w:line="190" w:lineRule="exact"/>
              <w:rPr>
                <w:sz w:val="20"/>
                <w:szCs w:val="20"/>
                <w:color w:val="auto"/>
              </w:rPr>
            </w:pPr>
            <w:r>
              <w:rPr>
                <w:rFonts w:ascii="Arial" w:cs="Arial" w:eastAsia="Arial" w:hAnsi="Arial"/>
                <w:sz w:val="17"/>
                <w:szCs w:val="17"/>
                <w:color w:val="auto"/>
              </w:rPr>
              <w:t>$</w:t>
            </w:r>
          </w:p>
        </w:tc>
        <w:tc>
          <w:tcPr>
            <w:tcW w:w="720" w:type="dxa"/>
            <w:vAlign w:val="bottom"/>
            <w:gridSpan w:val="3"/>
          </w:tcPr>
          <w:p>
            <w:pPr>
              <w:jc w:val="right"/>
              <w:ind w:right="100"/>
              <w:spacing w:after="0" w:line="190" w:lineRule="exact"/>
              <w:rPr>
                <w:sz w:val="20"/>
                <w:szCs w:val="20"/>
                <w:color w:val="auto"/>
              </w:rPr>
            </w:pPr>
            <w:r>
              <w:rPr>
                <w:rFonts w:ascii="Arial" w:cs="Arial" w:eastAsia="Arial" w:hAnsi="Arial"/>
                <w:sz w:val="17"/>
                <w:szCs w:val="17"/>
                <w:color w:val="auto"/>
              </w:rPr>
              <w:t>1,331.7</w:t>
            </w:r>
          </w:p>
        </w:tc>
        <w:tc>
          <w:tcPr>
            <w:tcW w:w="260" w:type="dxa"/>
            <w:vAlign w:val="bottom"/>
            <w:gridSpan w:val="3"/>
          </w:tcPr>
          <w:p>
            <w:pPr>
              <w:jc w:val="right"/>
              <w:ind w:right="60"/>
              <w:spacing w:after="0" w:line="190" w:lineRule="exact"/>
              <w:rPr>
                <w:sz w:val="20"/>
                <w:szCs w:val="20"/>
                <w:color w:val="auto"/>
              </w:rPr>
            </w:pPr>
            <w:r>
              <w:rPr>
                <w:rFonts w:ascii="Arial" w:cs="Arial" w:eastAsia="Arial" w:hAnsi="Arial"/>
                <w:sz w:val="17"/>
                <w:szCs w:val="17"/>
                <w:color w:val="auto"/>
              </w:rPr>
              <w:t>$</w:t>
            </w:r>
          </w:p>
        </w:tc>
        <w:tc>
          <w:tcPr>
            <w:tcW w:w="680" w:type="dxa"/>
            <w:vAlign w:val="bottom"/>
            <w:gridSpan w:val="2"/>
          </w:tcPr>
          <w:p>
            <w:pPr>
              <w:jc w:val="right"/>
              <w:ind w:right="60"/>
              <w:spacing w:after="0" w:line="190" w:lineRule="exact"/>
              <w:rPr>
                <w:sz w:val="20"/>
                <w:szCs w:val="20"/>
                <w:color w:val="auto"/>
              </w:rPr>
            </w:pPr>
            <w:r>
              <w:rPr>
                <w:rFonts w:ascii="Arial" w:cs="Arial" w:eastAsia="Arial" w:hAnsi="Arial"/>
                <w:sz w:val="17"/>
                <w:szCs w:val="17"/>
                <w:color w:val="auto"/>
              </w:rPr>
              <w:t>1,131.7</w:t>
            </w: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00" w:type="dxa"/>
            <w:vAlign w:val="bottom"/>
            <w:gridSpan w:val="2"/>
          </w:tcPr>
          <w:p>
            <w:pPr>
              <w:jc w:val="right"/>
              <w:ind w:right="20"/>
              <w:spacing w:after="0" w:line="190" w:lineRule="exact"/>
              <w:rPr>
                <w:sz w:val="20"/>
                <w:szCs w:val="20"/>
                <w:color w:val="auto"/>
              </w:rPr>
            </w:pPr>
            <w:r>
              <w:rPr>
                <w:rFonts w:ascii="Arial" w:cs="Arial" w:eastAsia="Arial" w:hAnsi="Arial"/>
                <w:sz w:val="17"/>
                <w:szCs w:val="17"/>
                <w:color w:val="auto"/>
              </w:rPr>
              <w:t>17.7%</w:t>
            </w:r>
          </w:p>
        </w:tc>
        <w:tc>
          <w:tcPr>
            <w:tcW w:w="120" w:type="dxa"/>
            <w:vAlign w:val="bottom"/>
          </w:tcPr>
          <w:p>
            <w:pPr>
              <w:spacing w:after="0"/>
              <w:rPr>
                <w:sz w:val="16"/>
                <w:szCs w:val="16"/>
                <w:color w:val="auto"/>
              </w:rPr>
            </w:pPr>
          </w:p>
        </w:tc>
        <w:tc>
          <w:tcPr>
            <w:tcW w:w="1120" w:type="dxa"/>
            <w:vAlign w:val="bottom"/>
            <w:gridSpan w:val="5"/>
          </w:tcPr>
          <w:p>
            <w:pPr>
              <w:jc w:val="right"/>
              <w:ind w:right="60"/>
              <w:spacing w:after="0" w:line="190" w:lineRule="exact"/>
              <w:rPr>
                <w:sz w:val="20"/>
                <w:szCs w:val="20"/>
                <w:color w:val="auto"/>
              </w:rPr>
            </w:pPr>
            <w:r>
              <w:rPr>
                <w:rFonts w:ascii="Arial" w:cs="Arial" w:eastAsia="Arial" w:hAnsi="Arial"/>
                <w:sz w:val="17"/>
                <w:szCs w:val="17"/>
                <w:color w:val="auto"/>
              </w:rPr>
              <w:t>18.0%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Asset-based (3)</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66.0</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0" w:type="dxa"/>
            <w:vAlign w:val="bottom"/>
            <w:gridSpan w:val="3"/>
            <w:shd w:val="clear" w:color="auto" w:fill="CCEEFF"/>
          </w:tcPr>
          <w:p>
            <w:pPr>
              <w:jc w:val="right"/>
              <w:ind w:right="136"/>
              <w:spacing w:after="0" w:line="190" w:lineRule="exact"/>
              <w:rPr>
                <w:sz w:val="20"/>
                <w:szCs w:val="20"/>
                <w:color w:val="auto"/>
              </w:rPr>
            </w:pPr>
            <w:r>
              <w:rPr>
                <w:rFonts w:ascii="Arial" w:cs="Arial" w:eastAsia="Arial" w:hAnsi="Arial"/>
                <w:sz w:val="17"/>
                <w:szCs w:val="17"/>
                <w:color w:val="auto"/>
              </w:rPr>
              <w:t>70.3</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980" w:type="dxa"/>
            <w:vAlign w:val="bottom"/>
            <w:gridSpan w:val="6"/>
            <w:shd w:val="clear" w:color="auto" w:fill="CCEEFF"/>
          </w:tcPr>
          <w:p>
            <w:pPr>
              <w:jc w:val="right"/>
              <w:spacing w:after="0" w:line="190" w:lineRule="exact"/>
              <w:rPr>
                <w:sz w:val="20"/>
                <w:szCs w:val="20"/>
                <w:color w:val="auto"/>
              </w:rPr>
            </w:pPr>
            <w:r>
              <w:rPr>
                <w:rFonts w:ascii="Arial" w:cs="Arial" w:eastAsia="Arial" w:hAnsi="Arial"/>
                <w:sz w:val="17"/>
                <w:szCs w:val="17"/>
                <w:color w:val="auto"/>
              </w:rPr>
              <w:t>(6.1)%</w:t>
            </w: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680" w:type="dxa"/>
            <w:vAlign w:val="bottom"/>
            <w:gridSpan w:val="4"/>
            <w:shd w:val="clear" w:color="auto" w:fill="CCEEFF"/>
          </w:tcPr>
          <w:p>
            <w:pPr>
              <w:jc w:val="right"/>
              <w:spacing w:after="0" w:line="190" w:lineRule="exact"/>
              <w:rPr>
                <w:sz w:val="20"/>
                <w:szCs w:val="20"/>
                <w:color w:val="auto"/>
              </w:rPr>
            </w:pPr>
            <w:r>
              <w:rPr>
                <w:rFonts w:ascii="Arial" w:cs="Arial" w:eastAsia="Arial" w:hAnsi="Arial"/>
                <w:sz w:val="17"/>
                <w:szCs w:val="17"/>
                <w:color w:val="auto"/>
              </w:rPr>
              <w:t>(8.9)%</w:t>
            </w: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20" w:type="dxa"/>
            <w:vAlign w:val="bottom"/>
            <w:gridSpan w:val="3"/>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269.4</w:t>
            </w: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264.9</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1.7%</w:t>
            </w:r>
          </w:p>
        </w:tc>
        <w:tc>
          <w:tcPr>
            <w:tcW w:w="120" w:type="dxa"/>
            <w:vAlign w:val="bottom"/>
            <w:shd w:val="clear" w:color="auto" w:fill="CCEEFF"/>
          </w:tcPr>
          <w:p>
            <w:pPr>
              <w:spacing w:after="0"/>
              <w:rPr>
                <w:sz w:val="16"/>
                <w:szCs w:val="16"/>
                <w:color w:val="auto"/>
              </w:rPr>
            </w:pPr>
          </w:p>
        </w:tc>
        <w:tc>
          <w:tcPr>
            <w:tcW w:w="1120" w:type="dxa"/>
            <w:vAlign w:val="bottom"/>
            <w:gridSpan w:val="5"/>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1.5%</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tcPr>
          <w:p>
            <w:pPr>
              <w:spacing w:after="0" w:line="190" w:lineRule="exact"/>
              <w:rPr>
                <w:sz w:val="20"/>
                <w:szCs w:val="20"/>
                <w:color w:val="auto"/>
              </w:rPr>
            </w:pPr>
            <w:r>
              <w:rPr>
                <w:rFonts w:ascii="Arial" w:cs="Arial" w:eastAsia="Arial" w:hAnsi="Arial"/>
                <w:sz w:val="17"/>
                <w:szCs w:val="17"/>
                <w:color w:val="auto"/>
              </w:rPr>
              <w:t>Transaction-based (4)</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gridSpan w:val="2"/>
          </w:tcPr>
          <w:p>
            <w:pPr>
              <w:jc w:val="right"/>
              <w:ind w:right="20"/>
              <w:spacing w:after="0" w:line="190" w:lineRule="exact"/>
              <w:rPr>
                <w:sz w:val="20"/>
                <w:szCs w:val="20"/>
                <w:color w:val="auto"/>
              </w:rPr>
            </w:pPr>
            <w:r>
              <w:rPr>
                <w:rFonts w:ascii="Arial" w:cs="Arial" w:eastAsia="Arial" w:hAnsi="Arial"/>
                <w:sz w:val="17"/>
                <w:szCs w:val="17"/>
                <w:color w:val="auto"/>
              </w:rPr>
              <w:t>59.3</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0" w:type="dxa"/>
            <w:vAlign w:val="bottom"/>
            <w:gridSpan w:val="3"/>
          </w:tcPr>
          <w:p>
            <w:pPr>
              <w:jc w:val="right"/>
              <w:ind w:right="136"/>
              <w:spacing w:after="0" w:line="190" w:lineRule="exact"/>
              <w:rPr>
                <w:sz w:val="20"/>
                <w:szCs w:val="20"/>
                <w:color w:val="auto"/>
              </w:rPr>
            </w:pPr>
            <w:r>
              <w:rPr>
                <w:rFonts w:ascii="Arial" w:cs="Arial" w:eastAsia="Arial" w:hAnsi="Arial"/>
                <w:sz w:val="17"/>
                <w:szCs w:val="17"/>
                <w:color w:val="auto"/>
              </w:rPr>
              <w:t>90.5</w:t>
            </w: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80" w:type="dxa"/>
            <w:vAlign w:val="bottom"/>
            <w:gridSpan w:val="6"/>
          </w:tcPr>
          <w:p>
            <w:pPr>
              <w:jc w:val="right"/>
              <w:spacing w:after="0" w:line="190" w:lineRule="exact"/>
              <w:rPr>
                <w:sz w:val="20"/>
                <w:szCs w:val="20"/>
                <w:color w:val="auto"/>
              </w:rPr>
            </w:pPr>
            <w:r>
              <w:rPr>
                <w:rFonts w:ascii="Arial" w:cs="Arial" w:eastAsia="Arial" w:hAnsi="Arial"/>
                <w:sz w:val="17"/>
                <w:szCs w:val="17"/>
                <w:color w:val="auto"/>
              </w:rPr>
              <w:t>(34.5)%</w:t>
            </w: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80" w:type="dxa"/>
            <w:vAlign w:val="bottom"/>
            <w:gridSpan w:val="4"/>
          </w:tcPr>
          <w:p>
            <w:pPr>
              <w:jc w:val="right"/>
              <w:spacing w:after="0" w:line="190" w:lineRule="exact"/>
              <w:rPr>
                <w:sz w:val="20"/>
                <w:szCs w:val="20"/>
                <w:color w:val="auto"/>
              </w:rPr>
            </w:pPr>
            <w:r>
              <w:rPr>
                <w:rFonts w:ascii="Arial" w:cs="Arial" w:eastAsia="Arial" w:hAnsi="Arial"/>
                <w:sz w:val="17"/>
                <w:szCs w:val="17"/>
                <w:color w:val="auto"/>
              </w:rPr>
              <w:t>(31.9)%</w:t>
            </w: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20" w:type="dxa"/>
            <w:vAlign w:val="bottom"/>
            <w:gridSpan w:val="3"/>
          </w:tcPr>
          <w:p>
            <w:pPr>
              <w:jc w:val="right"/>
              <w:ind w:right="100"/>
              <w:spacing w:after="0" w:line="190" w:lineRule="exact"/>
              <w:rPr>
                <w:sz w:val="20"/>
                <w:szCs w:val="20"/>
                <w:color w:val="auto"/>
              </w:rPr>
            </w:pPr>
            <w:r>
              <w:rPr>
                <w:rFonts w:ascii="Arial" w:cs="Arial" w:eastAsia="Arial" w:hAnsi="Arial"/>
                <w:sz w:val="17"/>
                <w:szCs w:val="17"/>
                <w:color w:val="auto"/>
              </w:rPr>
              <w:t>269.5</w:t>
            </w: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80" w:type="dxa"/>
            <w:vAlign w:val="bottom"/>
            <w:gridSpan w:val="2"/>
          </w:tcPr>
          <w:p>
            <w:pPr>
              <w:jc w:val="right"/>
              <w:ind w:right="60"/>
              <w:spacing w:after="0" w:line="190" w:lineRule="exact"/>
              <w:rPr>
                <w:sz w:val="20"/>
                <w:szCs w:val="20"/>
                <w:color w:val="auto"/>
              </w:rPr>
            </w:pPr>
            <w:r>
              <w:rPr>
                <w:rFonts w:ascii="Arial" w:cs="Arial" w:eastAsia="Arial" w:hAnsi="Arial"/>
                <w:sz w:val="17"/>
                <w:szCs w:val="17"/>
                <w:color w:val="auto"/>
              </w:rPr>
              <w:t>302.7</w:t>
            </w: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20" w:type="dxa"/>
            <w:vAlign w:val="bottom"/>
            <w:gridSpan w:val="3"/>
          </w:tcPr>
          <w:p>
            <w:pPr>
              <w:jc w:val="right"/>
              <w:ind w:right="80"/>
              <w:spacing w:after="0" w:line="190" w:lineRule="exact"/>
              <w:rPr>
                <w:sz w:val="20"/>
                <w:szCs w:val="20"/>
                <w:color w:val="auto"/>
              </w:rPr>
            </w:pPr>
            <w:r>
              <w:rPr>
                <w:rFonts w:ascii="Arial" w:cs="Arial" w:eastAsia="Arial" w:hAnsi="Arial"/>
                <w:sz w:val="17"/>
                <w:szCs w:val="17"/>
                <w:color w:val="auto"/>
              </w:rPr>
              <w:t>(11.0)%</w:t>
            </w:r>
          </w:p>
        </w:tc>
        <w:tc>
          <w:tcPr>
            <w:tcW w:w="1120" w:type="dxa"/>
            <w:vAlign w:val="bottom"/>
            <w:gridSpan w:val="5"/>
          </w:tcPr>
          <w:p>
            <w:pPr>
              <w:jc w:val="right"/>
              <w:spacing w:after="0" w:line="190" w:lineRule="exact"/>
              <w:rPr>
                <w:sz w:val="20"/>
                <w:szCs w:val="20"/>
                <w:color w:val="auto"/>
              </w:rPr>
            </w:pPr>
            <w:r>
              <w:rPr>
                <w:rFonts w:ascii="Arial" w:cs="Arial" w:eastAsia="Arial" w:hAnsi="Arial"/>
                <w:sz w:val="17"/>
                <w:szCs w:val="17"/>
                <w:color w:val="auto"/>
              </w:rPr>
              <w:t>(8.3)%</w:t>
            </w:r>
          </w:p>
        </w:tc>
        <w:tc>
          <w:tcPr>
            <w:tcW w:w="0" w:type="dxa"/>
            <w:vAlign w:val="bottom"/>
          </w:tcPr>
          <w:p>
            <w:pPr>
              <w:spacing w:after="0"/>
              <w:rPr>
                <w:sz w:val="1"/>
                <w:szCs w:val="1"/>
                <w:color w:val="auto"/>
              </w:rPr>
            </w:pPr>
          </w:p>
        </w:tc>
      </w:tr>
      <w:tr>
        <w:trPr>
          <w:trHeight w:val="190"/>
        </w:trPr>
        <w:tc>
          <w:tcPr>
            <w:tcW w:w="20" w:type="dxa"/>
            <w:vAlign w:val="bottom"/>
            <w:vMerge w:val="restart"/>
          </w:tcPr>
          <w:p>
            <w:pPr>
              <w:spacing w:after="0"/>
              <w:rPr>
                <w:sz w:val="16"/>
                <w:szCs w:val="16"/>
                <w:color w:val="auto"/>
              </w:rPr>
            </w:pPr>
          </w:p>
        </w:tc>
        <w:tc>
          <w:tcPr>
            <w:tcW w:w="26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2740" w:type="dxa"/>
            <w:vAlign w:val="bottom"/>
            <w:gridSpan w:val="2"/>
          </w:tcPr>
          <w:p>
            <w:pPr>
              <w:spacing w:after="0" w:line="190" w:lineRule="exact"/>
              <w:rPr>
                <w:sz w:val="20"/>
                <w:szCs w:val="20"/>
                <w:color w:val="auto"/>
              </w:rPr>
            </w:pPr>
            <w:r>
              <w:rPr>
                <w:rFonts w:ascii="Arial" w:cs="Arial" w:eastAsia="Arial" w:hAnsi="Arial"/>
                <w:sz w:val="17"/>
                <w:szCs w:val="17"/>
                <w:b w:val="1"/>
                <w:bCs w:val="1"/>
                <w:color w:val="auto"/>
              </w:rPr>
              <w:t>Key product area revenue</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PitchBook</w:t>
            </w:r>
          </w:p>
        </w:tc>
        <w:tc>
          <w:tcPr>
            <w:tcW w:w="260" w:type="dxa"/>
            <w:vAlign w:val="bottom"/>
            <w:gridSpan w:val="3"/>
            <w:shd w:val="clear" w:color="auto" w:fill="CCEEFF"/>
          </w:tcPr>
          <w:p>
            <w:pPr>
              <w:jc w:val="right"/>
              <w:spacing w:after="0" w:line="190" w:lineRule="exact"/>
              <w:rPr>
                <w:sz w:val="20"/>
                <w:szCs w:val="20"/>
                <w:color w:val="auto"/>
              </w:rPr>
            </w:pPr>
            <w:r>
              <w:rPr>
                <w:rFonts w:ascii="Arial" w:cs="Arial" w:eastAsia="Arial" w:hAnsi="Arial"/>
                <w:sz w:val="17"/>
                <w:szCs w:val="17"/>
                <w:color w:val="auto"/>
              </w:rPr>
              <w:t>$</w:t>
            </w:r>
          </w:p>
        </w:tc>
        <w:tc>
          <w:tcPr>
            <w:tcW w:w="680" w:type="dxa"/>
            <w:vAlign w:val="bottom"/>
            <w:gridSpan w:val="2"/>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110.8</w:t>
            </w:r>
          </w:p>
        </w:tc>
        <w:tc>
          <w:tcPr>
            <w:tcW w:w="80" w:type="dxa"/>
            <w:vAlign w:val="bottom"/>
            <w:shd w:val="clear" w:color="auto" w:fill="CCEEFF"/>
          </w:tcPr>
          <w:p>
            <w:pPr>
              <w:spacing w:after="0"/>
              <w:rPr>
                <w:sz w:val="16"/>
                <w:szCs w:val="16"/>
                <w:color w:val="auto"/>
              </w:rPr>
            </w:pPr>
          </w:p>
        </w:tc>
        <w:tc>
          <w:tcPr>
            <w:tcW w:w="260" w:type="dxa"/>
            <w:vAlign w:val="bottom"/>
            <w:gridSpan w:val="3"/>
            <w:shd w:val="clear" w:color="auto" w:fill="CCEEFF"/>
          </w:tcPr>
          <w:p>
            <w:pPr>
              <w:jc w:val="right"/>
              <w:spacing w:after="0" w:line="190" w:lineRule="exact"/>
              <w:rPr>
                <w:sz w:val="20"/>
                <w:szCs w:val="20"/>
                <w:color w:val="auto"/>
              </w:rPr>
            </w:pPr>
            <w:r>
              <w:rPr>
                <w:rFonts w:ascii="Arial" w:cs="Arial" w:eastAsia="Arial" w:hAnsi="Arial"/>
                <w:sz w:val="17"/>
                <w:szCs w:val="17"/>
                <w:color w:val="auto"/>
              </w:rPr>
              <w:t>$</w:t>
            </w:r>
          </w:p>
        </w:tc>
        <w:tc>
          <w:tcPr>
            <w:tcW w:w="800" w:type="dxa"/>
            <w:vAlign w:val="bottom"/>
            <w:gridSpan w:val="3"/>
            <w:shd w:val="clear" w:color="auto" w:fill="CCEEFF"/>
          </w:tcPr>
          <w:p>
            <w:pPr>
              <w:jc w:val="right"/>
              <w:ind w:right="136"/>
              <w:spacing w:after="0" w:line="190" w:lineRule="exact"/>
              <w:rPr>
                <w:sz w:val="20"/>
                <w:szCs w:val="20"/>
                <w:color w:val="auto"/>
              </w:rPr>
            </w:pPr>
            <w:r>
              <w:rPr>
                <w:rFonts w:ascii="Arial" w:cs="Arial" w:eastAsia="Arial" w:hAnsi="Arial"/>
                <w:sz w:val="17"/>
                <w:szCs w:val="17"/>
                <w:color w:val="auto"/>
              </w:rPr>
              <w:t>84.8</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980" w:type="dxa"/>
            <w:vAlign w:val="bottom"/>
            <w:gridSpan w:val="6"/>
            <w:shd w:val="clear" w:color="auto" w:fill="CCEEFF"/>
          </w:tcPr>
          <w:p>
            <w:pPr>
              <w:jc w:val="right"/>
              <w:ind w:right="46"/>
              <w:spacing w:after="0" w:line="190" w:lineRule="exact"/>
              <w:rPr>
                <w:sz w:val="20"/>
                <w:szCs w:val="20"/>
                <w:color w:val="auto"/>
              </w:rPr>
            </w:pPr>
            <w:r>
              <w:rPr>
                <w:rFonts w:ascii="Arial" w:cs="Arial" w:eastAsia="Arial" w:hAnsi="Arial"/>
                <w:sz w:val="17"/>
                <w:szCs w:val="17"/>
                <w:color w:val="auto"/>
              </w:rPr>
              <w:t>30.7%</w:t>
            </w: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680" w:type="dxa"/>
            <w:vAlign w:val="bottom"/>
            <w:gridSpan w:val="4"/>
            <w:shd w:val="clear" w:color="auto" w:fill="CCEEFF"/>
          </w:tcPr>
          <w:p>
            <w:pPr>
              <w:jc w:val="right"/>
              <w:ind w:right="36"/>
              <w:spacing w:after="0" w:line="190" w:lineRule="exact"/>
              <w:rPr>
                <w:sz w:val="20"/>
                <w:szCs w:val="20"/>
                <w:color w:val="auto"/>
              </w:rPr>
            </w:pPr>
            <w:r>
              <w:rPr>
                <w:rFonts w:ascii="Arial" w:cs="Arial" w:eastAsia="Arial" w:hAnsi="Arial"/>
                <w:sz w:val="17"/>
                <w:szCs w:val="17"/>
                <w:color w:val="auto"/>
              </w:rPr>
              <w:t>30.7%</w:t>
            </w:r>
          </w:p>
        </w:tc>
        <w:tc>
          <w:tcPr>
            <w:tcW w:w="200" w:type="dxa"/>
            <w:vAlign w:val="bottom"/>
            <w:gridSpan w:val="2"/>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w:t>
            </w:r>
          </w:p>
        </w:tc>
        <w:tc>
          <w:tcPr>
            <w:tcW w:w="720" w:type="dxa"/>
            <w:vAlign w:val="bottom"/>
            <w:gridSpan w:val="3"/>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407.7</w:t>
            </w:r>
          </w:p>
        </w:tc>
        <w:tc>
          <w:tcPr>
            <w:tcW w:w="260" w:type="dxa"/>
            <w:vAlign w:val="bottom"/>
            <w:gridSpan w:val="3"/>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w:t>
            </w:r>
          </w:p>
        </w:tc>
        <w:tc>
          <w:tcPr>
            <w:tcW w:w="680" w:type="dxa"/>
            <w:vAlign w:val="bottom"/>
            <w:gridSpan w:val="2"/>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290.2</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40.5%</w:t>
            </w:r>
          </w:p>
        </w:tc>
        <w:tc>
          <w:tcPr>
            <w:tcW w:w="120" w:type="dxa"/>
            <w:vAlign w:val="bottom"/>
            <w:shd w:val="clear" w:color="auto" w:fill="CCEEFF"/>
          </w:tcPr>
          <w:p>
            <w:pPr>
              <w:spacing w:after="0"/>
              <w:rPr>
                <w:sz w:val="16"/>
                <w:szCs w:val="16"/>
                <w:color w:val="auto"/>
              </w:rPr>
            </w:pPr>
          </w:p>
        </w:tc>
        <w:tc>
          <w:tcPr>
            <w:tcW w:w="1120" w:type="dxa"/>
            <w:vAlign w:val="bottom"/>
            <w:gridSpan w:val="5"/>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40.5%</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tcPr>
          <w:p>
            <w:pPr>
              <w:spacing w:after="0" w:line="190" w:lineRule="exact"/>
              <w:rPr>
                <w:sz w:val="20"/>
                <w:szCs w:val="20"/>
                <w:color w:val="auto"/>
              </w:rPr>
            </w:pPr>
            <w:r>
              <w:rPr>
                <w:rFonts w:ascii="Arial" w:cs="Arial" w:eastAsia="Arial" w:hAnsi="Arial"/>
                <w:sz w:val="17"/>
                <w:szCs w:val="17"/>
                <w:color w:val="auto"/>
              </w:rPr>
              <w:t>Morningstar Data</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gridSpan w:val="2"/>
          </w:tcPr>
          <w:p>
            <w:pPr>
              <w:jc w:val="right"/>
              <w:ind w:right="20"/>
              <w:spacing w:after="0" w:line="190" w:lineRule="exact"/>
              <w:rPr>
                <w:sz w:val="20"/>
                <w:szCs w:val="20"/>
                <w:color w:val="auto"/>
              </w:rPr>
            </w:pPr>
            <w:r>
              <w:rPr>
                <w:rFonts w:ascii="Arial" w:cs="Arial" w:eastAsia="Arial" w:hAnsi="Arial"/>
                <w:sz w:val="17"/>
                <w:szCs w:val="17"/>
                <w:color w:val="auto"/>
              </w:rPr>
              <w:t>64.1</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0" w:type="dxa"/>
            <w:vAlign w:val="bottom"/>
            <w:gridSpan w:val="3"/>
          </w:tcPr>
          <w:p>
            <w:pPr>
              <w:jc w:val="right"/>
              <w:ind w:right="136"/>
              <w:spacing w:after="0" w:line="190" w:lineRule="exact"/>
              <w:rPr>
                <w:sz w:val="20"/>
                <w:szCs w:val="20"/>
                <w:color w:val="auto"/>
              </w:rPr>
            </w:pPr>
            <w:r>
              <w:rPr>
                <w:rFonts w:ascii="Arial" w:cs="Arial" w:eastAsia="Arial" w:hAnsi="Arial"/>
                <w:sz w:val="17"/>
                <w:szCs w:val="17"/>
                <w:color w:val="auto"/>
              </w:rPr>
              <w:t>63.1</w:t>
            </w: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80" w:type="dxa"/>
            <w:vAlign w:val="bottom"/>
            <w:gridSpan w:val="6"/>
          </w:tcPr>
          <w:p>
            <w:pPr>
              <w:jc w:val="right"/>
              <w:ind w:right="46"/>
              <w:spacing w:after="0" w:line="190" w:lineRule="exact"/>
              <w:rPr>
                <w:sz w:val="20"/>
                <w:szCs w:val="20"/>
                <w:color w:val="auto"/>
              </w:rPr>
            </w:pPr>
            <w:r>
              <w:rPr>
                <w:rFonts w:ascii="Arial" w:cs="Arial" w:eastAsia="Arial" w:hAnsi="Arial"/>
                <w:sz w:val="17"/>
                <w:szCs w:val="17"/>
                <w:color w:val="auto"/>
              </w:rPr>
              <w:t>1.6%</w:t>
            </w: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80" w:type="dxa"/>
            <w:vAlign w:val="bottom"/>
            <w:gridSpan w:val="4"/>
          </w:tcPr>
          <w:p>
            <w:pPr>
              <w:jc w:val="right"/>
              <w:ind w:right="36"/>
              <w:spacing w:after="0" w:line="190" w:lineRule="exact"/>
              <w:rPr>
                <w:sz w:val="20"/>
                <w:szCs w:val="20"/>
                <w:color w:val="auto"/>
              </w:rPr>
            </w:pPr>
            <w:r>
              <w:rPr>
                <w:rFonts w:ascii="Arial" w:cs="Arial" w:eastAsia="Arial" w:hAnsi="Arial"/>
                <w:sz w:val="17"/>
                <w:szCs w:val="17"/>
                <w:color w:val="auto"/>
              </w:rPr>
              <w:t>6.9%</w:t>
            </w: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20" w:type="dxa"/>
            <w:vAlign w:val="bottom"/>
            <w:gridSpan w:val="3"/>
          </w:tcPr>
          <w:p>
            <w:pPr>
              <w:jc w:val="right"/>
              <w:ind w:right="100"/>
              <w:spacing w:after="0" w:line="190" w:lineRule="exact"/>
              <w:rPr>
                <w:sz w:val="20"/>
                <w:szCs w:val="20"/>
                <w:color w:val="auto"/>
              </w:rPr>
            </w:pPr>
            <w:r>
              <w:rPr>
                <w:rFonts w:ascii="Arial" w:cs="Arial" w:eastAsia="Arial" w:hAnsi="Arial"/>
                <w:sz w:val="17"/>
                <w:szCs w:val="17"/>
                <w:color w:val="auto"/>
              </w:rPr>
              <w:t>255.0</w:t>
            </w: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80" w:type="dxa"/>
            <w:vAlign w:val="bottom"/>
            <w:gridSpan w:val="2"/>
          </w:tcPr>
          <w:p>
            <w:pPr>
              <w:jc w:val="right"/>
              <w:ind w:right="60"/>
              <w:spacing w:after="0" w:line="190" w:lineRule="exact"/>
              <w:rPr>
                <w:sz w:val="20"/>
                <w:szCs w:val="20"/>
                <w:color w:val="auto"/>
              </w:rPr>
            </w:pPr>
            <w:r>
              <w:rPr>
                <w:rFonts w:ascii="Arial" w:cs="Arial" w:eastAsia="Arial" w:hAnsi="Arial"/>
                <w:sz w:val="17"/>
                <w:szCs w:val="17"/>
                <w:color w:val="auto"/>
              </w:rPr>
              <w:t>243.5</w:t>
            </w: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00" w:type="dxa"/>
            <w:vAlign w:val="bottom"/>
            <w:gridSpan w:val="2"/>
          </w:tcPr>
          <w:p>
            <w:pPr>
              <w:jc w:val="right"/>
              <w:ind w:right="20"/>
              <w:spacing w:after="0" w:line="190" w:lineRule="exact"/>
              <w:rPr>
                <w:sz w:val="20"/>
                <w:szCs w:val="20"/>
                <w:color w:val="auto"/>
              </w:rPr>
            </w:pPr>
            <w:r>
              <w:rPr>
                <w:rFonts w:ascii="Arial" w:cs="Arial" w:eastAsia="Arial" w:hAnsi="Arial"/>
                <w:sz w:val="17"/>
                <w:szCs w:val="17"/>
                <w:color w:val="auto"/>
              </w:rPr>
              <w:t>4.7%</w:t>
            </w:r>
          </w:p>
        </w:tc>
        <w:tc>
          <w:tcPr>
            <w:tcW w:w="120" w:type="dxa"/>
            <w:vAlign w:val="bottom"/>
          </w:tcPr>
          <w:p>
            <w:pPr>
              <w:spacing w:after="0"/>
              <w:rPr>
                <w:sz w:val="16"/>
                <w:szCs w:val="16"/>
                <w:color w:val="auto"/>
              </w:rPr>
            </w:pPr>
          </w:p>
        </w:tc>
        <w:tc>
          <w:tcPr>
            <w:tcW w:w="1120" w:type="dxa"/>
            <w:vAlign w:val="bottom"/>
            <w:gridSpan w:val="5"/>
          </w:tcPr>
          <w:p>
            <w:pPr>
              <w:jc w:val="right"/>
              <w:ind w:right="60"/>
              <w:spacing w:after="0" w:line="190" w:lineRule="exact"/>
              <w:rPr>
                <w:sz w:val="20"/>
                <w:szCs w:val="20"/>
                <w:color w:val="auto"/>
              </w:rPr>
            </w:pPr>
            <w:r>
              <w:rPr>
                <w:rFonts w:ascii="Arial" w:cs="Arial" w:eastAsia="Arial" w:hAnsi="Arial"/>
                <w:sz w:val="17"/>
                <w:szCs w:val="17"/>
                <w:color w:val="auto"/>
              </w:rPr>
              <w:t>9.4%</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DBRS Morningstar (5)</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50.7</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0" w:type="dxa"/>
            <w:vAlign w:val="bottom"/>
            <w:gridSpan w:val="3"/>
            <w:shd w:val="clear" w:color="auto" w:fill="CCEEFF"/>
          </w:tcPr>
          <w:p>
            <w:pPr>
              <w:jc w:val="right"/>
              <w:ind w:right="136"/>
              <w:spacing w:after="0" w:line="190" w:lineRule="exact"/>
              <w:rPr>
                <w:sz w:val="20"/>
                <w:szCs w:val="20"/>
                <w:color w:val="auto"/>
              </w:rPr>
            </w:pPr>
            <w:r>
              <w:rPr>
                <w:rFonts w:ascii="Arial" w:cs="Arial" w:eastAsia="Arial" w:hAnsi="Arial"/>
                <w:sz w:val="17"/>
                <w:szCs w:val="17"/>
                <w:color w:val="auto"/>
              </w:rPr>
              <w:t>81.4</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980" w:type="dxa"/>
            <w:vAlign w:val="bottom"/>
            <w:gridSpan w:val="6"/>
            <w:shd w:val="clear" w:color="auto" w:fill="CCEEFF"/>
          </w:tcPr>
          <w:p>
            <w:pPr>
              <w:jc w:val="right"/>
              <w:spacing w:after="0" w:line="190" w:lineRule="exact"/>
              <w:rPr>
                <w:sz w:val="20"/>
                <w:szCs w:val="20"/>
                <w:color w:val="auto"/>
              </w:rPr>
            </w:pPr>
            <w:r>
              <w:rPr>
                <w:rFonts w:ascii="Arial" w:cs="Arial" w:eastAsia="Arial" w:hAnsi="Arial"/>
                <w:sz w:val="17"/>
                <w:szCs w:val="17"/>
                <w:color w:val="auto"/>
              </w:rPr>
              <w:t>(37.7)%</w:t>
            </w: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680" w:type="dxa"/>
            <w:vAlign w:val="bottom"/>
            <w:gridSpan w:val="4"/>
            <w:shd w:val="clear" w:color="auto" w:fill="CCEEFF"/>
          </w:tcPr>
          <w:p>
            <w:pPr>
              <w:jc w:val="right"/>
              <w:spacing w:after="0" w:line="190" w:lineRule="exact"/>
              <w:rPr>
                <w:sz w:val="20"/>
                <w:szCs w:val="20"/>
                <w:color w:val="auto"/>
              </w:rPr>
            </w:pPr>
            <w:r>
              <w:rPr>
                <w:rFonts w:ascii="Arial" w:cs="Arial" w:eastAsia="Arial" w:hAnsi="Arial"/>
                <w:sz w:val="17"/>
                <w:szCs w:val="17"/>
                <w:color w:val="auto"/>
              </w:rPr>
              <w:t>(35.3)%</w:t>
            </w: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20" w:type="dxa"/>
            <w:vAlign w:val="bottom"/>
            <w:gridSpan w:val="3"/>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236.9</w:t>
            </w: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271.2</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20" w:type="dxa"/>
            <w:vAlign w:val="bottom"/>
            <w:gridSpan w:val="3"/>
            <w:shd w:val="clear" w:color="auto" w:fill="CCEEFF"/>
          </w:tcPr>
          <w:p>
            <w:pPr>
              <w:jc w:val="right"/>
              <w:ind w:right="80"/>
              <w:spacing w:after="0" w:line="190" w:lineRule="exact"/>
              <w:rPr>
                <w:sz w:val="20"/>
                <w:szCs w:val="20"/>
                <w:color w:val="auto"/>
              </w:rPr>
            </w:pPr>
            <w:r>
              <w:rPr>
                <w:rFonts w:ascii="Arial" w:cs="Arial" w:eastAsia="Arial" w:hAnsi="Arial"/>
                <w:sz w:val="17"/>
                <w:szCs w:val="17"/>
                <w:color w:val="auto"/>
              </w:rPr>
              <w:t>(12.6)%</w:t>
            </w:r>
          </w:p>
        </w:tc>
        <w:tc>
          <w:tcPr>
            <w:tcW w:w="1120" w:type="dxa"/>
            <w:vAlign w:val="bottom"/>
            <w:gridSpan w:val="5"/>
            <w:shd w:val="clear" w:color="auto" w:fill="CCEEFF"/>
          </w:tcPr>
          <w:p>
            <w:pPr>
              <w:jc w:val="right"/>
              <w:spacing w:after="0" w:line="190" w:lineRule="exact"/>
              <w:rPr>
                <w:sz w:val="20"/>
                <w:szCs w:val="20"/>
                <w:color w:val="auto"/>
              </w:rPr>
            </w:pPr>
            <w:r>
              <w:rPr>
                <w:rFonts w:ascii="Arial" w:cs="Arial" w:eastAsia="Arial" w:hAnsi="Arial"/>
                <w:sz w:val="17"/>
                <w:szCs w:val="17"/>
                <w:color w:val="auto"/>
              </w:rPr>
              <w:t>(10.0)%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tcPr>
          <w:p>
            <w:pPr>
              <w:spacing w:after="0" w:line="190" w:lineRule="exact"/>
              <w:rPr>
                <w:sz w:val="20"/>
                <w:szCs w:val="20"/>
                <w:color w:val="auto"/>
              </w:rPr>
            </w:pPr>
            <w:r>
              <w:rPr>
                <w:rFonts w:ascii="Arial" w:cs="Arial" w:eastAsia="Arial" w:hAnsi="Arial"/>
                <w:sz w:val="17"/>
                <w:szCs w:val="17"/>
                <w:color w:val="auto"/>
              </w:rPr>
              <w:t>Morningstar Direct</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gridSpan w:val="2"/>
          </w:tcPr>
          <w:p>
            <w:pPr>
              <w:jc w:val="right"/>
              <w:ind w:right="20"/>
              <w:spacing w:after="0" w:line="190" w:lineRule="exact"/>
              <w:rPr>
                <w:sz w:val="20"/>
                <w:szCs w:val="20"/>
                <w:color w:val="auto"/>
              </w:rPr>
            </w:pPr>
            <w:r>
              <w:rPr>
                <w:rFonts w:ascii="Arial" w:cs="Arial" w:eastAsia="Arial" w:hAnsi="Arial"/>
                <w:sz w:val="17"/>
                <w:szCs w:val="17"/>
                <w:color w:val="auto"/>
              </w:rPr>
              <w:t>47.5</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0" w:type="dxa"/>
            <w:vAlign w:val="bottom"/>
            <w:gridSpan w:val="3"/>
          </w:tcPr>
          <w:p>
            <w:pPr>
              <w:jc w:val="right"/>
              <w:ind w:right="136"/>
              <w:spacing w:after="0" w:line="190" w:lineRule="exact"/>
              <w:rPr>
                <w:sz w:val="20"/>
                <w:szCs w:val="20"/>
                <w:color w:val="auto"/>
              </w:rPr>
            </w:pPr>
            <w:r>
              <w:rPr>
                <w:rFonts w:ascii="Arial" w:cs="Arial" w:eastAsia="Arial" w:hAnsi="Arial"/>
                <w:sz w:val="17"/>
                <w:szCs w:val="17"/>
                <w:color w:val="auto"/>
              </w:rPr>
              <w:t>44.1</w:t>
            </w: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80" w:type="dxa"/>
            <w:vAlign w:val="bottom"/>
            <w:gridSpan w:val="6"/>
          </w:tcPr>
          <w:p>
            <w:pPr>
              <w:jc w:val="right"/>
              <w:ind w:right="46"/>
              <w:spacing w:after="0" w:line="190" w:lineRule="exact"/>
              <w:rPr>
                <w:sz w:val="20"/>
                <w:szCs w:val="20"/>
                <w:color w:val="auto"/>
              </w:rPr>
            </w:pPr>
            <w:r>
              <w:rPr>
                <w:rFonts w:ascii="Arial" w:cs="Arial" w:eastAsia="Arial" w:hAnsi="Arial"/>
                <w:sz w:val="17"/>
                <w:szCs w:val="17"/>
                <w:color w:val="auto"/>
              </w:rPr>
              <w:t>7.7%</w:t>
            </w: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80" w:type="dxa"/>
            <w:vAlign w:val="bottom"/>
            <w:gridSpan w:val="4"/>
          </w:tcPr>
          <w:p>
            <w:pPr>
              <w:jc w:val="right"/>
              <w:ind w:right="36"/>
              <w:spacing w:after="0" w:line="190" w:lineRule="exact"/>
              <w:rPr>
                <w:sz w:val="20"/>
                <w:szCs w:val="20"/>
                <w:color w:val="auto"/>
              </w:rPr>
            </w:pPr>
            <w:r>
              <w:rPr>
                <w:rFonts w:ascii="Arial" w:cs="Arial" w:eastAsia="Arial" w:hAnsi="Arial"/>
                <w:sz w:val="17"/>
                <w:szCs w:val="17"/>
                <w:color w:val="auto"/>
              </w:rPr>
              <w:t>12.1%</w:t>
            </w: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20" w:type="dxa"/>
            <w:vAlign w:val="bottom"/>
            <w:gridSpan w:val="3"/>
          </w:tcPr>
          <w:p>
            <w:pPr>
              <w:jc w:val="right"/>
              <w:ind w:right="100"/>
              <w:spacing w:after="0" w:line="190" w:lineRule="exact"/>
              <w:rPr>
                <w:sz w:val="20"/>
                <w:szCs w:val="20"/>
                <w:color w:val="auto"/>
              </w:rPr>
            </w:pPr>
            <w:r>
              <w:rPr>
                <w:rFonts w:ascii="Arial" w:cs="Arial" w:eastAsia="Arial" w:hAnsi="Arial"/>
                <w:sz w:val="17"/>
                <w:szCs w:val="17"/>
                <w:color w:val="auto"/>
              </w:rPr>
              <w:t>184.8</w:t>
            </w: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80" w:type="dxa"/>
            <w:vAlign w:val="bottom"/>
            <w:gridSpan w:val="2"/>
          </w:tcPr>
          <w:p>
            <w:pPr>
              <w:jc w:val="right"/>
              <w:ind w:right="60"/>
              <w:spacing w:after="0" w:line="190" w:lineRule="exact"/>
              <w:rPr>
                <w:sz w:val="20"/>
                <w:szCs w:val="20"/>
                <w:color w:val="auto"/>
              </w:rPr>
            </w:pPr>
            <w:r>
              <w:rPr>
                <w:rFonts w:ascii="Arial" w:cs="Arial" w:eastAsia="Arial" w:hAnsi="Arial"/>
                <w:sz w:val="17"/>
                <w:szCs w:val="17"/>
                <w:color w:val="auto"/>
              </w:rPr>
              <w:t>173.2</w:t>
            </w: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00" w:type="dxa"/>
            <w:vAlign w:val="bottom"/>
            <w:gridSpan w:val="2"/>
          </w:tcPr>
          <w:p>
            <w:pPr>
              <w:jc w:val="right"/>
              <w:ind w:right="20"/>
              <w:spacing w:after="0" w:line="190" w:lineRule="exact"/>
              <w:rPr>
                <w:sz w:val="20"/>
                <w:szCs w:val="20"/>
                <w:color w:val="auto"/>
              </w:rPr>
            </w:pPr>
            <w:r>
              <w:rPr>
                <w:rFonts w:ascii="Arial" w:cs="Arial" w:eastAsia="Arial" w:hAnsi="Arial"/>
                <w:sz w:val="17"/>
                <w:szCs w:val="17"/>
                <w:color w:val="auto"/>
              </w:rPr>
              <w:t>6.7%</w:t>
            </w:r>
          </w:p>
        </w:tc>
        <w:tc>
          <w:tcPr>
            <w:tcW w:w="120" w:type="dxa"/>
            <w:vAlign w:val="bottom"/>
          </w:tcPr>
          <w:p>
            <w:pPr>
              <w:spacing w:after="0"/>
              <w:rPr>
                <w:sz w:val="16"/>
                <w:szCs w:val="16"/>
                <w:color w:val="auto"/>
              </w:rPr>
            </w:pPr>
          </w:p>
        </w:tc>
        <w:tc>
          <w:tcPr>
            <w:tcW w:w="1120" w:type="dxa"/>
            <w:vAlign w:val="bottom"/>
            <w:gridSpan w:val="5"/>
          </w:tcPr>
          <w:p>
            <w:pPr>
              <w:jc w:val="right"/>
              <w:ind w:right="60"/>
              <w:spacing w:after="0" w:line="190" w:lineRule="exact"/>
              <w:rPr>
                <w:sz w:val="20"/>
                <w:szCs w:val="20"/>
                <w:color w:val="auto"/>
              </w:rPr>
            </w:pPr>
            <w:r>
              <w:rPr>
                <w:rFonts w:ascii="Arial" w:cs="Arial" w:eastAsia="Arial" w:hAnsi="Arial"/>
                <w:sz w:val="17"/>
                <w:szCs w:val="17"/>
                <w:color w:val="auto"/>
              </w:rPr>
              <w:t>10.7%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Investment Management</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27.7</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0" w:type="dxa"/>
            <w:vAlign w:val="bottom"/>
            <w:gridSpan w:val="3"/>
            <w:shd w:val="clear" w:color="auto" w:fill="CCEEFF"/>
          </w:tcPr>
          <w:p>
            <w:pPr>
              <w:jc w:val="right"/>
              <w:ind w:right="136"/>
              <w:spacing w:after="0" w:line="190" w:lineRule="exact"/>
              <w:rPr>
                <w:sz w:val="20"/>
                <w:szCs w:val="20"/>
                <w:color w:val="auto"/>
              </w:rPr>
            </w:pPr>
            <w:r>
              <w:rPr>
                <w:rFonts w:ascii="Arial" w:cs="Arial" w:eastAsia="Arial" w:hAnsi="Arial"/>
                <w:sz w:val="17"/>
                <w:szCs w:val="17"/>
                <w:color w:val="auto"/>
              </w:rPr>
              <w:t>32.7</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980" w:type="dxa"/>
            <w:vAlign w:val="bottom"/>
            <w:gridSpan w:val="6"/>
            <w:shd w:val="clear" w:color="auto" w:fill="CCEEFF"/>
          </w:tcPr>
          <w:p>
            <w:pPr>
              <w:jc w:val="right"/>
              <w:spacing w:after="0" w:line="190" w:lineRule="exact"/>
              <w:rPr>
                <w:sz w:val="20"/>
                <w:szCs w:val="20"/>
                <w:color w:val="auto"/>
              </w:rPr>
            </w:pPr>
            <w:r>
              <w:rPr>
                <w:rFonts w:ascii="Arial" w:cs="Arial" w:eastAsia="Arial" w:hAnsi="Arial"/>
                <w:sz w:val="17"/>
                <w:szCs w:val="17"/>
                <w:color w:val="auto"/>
              </w:rPr>
              <w:t>(15.3)%</w:t>
            </w: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680" w:type="dxa"/>
            <w:vAlign w:val="bottom"/>
            <w:gridSpan w:val="4"/>
            <w:shd w:val="clear" w:color="auto" w:fill="CCEEFF"/>
          </w:tcPr>
          <w:p>
            <w:pPr>
              <w:jc w:val="right"/>
              <w:spacing w:after="0" w:line="190" w:lineRule="exact"/>
              <w:rPr>
                <w:sz w:val="20"/>
                <w:szCs w:val="20"/>
                <w:color w:val="auto"/>
              </w:rPr>
            </w:pPr>
            <w:r>
              <w:rPr>
                <w:rFonts w:ascii="Arial" w:cs="Arial" w:eastAsia="Arial" w:hAnsi="Arial"/>
                <w:sz w:val="17"/>
                <w:szCs w:val="17"/>
                <w:color w:val="auto"/>
              </w:rPr>
              <w:t>(18.9)%</w:t>
            </w: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20" w:type="dxa"/>
            <w:vAlign w:val="bottom"/>
            <w:gridSpan w:val="3"/>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117.6</w:t>
            </w: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125.5</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20" w:type="dxa"/>
            <w:vAlign w:val="bottom"/>
            <w:gridSpan w:val="3"/>
            <w:shd w:val="clear" w:color="auto" w:fill="CCEEFF"/>
          </w:tcPr>
          <w:p>
            <w:pPr>
              <w:jc w:val="right"/>
              <w:ind w:right="80"/>
              <w:spacing w:after="0" w:line="190" w:lineRule="exact"/>
              <w:rPr>
                <w:sz w:val="20"/>
                <w:szCs w:val="20"/>
                <w:color w:val="auto"/>
              </w:rPr>
            </w:pPr>
            <w:r>
              <w:rPr>
                <w:rFonts w:ascii="Arial" w:cs="Arial" w:eastAsia="Arial" w:hAnsi="Arial"/>
                <w:sz w:val="17"/>
                <w:szCs w:val="17"/>
                <w:color w:val="auto"/>
              </w:rPr>
              <w:t>(6.3)%</w:t>
            </w:r>
          </w:p>
        </w:tc>
        <w:tc>
          <w:tcPr>
            <w:tcW w:w="1120" w:type="dxa"/>
            <w:vAlign w:val="bottom"/>
            <w:gridSpan w:val="5"/>
            <w:shd w:val="clear" w:color="auto" w:fill="CCEEFF"/>
          </w:tcPr>
          <w:p>
            <w:pPr>
              <w:jc w:val="right"/>
              <w:spacing w:after="0" w:line="190" w:lineRule="exact"/>
              <w:rPr>
                <w:sz w:val="20"/>
                <w:szCs w:val="20"/>
                <w:color w:val="auto"/>
              </w:rPr>
            </w:pPr>
            <w:r>
              <w:rPr>
                <w:rFonts w:ascii="Arial" w:cs="Arial" w:eastAsia="Arial" w:hAnsi="Arial"/>
                <w:sz w:val="17"/>
                <w:szCs w:val="17"/>
                <w:color w:val="auto"/>
              </w:rPr>
              <w:t>(4.3)%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tcPr>
          <w:p>
            <w:pPr>
              <w:spacing w:after="0" w:line="190" w:lineRule="exact"/>
              <w:rPr>
                <w:sz w:val="20"/>
                <w:szCs w:val="20"/>
                <w:color w:val="auto"/>
              </w:rPr>
            </w:pPr>
            <w:r>
              <w:rPr>
                <w:rFonts w:ascii="Arial" w:cs="Arial" w:eastAsia="Arial" w:hAnsi="Arial"/>
                <w:sz w:val="17"/>
                <w:szCs w:val="17"/>
                <w:color w:val="auto"/>
              </w:rPr>
              <w:t>Workplace Solutions</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gridSpan w:val="2"/>
          </w:tcPr>
          <w:p>
            <w:pPr>
              <w:jc w:val="right"/>
              <w:ind w:right="20"/>
              <w:spacing w:after="0" w:line="190" w:lineRule="exact"/>
              <w:rPr>
                <w:sz w:val="20"/>
                <w:szCs w:val="20"/>
                <w:color w:val="auto"/>
              </w:rPr>
            </w:pPr>
            <w:r>
              <w:rPr>
                <w:rFonts w:ascii="Arial" w:cs="Arial" w:eastAsia="Arial" w:hAnsi="Arial"/>
                <w:sz w:val="17"/>
                <w:szCs w:val="17"/>
                <w:color w:val="auto"/>
              </w:rPr>
              <w:t>26.0</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0" w:type="dxa"/>
            <w:vAlign w:val="bottom"/>
            <w:gridSpan w:val="3"/>
          </w:tcPr>
          <w:p>
            <w:pPr>
              <w:jc w:val="right"/>
              <w:ind w:right="136"/>
              <w:spacing w:after="0" w:line="190" w:lineRule="exact"/>
              <w:rPr>
                <w:sz w:val="20"/>
                <w:szCs w:val="20"/>
                <w:color w:val="auto"/>
              </w:rPr>
            </w:pPr>
            <w:r>
              <w:rPr>
                <w:rFonts w:ascii="Arial" w:cs="Arial" w:eastAsia="Arial" w:hAnsi="Arial"/>
                <w:sz w:val="17"/>
                <w:szCs w:val="17"/>
                <w:color w:val="auto"/>
              </w:rPr>
              <w:t>27.2</w:t>
            </w: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80" w:type="dxa"/>
            <w:vAlign w:val="bottom"/>
            <w:gridSpan w:val="6"/>
          </w:tcPr>
          <w:p>
            <w:pPr>
              <w:jc w:val="right"/>
              <w:spacing w:after="0" w:line="190" w:lineRule="exact"/>
              <w:rPr>
                <w:sz w:val="20"/>
                <w:szCs w:val="20"/>
                <w:color w:val="auto"/>
              </w:rPr>
            </w:pPr>
            <w:r>
              <w:rPr>
                <w:rFonts w:ascii="Arial" w:cs="Arial" w:eastAsia="Arial" w:hAnsi="Arial"/>
                <w:sz w:val="17"/>
                <w:szCs w:val="17"/>
                <w:color w:val="auto"/>
              </w:rPr>
              <w:t>(4.4)%</w:t>
            </w: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80" w:type="dxa"/>
            <w:vAlign w:val="bottom"/>
            <w:gridSpan w:val="4"/>
          </w:tcPr>
          <w:p>
            <w:pPr>
              <w:jc w:val="right"/>
              <w:spacing w:after="0" w:line="190" w:lineRule="exact"/>
              <w:rPr>
                <w:sz w:val="20"/>
                <w:szCs w:val="20"/>
                <w:color w:val="auto"/>
              </w:rPr>
            </w:pPr>
            <w:r>
              <w:rPr>
                <w:rFonts w:ascii="Arial" w:cs="Arial" w:eastAsia="Arial" w:hAnsi="Arial"/>
                <w:sz w:val="17"/>
                <w:szCs w:val="17"/>
                <w:color w:val="auto"/>
              </w:rPr>
              <w:t>(4.4)%</w:t>
            </w: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20" w:type="dxa"/>
            <w:vAlign w:val="bottom"/>
            <w:gridSpan w:val="3"/>
          </w:tcPr>
          <w:p>
            <w:pPr>
              <w:jc w:val="right"/>
              <w:ind w:right="100"/>
              <w:spacing w:after="0" w:line="190" w:lineRule="exact"/>
              <w:rPr>
                <w:sz w:val="20"/>
                <w:szCs w:val="20"/>
                <w:color w:val="auto"/>
              </w:rPr>
            </w:pPr>
            <w:r>
              <w:rPr>
                <w:rFonts w:ascii="Arial" w:cs="Arial" w:eastAsia="Arial" w:hAnsi="Arial"/>
                <w:sz w:val="17"/>
                <w:szCs w:val="17"/>
                <w:color w:val="auto"/>
              </w:rPr>
              <w:t>103.7</w:t>
            </w: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80" w:type="dxa"/>
            <w:vAlign w:val="bottom"/>
            <w:gridSpan w:val="2"/>
          </w:tcPr>
          <w:p>
            <w:pPr>
              <w:jc w:val="right"/>
              <w:ind w:right="60"/>
              <w:spacing w:after="0" w:line="190" w:lineRule="exact"/>
              <w:rPr>
                <w:sz w:val="20"/>
                <w:szCs w:val="20"/>
                <w:color w:val="auto"/>
              </w:rPr>
            </w:pPr>
            <w:r>
              <w:rPr>
                <w:rFonts w:ascii="Arial" w:cs="Arial" w:eastAsia="Arial" w:hAnsi="Arial"/>
                <w:sz w:val="17"/>
                <w:szCs w:val="17"/>
                <w:color w:val="auto"/>
              </w:rPr>
              <w:t>104.4</w:t>
            </w: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20" w:type="dxa"/>
            <w:vAlign w:val="bottom"/>
            <w:gridSpan w:val="3"/>
          </w:tcPr>
          <w:p>
            <w:pPr>
              <w:jc w:val="right"/>
              <w:ind w:right="80"/>
              <w:spacing w:after="0" w:line="190" w:lineRule="exact"/>
              <w:rPr>
                <w:sz w:val="20"/>
                <w:szCs w:val="20"/>
                <w:color w:val="auto"/>
              </w:rPr>
            </w:pPr>
            <w:r>
              <w:rPr>
                <w:rFonts w:ascii="Arial" w:cs="Arial" w:eastAsia="Arial" w:hAnsi="Arial"/>
                <w:sz w:val="17"/>
                <w:szCs w:val="17"/>
                <w:color w:val="auto"/>
              </w:rPr>
              <w:t>(0.7)%</w:t>
            </w:r>
          </w:p>
        </w:tc>
        <w:tc>
          <w:tcPr>
            <w:tcW w:w="1120" w:type="dxa"/>
            <w:vAlign w:val="bottom"/>
            <w:gridSpan w:val="5"/>
          </w:tcPr>
          <w:p>
            <w:pPr>
              <w:jc w:val="right"/>
              <w:spacing w:after="0" w:line="190" w:lineRule="exact"/>
              <w:rPr>
                <w:sz w:val="20"/>
                <w:szCs w:val="20"/>
                <w:color w:val="auto"/>
              </w:rPr>
            </w:pPr>
            <w:r>
              <w:rPr>
                <w:rFonts w:ascii="Arial" w:cs="Arial" w:eastAsia="Arial" w:hAnsi="Arial"/>
                <w:sz w:val="17"/>
                <w:szCs w:val="17"/>
                <w:color w:val="auto"/>
              </w:rPr>
              <w:t>(0.7)%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Morningstar Sustainalytics</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26.2</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0" w:type="dxa"/>
            <w:vAlign w:val="bottom"/>
            <w:gridSpan w:val="3"/>
            <w:shd w:val="clear" w:color="auto" w:fill="CCEEFF"/>
          </w:tcPr>
          <w:p>
            <w:pPr>
              <w:jc w:val="right"/>
              <w:ind w:right="136"/>
              <w:spacing w:after="0" w:line="190" w:lineRule="exact"/>
              <w:rPr>
                <w:sz w:val="20"/>
                <w:szCs w:val="20"/>
                <w:color w:val="auto"/>
              </w:rPr>
            </w:pPr>
            <w:r>
              <w:rPr>
                <w:rFonts w:ascii="Arial" w:cs="Arial" w:eastAsia="Arial" w:hAnsi="Arial"/>
                <w:sz w:val="17"/>
                <w:szCs w:val="17"/>
                <w:color w:val="auto"/>
              </w:rPr>
              <w:t>22.6</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980" w:type="dxa"/>
            <w:vAlign w:val="bottom"/>
            <w:gridSpan w:val="6"/>
            <w:shd w:val="clear" w:color="auto" w:fill="CCEEFF"/>
          </w:tcPr>
          <w:p>
            <w:pPr>
              <w:jc w:val="right"/>
              <w:ind w:right="46"/>
              <w:spacing w:after="0" w:line="190" w:lineRule="exact"/>
              <w:rPr>
                <w:sz w:val="20"/>
                <w:szCs w:val="20"/>
                <w:color w:val="auto"/>
              </w:rPr>
            </w:pPr>
            <w:r>
              <w:rPr>
                <w:rFonts w:ascii="Arial" w:cs="Arial" w:eastAsia="Arial" w:hAnsi="Arial"/>
                <w:sz w:val="17"/>
                <w:szCs w:val="17"/>
                <w:color w:val="auto"/>
              </w:rPr>
              <w:t>15.9%</w:t>
            </w: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680" w:type="dxa"/>
            <w:vAlign w:val="bottom"/>
            <w:gridSpan w:val="4"/>
            <w:shd w:val="clear" w:color="auto" w:fill="CCEEFF"/>
          </w:tcPr>
          <w:p>
            <w:pPr>
              <w:jc w:val="right"/>
              <w:ind w:right="36"/>
              <w:spacing w:after="0" w:line="190" w:lineRule="exact"/>
              <w:rPr>
                <w:sz w:val="20"/>
                <w:szCs w:val="20"/>
                <w:color w:val="auto"/>
              </w:rPr>
            </w:pPr>
            <w:r>
              <w:rPr>
                <w:rFonts w:ascii="Arial" w:cs="Arial" w:eastAsia="Arial" w:hAnsi="Arial"/>
                <w:sz w:val="17"/>
                <w:szCs w:val="17"/>
                <w:color w:val="auto"/>
              </w:rPr>
              <w:t>25.9%</w:t>
            </w: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20" w:type="dxa"/>
            <w:vAlign w:val="bottom"/>
            <w:gridSpan w:val="3"/>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103.0</w:t>
            </w: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78.9</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30.5%</w:t>
            </w:r>
          </w:p>
        </w:tc>
        <w:tc>
          <w:tcPr>
            <w:tcW w:w="120" w:type="dxa"/>
            <w:vAlign w:val="bottom"/>
            <w:shd w:val="clear" w:color="auto" w:fill="CCEEFF"/>
          </w:tcPr>
          <w:p>
            <w:pPr>
              <w:spacing w:after="0"/>
              <w:rPr>
                <w:sz w:val="16"/>
                <w:szCs w:val="16"/>
                <w:color w:val="auto"/>
              </w:rPr>
            </w:pPr>
          </w:p>
        </w:tc>
        <w:tc>
          <w:tcPr>
            <w:tcW w:w="1120" w:type="dxa"/>
            <w:vAlign w:val="bottom"/>
            <w:gridSpan w:val="5"/>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rPr>
              <w:t>41.0%</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740" w:type="dxa"/>
            <w:vAlign w:val="bottom"/>
            <w:gridSpan w:val="2"/>
          </w:tcPr>
          <w:p>
            <w:pPr>
              <w:spacing w:after="0"/>
              <w:rPr>
                <w:sz w:val="20"/>
                <w:szCs w:val="20"/>
                <w:color w:val="auto"/>
              </w:rPr>
            </w:pPr>
            <w:r>
              <w:rPr>
                <w:rFonts w:ascii="Arial" w:cs="Arial" w:eastAsia="Arial" w:hAnsi="Arial"/>
                <w:sz w:val="17"/>
                <w:szCs w:val="17"/>
                <w:color w:val="auto"/>
              </w:rPr>
              <w:t>Morningstar Advisor Workstation</w:t>
            </w: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80" w:type="dxa"/>
            <w:vAlign w:val="bottom"/>
            <w:gridSpan w:val="2"/>
          </w:tcPr>
          <w:p>
            <w:pPr>
              <w:jc w:val="right"/>
              <w:ind w:right="20"/>
              <w:spacing w:after="0"/>
              <w:rPr>
                <w:sz w:val="20"/>
                <w:szCs w:val="20"/>
                <w:color w:val="auto"/>
              </w:rPr>
            </w:pPr>
            <w:r>
              <w:rPr>
                <w:rFonts w:ascii="Arial" w:cs="Arial" w:eastAsia="Arial" w:hAnsi="Arial"/>
                <w:sz w:val="17"/>
                <w:szCs w:val="17"/>
                <w:color w:val="auto"/>
              </w:rPr>
              <w:t>24.4</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0" w:type="dxa"/>
            <w:vAlign w:val="bottom"/>
            <w:gridSpan w:val="3"/>
          </w:tcPr>
          <w:p>
            <w:pPr>
              <w:jc w:val="right"/>
              <w:ind w:right="136"/>
              <w:spacing w:after="0"/>
              <w:rPr>
                <w:sz w:val="20"/>
                <w:szCs w:val="20"/>
                <w:color w:val="auto"/>
              </w:rPr>
            </w:pPr>
            <w:r>
              <w:rPr>
                <w:rFonts w:ascii="Arial" w:cs="Arial" w:eastAsia="Arial" w:hAnsi="Arial"/>
                <w:sz w:val="17"/>
                <w:szCs w:val="17"/>
                <w:color w:val="auto"/>
              </w:rPr>
              <w:t>23.1</w:t>
            </w: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980" w:type="dxa"/>
            <w:vAlign w:val="bottom"/>
            <w:gridSpan w:val="6"/>
          </w:tcPr>
          <w:p>
            <w:pPr>
              <w:jc w:val="right"/>
              <w:ind w:right="46"/>
              <w:spacing w:after="0"/>
              <w:rPr>
                <w:sz w:val="20"/>
                <w:szCs w:val="20"/>
                <w:color w:val="auto"/>
              </w:rPr>
            </w:pPr>
            <w:r>
              <w:rPr>
                <w:rFonts w:ascii="Arial" w:cs="Arial" w:eastAsia="Arial" w:hAnsi="Arial"/>
                <w:sz w:val="17"/>
                <w:szCs w:val="17"/>
                <w:color w:val="auto"/>
              </w:rPr>
              <w:t>5.6%</w:t>
            </w: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80" w:type="dxa"/>
            <w:vAlign w:val="bottom"/>
            <w:gridSpan w:val="4"/>
          </w:tcPr>
          <w:p>
            <w:pPr>
              <w:jc w:val="right"/>
              <w:ind w:right="36"/>
              <w:spacing w:after="0"/>
              <w:rPr>
                <w:sz w:val="20"/>
                <w:szCs w:val="20"/>
                <w:color w:val="auto"/>
              </w:rPr>
            </w:pPr>
            <w:r>
              <w:rPr>
                <w:rFonts w:ascii="Arial" w:cs="Arial" w:eastAsia="Arial" w:hAnsi="Arial"/>
                <w:sz w:val="17"/>
                <w:szCs w:val="17"/>
                <w:color w:val="auto"/>
              </w:rPr>
              <w:t>6.6%</w:t>
            </w: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20" w:type="dxa"/>
            <w:vAlign w:val="bottom"/>
            <w:gridSpan w:val="3"/>
          </w:tcPr>
          <w:p>
            <w:pPr>
              <w:jc w:val="right"/>
              <w:ind w:right="100"/>
              <w:spacing w:after="0"/>
              <w:rPr>
                <w:sz w:val="20"/>
                <w:szCs w:val="20"/>
                <w:color w:val="auto"/>
              </w:rPr>
            </w:pPr>
            <w:r>
              <w:rPr>
                <w:rFonts w:ascii="Arial" w:cs="Arial" w:eastAsia="Arial" w:hAnsi="Arial"/>
                <w:sz w:val="17"/>
                <w:szCs w:val="17"/>
                <w:color w:val="auto"/>
              </w:rPr>
              <w:t>95.4</w:t>
            </w: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7"/>
                <w:szCs w:val="17"/>
                <w:color w:val="auto"/>
              </w:rPr>
              <w:t>91.9</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700" w:type="dxa"/>
            <w:vAlign w:val="bottom"/>
            <w:gridSpan w:val="2"/>
          </w:tcPr>
          <w:p>
            <w:pPr>
              <w:jc w:val="right"/>
              <w:ind w:right="20"/>
              <w:spacing w:after="0"/>
              <w:rPr>
                <w:sz w:val="20"/>
                <w:szCs w:val="20"/>
                <w:color w:val="auto"/>
              </w:rPr>
            </w:pPr>
            <w:r>
              <w:rPr>
                <w:rFonts w:ascii="Arial" w:cs="Arial" w:eastAsia="Arial" w:hAnsi="Arial"/>
                <w:sz w:val="17"/>
                <w:szCs w:val="17"/>
                <w:color w:val="auto"/>
              </w:rPr>
              <w:t>3.8%</w:t>
            </w:r>
          </w:p>
        </w:tc>
        <w:tc>
          <w:tcPr>
            <w:tcW w:w="120" w:type="dxa"/>
            <w:vAlign w:val="bottom"/>
          </w:tcPr>
          <w:p>
            <w:pPr>
              <w:spacing w:after="0"/>
              <w:rPr>
                <w:sz w:val="17"/>
                <w:szCs w:val="17"/>
                <w:color w:val="auto"/>
              </w:rPr>
            </w:pPr>
          </w:p>
        </w:tc>
        <w:tc>
          <w:tcPr>
            <w:tcW w:w="1120" w:type="dxa"/>
            <w:vAlign w:val="bottom"/>
            <w:gridSpan w:val="5"/>
          </w:tcPr>
          <w:p>
            <w:pPr>
              <w:jc w:val="right"/>
              <w:ind w:right="60"/>
              <w:spacing w:after="0"/>
              <w:rPr>
                <w:sz w:val="20"/>
                <w:szCs w:val="20"/>
                <w:color w:val="auto"/>
              </w:rPr>
            </w:pPr>
            <w:r>
              <w:rPr>
                <w:rFonts w:ascii="Arial" w:cs="Arial" w:eastAsia="Arial" w:hAnsi="Arial"/>
                <w:sz w:val="17"/>
                <w:szCs w:val="17"/>
                <w:color w:val="auto"/>
              </w:rPr>
              <w:t>4.1%</w:t>
            </w:r>
          </w:p>
        </w:tc>
        <w:tc>
          <w:tcPr>
            <w:tcW w:w="0" w:type="dxa"/>
            <w:vAlign w:val="bottom"/>
          </w:tcPr>
          <w:p>
            <w:pPr>
              <w:spacing w:after="0"/>
              <w:rPr>
                <w:sz w:val="1"/>
                <w:szCs w:val="1"/>
                <w:color w:val="auto"/>
              </w:rPr>
            </w:pPr>
          </w:p>
        </w:tc>
      </w:tr>
      <w:tr>
        <w:trPr>
          <w:trHeight w:val="380"/>
        </w:trPr>
        <w:tc>
          <w:tcPr>
            <w:tcW w:w="2760" w:type="dxa"/>
            <w:vAlign w:val="bottom"/>
            <w:gridSpan w:val="3"/>
            <w:vMerge w:val="restart"/>
          </w:tcPr>
          <w:p>
            <w:pPr>
              <w:spacing w:after="0"/>
              <w:rPr>
                <w:sz w:val="20"/>
                <w:szCs w:val="20"/>
                <w:color w:val="auto"/>
              </w:rPr>
            </w:pPr>
            <w:r>
              <w:rPr>
                <w:rFonts w:ascii="Arial" w:cs="Arial" w:eastAsia="Arial" w:hAnsi="Arial"/>
                <w:sz w:val="17"/>
                <w:szCs w:val="17"/>
                <w:color w:val="auto"/>
              </w:rPr>
              <w:t>Assets under management and</w:t>
            </w: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860" w:type="dxa"/>
            <w:vAlign w:val="bottom"/>
            <w:tcBorders>
              <w:bottom w:val="single" w:sz="8" w:color="auto"/>
            </w:tcBorders>
            <w:gridSpan w:val="11"/>
          </w:tcPr>
          <w:p>
            <w:pPr>
              <w:spacing w:after="0"/>
              <w:rPr>
                <w:sz w:val="20"/>
                <w:szCs w:val="20"/>
                <w:color w:val="auto"/>
              </w:rPr>
            </w:pPr>
            <w:r>
              <w:rPr>
                <w:rFonts w:ascii="Arial" w:cs="Arial" w:eastAsia="Arial" w:hAnsi="Arial"/>
                <w:sz w:val="17"/>
                <w:szCs w:val="17"/>
                <w:b w:val="1"/>
                <w:bCs w:val="1"/>
                <w:color w:val="auto"/>
              </w:rPr>
              <w:t>As of December 31,</w:t>
            </w:r>
          </w:p>
        </w:tc>
        <w:tc>
          <w:tcPr>
            <w:tcW w:w="16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276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60" w:type="dxa"/>
            <w:vAlign w:val="bottom"/>
            <w:vMerge w:val="restart"/>
          </w:tcPr>
          <w:p>
            <w:pPr>
              <w:jc w:val="right"/>
              <w:ind w:right="176"/>
              <w:spacing w:after="0"/>
              <w:rPr>
                <w:sz w:val="20"/>
                <w:szCs w:val="20"/>
                <w:color w:val="auto"/>
              </w:rPr>
            </w:pPr>
            <w:r>
              <w:rPr>
                <w:rFonts w:ascii="Arial" w:cs="Arial" w:eastAsia="Arial" w:hAnsi="Arial"/>
                <w:sz w:val="17"/>
                <w:szCs w:val="17"/>
                <w:b w:val="1"/>
                <w:bCs w:val="1"/>
                <w:color w:val="auto"/>
              </w:rPr>
              <w:t>2022</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vMerge w:val="restart"/>
          </w:tcPr>
          <w:p>
            <w:pPr>
              <w:jc w:val="right"/>
              <w:spacing w:after="0"/>
              <w:rPr>
                <w:sz w:val="20"/>
                <w:szCs w:val="20"/>
                <w:color w:val="auto"/>
              </w:rPr>
            </w:pPr>
            <w:r>
              <w:rPr>
                <w:rFonts w:ascii="Arial" w:cs="Arial" w:eastAsia="Arial" w:hAnsi="Arial"/>
                <w:sz w:val="17"/>
                <w:szCs w:val="17"/>
                <w:b w:val="1"/>
                <w:bCs w:val="1"/>
                <w:color w:val="auto"/>
              </w:rPr>
              <w:t>2021</w:t>
            </w: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gridSpan w:val="5"/>
            <w:vMerge w:val="restart"/>
          </w:tcPr>
          <w:p>
            <w:pPr>
              <w:jc w:val="right"/>
              <w:ind w:right="6"/>
              <w:spacing w:after="0"/>
              <w:rPr>
                <w:sz w:val="20"/>
                <w:szCs w:val="20"/>
                <w:color w:val="auto"/>
              </w:rPr>
            </w:pPr>
            <w:r>
              <w:rPr>
                <w:rFonts w:ascii="Arial" w:cs="Arial" w:eastAsia="Arial" w:hAnsi="Arial"/>
                <w:sz w:val="17"/>
                <w:szCs w:val="17"/>
                <w:b w:val="1"/>
                <w:bCs w:val="1"/>
                <w:color w:val="auto"/>
              </w:rPr>
              <w:t>Change</w:t>
            </w: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1"/>
        </w:trPr>
        <w:tc>
          <w:tcPr>
            <w:tcW w:w="2760" w:type="dxa"/>
            <w:vAlign w:val="bottom"/>
            <w:gridSpan w:val="3"/>
          </w:tcPr>
          <w:p>
            <w:pPr>
              <w:spacing w:after="0" w:line="191" w:lineRule="exact"/>
              <w:rPr>
                <w:sz w:val="20"/>
                <w:szCs w:val="20"/>
                <w:color w:val="auto"/>
              </w:rPr>
            </w:pPr>
            <w:r>
              <w:rPr>
                <w:rFonts w:ascii="Arial" w:cs="Arial" w:eastAsia="Arial" w:hAnsi="Arial"/>
                <w:sz w:val="17"/>
                <w:szCs w:val="17"/>
                <w:color w:val="auto"/>
              </w:rPr>
              <w:t>advisement (approximate) ($bil)</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60" w:type="dxa"/>
            <w:vAlign w:val="bottom"/>
            <w:vMerge w:val="continue"/>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vMerge w:val="continue"/>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gridSpan w:val="5"/>
            <w:vMerge w:val="continue"/>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2660" w:type="dxa"/>
            <w:vAlign w:val="bottom"/>
            <w:tcBorders>
              <w:top w:val="single" w:sz="8" w:color="auto"/>
            </w:tcBorders>
            <w:shd w:val="clear" w:color="auto" w:fill="CCEEFF"/>
          </w:tcPr>
          <w:p>
            <w:pPr>
              <w:ind w:left="140"/>
              <w:spacing w:after="0" w:line="183" w:lineRule="exact"/>
              <w:rPr>
                <w:sz w:val="20"/>
                <w:szCs w:val="20"/>
                <w:color w:val="auto"/>
              </w:rPr>
            </w:pPr>
            <w:r>
              <w:rPr>
                <w:rFonts w:ascii="Arial" w:cs="Arial" w:eastAsia="Arial" w:hAnsi="Arial"/>
                <w:sz w:val="17"/>
                <w:szCs w:val="17"/>
                <w:color w:val="auto"/>
              </w:rPr>
              <w:t>Workplace Solutions</w:t>
            </w:r>
          </w:p>
        </w:tc>
        <w:tc>
          <w:tcPr>
            <w:tcW w:w="8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66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4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58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CCEEFF"/>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48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60" w:type="dxa"/>
            <w:vAlign w:val="bottom"/>
            <w:tcBorders>
              <w:top w:val="single" w:sz="8" w:color="auto"/>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4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auto"/>
            </w:tcBorders>
            <w:shd w:val="clear" w:color="auto" w:fill="CCEEFF"/>
          </w:tcPr>
          <w:p>
            <w:pPr>
              <w:spacing w:after="0"/>
              <w:rPr>
                <w:sz w:val="15"/>
                <w:szCs w:val="15"/>
                <w:color w:val="auto"/>
              </w:rPr>
            </w:pPr>
          </w:p>
        </w:tc>
        <w:tc>
          <w:tcPr>
            <w:tcW w:w="260" w:type="dxa"/>
            <w:vAlign w:val="bottom"/>
            <w:tcBorders>
              <w:top w:val="single" w:sz="8" w:color="CCEEFF"/>
            </w:tcBorders>
            <w:shd w:val="clear" w:color="auto" w:fill="CCEEFF"/>
          </w:tcPr>
          <w:p>
            <w:pPr>
              <w:spacing w:after="0"/>
              <w:rPr>
                <w:sz w:val="15"/>
                <w:szCs w:val="15"/>
                <w:color w:val="auto"/>
              </w:rPr>
            </w:pP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tcPr>
          <w:p>
            <w:pPr>
              <w:ind w:left="280"/>
              <w:spacing w:after="0" w:line="190" w:lineRule="exact"/>
              <w:rPr>
                <w:sz w:val="20"/>
                <w:szCs w:val="20"/>
                <w:color w:val="auto"/>
              </w:rPr>
            </w:pPr>
            <w:r>
              <w:rPr>
                <w:rFonts w:ascii="Arial" w:cs="Arial" w:eastAsia="Arial" w:hAnsi="Arial"/>
                <w:sz w:val="17"/>
                <w:szCs w:val="17"/>
                <w:color w:val="auto"/>
              </w:rPr>
              <w:t>Managed Accounts</w:t>
            </w:r>
          </w:p>
        </w:tc>
        <w:tc>
          <w:tcPr>
            <w:tcW w:w="160" w:type="dxa"/>
            <w:vAlign w:val="bottom"/>
            <w:gridSpan w:val="2"/>
          </w:tcPr>
          <w:p>
            <w:pPr>
              <w:jc w:val="right"/>
              <w:ind w:right="60"/>
              <w:spacing w:after="0" w:line="190" w:lineRule="exact"/>
              <w:rPr>
                <w:sz w:val="20"/>
                <w:szCs w:val="20"/>
                <w:color w:val="auto"/>
              </w:rPr>
            </w:pPr>
            <w:r>
              <w:rPr>
                <w:rFonts w:ascii="Arial" w:cs="Arial" w:eastAsia="Arial" w:hAnsi="Arial"/>
                <w:sz w:val="17"/>
                <w:szCs w:val="17"/>
                <w:color w:val="auto"/>
                <w:w w:val="84"/>
              </w:rPr>
              <w:t>$</w:t>
            </w:r>
          </w:p>
        </w:tc>
        <w:tc>
          <w:tcPr>
            <w:tcW w:w="100" w:type="dxa"/>
            <w:vAlign w:val="bottom"/>
          </w:tcPr>
          <w:p>
            <w:pPr>
              <w:spacing w:after="0"/>
              <w:rPr>
                <w:sz w:val="16"/>
                <w:szCs w:val="16"/>
                <w:color w:val="auto"/>
              </w:rPr>
            </w:pPr>
          </w:p>
        </w:tc>
        <w:tc>
          <w:tcPr>
            <w:tcW w:w="760" w:type="dxa"/>
            <w:vAlign w:val="bottom"/>
            <w:gridSpan w:val="3"/>
          </w:tcPr>
          <w:p>
            <w:pPr>
              <w:jc w:val="right"/>
              <w:ind w:right="80"/>
              <w:spacing w:after="0" w:line="190" w:lineRule="exact"/>
              <w:rPr>
                <w:sz w:val="20"/>
                <w:szCs w:val="20"/>
                <w:color w:val="auto"/>
              </w:rPr>
            </w:pPr>
            <w:r>
              <w:rPr>
                <w:rFonts w:ascii="Arial" w:cs="Arial" w:eastAsia="Arial" w:hAnsi="Arial"/>
                <w:sz w:val="17"/>
                <w:szCs w:val="17"/>
                <w:color w:val="auto"/>
              </w:rPr>
              <w:t>109.3</w:t>
            </w:r>
          </w:p>
        </w:tc>
        <w:tc>
          <w:tcPr>
            <w:tcW w:w="260" w:type="dxa"/>
            <w:vAlign w:val="bottom"/>
            <w:gridSpan w:val="3"/>
          </w:tcPr>
          <w:p>
            <w:pPr>
              <w:jc w:val="right"/>
              <w:spacing w:after="0" w:line="190" w:lineRule="exact"/>
              <w:rPr>
                <w:sz w:val="20"/>
                <w:szCs w:val="20"/>
                <w:color w:val="auto"/>
              </w:rPr>
            </w:pPr>
            <w:r>
              <w:rPr>
                <w:rFonts w:ascii="Arial" w:cs="Arial" w:eastAsia="Arial" w:hAnsi="Arial"/>
                <w:sz w:val="17"/>
                <w:szCs w:val="17"/>
                <w:color w:val="auto"/>
              </w:rPr>
              <w:t>$</w:t>
            </w:r>
          </w:p>
        </w:tc>
        <w:tc>
          <w:tcPr>
            <w:tcW w:w="840" w:type="dxa"/>
            <w:vAlign w:val="bottom"/>
            <w:gridSpan w:val="5"/>
          </w:tcPr>
          <w:p>
            <w:pPr>
              <w:jc w:val="right"/>
              <w:ind w:right="20"/>
              <w:spacing w:after="0" w:line="190" w:lineRule="exact"/>
              <w:rPr>
                <w:sz w:val="20"/>
                <w:szCs w:val="20"/>
                <w:color w:val="auto"/>
              </w:rPr>
            </w:pPr>
            <w:r>
              <w:rPr>
                <w:rFonts w:ascii="Arial" w:cs="Arial" w:eastAsia="Arial" w:hAnsi="Arial"/>
                <w:sz w:val="17"/>
                <w:szCs w:val="17"/>
                <w:color w:val="auto"/>
              </w:rPr>
              <w:t>111.1</w:t>
            </w:r>
          </w:p>
        </w:tc>
        <w:tc>
          <w:tcPr>
            <w:tcW w:w="1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40" w:type="dxa"/>
            <w:vAlign w:val="bottom"/>
            <w:gridSpan w:val="6"/>
          </w:tcPr>
          <w:p>
            <w:pPr>
              <w:jc w:val="right"/>
              <w:ind w:right="60"/>
              <w:spacing w:after="0" w:line="190" w:lineRule="exact"/>
              <w:rPr>
                <w:sz w:val="20"/>
                <w:szCs w:val="20"/>
                <w:color w:val="auto"/>
              </w:rPr>
            </w:pPr>
            <w:r>
              <w:rPr>
                <w:rFonts w:ascii="Arial" w:cs="Arial" w:eastAsia="Arial" w:hAnsi="Arial"/>
                <w:sz w:val="17"/>
                <w:szCs w:val="17"/>
                <w:color w:val="auto"/>
              </w:rPr>
              <w:t>(1.6)%</w:t>
            </w: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shd w:val="clear" w:color="auto" w:fill="CCEEFF"/>
          </w:tcPr>
          <w:p>
            <w:pPr>
              <w:ind w:left="280"/>
              <w:spacing w:after="0" w:line="190" w:lineRule="exact"/>
              <w:rPr>
                <w:sz w:val="20"/>
                <w:szCs w:val="20"/>
                <w:color w:val="auto"/>
              </w:rPr>
            </w:pPr>
            <w:r>
              <w:rPr>
                <w:rFonts w:ascii="Arial" w:cs="Arial" w:eastAsia="Arial" w:hAnsi="Arial"/>
                <w:sz w:val="17"/>
                <w:szCs w:val="17"/>
                <w:color w:val="auto"/>
              </w:rPr>
              <w:t>Fiduciary Services</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spacing w:after="0" w:line="190" w:lineRule="exact"/>
              <w:rPr>
                <w:sz w:val="20"/>
                <w:szCs w:val="20"/>
                <w:color w:val="auto"/>
              </w:rPr>
            </w:pPr>
            <w:r>
              <w:rPr>
                <w:rFonts w:ascii="Arial" w:cs="Arial" w:eastAsia="Arial" w:hAnsi="Arial"/>
                <w:sz w:val="17"/>
                <w:szCs w:val="17"/>
                <w:color w:val="auto"/>
              </w:rPr>
              <w:t>50.4</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gridSpan w:val="5"/>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60.2</w:t>
            </w:r>
          </w:p>
        </w:tc>
        <w:tc>
          <w:tcPr>
            <w:tcW w:w="16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640" w:type="dxa"/>
            <w:vAlign w:val="bottom"/>
            <w:gridSpan w:val="6"/>
            <w:shd w:val="clear" w:color="auto" w:fill="CCEEFF"/>
          </w:tcPr>
          <w:p>
            <w:pPr>
              <w:jc w:val="right"/>
              <w:ind w:right="60"/>
              <w:spacing w:after="0" w:line="190" w:lineRule="exact"/>
              <w:rPr>
                <w:sz w:val="20"/>
                <w:szCs w:val="20"/>
                <w:color w:val="auto"/>
              </w:rPr>
            </w:pPr>
            <w:r>
              <w:rPr>
                <w:rFonts w:ascii="Arial" w:cs="Arial" w:eastAsia="Arial" w:hAnsi="Arial"/>
                <w:sz w:val="17"/>
                <w:szCs w:val="17"/>
                <w:color w:val="auto"/>
                <w:w w:val="94"/>
              </w:rPr>
              <w:t>(16.3)%</w:t>
            </w: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740" w:type="dxa"/>
            <w:vAlign w:val="bottom"/>
            <w:gridSpan w:val="2"/>
          </w:tcPr>
          <w:p>
            <w:pPr>
              <w:ind w:left="280"/>
              <w:spacing w:after="0"/>
              <w:rPr>
                <w:sz w:val="20"/>
                <w:szCs w:val="20"/>
                <w:color w:val="auto"/>
              </w:rPr>
            </w:pPr>
            <w:r>
              <w:rPr>
                <w:rFonts w:ascii="Arial" w:cs="Arial" w:eastAsia="Arial" w:hAnsi="Arial"/>
                <w:sz w:val="17"/>
                <w:szCs w:val="17"/>
                <w:color w:val="auto"/>
              </w:rPr>
              <w:t>Custom Models/CIT</w:t>
            </w: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80" w:type="dxa"/>
            <w:vAlign w:val="bottom"/>
            <w:gridSpan w:val="2"/>
          </w:tcPr>
          <w:p>
            <w:pPr>
              <w:jc w:val="right"/>
              <w:spacing w:after="0"/>
              <w:rPr>
                <w:sz w:val="20"/>
                <w:szCs w:val="20"/>
                <w:color w:val="auto"/>
              </w:rPr>
            </w:pPr>
            <w:r>
              <w:rPr>
                <w:rFonts w:ascii="Arial" w:cs="Arial" w:eastAsia="Arial" w:hAnsi="Arial"/>
                <w:sz w:val="17"/>
                <w:szCs w:val="17"/>
                <w:color w:val="auto"/>
              </w:rPr>
              <w:t>34.9</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gridSpan w:val="5"/>
          </w:tcPr>
          <w:p>
            <w:pPr>
              <w:jc w:val="right"/>
              <w:ind w:right="20"/>
              <w:spacing w:after="0"/>
              <w:rPr>
                <w:sz w:val="20"/>
                <w:szCs w:val="20"/>
                <w:color w:val="auto"/>
              </w:rPr>
            </w:pPr>
            <w:r>
              <w:rPr>
                <w:rFonts w:ascii="Arial" w:cs="Arial" w:eastAsia="Arial" w:hAnsi="Arial"/>
                <w:sz w:val="17"/>
                <w:szCs w:val="17"/>
                <w:color w:val="auto"/>
              </w:rPr>
              <w:t>41.6</w:t>
            </w:r>
          </w:p>
        </w:tc>
        <w:tc>
          <w:tcPr>
            <w:tcW w:w="16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40" w:type="dxa"/>
            <w:vAlign w:val="bottom"/>
            <w:gridSpan w:val="6"/>
          </w:tcPr>
          <w:p>
            <w:pPr>
              <w:jc w:val="right"/>
              <w:ind w:right="60"/>
              <w:spacing w:after="0"/>
              <w:rPr>
                <w:sz w:val="20"/>
                <w:szCs w:val="20"/>
                <w:color w:val="auto"/>
              </w:rPr>
            </w:pPr>
            <w:r>
              <w:rPr>
                <w:rFonts w:ascii="Arial" w:cs="Arial" w:eastAsia="Arial" w:hAnsi="Arial"/>
                <w:sz w:val="17"/>
                <w:szCs w:val="17"/>
                <w:color w:val="auto"/>
                <w:w w:val="94"/>
              </w:rPr>
              <w:t>(16.1)%</w:t>
            </w:r>
          </w:p>
        </w:tc>
        <w:tc>
          <w:tcPr>
            <w:tcW w:w="2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2740" w:type="dxa"/>
            <w:vAlign w:val="bottom"/>
            <w:tcBorders>
              <w:top w:val="single" w:sz="8" w:color="CCEEFF"/>
            </w:tcBorders>
            <w:gridSpan w:val="2"/>
            <w:shd w:val="clear" w:color="auto" w:fill="CCEEFF"/>
          </w:tcPr>
          <w:p>
            <w:pPr>
              <w:ind w:left="140"/>
              <w:spacing w:after="0" w:line="183" w:lineRule="exact"/>
              <w:rPr>
                <w:sz w:val="20"/>
                <w:szCs w:val="20"/>
                <w:color w:val="auto"/>
              </w:rPr>
            </w:pPr>
            <w:r>
              <w:rPr>
                <w:rFonts w:ascii="Arial" w:cs="Arial" w:eastAsia="Arial" w:hAnsi="Arial"/>
                <w:sz w:val="17"/>
                <w:szCs w:val="17"/>
                <w:color w:val="auto"/>
              </w:rPr>
              <w:t>Workplace Solutions (total)</w:t>
            </w:r>
          </w:p>
        </w:tc>
        <w:tc>
          <w:tcPr>
            <w:tcW w:w="160" w:type="dxa"/>
            <w:vAlign w:val="bottom"/>
            <w:tcBorders>
              <w:top w:val="single" w:sz="8" w:color="auto"/>
              <w:bottom w:val="single" w:sz="8" w:color="auto"/>
            </w:tcBorders>
            <w:gridSpan w:val="2"/>
            <w:shd w:val="clear" w:color="auto" w:fill="CCEEFF"/>
          </w:tcPr>
          <w:p>
            <w:pPr>
              <w:jc w:val="right"/>
              <w:ind w:right="60"/>
              <w:spacing w:after="0" w:line="183" w:lineRule="exact"/>
              <w:rPr>
                <w:sz w:val="20"/>
                <w:szCs w:val="20"/>
                <w:color w:val="auto"/>
              </w:rPr>
            </w:pPr>
            <w:r>
              <w:rPr>
                <w:rFonts w:ascii="Arial" w:cs="Arial" w:eastAsia="Arial" w:hAnsi="Arial"/>
                <w:sz w:val="17"/>
                <w:szCs w:val="17"/>
                <w:color w:val="auto"/>
                <w:w w:val="84"/>
              </w:rPr>
              <w:t>$</w:t>
            </w:r>
          </w:p>
        </w:tc>
        <w:tc>
          <w:tcPr>
            <w:tcW w:w="100" w:type="dxa"/>
            <w:vAlign w:val="bottom"/>
            <w:tcBorders>
              <w:top w:val="single" w:sz="8" w:color="auto"/>
              <w:bottom w:val="single" w:sz="8" w:color="auto"/>
            </w:tcBorders>
            <w:shd w:val="clear" w:color="auto" w:fill="CCEEFF"/>
          </w:tcPr>
          <w:p>
            <w:pPr>
              <w:spacing w:after="0"/>
              <w:rPr>
                <w:sz w:val="15"/>
                <w:szCs w:val="15"/>
                <w:color w:val="auto"/>
              </w:rPr>
            </w:pPr>
          </w:p>
        </w:tc>
        <w:tc>
          <w:tcPr>
            <w:tcW w:w="680" w:type="dxa"/>
            <w:vAlign w:val="bottom"/>
            <w:tcBorders>
              <w:top w:val="single" w:sz="8" w:color="auto"/>
              <w:bottom w:val="single" w:sz="8" w:color="auto"/>
            </w:tcBorders>
            <w:gridSpan w:val="2"/>
            <w:shd w:val="clear" w:color="auto" w:fill="CCEEFF"/>
          </w:tcPr>
          <w:p>
            <w:pPr>
              <w:jc w:val="right"/>
              <w:spacing w:after="0" w:line="183" w:lineRule="exact"/>
              <w:rPr>
                <w:sz w:val="20"/>
                <w:szCs w:val="20"/>
                <w:color w:val="auto"/>
              </w:rPr>
            </w:pPr>
            <w:r>
              <w:rPr>
                <w:rFonts w:ascii="Arial" w:cs="Arial" w:eastAsia="Arial" w:hAnsi="Arial"/>
                <w:sz w:val="17"/>
                <w:szCs w:val="17"/>
                <w:color w:val="auto"/>
              </w:rPr>
              <w:t>194.6</w:t>
            </w:r>
          </w:p>
        </w:tc>
        <w:tc>
          <w:tcPr>
            <w:tcW w:w="8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CCEEFF"/>
            </w:tcBorders>
            <w:gridSpan w:val="2"/>
            <w:shd w:val="clear" w:color="auto" w:fill="CCEEFF"/>
          </w:tcPr>
          <w:p>
            <w:pPr>
              <w:spacing w:after="0"/>
              <w:rPr>
                <w:sz w:val="15"/>
                <w:szCs w:val="15"/>
                <w:color w:val="auto"/>
              </w:rPr>
            </w:pPr>
          </w:p>
        </w:tc>
        <w:tc>
          <w:tcPr>
            <w:tcW w:w="120" w:type="dxa"/>
            <w:vAlign w:val="bottom"/>
            <w:tcBorders>
              <w:top w:val="single" w:sz="8" w:color="auto"/>
              <w:bottom w:val="single" w:sz="8" w:color="auto"/>
            </w:tcBorders>
            <w:shd w:val="clear" w:color="auto" w:fill="CCEEFF"/>
          </w:tcPr>
          <w:p>
            <w:pPr>
              <w:jc w:val="right"/>
              <w:spacing w:after="0" w:line="183" w:lineRule="exact"/>
              <w:rPr>
                <w:sz w:val="20"/>
                <w:szCs w:val="20"/>
                <w:color w:val="auto"/>
              </w:rPr>
            </w:pPr>
            <w:r>
              <w:rPr>
                <w:rFonts w:ascii="Arial" w:cs="Arial" w:eastAsia="Arial" w:hAnsi="Arial"/>
                <w:sz w:val="17"/>
                <w:szCs w:val="17"/>
                <w:color w:val="auto"/>
                <w:w w:val="84"/>
              </w:rPr>
              <w:t>$</w:t>
            </w:r>
          </w:p>
        </w:tc>
        <w:tc>
          <w:tcPr>
            <w:tcW w:w="820" w:type="dxa"/>
            <w:vAlign w:val="bottom"/>
            <w:tcBorders>
              <w:top w:val="single" w:sz="8" w:color="auto"/>
              <w:bottom w:val="single" w:sz="8" w:color="auto"/>
            </w:tcBorders>
            <w:gridSpan w:val="4"/>
            <w:shd w:val="clear" w:color="auto" w:fill="CCEEFF"/>
          </w:tcPr>
          <w:p>
            <w:pPr>
              <w:jc w:val="right"/>
              <w:spacing w:after="0" w:line="183" w:lineRule="exact"/>
              <w:rPr>
                <w:sz w:val="20"/>
                <w:szCs w:val="20"/>
                <w:color w:val="auto"/>
              </w:rPr>
            </w:pPr>
            <w:r>
              <w:rPr>
                <w:rFonts w:ascii="Arial" w:cs="Arial" w:eastAsia="Arial" w:hAnsi="Arial"/>
                <w:sz w:val="17"/>
                <w:szCs w:val="17"/>
                <w:color w:val="auto"/>
              </w:rPr>
              <w:t>212.9</w:t>
            </w:r>
          </w:p>
        </w:tc>
        <w:tc>
          <w:tcPr>
            <w:tcW w:w="20" w:type="dxa"/>
            <w:vAlign w:val="bottom"/>
            <w:tcBorders>
              <w:top w:val="single" w:sz="8" w:color="CCEEFF"/>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480" w:type="dxa"/>
            <w:vAlign w:val="bottom"/>
            <w:tcBorders>
              <w:top w:val="single" w:sz="8" w:color="CCEEFF"/>
            </w:tcBorders>
            <w:shd w:val="clear" w:color="auto" w:fill="CCEEFF"/>
          </w:tcPr>
          <w:p>
            <w:pPr>
              <w:spacing w:after="0"/>
              <w:rPr>
                <w:sz w:val="15"/>
                <w:szCs w:val="15"/>
                <w:color w:val="auto"/>
              </w:rPr>
            </w:pPr>
          </w:p>
        </w:tc>
        <w:tc>
          <w:tcPr>
            <w:tcW w:w="20" w:type="dxa"/>
            <w:vAlign w:val="bottom"/>
            <w:tcBorders>
              <w:top w:val="single" w:sz="8" w:color="CCEEFF"/>
            </w:tcBorders>
            <w:shd w:val="clear" w:color="auto" w:fill="CCEEFF"/>
          </w:tcPr>
          <w:p>
            <w:pPr>
              <w:spacing w:after="0"/>
              <w:rPr>
                <w:sz w:val="15"/>
                <w:szCs w:val="15"/>
                <w:color w:val="auto"/>
              </w:rPr>
            </w:pPr>
          </w:p>
        </w:tc>
        <w:tc>
          <w:tcPr>
            <w:tcW w:w="640" w:type="dxa"/>
            <w:vAlign w:val="bottom"/>
            <w:tcBorders>
              <w:top w:val="single" w:sz="8" w:color="CCEEFF"/>
            </w:tcBorders>
            <w:gridSpan w:val="6"/>
            <w:shd w:val="clear" w:color="auto" w:fill="CCEEFF"/>
          </w:tcPr>
          <w:p>
            <w:pPr>
              <w:jc w:val="right"/>
              <w:ind w:right="60"/>
              <w:spacing w:after="0" w:line="183" w:lineRule="exact"/>
              <w:rPr>
                <w:sz w:val="20"/>
                <w:szCs w:val="20"/>
                <w:color w:val="auto"/>
              </w:rPr>
            </w:pPr>
            <w:r>
              <w:rPr>
                <w:rFonts w:ascii="Arial" w:cs="Arial" w:eastAsia="Arial" w:hAnsi="Arial"/>
                <w:sz w:val="17"/>
                <w:szCs w:val="17"/>
                <w:color w:val="auto"/>
              </w:rPr>
              <w:t>(8.6)%</w:t>
            </w: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2740" w:type="dxa"/>
            <w:vAlign w:val="bottom"/>
            <w:gridSpan w:val="2"/>
          </w:tcPr>
          <w:p>
            <w:pPr>
              <w:ind w:left="140"/>
              <w:spacing w:after="0" w:line="183" w:lineRule="exact"/>
              <w:rPr>
                <w:sz w:val="20"/>
                <w:szCs w:val="20"/>
                <w:color w:val="auto"/>
              </w:rPr>
            </w:pPr>
            <w:r>
              <w:rPr>
                <w:rFonts w:ascii="Arial" w:cs="Arial" w:eastAsia="Arial" w:hAnsi="Arial"/>
                <w:sz w:val="17"/>
                <w:szCs w:val="17"/>
                <w:color w:val="auto"/>
              </w:rPr>
              <w:t>Investment Management</w:t>
            </w: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2740" w:type="dxa"/>
            <w:vAlign w:val="bottom"/>
            <w:gridSpan w:val="2"/>
            <w:shd w:val="clear" w:color="auto" w:fill="CCEEFF"/>
          </w:tcPr>
          <w:p>
            <w:pPr>
              <w:ind w:left="280"/>
              <w:spacing w:after="0" w:line="189" w:lineRule="exact"/>
              <w:rPr>
                <w:sz w:val="20"/>
                <w:szCs w:val="20"/>
                <w:color w:val="auto"/>
              </w:rPr>
            </w:pPr>
            <w:r>
              <w:rPr>
                <w:rFonts w:ascii="Arial" w:cs="Arial" w:eastAsia="Arial" w:hAnsi="Arial"/>
                <w:sz w:val="17"/>
                <w:szCs w:val="17"/>
                <w:color w:val="auto"/>
              </w:rPr>
              <w:t>Morningstar Managed</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2740" w:type="dxa"/>
            <w:vAlign w:val="bottom"/>
            <w:gridSpan w:val="2"/>
            <w:shd w:val="clear" w:color="auto" w:fill="CCEEFF"/>
          </w:tcPr>
          <w:p>
            <w:pPr>
              <w:ind w:left="280"/>
              <w:spacing w:after="0" w:line="191" w:lineRule="exact"/>
              <w:rPr>
                <w:sz w:val="20"/>
                <w:szCs w:val="20"/>
                <w:color w:val="auto"/>
              </w:rPr>
            </w:pPr>
            <w:r>
              <w:rPr>
                <w:rFonts w:ascii="Arial" w:cs="Arial" w:eastAsia="Arial" w:hAnsi="Arial"/>
                <w:sz w:val="17"/>
                <w:szCs w:val="17"/>
                <w:color w:val="auto"/>
              </w:rPr>
              <w:t>Portfolios</w:t>
            </w:r>
          </w:p>
        </w:tc>
        <w:tc>
          <w:tcPr>
            <w:tcW w:w="160" w:type="dxa"/>
            <w:vAlign w:val="bottom"/>
            <w:gridSpan w:val="2"/>
            <w:shd w:val="clear" w:color="auto" w:fill="CCEEFF"/>
          </w:tcPr>
          <w:p>
            <w:pPr>
              <w:jc w:val="right"/>
              <w:ind w:right="60"/>
              <w:spacing w:after="0" w:line="191" w:lineRule="exact"/>
              <w:rPr>
                <w:sz w:val="20"/>
                <w:szCs w:val="20"/>
                <w:color w:val="auto"/>
              </w:rPr>
            </w:pPr>
            <w:r>
              <w:rPr>
                <w:rFonts w:ascii="Arial" w:cs="Arial" w:eastAsia="Arial" w:hAnsi="Arial"/>
                <w:sz w:val="17"/>
                <w:szCs w:val="17"/>
                <w:color w:val="auto"/>
                <w:w w:val="84"/>
              </w:rPr>
              <w:t>$</w:t>
            </w:r>
          </w:p>
        </w:tc>
        <w:tc>
          <w:tcPr>
            <w:tcW w:w="10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spacing w:after="0" w:line="191" w:lineRule="exact"/>
              <w:rPr>
                <w:sz w:val="20"/>
                <w:szCs w:val="20"/>
                <w:color w:val="auto"/>
              </w:rPr>
            </w:pPr>
            <w:r>
              <w:rPr>
                <w:rFonts w:ascii="Arial" w:cs="Arial" w:eastAsia="Arial" w:hAnsi="Arial"/>
                <w:sz w:val="17"/>
                <w:szCs w:val="17"/>
                <w:color w:val="auto"/>
              </w:rPr>
              <w:t>32.6</w:t>
            </w:r>
          </w:p>
        </w:tc>
        <w:tc>
          <w:tcPr>
            <w:tcW w:w="80" w:type="dxa"/>
            <w:vAlign w:val="bottom"/>
            <w:shd w:val="clear" w:color="auto" w:fill="CCEEFF"/>
          </w:tcPr>
          <w:p>
            <w:pPr>
              <w:spacing w:after="0"/>
              <w:rPr>
                <w:sz w:val="16"/>
                <w:szCs w:val="16"/>
                <w:color w:val="auto"/>
              </w:rPr>
            </w:pPr>
          </w:p>
        </w:tc>
        <w:tc>
          <w:tcPr>
            <w:tcW w:w="260" w:type="dxa"/>
            <w:vAlign w:val="bottom"/>
            <w:gridSpan w:val="3"/>
            <w:shd w:val="clear" w:color="auto" w:fill="CCEEFF"/>
          </w:tcPr>
          <w:p>
            <w:pPr>
              <w:jc w:val="right"/>
              <w:spacing w:after="0" w:line="191" w:lineRule="exact"/>
              <w:rPr>
                <w:sz w:val="20"/>
                <w:szCs w:val="20"/>
                <w:color w:val="auto"/>
              </w:rPr>
            </w:pPr>
            <w:r>
              <w:rPr>
                <w:rFonts w:ascii="Arial" w:cs="Arial" w:eastAsia="Arial" w:hAnsi="Arial"/>
                <w:sz w:val="17"/>
                <w:szCs w:val="17"/>
                <w:color w:val="auto"/>
              </w:rPr>
              <w:t>$</w:t>
            </w:r>
          </w:p>
        </w:tc>
        <w:tc>
          <w:tcPr>
            <w:tcW w:w="840" w:type="dxa"/>
            <w:vAlign w:val="bottom"/>
            <w:gridSpan w:val="5"/>
            <w:shd w:val="clear" w:color="auto" w:fill="CCEEFF"/>
          </w:tcPr>
          <w:p>
            <w:pPr>
              <w:jc w:val="right"/>
              <w:ind w:right="20"/>
              <w:spacing w:after="0" w:line="191" w:lineRule="exact"/>
              <w:rPr>
                <w:sz w:val="20"/>
                <w:szCs w:val="20"/>
                <w:color w:val="auto"/>
              </w:rPr>
            </w:pPr>
            <w:r>
              <w:rPr>
                <w:rFonts w:ascii="Arial" w:cs="Arial" w:eastAsia="Arial" w:hAnsi="Arial"/>
                <w:sz w:val="17"/>
                <w:szCs w:val="17"/>
                <w:color w:val="auto"/>
              </w:rPr>
              <w:t>32.4</w:t>
            </w:r>
          </w:p>
        </w:tc>
        <w:tc>
          <w:tcPr>
            <w:tcW w:w="16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640" w:type="dxa"/>
            <w:vAlign w:val="bottom"/>
            <w:gridSpan w:val="6"/>
            <w:shd w:val="clear" w:color="auto" w:fill="CCEEFF"/>
          </w:tcPr>
          <w:p>
            <w:pPr>
              <w:jc w:val="right"/>
              <w:ind w:right="100"/>
              <w:spacing w:after="0" w:line="191" w:lineRule="exact"/>
              <w:rPr>
                <w:sz w:val="20"/>
                <w:szCs w:val="20"/>
                <w:color w:val="auto"/>
              </w:rPr>
            </w:pPr>
            <w:r>
              <w:rPr>
                <w:rFonts w:ascii="Arial" w:cs="Arial" w:eastAsia="Arial" w:hAnsi="Arial"/>
                <w:sz w:val="17"/>
                <w:szCs w:val="17"/>
                <w:color w:val="auto"/>
              </w:rPr>
              <w:t>0.6%</w:t>
            </w: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tcPr>
          <w:p>
            <w:pPr>
              <w:ind w:left="280"/>
              <w:spacing w:after="0" w:line="190" w:lineRule="exact"/>
              <w:rPr>
                <w:sz w:val="20"/>
                <w:szCs w:val="20"/>
                <w:color w:val="auto"/>
              </w:rPr>
            </w:pPr>
            <w:r>
              <w:rPr>
                <w:rFonts w:ascii="Arial" w:cs="Arial" w:eastAsia="Arial" w:hAnsi="Arial"/>
                <w:sz w:val="17"/>
                <w:szCs w:val="17"/>
                <w:color w:val="auto"/>
              </w:rPr>
              <w:t>Institutional Asset Management</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60" w:type="dxa"/>
            <w:vAlign w:val="bottom"/>
            <w:gridSpan w:val="3"/>
          </w:tcPr>
          <w:p>
            <w:pPr>
              <w:jc w:val="right"/>
              <w:ind w:right="80"/>
              <w:spacing w:after="0" w:line="190" w:lineRule="exact"/>
              <w:rPr>
                <w:sz w:val="20"/>
                <w:szCs w:val="20"/>
                <w:color w:val="auto"/>
              </w:rPr>
            </w:pPr>
            <w:r>
              <w:rPr>
                <w:rFonts w:ascii="Arial" w:cs="Arial" w:eastAsia="Arial" w:hAnsi="Arial"/>
                <w:sz w:val="17"/>
                <w:szCs w:val="17"/>
                <w:color w:val="auto"/>
              </w:rPr>
              <w:t>9.8</w:t>
            </w: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gridSpan w:val="5"/>
          </w:tcPr>
          <w:p>
            <w:pPr>
              <w:jc w:val="right"/>
              <w:ind w:right="20"/>
              <w:spacing w:after="0" w:line="190" w:lineRule="exact"/>
              <w:rPr>
                <w:sz w:val="20"/>
                <w:szCs w:val="20"/>
                <w:color w:val="auto"/>
              </w:rPr>
            </w:pPr>
            <w:r>
              <w:rPr>
                <w:rFonts w:ascii="Arial" w:cs="Arial" w:eastAsia="Arial" w:hAnsi="Arial"/>
                <w:sz w:val="17"/>
                <w:szCs w:val="17"/>
                <w:color w:val="auto"/>
              </w:rPr>
              <w:t>11.8</w:t>
            </w:r>
          </w:p>
        </w:tc>
        <w:tc>
          <w:tcPr>
            <w:tcW w:w="1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40" w:type="dxa"/>
            <w:vAlign w:val="bottom"/>
            <w:gridSpan w:val="6"/>
          </w:tcPr>
          <w:p>
            <w:pPr>
              <w:jc w:val="right"/>
              <w:ind w:right="60"/>
              <w:spacing w:after="0" w:line="190" w:lineRule="exact"/>
              <w:rPr>
                <w:sz w:val="20"/>
                <w:szCs w:val="20"/>
                <w:color w:val="auto"/>
              </w:rPr>
            </w:pPr>
            <w:r>
              <w:rPr>
                <w:rFonts w:ascii="Arial" w:cs="Arial" w:eastAsia="Arial" w:hAnsi="Arial"/>
                <w:sz w:val="17"/>
                <w:szCs w:val="17"/>
                <w:color w:val="auto"/>
                <w:w w:val="94"/>
              </w:rPr>
              <w:t>(16.9)%</w:t>
            </w: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2740" w:type="dxa"/>
            <w:vAlign w:val="bottom"/>
            <w:gridSpan w:val="2"/>
            <w:shd w:val="clear" w:color="auto" w:fill="CCEEFF"/>
          </w:tcPr>
          <w:p>
            <w:pPr>
              <w:ind w:left="280"/>
              <w:spacing w:after="0"/>
              <w:rPr>
                <w:sz w:val="20"/>
                <w:szCs w:val="20"/>
                <w:color w:val="auto"/>
              </w:rPr>
            </w:pPr>
            <w:r>
              <w:rPr>
                <w:rFonts w:ascii="Arial" w:cs="Arial" w:eastAsia="Arial" w:hAnsi="Arial"/>
                <w:sz w:val="17"/>
                <w:szCs w:val="17"/>
                <w:color w:val="auto"/>
              </w:rPr>
              <w:t>Asset Allocation Services</w:t>
            </w:r>
          </w:p>
        </w:tc>
        <w:tc>
          <w:tcPr>
            <w:tcW w:w="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60" w:type="dxa"/>
            <w:vAlign w:val="bottom"/>
            <w:gridSpan w:val="3"/>
            <w:shd w:val="clear" w:color="auto" w:fill="CCEEFF"/>
          </w:tcPr>
          <w:p>
            <w:pPr>
              <w:jc w:val="right"/>
              <w:ind w:right="80"/>
              <w:spacing w:after="0"/>
              <w:rPr>
                <w:sz w:val="20"/>
                <w:szCs w:val="20"/>
                <w:color w:val="auto"/>
              </w:rPr>
            </w:pPr>
            <w:r>
              <w:rPr>
                <w:rFonts w:ascii="Arial" w:cs="Arial" w:eastAsia="Arial" w:hAnsi="Arial"/>
                <w:sz w:val="17"/>
                <w:szCs w:val="17"/>
                <w:color w:val="auto"/>
              </w:rPr>
              <w:t>8.5</w:t>
            </w:r>
          </w:p>
        </w:tc>
        <w:tc>
          <w:tcPr>
            <w:tcW w:w="10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40" w:type="dxa"/>
            <w:vAlign w:val="bottom"/>
            <w:gridSpan w:val="5"/>
            <w:shd w:val="clear" w:color="auto" w:fill="CCEEFF"/>
          </w:tcPr>
          <w:p>
            <w:pPr>
              <w:jc w:val="right"/>
              <w:ind w:right="20"/>
              <w:spacing w:after="0"/>
              <w:rPr>
                <w:sz w:val="20"/>
                <w:szCs w:val="20"/>
                <w:color w:val="auto"/>
              </w:rPr>
            </w:pPr>
            <w:r>
              <w:rPr>
                <w:rFonts w:ascii="Arial" w:cs="Arial" w:eastAsia="Arial" w:hAnsi="Arial"/>
                <w:sz w:val="17"/>
                <w:szCs w:val="17"/>
                <w:color w:val="auto"/>
              </w:rPr>
              <w:t>8.0</w:t>
            </w:r>
          </w:p>
        </w:tc>
        <w:tc>
          <w:tcPr>
            <w:tcW w:w="1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640" w:type="dxa"/>
            <w:vAlign w:val="bottom"/>
            <w:gridSpan w:val="6"/>
            <w:shd w:val="clear" w:color="auto" w:fill="CCEEFF"/>
          </w:tcPr>
          <w:p>
            <w:pPr>
              <w:jc w:val="right"/>
              <w:ind w:right="100"/>
              <w:spacing w:after="0"/>
              <w:rPr>
                <w:sz w:val="20"/>
                <w:szCs w:val="20"/>
                <w:color w:val="auto"/>
              </w:rPr>
            </w:pPr>
            <w:r>
              <w:rPr>
                <w:rFonts w:ascii="Arial" w:cs="Arial" w:eastAsia="Arial" w:hAnsi="Arial"/>
                <w:sz w:val="17"/>
                <w:szCs w:val="17"/>
                <w:color w:val="auto"/>
              </w:rPr>
              <w:t>6.3%</w:t>
            </w:r>
          </w:p>
        </w:tc>
        <w:tc>
          <w:tcPr>
            <w:tcW w:w="2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2740" w:type="dxa"/>
            <w:vAlign w:val="bottom"/>
            <w:tcBorders>
              <w:bottom w:val="single" w:sz="8" w:color="CCEEFF"/>
            </w:tcBorders>
            <w:gridSpan w:val="2"/>
          </w:tcPr>
          <w:p>
            <w:pPr>
              <w:ind w:left="140"/>
              <w:spacing w:after="0" w:line="183" w:lineRule="exact"/>
              <w:rPr>
                <w:sz w:val="20"/>
                <w:szCs w:val="20"/>
                <w:color w:val="auto"/>
              </w:rPr>
            </w:pPr>
            <w:r>
              <w:rPr>
                <w:rFonts w:ascii="Arial" w:cs="Arial" w:eastAsia="Arial" w:hAnsi="Arial"/>
                <w:sz w:val="17"/>
                <w:szCs w:val="17"/>
                <w:color w:val="auto"/>
              </w:rPr>
              <w:t>Investment Management (total)</w:t>
            </w:r>
          </w:p>
        </w:tc>
        <w:tc>
          <w:tcPr>
            <w:tcW w:w="160" w:type="dxa"/>
            <w:vAlign w:val="bottom"/>
            <w:tcBorders>
              <w:top w:val="single" w:sz="8" w:color="auto"/>
              <w:bottom w:val="single" w:sz="8" w:color="auto"/>
            </w:tcBorders>
            <w:gridSpan w:val="2"/>
          </w:tcPr>
          <w:p>
            <w:pPr>
              <w:jc w:val="right"/>
              <w:ind w:right="60"/>
              <w:spacing w:after="0" w:line="183" w:lineRule="exact"/>
              <w:rPr>
                <w:sz w:val="20"/>
                <w:szCs w:val="20"/>
                <w:color w:val="auto"/>
              </w:rPr>
            </w:pPr>
            <w:r>
              <w:rPr>
                <w:rFonts w:ascii="Arial" w:cs="Arial" w:eastAsia="Arial" w:hAnsi="Arial"/>
                <w:sz w:val="17"/>
                <w:szCs w:val="17"/>
                <w:color w:val="auto"/>
                <w:w w:val="84"/>
              </w:rPr>
              <w:t>$</w:t>
            </w:r>
          </w:p>
        </w:tc>
        <w:tc>
          <w:tcPr>
            <w:tcW w:w="100" w:type="dxa"/>
            <w:vAlign w:val="bottom"/>
            <w:tcBorders>
              <w:top w:val="single" w:sz="8" w:color="auto"/>
              <w:bottom w:val="single" w:sz="8" w:color="auto"/>
            </w:tcBorders>
          </w:tcPr>
          <w:p>
            <w:pPr>
              <w:spacing w:after="0"/>
              <w:rPr>
                <w:sz w:val="15"/>
                <w:szCs w:val="15"/>
                <w:color w:val="auto"/>
              </w:rPr>
            </w:pPr>
          </w:p>
        </w:tc>
        <w:tc>
          <w:tcPr>
            <w:tcW w:w="680" w:type="dxa"/>
            <w:vAlign w:val="bottom"/>
            <w:tcBorders>
              <w:top w:val="single" w:sz="8" w:color="auto"/>
              <w:bottom w:val="single" w:sz="8" w:color="auto"/>
            </w:tcBorders>
            <w:gridSpan w:val="2"/>
          </w:tcPr>
          <w:p>
            <w:pPr>
              <w:jc w:val="right"/>
              <w:spacing w:after="0" w:line="183" w:lineRule="exact"/>
              <w:rPr>
                <w:sz w:val="20"/>
                <w:szCs w:val="20"/>
                <w:color w:val="auto"/>
              </w:rPr>
            </w:pPr>
            <w:r>
              <w:rPr>
                <w:rFonts w:ascii="Arial" w:cs="Arial" w:eastAsia="Arial" w:hAnsi="Arial"/>
                <w:sz w:val="17"/>
                <w:szCs w:val="17"/>
                <w:color w:val="auto"/>
              </w:rPr>
              <w:t>50.9</w:t>
            </w:r>
          </w:p>
        </w:tc>
        <w:tc>
          <w:tcPr>
            <w:tcW w:w="80" w:type="dxa"/>
            <w:vAlign w:val="bottom"/>
            <w:tcBorders>
              <w:bottom w:val="single" w:sz="8" w:color="CCEEFF"/>
            </w:tcBorders>
          </w:tcPr>
          <w:p>
            <w:pPr>
              <w:spacing w:after="0"/>
              <w:rPr>
                <w:sz w:val="15"/>
                <w:szCs w:val="15"/>
                <w:color w:val="auto"/>
              </w:rPr>
            </w:pPr>
          </w:p>
        </w:tc>
        <w:tc>
          <w:tcPr>
            <w:tcW w:w="140" w:type="dxa"/>
            <w:vAlign w:val="bottom"/>
            <w:tcBorders>
              <w:bottom w:val="single" w:sz="8" w:color="CCEEFF"/>
            </w:tcBorders>
            <w:gridSpan w:val="2"/>
          </w:tcPr>
          <w:p>
            <w:pPr>
              <w:spacing w:after="0"/>
              <w:rPr>
                <w:sz w:val="15"/>
                <w:szCs w:val="15"/>
                <w:color w:val="auto"/>
              </w:rPr>
            </w:pPr>
          </w:p>
        </w:tc>
        <w:tc>
          <w:tcPr>
            <w:tcW w:w="120" w:type="dxa"/>
            <w:vAlign w:val="bottom"/>
            <w:tcBorders>
              <w:top w:val="single" w:sz="8" w:color="auto"/>
              <w:bottom w:val="single" w:sz="8" w:color="auto"/>
            </w:tcBorders>
          </w:tcPr>
          <w:p>
            <w:pPr>
              <w:jc w:val="right"/>
              <w:spacing w:after="0" w:line="183" w:lineRule="exact"/>
              <w:rPr>
                <w:sz w:val="20"/>
                <w:szCs w:val="20"/>
                <w:color w:val="auto"/>
              </w:rPr>
            </w:pPr>
            <w:r>
              <w:rPr>
                <w:rFonts w:ascii="Arial" w:cs="Arial" w:eastAsia="Arial" w:hAnsi="Arial"/>
                <w:sz w:val="17"/>
                <w:szCs w:val="17"/>
                <w:color w:val="auto"/>
                <w:w w:val="84"/>
              </w:rPr>
              <w:t>$</w:t>
            </w:r>
          </w:p>
        </w:tc>
        <w:tc>
          <w:tcPr>
            <w:tcW w:w="820" w:type="dxa"/>
            <w:vAlign w:val="bottom"/>
            <w:tcBorders>
              <w:top w:val="single" w:sz="8" w:color="auto"/>
              <w:bottom w:val="single" w:sz="8" w:color="auto"/>
            </w:tcBorders>
            <w:gridSpan w:val="4"/>
          </w:tcPr>
          <w:p>
            <w:pPr>
              <w:jc w:val="right"/>
              <w:spacing w:after="0" w:line="183" w:lineRule="exact"/>
              <w:rPr>
                <w:sz w:val="20"/>
                <w:szCs w:val="20"/>
                <w:color w:val="auto"/>
              </w:rPr>
            </w:pPr>
            <w:r>
              <w:rPr>
                <w:rFonts w:ascii="Arial" w:cs="Arial" w:eastAsia="Arial" w:hAnsi="Arial"/>
                <w:sz w:val="17"/>
                <w:szCs w:val="17"/>
                <w:color w:val="auto"/>
              </w:rPr>
              <w:t>52.2</w:t>
            </w:r>
          </w:p>
        </w:tc>
        <w:tc>
          <w:tcPr>
            <w:tcW w:w="20" w:type="dxa"/>
            <w:vAlign w:val="bottom"/>
            <w:tcBorders>
              <w:bottom w:val="single" w:sz="8" w:color="CCEEFF"/>
            </w:tcBorders>
          </w:tcPr>
          <w:p>
            <w:pPr>
              <w:spacing w:after="0"/>
              <w:rPr>
                <w:sz w:val="15"/>
                <w:szCs w:val="15"/>
                <w:color w:val="auto"/>
              </w:rPr>
            </w:pPr>
          </w:p>
        </w:tc>
        <w:tc>
          <w:tcPr>
            <w:tcW w:w="160" w:type="dxa"/>
            <w:vAlign w:val="bottom"/>
            <w:tcBorders>
              <w:bottom w:val="single" w:sz="8" w:color="CCEEFF"/>
            </w:tcBorders>
          </w:tcPr>
          <w:p>
            <w:pPr>
              <w:spacing w:after="0"/>
              <w:rPr>
                <w:sz w:val="15"/>
                <w:szCs w:val="15"/>
                <w:color w:val="auto"/>
              </w:rPr>
            </w:pPr>
          </w:p>
        </w:tc>
        <w:tc>
          <w:tcPr>
            <w:tcW w:w="480" w:type="dxa"/>
            <w:vAlign w:val="bottom"/>
            <w:tcBorders>
              <w:bottom w:val="single" w:sz="8" w:color="CCEEFF"/>
            </w:tcBorders>
          </w:tcPr>
          <w:p>
            <w:pPr>
              <w:spacing w:after="0"/>
              <w:rPr>
                <w:sz w:val="15"/>
                <w:szCs w:val="15"/>
                <w:color w:val="auto"/>
              </w:rPr>
            </w:pPr>
          </w:p>
        </w:tc>
        <w:tc>
          <w:tcPr>
            <w:tcW w:w="20" w:type="dxa"/>
            <w:vAlign w:val="bottom"/>
            <w:tcBorders>
              <w:bottom w:val="single" w:sz="8" w:color="CCEEFF"/>
            </w:tcBorders>
          </w:tcPr>
          <w:p>
            <w:pPr>
              <w:spacing w:after="0"/>
              <w:rPr>
                <w:sz w:val="15"/>
                <w:szCs w:val="15"/>
                <w:color w:val="auto"/>
              </w:rPr>
            </w:pPr>
          </w:p>
        </w:tc>
        <w:tc>
          <w:tcPr>
            <w:tcW w:w="640" w:type="dxa"/>
            <w:vAlign w:val="bottom"/>
            <w:tcBorders>
              <w:bottom w:val="single" w:sz="8" w:color="CCEEFF"/>
            </w:tcBorders>
            <w:gridSpan w:val="6"/>
          </w:tcPr>
          <w:p>
            <w:pPr>
              <w:jc w:val="right"/>
              <w:ind w:right="60"/>
              <w:spacing w:after="0" w:line="183" w:lineRule="exact"/>
              <w:rPr>
                <w:sz w:val="20"/>
                <w:szCs w:val="20"/>
                <w:color w:val="auto"/>
              </w:rPr>
            </w:pPr>
            <w:r>
              <w:rPr>
                <w:rFonts w:ascii="Arial" w:cs="Arial" w:eastAsia="Arial" w:hAnsi="Arial"/>
                <w:sz w:val="17"/>
                <w:szCs w:val="17"/>
                <w:color w:val="auto"/>
              </w:rPr>
              <w:t>(2.5)%</w:t>
            </w: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3"/>
        </w:trPr>
        <w:tc>
          <w:tcPr>
            <w:tcW w:w="20" w:type="dxa"/>
            <w:vAlign w:val="bottom"/>
            <w:vMerge w:val="restart"/>
          </w:tcPr>
          <w:p>
            <w:pPr>
              <w:spacing w:after="0"/>
              <w:rPr>
                <w:sz w:val="15"/>
                <w:szCs w:val="15"/>
                <w:color w:val="auto"/>
              </w:rPr>
            </w:pPr>
          </w:p>
        </w:tc>
        <w:tc>
          <w:tcPr>
            <w:tcW w:w="26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48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20" w:type="dxa"/>
            <w:vAlign w:val="bottom"/>
            <w:vMerge w:val="continue"/>
          </w:tcPr>
          <w:p>
            <w:pPr>
              <w:spacing w:after="0"/>
              <w:rPr>
                <w:sz w:val="16"/>
                <w:szCs w:val="16"/>
                <w:color w:val="auto"/>
              </w:rPr>
            </w:pPr>
          </w:p>
        </w:tc>
        <w:tc>
          <w:tcPr>
            <w:tcW w:w="2740" w:type="dxa"/>
            <w:vAlign w:val="bottom"/>
            <w:gridSpan w:val="2"/>
          </w:tcPr>
          <w:p>
            <w:pPr>
              <w:spacing w:after="0" w:line="189" w:lineRule="exact"/>
              <w:rPr>
                <w:sz w:val="20"/>
                <w:szCs w:val="20"/>
                <w:color w:val="auto"/>
              </w:rPr>
            </w:pPr>
            <w:r>
              <w:rPr>
                <w:rFonts w:ascii="Arial" w:cs="Arial" w:eastAsia="Arial" w:hAnsi="Arial"/>
                <w:sz w:val="17"/>
                <w:szCs w:val="17"/>
                <w:color w:val="auto"/>
              </w:rPr>
              <w:t>Asset value linked to Morningstar</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1"/>
        </w:trPr>
        <w:tc>
          <w:tcPr>
            <w:tcW w:w="2760" w:type="dxa"/>
            <w:vAlign w:val="bottom"/>
            <w:gridSpan w:val="3"/>
          </w:tcPr>
          <w:p>
            <w:pPr>
              <w:spacing w:after="0" w:line="191" w:lineRule="exact"/>
              <w:rPr>
                <w:sz w:val="20"/>
                <w:szCs w:val="20"/>
                <w:color w:val="auto"/>
              </w:rPr>
            </w:pPr>
            <w:r>
              <w:rPr>
                <w:rFonts w:ascii="Arial" w:cs="Arial" w:eastAsia="Arial" w:hAnsi="Arial"/>
                <w:sz w:val="17"/>
                <w:szCs w:val="17"/>
                <w:color w:val="auto"/>
              </w:rPr>
              <w:t>Indexes ($bil)</w:t>
            </w:r>
          </w:p>
        </w:tc>
        <w:tc>
          <w:tcPr>
            <w:tcW w:w="160" w:type="dxa"/>
            <w:vAlign w:val="bottom"/>
            <w:gridSpan w:val="2"/>
          </w:tcPr>
          <w:p>
            <w:pPr>
              <w:jc w:val="right"/>
              <w:ind w:right="60"/>
              <w:spacing w:after="0" w:line="191" w:lineRule="exact"/>
              <w:rPr>
                <w:sz w:val="20"/>
                <w:szCs w:val="20"/>
                <w:color w:val="auto"/>
              </w:rPr>
            </w:pPr>
            <w:r>
              <w:rPr>
                <w:rFonts w:ascii="Arial" w:cs="Arial" w:eastAsia="Arial" w:hAnsi="Arial"/>
                <w:sz w:val="17"/>
                <w:szCs w:val="17"/>
                <w:color w:val="auto"/>
                <w:w w:val="84"/>
              </w:rPr>
              <w:t>$</w:t>
            </w:r>
          </w:p>
        </w:tc>
        <w:tc>
          <w:tcPr>
            <w:tcW w:w="100" w:type="dxa"/>
            <w:vAlign w:val="bottom"/>
          </w:tcPr>
          <w:p>
            <w:pPr>
              <w:spacing w:after="0"/>
              <w:rPr>
                <w:sz w:val="16"/>
                <w:szCs w:val="16"/>
                <w:color w:val="auto"/>
              </w:rPr>
            </w:pPr>
          </w:p>
        </w:tc>
        <w:tc>
          <w:tcPr>
            <w:tcW w:w="760" w:type="dxa"/>
            <w:vAlign w:val="bottom"/>
            <w:gridSpan w:val="3"/>
          </w:tcPr>
          <w:p>
            <w:pPr>
              <w:jc w:val="right"/>
              <w:ind w:right="80"/>
              <w:spacing w:after="0" w:line="191" w:lineRule="exact"/>
              <w:rPr>
                <w:sz w:val="20"/>
                <w:szCs w:val="20"/>
                <w:color w:val="auto"/>
              </w:rPr>
            </w:pPr>
            <w:r>
              <w:rPr>
                <w:rFonts w:ascii="Arial" w:cs="Arial" w:eastAsia="Arial" w:hAnsi="Arial"/>
                <w:sz w:val="17"/>
                <w:szCs w:val="17"/>
                <w:color w:val="auto"/>
              </w:rPr>
              <w:t>147.7</w:t>
            </w:r>
          </w:p>
        </w:tc>
        <w:tc>
          <w:tcPr>
            <w:tcW w:w="260" w:type="dxa"/>
            <w:vAlign w:val="bottom"/>
            <w:gridSpan w:val="3"/>
          </w:tcPr>
          <w:p>
            <w:pPr>
              <w:jc w:val="right"/>
              <w:spacing w:after="0" w:line="191" w:lineRule="exact"/>
              <w:rPr>
                <w:sz w:val="20"/>
                <w:szCs w:val="20"/>
                <w:color w:val="auto"/>
              </w:rPr>
            </w:pPr>
            <w:r>
              <w:rPr>
                <w:rFonts w:ascii="Arial" w:cs="Arial" w:eastAsia="Arial" w:hAnsi="Arial"/>
                <w:sz w:val="17"/>
                <w:szCs w:val="17"/>
                <w:color w:val="auto"/>
              </w:rPr>
              <w:t>$</w:t>
            </w:r>
          </w:p>
        </w:tc>
        <w:tc>
          <w:tcPr>
            <w:tcW w:w="840" w:type="dxa"/>
            <w:vAlign w:val="bottom"/>
            <w:gridSpan w:val="5"/>
          </w:tcPr>
          <w:p>
            <w:pPr>
              <w:jc w:val="right"/>
              <w:ind w:right="20"/>
              <w:spacing w:after="0" w:line="191" w:lineRule="exact"/>
              <w:rPr>
                <w:sz w:val="20"/>
                <w:szCs w:val="20"/>
                <w:color w:val="auto"/>
              </w:rPr>
            </w:pPr>
            <w:r>
              <w:rPr>
                <w:rFonts w:ascii="Arial" w:cs="Arial" w:eastAsia="Arial" w:hAnsi="Arial"/>
                <w:sz w:val="17"/>
                <w:szCs w:val="17"/>
                <w:color w:val="auto"/>
              </w:rPr>
              <w:t>147.0</w:t>
            </w:r>
          </w:p>
        </w:tc>
        <w:tc>
          <w:tcPr>
            <w:tcW w:w="1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40" w:type="dxa"/>
            <w:vAlign w:val="bottom"/>
            <w:gridSpan w:val="6"/>
          </w:tcPr>
          <w:p>
            <w:pPr>
              <w:jc w:val="right"/>
              <w:ind w:right="100"/>
              <w:spacing w:after="0" w:line="191" w:lineRule="exact"/>
              <w:rPr>
                <w:sz w:val="20"/>
                <w:szCs w:val="20"/>
                <w:color w:val="auto"/>
              </w:rPr>
            </w:pPr>
            <w:r>
              <w:rPr>
                <w:rFonts w:ascii="Arial" w:cs="Arial" w:eastAsia="Arial" w:hAnsi="Arial"/>
                <w:sz w:val="17"/>
                <w:szCs w:val="17"/>
                <w:color w:val="auto"/>
              </w:rPr>
              <w:t>0.5%</w:t>
            </w: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vMerge w:val="restart"/>
          </w:tcPr>
          <w:p>
            <w:pPr>
              <w:spacing w:after="0"/>
              <w:rPr>
                <w:sz w:val="16"/>
                <w:szCs w:val="16"/>
                <w:color w:val="auto"/>
              </w:rPr>
            </w:pPr>
          </w:p>
        </w:tc>
        <w:tc>
          <w:tcPr>
            <w:tcW w:w="26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2740" w:type="dxa"/>
            <w:vAlign w:val="bottom"/>
            <w:gridSpan w:val="2"/>
          </w:tcPr>
          <w:p>
            <w:pPr>
              <w:spacing w:after="0" w:line="190" w:lineRule="exact"/>
              <w:rPr>
                <w:sz w:val="20"/>
                <w:szCs w:val="20"/>
                <w:color w:val="auto"/>
              </w:rPr>
            </w:pPr>
            <w:r>
              <w:rPr>
                <w:rFonts w:ascii="Arial" w:cs="Arial" w:eastAsia="Arial" w:hAnsi="Arial"/>
                <w:sz w:val="17"/>
                <w:szCs w:val="17"/>
                <w:b w:val="1"/>
                <w:bCs w:val="1"/>
                <w:color w:val="auto"/>
              </w:rPr>
              <w:t>Our employees</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740" w:type="dxa"/>
            <w:vAlign w:val="bottom"/>
            <w:gridSpan w:val="2"/>
            <w:shd w:val="clear" w:color="auto" w:fill="CCEEFF"/>
          </w:tcPr>
          <w:p>
            <w:pPr>
              <w:ind w:left="140"/>
              <w:spacing w:after="0" w:line="190" w:lineRule="exact"/>
              <w:rPr>
                <w:sz w:val="20"/>
                <w:szCs w:val="20"/>
                <w:color w:val="auto"/>
              </w:rPr>
            </w:pPr>
            <w:r>
              <w:rPr>
                <w:rFonts w:ascii="Arial" w:cs="Arial" w:eastAsia="Arial" w:hAnsi="Arial"/>
                <w:sz w:val="17"/>
                <w:szCs w:val="17"/>
                <w:color w:val="auto"/>
              </w:rPr>
              <w:t>Worldwide headcount</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760" w:type="dxa"/>
            <w:vAlign w:val="bottom"/>
            <w:gridSpan w:val="3"/>
            <w:shd w:val="clear" w:color="auto" w:fill="CCEEFF"/>
          </w:tcPr>
          <w:p>
            <w:pPr>
              <w:jc w:val="right"/>
              <w:ind w:right="80"/>
              <w:spacing w:after="0" w:line="190" w:lineRule="exact"/>
              <w:rPr>
                <w:sz w:val="20"/>
                <w:szCs w:val="20"/>
                <w:color w:val="auto"/>
              </w:rPr>
            </w:pPr>
            <w:r>
              <w:rPr>
                <w:rFonts w:ascii="Arial" w:cs="Arial" w:eastAsia="Arial" w:hAnsi="Arial"/>
                <w:sz w:val="17"/>
                <w:szCs w:val="17"/>
                <w:color w:val="auto"/>
              </w:rPr>
              <w:t>12,224</w:t>
            </w:r>
          </w:p>
        </w:tc>
        <w:tc>
          <w:tcPr>
            <w:tcW w:w="1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gridSpan w:val="5"/>
            <w:shd w:val="clear" w:color="auto" w:fill="CCEEFF"/>
          </w:tcPr>
          <w:p>
            <w:pPr>
              <w:jc w:val="right"/>
              <w:ind w:right="20"/>
              <w:spacing w:after="0" w:line="190" w:lineRule="exact"/>
              <w:rPr>
                <w:sz w:val="20"/>
                <w:szCs w:val="20"/>
                <w:color w:val="auto"/>
              </w:rPr>
            </w:pPr>
            <w:r>
              <w:rPr>
                <w:rFonts w:ascii="Arial" w:cs="Arial" w:eastAsia="Arial" w:hAnsi="Arial"/>
                <w:sz w:val="17"/>
                <w:szCs w:val="17"/>
                <w:color w:val="auto"/>
              </w:rPr>
              <w:t>9,556</w:t>
            </w:r>
          </w:p>
        </w:tc>
        <w:tc>
          <w:tcPr>
            <w:tcW w:w="16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640" w:type="dxa"/>
            <w:vAlign w:val="bottom"/>
            <w:gridSpan w:val="6"/>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27.9%</w:t>
            </w: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80"/>
        </w:trPr>
        <w:tc>
          <w:tcPr>
            <w:tcW w:w="2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340" w:type="dxa"/>
            <w:vAlign w:val="bottom"/>
            <w:gridSpan w:val="22"/>
          </w:tcPr>
          <w:p>
            <w:pPr>
              <w:jc w:val="center"/>
              <w:ind w:right="300"/>
              <w:spacing w:after="0"/>
              <w:rPr>
                <w:sz w:val="20"/>
                <w:szCs w:val="20"/>
                <w:color w:val="auto"/>
              </w:rPr>
            </w:pPr>
            <w:r>
              <w:rPr>
                <w:rFonts w:ascii="Arial" w:cs="Arial" w:eastAsia="Arial" w:hAnsi="Arial"/>
                <w:sz w:val="17"/>
                <w:szCs w:val="17"/>
                <w:b w:val="1"/>
                <w:bCs w:val="1"/>
                <w:color w:val="auto"/>
                <w:w w:val="99"/>
              </w:rPr>
              <w:t>Three months ended December 31,</w:t>
            </w: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000" w:type="dxa"/>
            <w:vAlign w:val="bottom"/>
            <w:gridSpan w:val="13"/>
          </w:tcPr>
          <w:p>
            <w:pPr>
              <w:jc w:val="center"/>
              <w:ind w:right="360"/>
              <w:spacing w:after="0"/>
              <w:rPr>
                <w:sz w:val="20"/>
                <w:szCs w:val="20"/>
                <w:color w:val="auto"/>
              </w:rPr>
            </w:pPr>
            <w:r>
              <w:rPr>
                <w:rFonts w:ascii="Arial" w:cs="Arial" w:eastAsia="Arial" w:hAnsi="Arial"/>
                <w:sz w:val="17"/>
                <w:szCs w:val="17"/>
                <w:b w:val="1"/>
                <w:bCs w:val="1"/>
                <w:color w:val="auto"/>
                <w:w w:val="98"/>
              </w:rPr>
              <w:t>Year ended December 31,</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2660" w:type="dxa"/>
            <w:vAlign w:val="bottom"/>
            <w:tcBorders>
              <w:bottom w:val="single" w:sz="8" w:color="CCEEFF"/>
            </w:tcBorders>
          </w:tcPr>
          <w:p>
            <w:pPr>
              <w:spacing w:after="0"/>
              <w:rPr>
                <w:sz w:val="15"/>
                <w:szCs w:val="15"/>
                <w:color w:val="auto"/>
              </w:rPr>
            </w:pPr>
          </w:p>
        </w:tc>
        <w:tc>
          <w:tcPr>
            <w:tcW w:w="80" w:type="dxa"/>
            <w:vAlign w:val="bottom"/>
            <w:tcBorders>
              <w:bottom w:val="single" w:sz="8" w:color="CCEEFF"/>
            </w:tcBorders>
          </w:tcPr>
          <w:p>
            <w:pPr>
              <w:spacing w:after="0"/>
              <w:rPr>
                <w:sz w:val="15"/>
                <w:szCs w:val="15"/>
                <w:color w:val="auto"/>
              </w:rPr>
            </w:pPr>
          </w:p>
        </w:tc>
        <w:tc>
          <w:tcPr>
            <w:tcW w:w="60" w:type="dxa"/>
            <w:vAlign w:val="bottom"/>
            <w:tcBorders>
              <w:bottom w:val="single" w:sz="8" w:color="CCEEFF"/>
            </w:tcBorders>
          </w:tcPr>
          <w:p>
            <w:pPr>
              <w:spacing w:after="0"/>
              <w:rPr>
                <w:sz w:val="15"/>
                <w:szCs w:val="15"/>
                <w:color w:val="auto"/>
              </w:rPr>
            </w:pPr>
          </w:p>
        </w:tc>
        <w:tc>
          <w:tcPr>
            <w:tcW w:w="100" w:type="dxa"/>
            <w:vAlign w:val="bottom"/>
            <w:tcBorders>
              <w:bottom w:val="single" w:sz="8" w:color="CCEEFF"/>
            </w:tcBorders>
          </w:tcPr>
          <w:p>
            <w:pPr>
              <w:spacing w:after="0"/>
              <w:rPr>
                <w:sz w:val="15"/>
                <w:szCs w:val="15"/>
                <w:color w:val="auto"/>
              </w:rPr>
            </w:pPr>
          </w:p>
        </w:tc>
        <w:tc>
          <w:tcPr>
            <w:tcW w:w="100" w:type="dxa"/>
            <w:vAlign w:val="bottom"/>
            <w:tcBorders>
              <w:bottom w:val="single" w:sz="8" w:color="CCEEFF"/>
            </w:tcBorders>
          </w:tcPr>
          <w:p>
            <w:pPr>
              <w:spacing w:after="0"/>
              <w:rPr>
                <w:sz w:val="15"/>
                <w:szCs w:val="15"/>
                <w:color w:val="auto"/>
              </w:rPr>
            </w:pPr>
          </w:p>
        </w:tc>
        <w:tc>
          <w:tcPr>
            <w:tcW w:w="660" w:type="dxa"/>
            <w:vAlign w:val="bottom"/>
            <w:tcBorders>
              <w:bottom w:val="single" w:sz="8" w:color="CCEEFF"/>
            </w:tcBorders>
          </w:tcPr>
          <w:p>
            <w:pPr>
              <w:spacing w:after="0"/>
              <w:rPr>
                <w:sz w:val="15"/>
                <w:szCs w:val="15"/>
                <w:color w:val="auto"/>
              </w:rPr>
            </w:pPr>
          </w:p>
        </w:tc>
        <w:tc>
          <w:tcPr>
            <w:tcW w:w="20" w:type="dxa"/>
            <w:vAlign w:val="bottom"/>
            <w:tcBorders>
              <w:bottom w:val="single" w:sz="8" w:color="CCEEFF"/>
            </w:tcBorders>
          </w:tcPr>
          <w:p>
            <w:pPr>
              <w:spacing w:after="0"/>
              <w:rPr>
                <w:sz w:val="15"/>
                <w:szCs w:val="15"/>
                <w:color w:val="auto"/>
              </w:rPr>
            </w:pPr>
          </w:p>
        </w:tc>
        <w:tc>
          <w:tcPr>
            <w:tcW w:w="80" w:type="dxa"/>
            <w:vAlign w:val="bottom"/>
            <w:tcBorders>
              <w:bottom w:val="single" w:sz="8" w:color="CCEEFF"/>
            </w:tcBorders>
          </w:tcPr>
          <w:p>
            <w:pPr>
              <w:spacing w:after="0"/>
              <w:rPr>
                <w:sz w:val="15"/>
                <w:szCs w:val="15"/>
                <w:color w:val="auto"/>
              </w:rPr>
            </w:pPr>
          </w:p>
        </w:tc>
        <w:tc>
          <w:tcPr>
            <w:tcW w:w="100" w:type="dxa"/>
            <w:vAlign w:val="bottom"/>
            <w:tcBorders>
              <w:bottom w:val="single" w:sz="8" w:color="CCEEFF"/>
            </w:tcBorders>
          </w:tcPr>
          <w:p>
            <w:pPr>
              <w:spacing w:after="0"/>
              <w:rPr>
                <w:sz w:val="15"/>
                <w:szCs w:val="15"/>
                <w:color w:val="auto"/>
              </w:rPr>
            </w:pPr>
          </w:p>
        </w:tc>
        <w:tc>
          <w:tcPr>
            <w:tcW w:w="40" w:type="dxa"/>
            <w:vAlign w:val="bottom"/>
            <w:tcBorders>
              <w:bottom w:val="single" w:sz="8" w:color="CCEEFF"/>
            </w:tcBorders>
          </w:tcPr>
          <w:p>
            <w:pPr>
              <w:spacing w:after="0"/>
              <w:rPr>
                <w:sz w:val="15"/>
                <w:szCs w:val="15"/>
                <w:color w:val="auto"/>
              </w:rPr>
            </w:pPr>
          </w:p>
        </w:tc>
        <w:tc>
          <w:tcPr>
            <w:tcW w:w="120" w:type="dxa"/>
            <w:vAlign w:val="bottom"/>
            <w:tcBorders>
              <w:bottom w:val="single" w:sz="8" w:color="CCEEFF"/>
            </w:tcBorders>
          </w:tcPr>
          <w:p>
            <w:pPr>
              <w:spacing w:after="0"/>
              <w:rPr>
                <w:sz w:val="15"/>
                <w:szCs w:val="15"/>
                <w:color w:val="auto"/>
              </w:rPr>
            </w:pPr>
          </w:p>
        </w:tc>
        <w:tc>
          <w:tcPr>
            <w:tcW w:w="580" w:type="dxa"/>
            <w:vAlign w:val="bottom"/>
            <w:tcBorders>
              <w:bottom w:val="single" w:sz="8" w:color="CCEEFF"/>
            </w:tcBorders>
          </w:tcPr>
          <w:p>
            <w:pPr>
              <w:spacing w:after="0"/>
              <w:rPr>
                <w:sz w:val="15"/>
                <w:szCs w:val="15"/>
                <w:color w:val="auto"/>
              </w:rPr>
            </w:pPr>
          </w:p>
        </w:tc>
        <w:tc>
          <w:tcPr>
            <w:tcW w:w="20" w:type="dxa"/>
            <w:vAlign w:val="bottom"/>
            <w:tcBorders>
              <w:top w:val="single" w:sz="8" w:color="auto"/>
              <w:bottom w:val="single" w:sz="8" w:color="auto"/>
            </w:tcBorders>
          </w:tcPr>
          <w:p>
            <w:pPr>
              <w:spacing w:after="0"/>
              <w:rPr>
                <w:sz w:val="15"/>
                <w:szCs w:val="15"/>
                <w:color w:val="auto"/>
              </w:rPr>
            </w:pPr>
          </w:p>
        </w:tc>
        <w:tc>
          <w:tcPr>
            <w:tcW w:w="200" w:type="dxa"/>
            <w:vAlign w:val="bottom"/>
            <w:tcBorders>
              <w:top w:val="single" w:sz="8" w:color="auto"/>
              <w:bottom w:val="single" w:sz="8" w:color="auto"/>
            </w:tcBorders>
          </w:tcPr>
          <w:p>
            <w:pPr>
              <w:spacing w:after="0"/>
              <w:rPr>
                <w:sz w:val="15"/>
                <w:szCs w:val="15"/>
                <w:color w:val="auto"/>
              </w:rPr>
            </w:pPr>
          </w:p>
        </w:tc>
        <w:tc>
          <w:tcPr>
            <w:tcW w:w="20" w:type="dxa"/>
            <w:vAlign w:val="bottom"/>
            <w:tcBorders>
              <w:top w:val="single" w:sz="8" w:color="auto"/>
              <w:bottom w:val="single" w:sz="8" w:color="auto"/>
            </w:tcBorders>
          </w:tcPr>
          <w:p>
            <w:pPr>
              <w:spacing w:after="0"/>
              <w:rPr>
                <w:sz w:val="15"/>
                <w:szCs w:val="15"/>
                <w:color w:val="auto"/>
              </w:rPr>
            </w:pPr>
          </w:p>
        </w:tc>
        <w:tc>
          <w:tcPr>
            <w:tcW w:w="20" w:type="dxa"/>
            <w:vAlign w:val="bottom"/>
            <w:tcBorders>
              <w:top w:val="single" w:sz="8" w:color="auto"/>
              <w:bottom w:val="single" w:sz="8" w:color="auto"/>
            </w:tcBorders>
          </w:tcPr>
          <w:p>
            <w:pPr>
              <w:spacing w:after="0"/>
              <w:rPr>
                <w:sz w:val="15"/>
                <w:szCs w:val="15"/>
                <w:color w:val="auto"/>
              </w:rPr>
            </w:pPr>
          </w:p>
        </w:tc>
        <w:tc>
          <w:tcPr>
            <w:tcW w:w="640" w:type="dxa"/>
            <w:vAlign w:val="bottom"/>
            <w:tcBorders>
              <w:top w:val="single" w:sz="8" w:color="auto"/>
              <w:bottom w:val="single" w:sz="8" w:color="auto"/>
            </w:tcBorders>
            <w:gridSpan w:val="2"/>
          </w:tcPr>
          <w:p>
            <w:pPr>
              <w:jc w:val="right"/>
              <w:ind w:right="176"/>
              <w:spacing w:after="0" w:line="183" w:lineRule="exact"/>
              <w:rPr>
                <w:sz w:val="20"/>
                <w:szCs w:val="20"/>
                <w:color w:val="auto"/>
              </w:rPr>
            </w:pPr>
            <w:r>
              <w:rPr>
                <w:rFonts w:ascii="Arial" w:cs="Arial" w:eastAsia="Arial" w:hAnsi="Arial"/>
                <w:sz w:val="17"/>
                <w:szCs w:val="17"/>
                <w:b w:val="1"/>
                <w:bCs w:val="1"/>
                <w:color w:val="auto"/>
                <w:w w:val="95"/>
              </w:rPr>
              <w:t>2022</w:t>
            </w:r>
          </w:p>
        </w:tc>
        <w:tc>
          <w:tcPr>
            <w:tcW w:w="20" w:type="dxa"/>
            <w:vAlign w:val="bottom"/>
            <w:tcBorders>
              <w:top w:val="single" w:sz="8" w:color="auto"/>
              <w:bottom w:val="single" w:sz="8" w:color="CCEEFF"/>
            </w:tcBorders>
          </w:tcPr>
          <w:p>
            <w:pPr>
              <w:spacing w:after="0"/>
              <w:rPr>
                <w:sz w:val="15"/>
                <w:szCs w:val="15"/>
                <w:color w:val="auto"/>
              </w:rPr>
            </w:pPr>
          </w:p>
        </w:tc>
        <w:tc>
          <w:tcPr>
            <w:tcW w:w="60" w:type="dxa"/>
            <w:vAlign w:val="bottom"/>
            <w:tcBorders>
              <w:top w:val="single" w:sz="8" w:color="auto"/>
              <w:bottom w:val="single" w:sz="8" w:color="CCEEFF"/>
            </w:tcBorders>
          </w:tcPr>
          <w:p>
            <w:pPr>
              <w:spacing w:after="0"/>
              <w:rPr>
                <w:sz w:val="15"/>
                <w:szCs w:val="15"/>
                <w:color w:val="auto"/>
              </w:rPr>
            </w:pPr>
          </w:p>
        </w:tc>
        <w:tc>
          <w:tcPr>
            <w:tcW w:w="140" w:type="dxa"/>
            <w:vAlign w:val="bottom"/>
            <w:tcBorders>
              <w:top w:val="single" w:sz="8" w:color="auto"/>
              <w:bottom w:val="single" w:sz="8" w:color="CCEEFF"/>
            </w:tcBorders>
          </w:tcPr>
          <w:p>
            <w:pPr>
              <w:spacing w:after="0"/>
              <w:rPr>
                <w:sz w:val="15"/>
                <w:szCs w:val="15"/>
                <w:color w:val="auto"/>
              </w:rPr>
            </w:pPr>
          </w:p>
        </w:tc>
        <w:tc>
          <w:tcPr>
            <w:tcW w:w="120" w:type="dxa"/>
            <w:vAlign w:val="bottom"/>
            <w:tcBorders>
              <w:top w:val="single" w:sz="8" w:color="auto"/>
              <w:bottom w:val="single" w:sz="8" w:color="auto"/>
            </w:tcBorders>
          </w:tcPr>
          <w:p>
            <w:pPr>
              <w:spacing w:after="0"/>
              <w:rPr>
                <w:sz w:val="15"/>
                <w:szCs w:val="15"/>
                <w:color w:val="auto"/>
              </w:rPr>
            </w:pPr>
          </w:p>
        </w:tc>
        <w:tc>
          <w:tcPr>
            <w:tcW w:w="520" w:type="dxa"/>
            <w:vAlign w:val="bottom"/>
            <w:tcBorders>
              <w:top w:val="single" w:sz="8" w:color="auto"/>
              <w:bottom w:val="single" w:sz="8" w:color="auto"/>
            </w:tcBorders>
            <w:gridSpan w:val="4"/>
          </w:tcPr>
          <w:p>
            <w:pPr>
              <w:jc w:val="right"/>
              <w:ind w:right="20"/>
              <w:spacing w:after="0" w:line="183" w:lineRule="exact"/>
              <w:rPr>
                <w:sz w:val="20"/>
                <w:szCs w:val="20"/>
                <w:color w:val="auto"/>
              </w:rPr>
            </w:pPr>
            <w:r>
              <w:rPr>
                <w:rFonts w:ascii="Arial" w:cs="Arial" w:eastAsia="Arial" w:hAnsi="Arial"/>
                <w:sz w:val="17"/>
                <w:szCs w:val="17"/>
                <w:b w:val="1"/>
                <w:bCs w:val="1"/>
                <w:color w:val="auto"/>
              </w:rPr>
              <w:t>2021</w:t>
            </w:r>
          </w:p>
        </w:tc>
        <w:tc>
          <w:tcPr>
            <w:tcW w:w="240" w:type="dxa"/>
            <w:vAlign w:val="bottom"/>
            <w:tcBorders>
              <w:top w:val="single" w:sz="8" w:color="auto"/>
              <w:bottom w:val="single" w:sz="8" w:color="auto"/>
            </w:tcBorders>
          </w:tcPr>
          <w:p>
            <w:pPr>
              <w:spacing w:after="0"/>
              <w:rPr>
                <w:sz w:val="15"/>
                <w:szCs w:val="15"/>
                <w:color w:val="auto"/>
              </w:rPr>
            </w:pPr>
          </w:p>
        </w:tc>
        <w:tc>
          <w:tcPr>
            <w:tcW w:w="180" w:type="dxa"/>
            <w:vAlign w:val="bottom"/>
            <w:tcBorders>
              <w:top w:val="single" w:sz="8" w:color="auto"/>
              <w:bottom w:val="single" w:sz="8" w:color="CCEEFF"/>
            </w:tcBorders>
          </w:tcPr>
          <w:p>
            <w:pPr>
              <w:spacing w:after="0"/>
              <w:rPr>
                <w:sz w:val="15"/>
                <w:szCs w:val="15"/>
                <w:color w:val="auto"/>
              </w:rPr>
            </w:pPr>
          </w:p>
        </w:tc>
        <w:tc>
          <w:tcPr>
            <w:tcW w:w="20" w:type="dxa"/>
            <w:vAlign w:val="bottom"/>
            <w:tcBorders>
              <w:top w:val="single" w:sz="8" w:color="auto"/>
              <w:bottom w:val="single" w:sz="8" w:color="CCEEFF"/>
            </w:tcBorders>
          </w:tcPr>
          <w:p>
            <w:pPr>
              <w:spacing w:after="0"/>
              <w:rPr>
                <w:sz w:val="15"/>
                <w:szCs w:val="15"/>
                <w:color w:val="auto"/>
              </w:rPr>
            </w:pPr>
          </w:p>
        </w:tc>
        <w:tc>
          <w:tcPr>
            <w:tcW w:w="880" w:type="dxa"/>
            <w:vAlign w:val="bottom"/>
            <w:tcBorders>
              <w:top w:val="single" w:sz="8" w:color="auto"/>
              <w:bottom w:val="single" w:sz="8" w:color="auto"/>
            </w:tcBorders>
            <w:gridSpan w:val="4"/>
          </w:tcPr>
          <w:p>
            <w:pPr>
              <w:jc w:val="right"/>
              <w:ind w:right="36"/>
              <w:spacing w:after="0" w:line="183" w:lineRule="exact"/>
              <w:rPr>
                <w:sz w:val="20"/>
                <w:szCs w:val="20"/>
                <w:color w:val="auto"/>
              </w:rPr>
            </w:pPr>
            <w:r>
              <w:rPr>
                <w:rFonts w:ascii="Arial" w:cs="Arial" w:eastAsia="Arial" w:hAnsi="Arial"/>
                <w:sz w:val="17"/>
                <w:szCs w:val="17"/>
                <w:b w:val="1"/>
                <w:bCs w:val="1"/>
                <w:color w:val="auto"/>
              </w:rPr>
              <w:t>Change</w:t>
            </w:r>
          </w:p>
        </w:tc>
        <w:tc>
          <w:tcPr>
            <w:tcW w:w="280" w:type="dxa"/>
            <w:vAlign w:val="bottom"/>
            <w:tcBorders>
              <w:bottom w:val="single" w:sz="8" w:color="CCEEFF"/>
            </w:tcBorders>
            <w:gridSpan w:val="2"/>
          </w:tcPr>
          <w:p>
            <w:pPr>
              <w:spacing w:after="0"/>
              <w:rPr>
                <w:sz w:val="15"/>
                <w:szCs w:val="15"/>
                <w:color w:val="auto"/>
              </w:rPr>
            </w:pPr>
          </w:p>
        </w:tc>
        <w:tc>
          <w:tcPr>
            <w:tcW w:w="40" w:type="dxa"/>
            <w:vAlign w:val="bottom"/>
            <w:tcBorders>
              <w:bottom w:val="single" w:sz="8" w:color="CCEEFF"/>
            </w:tcBorders>
          </w:tcPr>
          <w:p>
            <w:pPr>
              <w:spacing w:after="0"/>
              <w:rPr>
                <w:sz w:val="15"/>
                <w:szCs w:val="15"/>
                <w:color w:val="auto"/>
              </w:rPr>
            </w:pPr>
          </w:p>
        </w:tc>
        <w:tc>
          <w:tcPr>
            <w:tcW w:w="60" w:type="dxa"/>
            <w:vAlign w:val="bottom"/>
            <w:tcBorders>
              <w:top w:val="single" w:sz="8" w:color="auto"/>
              <w:bottom w:val="single" w:sz="8" w:color="auto"/>
            </w:tcBorders>
          </w:tcPr>
          <w:p>
            <w:pPr>
              <w:spacing w:after="0"/>
              <w:rPr>
                <w:sz w:val="15"/>
                <w:szCs w:val="15"/>
                <w:color w:val="auto"/>
              </w:rPr>
            </w:pPr>
          </w:p>
        </w:tc>
        <w:tc>
          <w:tcPr>
            <w:tcW w:w="160" w:type="dxa"/>
            <w:vAlign w:val="bottom"/>
            <w:tcBorders>
              <w:top w:val="single" w:sz="8" w:color="auto"/>
              <w:bottom w:val="single" w:sz="8" w:color="auto"/>
            </w:tcBorders>
          </w:tcPr>
          <w:p>
            <w:pPr>
              <w:spacing w:after="0"/>
              <w:rPr>
                <w:sz w:val="15"/>
                <w:szCs w:val="15"/>
                <w:color w:val="auto"/>
              </w:rPr>
            </w:pPr>
          </w:p>
        </w:tc>
        <w:tc>
          <w:tcPr>
            <w:tcW w:w="620" w:type="dxa"/>
            <w:vAlign w:val="bottom"/>
            <w:tcBorders>
              <w:top w:val="single" w:sz="8" w:color="auto"/>
              <w:bottom w:val="single" w:sz="8" w:color="auto"/>
            </w:tcBorders>
          </w:tcPr>
          <w:p>
            <w:pPr>
              <w:jc w:val="right"/>
              <w:ind w:right="116"/>
              <w:spacing w:after="0" w:line="183" w:lineRule="exact"/>
              <w:rPr>
                <w:sz w:val="20"/>
                <w:szCs w:val="20"/>
                <w:color w:val="auto"/>
              </w:rPr>
            </w:pPr>
            <w:r>
              <w:rPr>
                <w:rFonts w:ascii="Arial" w:cs="Arial" w:eastAsia="Arial" w:hAnsi="Arial"/>
                <w:sz w:val="17"/>
                <w:szCs w:val="17"/>
                <w:b w:val="1"/>
                <w:bCs w:val="1"/>
                <w:color w:val="auto"/>
              </w:rPr>
              <w:t>2022</w:t>
            </w:r>
          </w:p>
        </w:tc>
        <w:tc>
          <w:tcPr>
            <w:tcW w:w="60" w:type="dxa"/>
            <w:vAlign w:val="bottom"/>
            <w:tcBorders>
              <w:top w:val="single" w:sz="8" w:color="auto"/>
              <w:bottom w:val="single" w:sz="8" w:color="auto"/>
            </w:tcBorders>
          </w:tcPr>
          <w:p>
            <w:pPr>
              <w:spacing w:after="0"/>
              <w:rPr>
                <w:sz w:val="15"/>
                <w:szCs w:val="15"/>
                <w:color w:val="auto"/>
              </w:rPr>
            </w:pPr>
          </w:p>
        </w:tc>
        <w:tc>
          <w:tcPr>
            <w:tcW w:w="140" w:type="dxa"/>
            <w:vAlign w:val="bottom"/>
            <w:tcBorders>
              <w:top w:val="single" w:sz="8" w:color="auto"/>
              <w:bottom w:val="single" w:sz="8" w:color="CCEEFF"/>
            </w:tcBorders>
          </w:tcPr>
          <w:p>
            <w:pPr>
              <w:spacing w:after="0"/>
              <w:rPr>
                <w:sz w:val="15"/>
                <w:szCs w:val="15"/>
                <w:color w:val="auto"/>
              </w:rPr>
            </w:pPr>
          </w:p>
        </w:tc>
        <w:tc>
          <w:tcPr>
            <w:tcW w:w="60" w:type="dxa"/>
            <w:vAlign w:val="bottom"/>
            <w:tcBorders>
              <w:top w:val="single" w:sz="8" w:color="auto"/>
              <w:bottom w:val="single" w:sz="8" w:color="CCEEFF"/>
            </w:tcBorders>
          </w:tcPr>
          <w:p>
            <w:pPr>
              <w:spacing w:after="0"/>
              <w:rPr>
                <w:sz w:val="15"/>
                <w:szCs w:val="15"/>
                <w:color w:val="auto"/>
              </w:rPr>
            </w:pPr>
          </w:p>
        </w:tc>
        <w:tc>
          <w:tcPr>
            <w:tcW w:w="180" w:type="dxa"/>
            <w:vAlign w:val="bottom"/>
            <w:tcBorders>
              <w:top w:val="single" w:sz="8" w:color="auto"/>
              <w:bottom w:val="single" w:sz="8" w:color="auto"/>
            </w:tcBorders>
          </w:tcPr>
          <w:p>
            <w:pPr>
              <w:spacing w:after="0"/>
              <w:rPr>
                <w:sz w:val="15"/>
                <w:szCs w:val="15"/>
                <w:color w:val="auto"/>
              </w:rPr>
            </w:pPr>
          </w:p>
        </w:tc>
        <w:tc>
          <w:tcPr>
            <w:tcW w:w="520" w:type="dxa"/>
            <w:vAlign w:val="bottom"/>
            <w:tcBorders>
              <w:top w:val="single" w:sz="8" w:color="auto"/>
              <w:bottom w:val="single" w:sz="8" w:color="auto"/>
            </w:tcBorders>
          </w:tcPr>
          <w:p>
            <w:pPr>
              <w:jc w:val="right"/>
              <w:spacing w:after="0" w:line="183" w:lineRule="exact"/>
              <w:rPr>
                <w:sz w:val="20"/>
                <w:szCs w:val="20"/>
                <w:color w:val="auto"/>
              </w:rPr>
            </w:pPr>
            <w:r>
              <w:rPr>
                <w:rFonts w:ascii="Arial" w:cs="Arial" w:eastAsia="Arial" w:hAnsi="Arial"/>
                <w:sz w:val="17"/>
                <w:szCs w:val="17"/>
                <w:b w:val="1"/>
                <w:bCs w:val="1"/>
                <w:color w:val="auto"/>
              </w:rPr>
              <w:t>2021</w:t>
            </w:r>
          </w:p>
        </w:tc>
        <w:tc>
          <w:tcPr>
            <w:tcW w:w="180" w:type="dxa"/>
            <w:vAlign w:val="bottom"/>
            <w:tcBorders>
              <w:top w:val="single" w:sz="8" w:color="auto"/>
              <w:bottom w:val="single" w:sz="8" w:color="auto"/>
            </w:tcBorders>
          </w:tcPr>
          <w:p>
            <w:pPr>
              <w:spacing w:after="0"/>
              <w:rPr>
                <w:sz w:val="15"/>
                <w:szCs w:val="15"/>
                <w:color w:val="auto"/>
              </w:rPr>
            </w:pPr>
          </w:p>
        </w:tc>
        <w:tc>
          <w:tcPr>
            <w:tcW w:w="120" w:type="dxa"/>
            <w:vAlign w:val="bottom"/>
            <w:tcBorders>
              <w:top w:val="single" w:sz="8" w:color="auto"/>
              <w:bottom w:val="single" w:sz="8" w:color="CCEEFF"/>
            </w:tcBorders>
          </w:tcPr>
          <w:p>
            <w:pPr>
              <w:spacing w:after="0"/>
              <w:rPr>
                <w:sz w:val="15"/>
                <w:szCs w:val="15"/>
                <w:color w:val="auto"/>
              </w:rPr>
            </w:pPr>
          </w:p>
        </w:tc>
        <w:tc>
          <w:tcPr>
            <w:tcW w:w="20" w:type="dxa"/>
            <w:vAlign w:val="bottom"/>
            <w:tcBorders>
              <w:top w:val="single" w:sz="8" w:color="auto"/>
              <w:bottom w:val="single" w:sz="8" w:color="CCEEFF"/>
            </w:tcBorders>
          </w:tcPr>
          <w:p>
            <w:pPr>
              <w:spacing w:after="0"/>
              <w:rPr>
                <w:sz w:val="15"/>
                <w:szCs w:val="15"/>
                <w:color w:val="auto"/>
              </w:rPr>
            </w:pPr>
          </w:p>
        </w:tc>
        <w:tc>
          <w:tcPr>
            <w:tcW w:w="60" w:type="dxa"/>
            <w:vAlign w:val="bottom"/>
            <w:tcBorders>
              <w:top w:val="single" w:sz="8" w:color="auto"/>
              <w:bottom w:val="single" w:sz="8" w:color="CCEEFF"/>
            </w:tcBorders>
          </w:tcPr>
          <w:p>
            <w:pPr>
              <w:spacing w:after="0"/>
              <w:rPr>
                <w:sz w:val="15"/>
                <w:szCs w:val="15"/>
                <w:color w:val="auto"/>
              </w:rPr>
            </w:pPr>
          </w:p>
        </w:tc>
        <w:tc>
          <w:tcPr>
            <w:tcW w:w="900" w:type="dxa"/>
            <w:vAlign w:val="bottom"/>
            <w:tcBorders>
              <w:top w:val="single" w:sz="8" w:color="auto"/>
              <w:bottom w:val="single" w:sz="8" w:color="auto"/>
            </w:tcBorders>
            <w:gridSpan w:val="2"/>
          </w:tcPr>
          <w:p>
            <w:pPr>
              <w:ind w:left="140"/>
              <w:spacing w:after="0" w:line="183" w:lineRule="exact"/>
              <w:rPr>
                <w:sz w:val="20"/>
                <w:szCs w:val="20"/>
                <w:color w:val="auto"/>
              </w:rPr>
            </w:pPr>
            <w:r>
              <w:rPr>
                <w:rFonts w:ascii="Arial" w:cs="Arial" w:eastAsia="Arial" w:hAnsi="Arial"/>
                <w:sz w:val="17"/>
                <w:szCs w:val="17"/>
                <w:b w:val="1"/>
                <w:bCs w:val="1"/>
                <w:color w:val="auto"/>
              </w:rPr>
              <w:t>Change</w:t>
            </w:r>
          </w:p>
        </w:tc>
        <w:tc>
          <w:tcPr>
            <w:tcW w:w="140" w:type="dxa"/>
            <w:vAlign w:val="bottom"/>
            <w:tcBorders>
              <w:bottom w:val="single" w:sz="8" w:color="CCEEFF"/>
            </w:tcBorders>
          </w:tcPr>
          <w:p>
            <w:pPr>
              <w:spacing w:after="0"/>
              <w:rPr>
                <w:sz w:val="15"/>
                <w:szCs w:val="15"/>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4600" w:type="dxa"/>
            <w:vAlign w:val="bottom"/>
            <w:gridSpan w:val="12"/>
            <w:shd w:val="clear" w:color="auto" w:fill="CCEEFF"/>
          </w:tcPr>
          <w:p>
            <w:pPr>
              <w:spacing w:after="0" w:line="183" w:lineRule="exact"/>
              <w:rPr>
                <w:sz w:val="20"/>
                <w:szCs w:val="20"/>
                <w:color w:val="auto"/>
              </w:rPr>
            </w:pPr>
            <w:r>
              <w:rPr>
                <w:rFonts w:ascii="Arial" w:cs="Arial" w:eastAsia="Arial" w:hAnsi="Arial"/>
                <w:sz w:val="17"/>
                <w:szCs w:val="17"/>
                <w:color w:val="auto"/>
              </w:rPr>
              <w:t>Average assets under management and advisement ($bil)</w:t>
            </w:r>
          </w:p>
        </w:tc>
        <w:tc>
          <w:tcPr>
            <w:tcW w:w="260" w:type="dxa"/>
            <w:vAlign w:val="bottom"/>
            <w:gridSpan w:val="4"/>
            <w:shd w:val="clear" w:color="auto" w:fill="CCEEFF"/>
          </w:tcPr>
          <w:p>
            <w:pPr>
              <w:jc w:val="right"/>
              <w:ind w:right="160"/>
              <w:spacing w:after="0" w:line="183" w:lineRule="exact"/>
              <w:rPr>
                <w:sz w:val="20"/>
                <w:szCs w:val="20"/>
                <w:color w:val="auto"/>
              </w:rPr>
            </w:pPr>
            <w:r>
              <w:rPr>
                <w:rFonts w:ascii="Arial" w:cs="Arial" w:eastAsia="Arial" w:hAnsi="Arial"/>
                <w:sz w:val="17"/>
                <w:szCs w:val="17"/>
                <w:color w:val="auto"/>
                <w:w w:val="84"/>
              </w:rPr>
              <w:t>$</w:t>
            </w:r>
          </w:p>
        </w:tc>
        <w:tc>
          <w:tcPr>
            <w:tcW w:w="640" w:type="dxa"/>
            <w:vAlign w:val="bottom"/>
            <w:gridSpan w:val="2"/>
            <w:shd w:val="clear" w:color="auto" w:fill="CCEEFF"/>
          </w:tcPr>
          <w:p>
            <w:pPr>
              <w:jc w:val="right"/>
              <w:spacing w:after="0" w:line="183" w:lineRule="exact"/>
              <w:rPr>
                <w:sz w:val="20"/>
                <w:szCs w:val="20"/>
                <w:color w:val="auto"/>
              </w:rPr>
            </w:pPr>
            <w:r>
              <w:rPr>
                <w:rFonts w:ascii="Arial" w:cs="Arial" w:eastAsia="Arial" w:hAnsi="Arial"/>
                <w:sz w:val="17"/>
                <w:szCs w:val="17"/>
                <w:color w:val="auto"/>
              </w:rPr>
              <w:t>242.5</w:t>
            </w:r>
          </w:p>
        </w:tc>
        <w:tc>
          <w:tcPr>
            <w:tcW w:w="20" w:type="dxa"/>
            <w:vAlign w:val="bottom"/>
            <w:shd w:val="clear" w:color="auto" w:fill="CCEEFF"/>
          </w:tcPr>
          <w:p>
            <w:pPr>
              <w:spacing w:after="0"/>
              <w:rPr>
                <w:sz w:val="15"/>
                <w:szCs w:val="15"/>
                <w:color w:val="auto"/>
              </w:rPr>
            </w:pPr>
          </w:p>
        </w:tc>
        <w:tc>
          <w:tcPr>
            <w:tcW w:w="200" w:type="dxa"/>
            <w:vAlign w:val="bottom"/>
            <w:gridSpan w:val="2"/>
            <w:shd w:val="clear" w:color="auto" w:fill="CCEEFF"/>
          </w:tcPr>
          <w:p>
            <w:pPr>
              <w:spacing w:after="0"/>
              <w:rPr>
                <w:sz w:val="15"/>
                <w:szCs w:val="15"/>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gridSpan w:val="5"/>
            <w:shd w:val="clear" w:color="auto" w:fill="CCEEFF"/>
          </w:tcPr>
          <w:p>
            <w:pPr>
              <w:jc w:val="right"/>
              <w:spacing w:after="0" w:line="183" w:lineRule="exact"/>
              <w:rPr>
                <w:sz w:val="20"/>
                <w:szCs w:val="20"/>
                <w:color w:val="auto"/>
              </w:rPr>
            </w:pPr>
            <w:r>
              <w:rPr>
                <w:rFonts w:ascii="Arial" w:cs="Arial" w:eastAsia="Arial" w:hAnsi="Arial"/>
                <w:sz w:val="17"/>
                <w:szCs w:val="17"/>
                <w:color w:val="auto"/>
              </w:rPr>
              <w:t>262.7</w:t>
            </w:r>
          </w:p>
        </w:tc>
        <w:tc>
          <w:tcPr>
            <w:tcW w:w="18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720" w:type="dxa"/>
            <w:vAlign w:val="bottom"/>
            <w:gridSpan w:val="3"/>
            <w:shd w:val="clear" w:color="auto" w:fill="CCEEFF"/>
          </w:tcPr>
          <w:p>
            <w:pPr>
              <w:jc w:val="right"/>
              <w:ind w:right="60"/>
              <w:spacing w:after="0" w:line="183" w:lineRule="exact"/>
              <w:rPr>
                <w:sz w:val="20"/>
                <w:szCs w:val="20"/>
                <w:color w:val="auto"/>
              </w:rPr>
            </w:pPr>
            <w:r>
              <w:rPr>
                <w:rFonts w:ascii="Arial" w:cs="Arial" w:eastAsia="Arial" w:hAnsi="Arial"/>
                <w:sz w:val="17"/>
                <w:szCs w:val="17"/>
                <w:color w:val="auto"/>
              </w:rPr>
              <w:t>(7.7)%</w:t>
            </w:r>
          </w:p>
        </w:tc>
        <w:tc>
          <w:tcPr>
            <w:tcW w:w="40" w:type="dxa"/>
            <w:vAlign w:val="bottom"/>
            <w:shd w:val="clear" w:color="auto" w:fill="CCEEFF"/>
          </w:tcPr>
          <w:p>
            <w:pPr>
              <w:spacing w:after="0"/>
              <w:rPr>
                <w:sz w:val="15"/>
                <w:szCs w:val="15"/>
                <w:color w:val="auto"/>
              </w:rPr>
            </w:pPr>
          </w:p>
        </w:tc>
        <w:tc>
          <w:tcPr>
            <w:tcW w:w="220" w:type="dxa"/>
            <w:vAlign w:val="bottom"/>
            <w:gridSpan w:val="2"/>
            <w:shd w:val="clear" w:color="auto" w:fill="CCEEFF"/>
          </w:tcPr>
          <w:p>
            <w:pPr>
              <w:jc w:val="right"/>
              <w:ind w:right="120"/>
              <w:spacing w:after="0" w:line="183" w:lineRule="exact"/>
              <w:rPr>
                <w:sz w:val="20"/>
                <w:szCs w:val="20"/>
                <w:color w:val="auto"/>
              </w:rPr>
            </w:pPr>
            <w:r>
              <w:rPr>
                <w:rFonts w:ascii="Arial" w:cs="Arial" w:eastAsia="Arial" w:hAnsi="Arial"/>
                <w:sz w:val="17"/>
                <w:szCs w:val="17"/>
                <w:color w:val="auto"/>
                <w:w w:val="84"/>
              </w:rPr>
              <w:t>$</w:t>
            </w:r>
          </w:p>
        </w:tc>
        <w:tc>
          <w:tcPr>
            <w:tcW w:w="680" w:type="dxa"/>
            <w:vAlign w:val="bottom"/>
            <w:gridSpan w:val="2"/>
            <w:shd w:val="clear" w:color="auto" w:fill="CCEEFF"/>
          </w:tcPr>
          <w:p>
            <w:pPr>
              <w:jc w:val="right"/>
              <w:spacing w:after="0" w:line="183" w:lineRule="exact"/>
              <w:rPr>
                <w:sz w:val="20"/>
                <w:szCs w:val="20"/>
                <w:color w:val="auto"/>
              </w:rPr>
            </w:pPr>
            <w:r>
              <w:rPr>
                <w:rFonts w:ascii="Arial" w:cs="Arial" w:eastAsia="Arial" w:hAnsi="Arial"/>
                <w:sz w:val="17"/>
                <w:szCs w:val="17"/>
                <w:color w:val="auto"/>
              </w:rPr>
              <w:t>253.6</w:t>
            </w:r>
          </w:p>
        </w:tc>
        <w:tc>
          <w:tcPr>
            <w:tcW w:w="14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line="183" w:lineRule="exact"/>
              <w:rPr>
                <w:sz w:val="20"/>
                <w:szCs w:val="20"/>
                <w:color w:val="auto"/>
              </w:rPr>
            </w:pPr>
            <w:r>
              <w:rPr>
                <w:rFonts w:ascii="Arial" w:cs="Arial" w:eastAsia="Arial" w:hAnsi="Arial"/>
                <w:sz w:val="17"/>
                <w:szCs w:val="17"/>
                <w:color w:val="auto"/>
              </w:rPr>
              <w:t>$</w:t>
            </w:r>
          </w:p>
        </w:tc>
        <w:tc>
          <w:tcPr>
            <w:tcW w:w="700" w:type="dxa"/>
            <w:vAlign w:val="bottom"/>
            <w:gridSpan w:val="2"/>
            <w:shd w:val="clear" w:color="auto" w:fill="CCEEFF"/>
          </w:tcPr>
          <w:p>
            <w:pPr>
              <w:jc w:val="right"/>
              <w:spacing w:after="0" w:line="183" w:lineRule="exact"/>
              <w:rPr>
                <w:sz w:val="20"/>
                <w:szCs w:val="20"/>
                <w:color w:val="auto"/>
              </w:rPr>
            </w:pPr>
            <w:r>
              <w:rPr>
                <w:rFonts w:ascii="Arial" w:cs="Arial" w:eastAsia="Arial" w:hAnsi="Arial"/>
                <w:sz w:val="17"/>
                <w:szCs w:val="17"/>
                <w:color w:val="auto"/>
              </w:rPr>
              <w:t>249.4</w:t>
            </w:r>
          </w:p>
        </w:tc>
        <w:tc>
          <w:tcPr>
            <w:tcW w:w="120" w:type="dxa"/>
            <w:vAlign w:val="bottom"/>
            <w:shd w:val="clear" w:color="auto" w:fill="CCEEFF"/>
          </w:tcPr>
          <w:p>
            <w:pPr>
              <w:spacing w:after="0"/>
              <w:rPr>
                <w:sz w:val="15"/>
                <w:szCs w:val="15"/>
                <w:color w:val="auto"/>
              </w:rPr>
            </w:pPr>
          </w:p>
        </w:tc>
        <w:tc>
          <w:tcPr>
            <w:tcW w:w="80" w:type="dxa"/>
            <w:vAlign w:val="bottom"/>
            <w:gridSpan w:val="2"/>
            <w:shd w:val="clear" w:color="auto" w:fill="CCEEFF"/>
          </w:tcPr>
          <w:p>
            <w:pPr>
              <w:spacing w:after="0"/>
              <w:rPr>
                <w:sz w:val="15"/>
                <w:szCs w:val="15"/>
                <w:color w:val="auto"/>
              </w:rPr>
            </w:pPr>
          </w:p>
        </w:tc>
        <w:tc>
          <w:tcPr>
            <w:tcW w:w="1040" w:type="dxa"/>
            <w:vAlign w:val="bottom"/>
            <w:gridSpan w:val="3"/>
            <w:shd w:val="clear" w:color="auto" w:fill="CCEEFF"/>
          </w:tcPr>
          <w:p>
            <w:pPr>
              <w:jc w:val="right"/>
              <w:spacing w:after="0" w:line="183" w:lineRule="exact"/>
              <w:rPr>
                <w:sz w:val="20"/>
                <w:szCs w:val="20"/>
                <w:color w:val="auto"/>
              </w:rPr>
            </w:pPr>
            <w:r>
              <w:rPr>
                <w:rFonts w:ascii="Arial" w:cs="Arial" w:eastAsia="Arial" w:hAnsi="Arial"/>
                <w:sz w:val="17"/>
                <w:szCs w:val="17"/>
                <w:color w:val="auto"/>
              </w:rPr>
              <w:t>1.7%</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120650</wp:posOffset>
            </wp:positionV>
            <wp:extent cx="178689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786890" cy="8255"/>
                    </a:xfrm>
                    <a:prstGeom prst="rect">
                      <a:avLst/>
                    </a:prstGeom>
                    <a:noFill/>
                  </pic:spPr>
                </pic:pic>
              </a:graphicData>
            </a:graphic>
          </wp:anchor>
        </w:drawing>
      </w:r>
    </w:p>
    <w:p>
      <w:pPr>
        <w:spacing w:after="0" w:line="195" w:lineRule="exact"/>
        <w:rPr>
          <w:sz w:val="20"/>
          <w:szCs w:val="20"/>
          <w:color w:val="auto"/>
        </w:rPr>
      </w:pPr>
    </w:p>
    <w:p>
      <w:pPr>
        <w:ind w:right="360" w:firstLine="1"/>
        <w:spacing w:after="0" w:line="242" w:lineRule="auto"/>
        <w:tabs>
          <w:tab w:leader="none" w:pos="253" w:val="left"/>
        </w:tabs>
        <w:numPr>
          <w:ilvl w:val="0"/>
          <w:numId w:val="16"/>
        </w:numPr>
        <w:rPr>
          <w:rFonts w:ascii="Arial" w:cs="Arial" w:eastAsia="Arial" w:hAnsi="Arial"/>
          <w:sz w:val="17"/>
          <w:szCs w:val="17"/>
          <w:color w:val="auto"/>
        </w:rPr>
      </w:pPr>
      <w:r>
        <w:rPr>
          <w:rFonts w:ascii="Arial" w:cs="Arial" w:eastAsia="Arial" w:hAnsi="Arial"/>
          <w:sz w:val="17"/>
          <w:szCs w:val="17"/>
          <w:color w:val="auto"/>
        </w:rPr>
        <w:t>Organic revenue excludes acquisitions, divestitures, the impacts of the adoption of new accounting standard changes, and the effect of foreign currency translations.</w:t>
      </w:r>
    </w:p>
    <w:p>
      <w:pPr>
        <w:spacing w:after="0" w:line="176" w:lineRule="exact"/>
        <w:rPr>
          <w:rFonts w:ascii="Arial" w:cs="Arial" w:eastAsia="Arial" w:hAnsi="Arial"/>
          <w:sz w:val="17"/>
          <w:szCs w:val="17"/>
          <w:color w:val="auto"/>
        </w:rPr>
      </w:pPr>
    </w:p>
    <w:p>
      <w:pPr>
        <w:ind w:right="240" w:firstLine="1"/>
        <w:spacing w:after="0" w:line="242" w:lineRule="auto"/>
        <w:tabs>
          <w:tab w:leader="none" w:pos="253" w:val="left"/>
        </w:tabs>
        <w:numPr>
          <w:ilvl w:val="0"/>
          <w:numId w:val="16"/>
        </w:numPr>
        <w:rPr>
          <w:rFonts w:ascii="Arial" w:cs="Arial" w:eastAsia="Arial" w:hAnsi="Arial"/>
          <w:sz w:val="17"/>
          <w:szCs w:val="17"/>
          <w:color w:val="auto"/>
        </w:rPr>
      </w:pPr>
      <w:r>
        <w:rPr>
          <w:rFonts w:ascii="Arial" w:cs="Arial" w:eastAsia="Arial" w:hAnsi="Arial"/>
          <w:sz w:val="17"/>
          <w:szCs w:val="17"/>
          <w:color w:val="auto"/>
        </w:rPr>
        <w:t>License-based revenue includes PitchBook, Morningstar Data, Morningstar Direct, Morningstar Sustainalytics, Morningstar Advisor Workstation, and other similar products.</w:t>
      </w:r>
    </w:p>
    <w:p>
      <w:pPr>
        <w:spacing w:after="0" w:line="176" w:lineRule="exact"/>
        <w:rPr>
          <w:rFonts w:ascii="Arial" w:cs="Arial" w:eastAsia="Arial" w:hAnsi="Arial"/>
          <w:sz w:val="17"/>
          <w:szCs w:val="17"/>
          <w:color w:val="auto"/>
        </w:rPr>
      </w:pPr>
    </w:p>
    <w:p>
      <w:pPr>
        <w:ind w:left="240" w:hanging="239"/>
        <w:spacing w:after="0"/>
        <w:tabs>
          <w:tab w:leader="none" w:pos="240" w:val="left"/>
        </w:tabs>
        <w:numPr>
          <w:ilvl w:val="0"/>
          <w:numId w:val="16"/>
        </w:numPr>
        <w:rPr>
          <w:rFonts w:ascii="Arial" w:cs="Arial" w:eastAsia="Arial" w:hAnsi="Arial"/>
          <w:sz w:val="17"/>
          <w:szCs w:val="17"/>
          <w:color w:val="auto"/>
        </w:rPr>
      </w:pPr>
      <w:r>
        <w:rPr>
          <w:rFonts w:ascii="Arial" w:cs="Arial" w:eastAsia="Arial" w:hAnsi="Arial"/>
          <w:sz w:val="17"/>
          <w:szCs w:val="17"/>
          <w:color w:val="auto"/>
        </w:rPr>
        <w:t>Asset-based revenue includes Investment Management, Workplace Solutions, and Morningstar Indexes.</w:t>
      </w:r>
    </w:p>
    <w:p>
      <w:pPr>
        <w:spacing w:after="0" w:line="184" w:lineRule="exact"/>
        <w:rPr>
          <w:rFonts w:ascii="Arial" w:cs="Arial" w:eastAsia="Arial" w:hAnsi="Arial"/>
          <w:sz w:val="17"/>
          <w:szCs w:val="17"/>
          <w:color w:val="auto"/>
        </w:rPr>
      </w:pPr>
    </w:p>
    <w:p>
      <w:pPr>
        <w:ind w:left="260" w:hanging="259"/>
        <w:spacing w:after="0"/>
        <w:tabs>
          <w:tab w:leader="none" w:pos="260" w:val="left"/>
        </w:tabs>
        <w:numPr>
          <w:ilvl w:val="0"/>
          <w:numId w:val="16"/>
        </w:numPr>
        <w:rPr>
          <w:rFonts w:ascii="Arial" w:cs="Arial" w:eastAsia="Arial" w:hAnsi="Arial"/>
          <w:sz w:val="17"/>
          <w:szCs w:val="17"/>
          <w:color w:val="auto"/>
        </w:rPr>
      </w:pPr>
      <w:r>
        <w:rPr>
          <w:rFonts w:ascii="Arial" w:cs="Arial" w:eastAsia="Arial" w:hAnsi="Arial"/>
          <w:sz w:val="17"/>
          <w:szCs w:val="17"/>
          <w:color w:val="auto"/>
        </w:rPr>
        <w:t>Transaction-based revenue includes DBRS Morningstar, Internet advertising, and Morningstar-sponsored conferences.</w:t>
      </w:r>
    </w:p>
    <w:p>
      <w:pPr>
        <w:spacing w:after="0" w:line="184" w:lineRule="exact"/>
        <w:rPr>
          <w:rFonts w:ascii="Arial" w:cs="Arial" w:eastAsia="Arial" w:hAnsi="Arial"/>
          <w:sz w:val="17"/>
          <w:szCs w:val="17"/>
          <w:color w:val="auto"/>
        </w:rPr>
      </w:pPr>
    </w:p>
    <w:p>
      <w:pPr>
        <w:ind w:right="180" w:firstLine="1"/>
        <w:spacing w:after="0" w:line="238" w:lineRule="auto"/>
        <w:tabs>
          <w:tab w:leader="none" w:pos="300" w:val="left"/>
        </w:tabs>
        <w:numPr>
          <w:ilvl w:val="0"/>
          <w:numId w:val="16"/>
        </w:numPr>
        <w:rPr>
          <w:rFonts w:ascii="Arial" w:cs="Arial" w:eastAsia="Arial" w:hAnsi="Arial"/>
          <w:sz w:val="17"/>
          <w:szCs w:val="17"/>
          <w:color w:val="auto"/>
        </w:rPr>
      </w:pPr>
      <w:r>
        <w:rPr>
          <w:rFonts w:ascii="Arial" w:cs="Arial" w:eastAsia="Arial" w:hAnsi="Arial"/>
          <w:sz w:val="17"/>
          <w:szCs w:val="17"/>
          <w:color w:val="auto"/>
        </w:rPr>
        <w:t>For the three and twelve months ended Dec 31, 2022, DBRS Morningstar recurring revenue derived primarily from surveillance, research, and other transaction-related services was 50.1% and 42.4%, respectively. For the three and twelve months ended Dec 31, 2021, recurring revenue was 30.0% and 34.3%, respectively.</w:t>
      </w:r>
    </w:p>
    <w:p>
      <w:pPr>
        <w:spacing w:after="0" w:line="36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15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17780</wp:posOffset>
            </wp:positionV>
            <wp:extent cx="7140575"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41" w:right="339" w:bottom="1440" w:gutter="0" w:footer="0" w:header="0"/>
        </w:sectPr>
      </w:pPr>
    </w:p>
    <w:bookmarkStart w:id="19" w:name="page20"/>
    <w:bookmarkEnd w:id="19"/>
    <w:p>
      <w:pPr>
        <w:spacing w:after="0"/>
        <w:rPr>
          <w:sz w:val="20"/>
          <w:szCs w:val="20"/>
          <w:color w:val="auto"/>
        </w:rPr>
      </w:pPr>
      <w:r>
        <w:rPr>
          <w:rFonts w:ascii="Arial" w:cs="Arial" w:eastAsia="Arial" w:hAnsi="Arial"/>
          <w:sz w:val="17"/>
          <w:szCs w:val="17"/>
          <w:b w:val="1"/>
          <w:bCs w:val="1"/>
          <w:color w:val="auto"/>
        </w:rPr>
        <w:t>Morningstar, Inc. and Subsidiaries</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Reconciliations of Non-GAAP Measures with the Nearest Comparable GAAP Measures (Unaudited)</w:t>
      </w:r>
    </w:p>
    <w:p>
      <w:pPr>
        <w:spacing w:after="0" w:line="205" w:lineRule="exact"/>
        <w:rPr>
          <w:sz w:val="20"/>
          <w:szCs w:val="20"/>
          <w:color w:val="auto"/>
        </w:rPr>
      </w:pPr>
    </w:p>
    <w:p>
      <w:pPr>
        <w:spacing w:after="0"/>
        <w:rPr>
          <w:sz w:val="20"/>
          <w:szCs w:val="20"/>
          <w:color w:val="auto"/>
        </w:rPr>
      </w:pPr>
      <w:r>
        <w:rPr>
          <w:rFonts w:ascii="Arial" w:cs="Arial" w:eastAsia="Arial" w:hAnsi="Arial"/>
          <w:sz w:val="17"/>
          <w:szCs w:val="17"/>
          <w:color w:val="auto"/>
        </w:rPr>
        <w:t>To supplement Morningstar’s condensed consolidated financial statements presented in accordance with U.S. Generally Accepted Accounting</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color w:val="auto"/>
        </w:rPr>
        <w:t>Principles (GAAP), Morningstar uses the following measures considered as non-GAAP by the Securities and Exchange Commission, including:</w:t>
      </w:r>
    </w:p>
    <w:p>
      <w:pPr>
        <w:spacing w:after="0" w:line="185" w:lineRule="exact"/>
        <w:rPr>
          <w:sz w:val="20"/>
          <w:szCs w:val="20"/>
          <w:color w:val="auto"/>
        </w:rPr>
      </w:pPr>
    </w:p>
    <w:p>
      <w:pPr>
        <w:ind w:left="620" w:hanging="314"/>
        <w:spacing w:after="0" w:line="242" w:lineRule="auto"/>
        <w:tabs>
          <w:tab w:leader="none" w:pos="620" w:val="left"/>
        </w:tabs>
        <w:numPr>
          <w:ilvl w:val="0"/>
          <w:numId w:val="17"/>
        </w:numPr>
        <w:rPr>
          <w:rFonts w:ascii="Arial" w:cs="Arial" w:eastAsia="Arial" w:hAnsi="Arial"/>
          <w:sz w:val="17"/>
          <w:szCs w:val="17"/>
          <w:color w:val="auto"/>
        </w:rPr>
      </w:pPr>
      <w:r>
        <w:rPr>
          <w:rFonts w:ascii="Arial" w:cs="Arial" w:eastAsia="Arial" w:hAnsi="Arial"/>
          <w:sz w:val="17"/>
          <w:szCs w:val="17"/>
          <w:color w:val="auto"/>
        </w:rPr>
        <w:t>consolidated revenue, excluding acquisitions, divestitures, adoption of new accounting standard changes (accounting changes), and the effect of foreign currency translations (organic revenue),</w:t>
      </w:r>
    </w:p>
    <w:p>
      <w:pPr>
        <w:spacing w:after="0" w:line="176" w:lineRule="exact"/>
        <w:rPr>
          <w:rFonts w:ascii="Arial" w:cs="Arial" w:eastAsia="Arial" w:hAnsi="Arial"/>
          <w:sz w:val="17"/>
          <w:szCs w:val="17"/>
          <w:color w:val="auto"/>
        </w:rPr>
      </w:pPr>
    </w:p>
    <w:p>
      <w:pPr>
        <w:ind w:left="620" w:right="260" w:hanging="314"/>
        <w:spacing w:after="0" w:line="238" w:lineRule="auto"/>
        <w:tabs>
          <w:tab w:leader="none" w:pos="620" w:val="left"/>
        </w:tabs>
        <w:numPr>
          <w:ilvl w:val="0"/>
          <w:numId w:val="17"/>
        </w:numPr>
        <w:rPr>
          <w:rFonts w:ascii="Arial" w:cs="Arial" w:eastAsia="Arial" w:hAnsi="Arial"/>
          <w:sz w:val="17"/>
          <w:szCs w:val="17"/>
          <w:color w:val="auto"/>
        </w:rPr>
      </w:pPr>
      <w:r>
        <w:rPr>
          <w:rFonts w:ascii="Arial" w:cs="Arial" w:eastAsia="Arial" w:hAnsi="Arial"/>
          <w:sz w:val="17"/>
          <w:szCs w:val="17"/>
          <w:color w:val="auto"/>
        </w:rPr>
        <w:t>consolidated operating income, excluding intangible amortization expense, all mergers and acquisitions (M&amp;A)-related expenses (including M&amp;A-related earn-outs), and items related to the significant reduction and shift of the Company's operations in China (adjusted operating income),</w:t>
      </w:r>
    </w:p>
    <w:p>
      <w:pPr>
        <w:spacing w:after="0" w:line="179" w:lineRule="exact"/>
        <w:rPr>
          <w:rFonts w:ascii="Arial" w:cs="Arial" w:eastAsia="Arial" w:hAnsi="Arial"/>
          <w:sz w:val="17"/>
          <w:szCs w:val="17"/>
          <w:color w:val="auto"/>
        </w:rPr>
      </w:pPr>
    </w:p>
    <w:p>
      <w:pPr>
        <w:ind w:left="620" w:right="140" w:hanging="314"/>
        <w:spacing w:after="0" w:line="242" w:lineRule="auto"/>
        <w:tabs>
          <w:tab w:leader="none" w:pos="620" w:val="left"/>
        </w:tabs>
        <w:numPr>
          <w:ilvl w:val="0"/>
          <w:numId w:val="17"/>
        </w:numPr>
        <w:rPr>
          <w:rFonts w:ascii="Arial" w:cs="Arial" w:eastAsia="Arial" w:hAnsi="Arial"/>
          <w:sz w:val="17"/>
          <w:szCs w:val="17"/>
          <w:color w:val="auto"/>
        </w:rPr>
      </w:pPr>
      <w:r>
        <w:rPr>
          <w:rFonts w:ascii="Arial" w:cs="Arial" w:eastAsia="Arial" w:hAnsi="Arial"/>
          <w:sz w:val="17"/>
          <w:szCs w:val="17"/>
          <w:color w:val="auto"/>
        </w:rPr>
        <w:t>consolidated operating margin, excluding intangible amortization expense, all M&amp;A-related expenses (including M&amp;A-related earn-outs), and items related to the significant reduction and shift of the Company's operations in China (adjusted operating margin),</w:t>
      </w:r>
    </w:p>
    <w:p>
      <w:pPr>
        <w:spacing w:after="0" w:line="176" w:lineRule="exact"/>
        <w:rPr>
          <w:rFonts w:ascii="Arial" w:cs="Arial" w:eastAsia="Arial" w:hAnsi="Arial"/>
          <w:sz w:val="17"/>
          <w:szCs w:val="17"/>
          <w:color w:val="auto"/>
        </w:rPr>
      </w:pPr>
    </w:p>
    <w:p>
      <w:pPr>
        <w:ind w:left="620" w:right="40" w:hanging="314"/>
        <w:spacing w:after="0" w:line="238" w:lineRule="auto"/>
        <w:tabs>
          <w:tab w:leader="none" w:pos="620" w:val="left"/>
        </w:tabs>
        <w:numPr>
          <w:ilvl w:val="0"/>
          <w:numId w:val="17"/>
        </w:numPr>
        <w:rPr>
          <w:rFonts w:ascii="Arial" w:cs="Arial" w:eastAsia="Arial" w:hAnsi="Arial"/>
          <w:sz w:val="17"/>
          <w:szCs w:val="17"/>
          <w:color w:val="auto"/>
        </w:rPr>
      </w:pPr>
      <w:r>
        <w:rPr>
          <w:rFonts w:ascii="Arial" w:cs="Arial" w:eastAsia="Arial" w:hAnsi="Arial"/>
          <w:sz w:val="17"/>
          <w:szCs w:val="17"/>
          <w:color w:val="auto"/>
        </w:rPr>
        <w:t>consolidated diluted net income per share, excluding intangible amortization expense, all M&amp;A-related expenses (including M&amp;A-related earn-outs), items related to the significant reduction and shift of the Company's operations in China, and certain non-operating gains/losses (adjusted diluted net income per share), and</w:t>
      </w:r>
    </w:p>
    <w:p>
      <w:pPr>
        <w:spacing w:after="0" w:line="179" w:lineRule="exact"/>
        <w:rPr>
          <w:rFonts w:ascii="Arial" w:cs="Arial" w:eastAsia="Arial" w:hAnsi="Arial"/>
          <w:sz w:val="17"/>
          <w:szCs w:val="17"/>
          <w:color w:val="auto"/>
        </w:rPr>
      </w:pPr>
    </w:p>
    <w:p>
      <w:pPr>
        <w:ind w:left="620" w:hanging="314"/>
        <w:spacing w:after="0"/>
        <w:tabs>
          <w:tab w:leader="none" w:pos="620" w:val="left"/>
        </w:tabs>
        <w:numPr>
          <w:ilvl w:val="0"/>
          <w:numId w:val="17"/>
        </w:numPr>
        <w:rPr>
          <w:rFonts w:ascii="Arial" w:cs="Arial" w:eastAsia="Arial" w:hAnsi="Arial"/>
          <w:sz w:val="17"/>
          <w:szCs w:val="17"/>
          <w:color w:val="auto"/>
        </w:rPr>
      </w:pPr>
      <w:r>
        <w:rPr>
          <w:rFonts w:ascii="Arial" w:cs="Arial" w:eastAsia="Arial" w:hAnsi="Arial"/>
          <w:sz w:val="17"/>
          <w:szCs w:val="17"/>
          <w:color w:val="auto"/>
        </w:rPr>
        <w:t>cash provided by or used for operating activities less capital expenditures (free cash flow).</w:t>
      </w:r>
    </w:p>
    <w:p>
      <w:pPr>
        <w:spacing w:after="0" w:line="185" w:lineRule="exact"/>
        <w:rPr>
          <w:sz w:val="20"/>
          <w:szCs w:val="20"/>
          <w:color w:val="auto"/>
        </w:rPr>
      </w:pPr>
    </w:p>
    <w:p>
      <w:pPr>
        <w:spacing w:after="0"/>
        <w:rPr>
          <w:sz w:val="20"/>
          <w:szCs w:val="20"/>
          <w:color w:val="auto"/>
        </w:rPr>
      </w:pPr>
      <w:r>
        <w:rPr>
          <w:rFonts w:ascii="Arial" w:cs="Arial" w:eastAsia="Arial" w:hAnsi="Arial"/>
          <w:sz w:val="17"/>
          <w:szCs w:val="17"/>
          <w:color w:val="auto"/>
        </w:rPr>
        <w:t>These non-GAAP measures may not be comparable to similarly titled measures reported by other companies.</w:t>
      </w:r>
    </w:p>
    <w:p>
      <w:pPr>
        <w:spacing w:after="0" w:line="185" w:lineRule="exact"/>
        <w:rPr>
          <w:sz w:val="20"/>
          <w:szCs w:val="20"/>
          <w:color w:val="auto"/>
        </w:rPr>
      </w:pPr>
    </w:p>
    <w:p>
      <w:pPr>
        <w:ind w:right="320"/>
        <w:spacing w:after="0" w:line="237" w:lineRule="auto"/>
        <w:rPr>
          <w:sz w:val="20"/>
          <w:szCs w:val="20"/>
          <w:color w:val="auto"/>
        </w:rPr>
      </w:pPr>
      <w:r>
        <w:rPr>
          <w:rFonts w:ascii="Arial" w:cs="Arial" w:eastAsia="Arial" w:hAnsi="Arial"/>
          <w:sz w:val="17"/>
          <w:szCs w:val="17"/>
          <w:color w:val="auto"/>
        </w:rPr>
        <w:t>Morningstar presents organic revenue because the Company believes this non-GAAP measure helps investors better compare period-over-period results. Morningstar excludes revenue from acquired businesses from its organic revenue growth calculation for a period of 12 months after it completes the acquisition. For divestitures, Morningstar excludes revenue in the prior-year period for which there is no comparable revenue in the current period.</w:t>
      </w:r>
    </w:p>
    <w:p>
      <w:pPr>
        <w:spacing w:after="0" w:line="179" w:lineRule="exact"/>
        <w:rPr>
          <w:sz w:val="20"/>
          <w:szCs w:val="20"/>
          <w:color w:val="auto"/>
        </w:rPr>
      </w:pPr>
    </w:p>
    <w:p>
      <w:pPr>
        <w:jc w:val="both"/>
        <w:ind w:right="500"/>
        <w:spacing w:after="0" w:line="238" w:lineRule="auto"/>
        <w:rPr>
          <w:sz w:val="20"/>
          <w:szCs w:val="20"/>
          <w:color w:val="auto"/>
        </w:rPr>
      </w:pPr>
      <w:r>
        <w:rPr>
          <w:rFonts w:ascii="Arial" w:cs="Arial" w:eastAsia="Arial" w:hAnsi="Arial"/>
          <w:sz w:val="17"/>
          <w:szCs w:val="17"/>
          <w:color w:val="auto"/>
        </w:rPr>
        <w:t>Morningstar presents adjusted operating income, adjusted operating margin, and adjusted net income per share to show the effect of significant acquisition activity, better compare period-over-period results, and improve overall understanding of the underlying performance of the business absent the impact of acquisitions.</w:t>
      </w:r>
    </w:p>
    <w:p>
      <w:pPr>
        <w:spacing w:after="0" w:line="179" w:lineRule="exact"/>
        <w:rPr>
          <w:sz w:val="20"/>
          <w:szCs w:val="20"/>
          <w:color w:val="auto"/>
        </w:rPr>
      </w:pPr>
    </w:p>
    <w:p>
      <w:pPr>
        <w:ind w:right="160"/>
        <w:spacing w:after="0" w:line="237" w:lineRule="auto"/>
        <w:rPr>
          <w:sz w:val="20"/>
          <w:szCs w:val="20"/>
          <w:color w:val="auto"/>
        </w:rPr>
      </w:pPr>
      <w:r>
        <w:rPr>
          <w:rFonts w:ascii="Arial" w:cs="Arial" w:eastAsia="Arial" w:hAnsi="Arial"/>
          <w:sz w:val="17"/>
          <w:szCs w:val="17"/>
          <w:color w:val="auto"/>
        </w:rPr>
        <w:t>In addition, Morningstar presents free cash flow solely as supplemental disclosure to help investors better understand how much cash is available after making capital expenditures. Morningstar's management team uses free cash flow to evaluate the health of its business. Free cash flow should not be considered an alternative to any measure required to be reported under GAAP (such as cash provided by (used for) operating, investing, and financing activities).</w:t>
      </w:r>
    </w:p>
    <w:p>
      <w:pPr>
        <w:spacing w:after="0" w:line="36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16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9525</wp:posOffset>
            </wp:positionV>
            <wp:extent cx="7140575" cy="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20"/>
          </w:cols>
          <w:pgMar w:left="320" w:top="841" w:right="359" w:bottom="1440" w:gutter="0" w:footer="0" w:header="0"/>
        </w:sectPr>
      </w:pPr>
    </w:p>
    <w:bookmarkStart w:id="20" w:name="page21"/>
    <w:bookmarkEnd w:id="20"/>
    <w:tbl>
      <w:tblPr>
        <w:tblLayout w:type="fixed"/>
        <w:tblInd w:w="0" w:type="dxa"/>
        <w:tblCellMar>
          <w:top w:w="0" w:type="dxa"/>
          <w:left w:w="0" w:type="dxa"/>
          <w:bottom w:w="0" w:type="dxa"/>
          <w:right w:w="0" w:type="dxa"/>
        </w:tblCellMar>
      </w:tblPr>
      <w:tr>
        <w:trPr>
          <w:trHeight w:val="211"/>
        </w:trPr>
        <w:tc>
          <w:tcPr>
            <w:tcW w:w="4840" w:type="dxa"/>
            <w:vAlign w:val="bottom"/>
            <w:gridSpan w:val="3"/>
            <w:vMerge w:val="restart"/>
          </w:tcPr>
          <w:p>
            <w:pPr>
              <w:spacing w:after="0"/>
              <w:rPr>
                <w:sz w:val="20"/>
                <w:szCs w:val="20"/>
                <w:color w:val="auto"/>
              </w:rPr>
            </w:pPr>
            <w:r>
              <w:rPr>
                <w:rFonts w:ascii="Arial" w:cs="Arial" w:eastAsia="Arial" w:hAnsi="Arial"/>
                <w:sz w:val="17"/>
                <w:szCs w:val="17"/>
                <w:b w:val="1"/>
                <w:bCs w:val="1"/>
                <w:color w:val="auto"/>
              </w:rPr>
              <w:t>(in millions)</w:t>
            </w:r>
          </w:p>
        </w:tc>
        <w:tc>
          <w:tcPr>
            <w:tcW w:w="3280" w:type="dxa"/>
            <w:vAlign w:val="bottom"/>
            <w:gridSpan w:val="8"/>
          </w:tcPr>
          <w:p>
            <w:pPr>
              <w:jc w:val="right"/>
              <w:ind w:right="420"/>
              <w:spacing w:after="0"/>
              <w:rPr>
                <w:sz w:val="20"/>
                <w:szCs w:val="20"/>
                <w:color w:val="auto"/>
              </w:rPr>
            </w:pPr>
            <w:r>
              <w:rPr>
                <w:rFonts w:ascii="Arial" w:cs="Arial" w:eastAsia="Arial" w:hAnsi="Arial"/>
                <w:sz w:val="17"/>
                <w:szCs w:val="17"/>
                <w:b w:val="1"/>
                <w:bCs w:val="1"/>
                <w:color w:val="auto"/>
              </w:rPr>
              <w:t>Three months ended December 31,</w:t>
            </w:r>
          </w:p>
        </w:tc>
        <w:tc>
          <w:tcPr>
            <w:tcW w:w="160" w:type="dxa"/>
            <w:vAlign w:val="bottom"/>
          </w:tcPr>
          <w:p>
            <w:pPr>
              <w:spacing w:after="0"/>
              <w:rPr>
                <w:sz w:val="18"/>
                <w:szCs w:val="18"/>
                <w:color w:val="auto"/>
              </w:rPr>
            </w:pPr>
          </w:p>
        </w:tc>
        <w:tc>
          <w:tcPr>
            <w:tcW w:w="2960" w:type="dxa"/>
            <w:vAlign w:val="bottom"/>
            <w:gridSpan w:val="7"/>
          </w:tcPr>
          <w:p>
            <w:pPr>
              <w:jc w:val="right"/>
              <w:ind w:right="680"/>
              <w:spacing w:after="0"/>
              <w:rPr>
                <w:sz w:val="20"/>
                <w:szCs w:val="20"/>
                <w:color w:val="auto"/>
              </w:rPr>
            </w:pPr>
            <w:r>
              <w:rPr>
                <w:rFonts w:ascii="Arial" w:cs="Arial" w:eastAsia="Arial" w:hAnsi="Arial"/>
                <w:sz w:val="17"/>
                <w:szCs w:val="17"/>
                <w:b w:val="1"/>
                <w:bCs w:val="1"/>
                <w:color w:val="auto"/>
              </w:rPr>
              <w:t>Year ended December 31,</w:t>
            </w:r>
          </w:p>
        </w:tc>
        <w:tc>
          <w:tcPr>
            <w:tcW w:w="0" w:type="dxa"/>
            <w:vAlign w:val="bottom"/>
          </w:tcPr>
          <w:p>
            <w:pPr>
              <w:spacing w:after="0"/>
              <w:rPr>
                <w:sz w:val="1"/>
                <w:szCs w:val="1"/>
                <w:color w:val="auto"/>
              </w:rPr>
            </w:pPr>
          </w:p>
        </w:tc>
      </w:tr>
      <w:tr>
        <w:trPr>
          <w:trHeight w:val="196"/>
        </w:trPr>
        <w:tc>
          <w:tcPr>
            <w:tcW w:w="4840" w:type="dxa"/>
            <w:vAlign w:val="bottom"/>
            <w:gridSpan w:val="3"/>
            <w:vMerge w:val="continue"/>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620" w:type="dxa"/>
            <w:vAlign w:val="bottom"/>
            <w:tcBorders>
              <w:top w:val="single" w:sz="8" w:color="auto"/>
            </w:tcBorders>
          </w:tcPr>
          <w:p>
            <w:pPr>
              <w:jc w:val="right"/>
              <w:ind w:right="116"/>
              <w:spacing w:after="0"/>
              <w:rPr>
                <w:sz w:val="20"/>
                <w:szCs w:val="20"/>
                <w:color w:val="auto"/>
              </w:rPr>
            </w:pPr>
            <w:r>
              <w:rPr>
                <w:rFonts w:ascii="Arial" w:cs="Arial" w:eastAsia="Arial" w:hAnsi="Arial"/>
                <w:sz w:val="17"/>
                <w:szCs w:val="17"/>
                <w:b w:val="1"/>
                <w:bCs w:val="1"/>
                <w:color w:val="auto"/>
              </w:rPr>
              <w:t>2022</w:t>
            </w:r>
          </w:p>
        </w:tc>
        <w:tc>
          <w:tcPr>
            <w:tcW w:w="260" w:type="dxa"/>
            <w:vAlign w:val="bottom"/>
            <w:tcBorders>
              <w:top w:val="single" w:sz="8" w:color="auto"/>
            </w:tcBorders>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620" w:type="dxa"/>
            <w:vAlign w:val="bottom"/>
            <w:tcBorders>
              <w:top w:val="single" w:sz="8" w:color="auto"/>
            </w:tcBorders>
          </w:tcPr>
          <w:p>
            <w:pPr>
              <w:jc w:val="right"/>
              <w:ind w:right="116"/>
              <w:spacing w:after="0"/>
              <w:rPr>
                <w:sz w:val="20"/>
                <w:szCs w:val="20"/>
                <w:color w:val="auto"/>
              </w:rPr>
            </w:pPr>
            <w:r>
              <w:rPr>
                <w:rFonts w:ascii="Arial" w:cs="Arial" w:eastAsia="Arial" w:hAnsi="Arial"/>
                <w:sz w:val="17"/>
                <w:szCs w:val="17"/>
                <w:b w:val="1"/>
                <w:bCs w:val="1"/>
                <w:color w:val="auto"/>
              </w:rPr>
              <w:t>2021</w:t>
            </w:r>
          </w:p>
        </w:tc>
        <w:tc>
          <w:tcPr>
            <w:tcW w:w="32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jc w:val="right"/>
              <w:ind w:right="16"/>
              <w:spacing w:after="0"/>
              <w:rPr>
                <w:sz w:val="20"/>
                <w:szCs w:val="20"/>
                <w:color w:val="auto"/>
              </w:rPr>
            </w:pPr>
            <w:r>
              <w:rPr>
                <w:rFonts w:ascii="Arial" w:cs="Arial" w:eastAsia="Arial" w:hAnsi="Arial"/>
                <w:sz w:val="17"/>
                <w:szCs w:val="17"/>
                <w:b w:val="1"/>
                <w:bCs w:val="1"/>
                <w:color w:val="auto"/>
              </w:rPr>
              <w:t>change</w:t>
            </w:r>
          </w:p>
        </w:tc>
        <w:tc>
          <w:tcPr>
            <w:tcW w:w="38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620" w:type="dxa"/>
            <w:vAlign w:val="bottom"/>
            <w:tcBorders>
              <w:top w:val="single" w:sz="8" w:color="auto"/>
            </w:tcBorders>
          </w:tcPr>
          <w:p>
            <w:pPr>
              <w:jc w:val="right"/>
              <w:ind w:right="116"/>
              <w:spacing w:after="0"/>
              <w:rPr>
                <w:sz w:val="20"/>
                <w:szCs w:val="20"/>
                <w:color w:val="auto"/>
              </w:rPr>
            </w:pPr>
            <w:r>
              <w:rPr>
                <w:rFonts w:ascii="Arial" w:cs="Arial" w:eastAsia="Arial" w:hAnsi="Arial"/>
                <w:sz w:val="17"/>
                <w:szCs w:val="17"/>
                <w:b w:val="1"/>
                <w:bCs w:val="1"/>
                <w:color w:val="auto"/>
              </w:rPr>
              <w:t>2022</w:t>
            </w:r>
          </w:p>
        </w:tc>
        <w:tc>
          <w:tcPr>
            <w:tcW w:w="260" w:type="dxa"/>
            <w:vAlign w:val="bottom"/>
            <w:tcBorders>
              <w:top w:val="single" w:sz="8" w:color="auto"/>
            </w:tcBorders>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620" w:type="dxa"/>
            <w:vAlign w:val="bottom"/>
            <w:tcBorders>
              <w:top w:val="single" w:sz="8" w:color="auto"/>
            </w:tcBorders>
          </w:tcPr>
          <w:p>
            <w:pPr>
              <w:jc w:val="right"/>
              <w:ind w:right="116"/>
              <w:spacing w:after="0"/>
              <w:rPr>
                <w:sz w:val="20"/>
                <w:szCs w:val="20"/>
                <w:color w:val="auto"/>
              </w:rPr>
            </w:pPr>
            <w:r>
              <w:rPr>
                <w:rFonts w:ascii="Arial" w:cs="Arial" w:eastAsia="Arial" w:hAnsi="Arial"/>
                <w:sz w:val="17"/>
                <w:szCs w:val="17"/>
                <w:b w:val="1"/>
                <w:bCs w:val="1"/>
                <w:color w:val="auto"/>
              </w:rPr>
              <w:t>2021</w:t>
            </w:r>
          </w:p>
        </w:tc>
        <w:tc>
          <w:tcPr>
            <w:tcW w:w="26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jc w:val="right"/>
              <w:ind w:right="16"/>
              <w:spacing w:after="0"/>
              <w:rPr>
                <w:sz w:val="20"/>
                <w:szCs w:val="20"/>
                <w:color w:val="auto"/>
              </w:rPr>
            </w:pPr>
            <w:r>
              <w:rPr>
                <w:rFonts w:ascii="Arial" w:cs="Arial" w:eastAsia="Arial" w:hAnsi="Arial"/>
                <w:sz w:val="17"/>
                <w:szCs w:val="17"/>
                <w:b w:val="1"/>
                <w:bCs w:val="1"/>
                <w:color w:val="auto"/>
              </w:rPr>
              <w:t>change</w:t>
            </w:r>
          </w:p>
        </w:tc>
        <w:tc>
          <w:tcPr>
            <w:tcW w:w="2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720" w:type="dxa"/>
            <w:vAlign w:val="bottom"/>
            <w:tcBorders>
              <w:top w:val="single" w:sz="8" w:color="auto"/>
            </w:tcBorders>
            <w:shd w:val="clear" w:color="auto" w:fill="CCEEFF"/>
          </w:tcPr>
          <w:p>
            <w:pPr>
              <w:spacing w:after="0" w:line="162" w:lineRule="exact"/>
              <w:rPr>
                <w:sz w:val="20"/>
                <w:szCs w:val="20"/>
                <w:color w:val="auto"/>
              </w:rPr>
            </w:pPr>
            <w:r>
              <w:rPr>
                <w:rFonts w:ascii="Arial" w:cs="Arial" w:eastAsia="Arial" w:hAnsi="Arial"/>
                <w:sz w:val="17"/>
                <w:szCs w:val="17"/>
                <w:b w:val="1"/>
                <w:bCs w:val="1"/>
                <w:color w:val="auto"/>
              </w:rPr>
              <w:t>Reconciliation from consolidated revenue to organic</w:t>
            </w:r>
          </w:p>
        </w:tc>
        <w:tc>
          <w:tcPr>
            <w:tcW w:w="100" w:type="dxa"/>
            <w:vAlign w:val="bottom"/>
            <w:tcBorders>
              <w:top w:val="single" w:sz="8" w:color="CCEEFF"/>
            </w:tcBorders>
            <w:shd w:val="clear" w:color="auto" w:fill="CCEEFF"/>
          </w:tcPr>
          <w:p>
            <w:pPr>
              <w:spacing w:after="0"/>
              <w:rPr>
                <w:sz w:val="14"/>
                <w:szCs w:val="14"/>
                <w:color w:val="auto"/>
              </w:rPr>
            </w:pPr>
          </w:p>
        </w:tc>
        <w:tc>
          <w:tcPr>
            <w:tcW w:w="160" w:type="dxa"/>
            <w:vAlign w:val="bottom"/>
            <w:tcBorders>
              <w:top w:val="single" w:sz="8" w:color="auto"/>
            </w:tcBorders>
            <w:shd w:val="clear" w:color="auto" w:fill="CCEEFF"/>
          </w:tcPr>
          <w:p>
            <w:pPr>
              <w:spacing w:after="0"/>
              <w:rPr>
                <w:sz w:val="14"/>
                <w:szCs w:val="14"/>
                <w:color w:val="auto"/>
              </w:rPr>
            </w:pPr>
          </w:p>
        </w:tc>
        <w:tc>
          <w:tcPr>
            <w:tcW w:w="620" w:type="dxa"/>
            <w:vAlign w:val="bottom"/>
            <w:tcBorders>
              <w:top w:val="single" w:sz="8" w:color="auto"/>
            </w:tcBorders>
            <w:shd w:val="clear" w:color="auto" w:fill="CCEEFF"/>
          </w:tcPr>
          <w:p>
            <w:pPr>
              <w:spacing w:after="0"/>
              <w:rPr>
                <w:sz w:val="14"/>
                <w:szCs w:val="14"/>
                <w:color w:val="auto"/>
              </w:rPr>
            </w:pPr>
          </w:p>
        </w:tc>
        <w:tc>
          <w:tcPr>
            <w:tcW w:w="260" w:type="dxa"/>
            <w:vAlign w:val="bottom"/>
            <w:tcBorders>
              <w:top w:val="single" w:sz="8" w:color="CCEEFF"/>
              <w:right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620" w:type="dxa"/>
            <w:vAlign w:val="bottom"/>
            <w:tcBorders>
              <w:top w:val="single" w:sz="8" w:color="auto"/>
            </w:tcBorders>
            <w:shd w:val="clear" w:color="auto" w:fill="CCEEFF"/>
          </w:tcPr>
          <w:p>
            <w:pPr>
              <w:spacing w:after="0"/>
              <w:rPr>
                <w:sz w:val="14"/>
                <w:szCs w:val="14"/>
                <w:color w:val="auto"/>
              </w:rPr>
            </w:pPr>
          </w:p>
        </w:tc>
        <w:tc>
          <w:tcPr>
            <w:tcW w:w="320" w:type="dxa"/>
            <w:vAlign w:val="bottom"/>
            <w:tcBorders>
              <w:top w:val="single" w:sz="8" w:color="CCEEFF"/>
            </w:tcBorders>
            <w:shd w:val="clear" w:color="auto" w:fill="CCEEFF"/>
          </w:tcPr>
          <w:p>
            <w:pPr>
              <w:spacing w:after="0"/>
              <w:rPr>
                <w:sz w:val="14"/>
                <w:szCs w:val="14"/>
                <w:color w:val="auto"/>
              </w:rPr>
            </w:pPr>
          </w:p>
        </w:tc>
        <w:tc>
          <w:tcPr>
            <w:tcW w:w="780" w:type="dxa"/>
            <w:vAlign w:val="bottom"/>
            <w:tcBorders>
              <w:top w:val="single" w:sz="8" w:color="auto"/>
            </w:tcBorders>
            <w:shd w:val="clear" w:color="auto" w:fill="CCEEFF"/>
          </w:tcPr>
          <w:p>
            <w:pPr>
              <w:spacing w:after="0"/>
              <w:rPr>
                <w:sz w:val="14"/>
                <w:szCs w:val="14"/>
                <w:color w:val="auto"/>
              </w:rPr>
            </w:pPr>
          </w:p>
        </w:tc>
        <w:tc>
          <w:tcPr>
            <w:tcW w:w="380" w:type="dxa"/>
            <w:vAlign w:val="bottom"/>
            <w:tcBorders>
              <w:top w:val="single" w:sz="8" w:color="CCEEFF"/>
              <w:right w:val="single" w:sz="8" w:color="CCEEFF"/>
            </w:tcBorders>
            <w:shd w:val="clear" w:color="auto" w:fill="CCEEFF"/>
          </w:tcPr>
          <w:p>
            <w:pPr>
              <w:spacing w:after="0"/>
              <w:rPr>
                <w:sz w:val="14"/>
                <w:szCs w:val="14"/>
                <w:color w:val="auto"/>
              </w:rPr>
            </w:pPr>
          </w:p>
        </w:tc>
        <w:tc>
          <w:tcPr>
            <w:tcW w:w="160" w:type="dxa"/>
            <w:vAlign w:val="bottom"/>
            <w:tcBorders>
              <w:top w:val="single" w:sz="8" w:color="auto"/>
            </w:tcBorders>
            <w:shd w:val="clear" w:color="auto" w:fill="CCEEFF"/>
          </w:tcPr>
          <w:p>
            <w:pPr>
              <w:spacing w:after="0"/>
              <w:rPr>
                <w:sz w:val="14"/>
                <w:szCs w:val="14"/>
                <w:color w:val="auto"/>
              </w:rPr>
            </w:pPr>
          </w:p>
        </w:tc>
        <w:tc>
          <w:tcPr>
            <w:tcW w:w="620" w:type="dxa"/>
            <w:vAlign w:val="bottom"/>
            <w:tcBorders>
              <w:top w:val="single" w:sz="8" w:color="auto"/>
            </w:tcBorders>
            <w:shd w:val="clear" w:color="auto" w:fill="CCEEFF"/>
          </w:tcPr>
          <w:p>
            <w:pPr>
              <w:spacing w:after="0"/>
              <w:rPr>
                <w:sz w:val="14"/>
                <w:szCs w:val="14"/>
                <w:color w:val="auto"/>
              </w:rPr>
            </w:pPr>
          </w:p>
        </w:tc>
        <w:tc>
          <w:tcPr>
            <w:tcW w:w="260" w:type="dxa"/>
            <w:vAlign w:val="bottom"/>
            <w:tcBorders>
              <w:top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620" w:type="dxa"/>
            <w:vAlign w:val="bottom"/>
            <w:tcBorders>
              <w:top w:val="single" w:sz="8" w:color="auto"/>
            </w:tcBorders>
            <w:shd w:val="clear" w:color="auto" w:fill="CCEEFF"/>
          </w:tcPr>
          <w:p>
            <w:pPr>
              <w:spacing w:after="0"/>
              <w:rPr>
                <w:sz w:val="14"/>
                <w:szCs w:val="14"/>
                <w:color w:val="auto"/>
              </w:rPr>
            </w:pPr>
          </w:p>
        </w:tc>
        <w:tc>
          <w:tcPr>
            <w:tcW w:w="260" w:type="dxa"/>
            <w:vAlign w:val="bottom"/>
            <w:tcBorders>
              <w:top w:val="single" w:sz="8" w:color="CCEEFF"/>
              <w:left w:val="single" w:sz="8" w:color="CCEEFF"/>
            </w:tcBorders>
            <w:shd w:val="clear" w:color="auto" w:fill="CCEEFF"/>
          </w:tcPr>
          <w:p>
            <w:pPr>
              <w:spacing w:after="0"/>
              <w:rPr>
                <w:sz w:val="14"/>
                <w:szCs w:val="14"/>
                <w:color w:val="auto"/>
              </w:rPr>
            </w:pPr>
          </w:p>
        </w:tc>
        <w:tc>
          <w:tcPr>
            <w:tcW w:w="78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4820" w:type="dxa"/>
            <w:vAlign w:val="bottom"/>
            <w:gridSpan w:val="2"/>
            <w:shd w:val="clear" w:color="auto" w:fill="CCEEFF"/>
          </w:tcPr>
          <w:p>
            <w:pPr>
              <w:spacing w:after="0"/>
              <w:rPr>
                <w:sz w:val="20"/>
                <w:szCs w:val="20"/>
                <w:color w:val="auto"/>
              </w:rPr>
            </w:pPr>
            <w:r>
              <w:rPr>
                <w:rFonts w:ascii="Arial" w:cs="Arial" w:eastAsia="Arial" w:hAnsi="Arial"/>
                <w:sz w:val="17"/>
                <w:szCs w:val="17"/>
                <w:b w:val="1"/>
                <w:bCs w:val="1"/>
                <w:color w:val="auto"/>
              </w:rPr>
              <w:t>revenue:</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260" w:type="dxa"/>
            <w:vAlign w:val="bottom"/>
            <w:tcBorders>
              <w:right w:val="single" w:sz="8" w:color="CCEEFF"/>
            </w:tcBorders>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380" w:type="dxa"/>
            <w:vAlign w:val="bottom"/>
            <w:tcBorders>
              <w:righ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260" w:type="dxa"/>
            <w:vAlign w:val="bottom"/>
            <w:tcBorders>
              <w:left w:val="single" w:sz="8" w:color="CCEEFF"/>
            </w:tcBorders>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spacing w:after="0" w:line="190" w:lineRule="exact"/>
              <w:rPr>
                <w:sz w:val="20"/>
                <w:szCs w:val="20"/>
                <w:color w:val="auto"/>
              </w:rPr>
            </w:pPr>
            <w:r>
              <w:rPr>
                <w:rFonts w:ascii="Arial" w:cs="Arial" w:eastAsia="Arial" w:hAnsi="Arial"/>
                <w:sz w:val="17"/>
                <w:szCs w:val="17"/>
                <w:color w:val="auto"/>
              </w:rPr>
              <w:t>Consolidated revenue</w:t>
            </w:r>
          </w:p>
        </w:tc>
        <w:tc>
          <w:tcPr>
            <w:tcW w:w="160" w:type="dxa"/>
            <w:vAlign w:val="bottom"/>
          </w:tcPr>
          <w:p>
            <w:pPr>
              <w:jc w:val="right"/>
              <w:spacing w:after="0" w:line="190" w:lineRule="exact"/>
              <w:rPr>
                <w:sz w:val="20"/>
                <w:szCs w:val="20"/>
                <w:color w:val="auto"/>
              </w:rPr>
            </w:pPr>
            <w:r>
              <w:rPr>
                <w:rFonts w:ascii="Arial" w:cs="Arial" w:eastAsia="Arial" w:hAnsi="Arial"/>
                <w:sz w:val="17"/>
                <w:szCs w:val="17"/>
                <w:color w:val="auto"/>
                <w:w w:val="84"/>
              </w:rPr>
              <w:t>$</w:t>
            </w: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475.0</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236"/>
              <w:spacing w:after="0" w:line="190" w:lineRule="exact"/>
              <w:rPr>
                <w:sz w:val="20"/>
                <w:szCs w:val="20"/>
                <w:color w:val="auto"/>
              </w:rPr>
            </w:pPr>
            <w:r>
              <w:rPr>
                <w:rFonts w:ascii="Arial" w:cs="Arial" w:eastAsia="Arial" w:hAnsi="Arial"/>
                <w:sz w:val="17"/>
                <w:szCs w:val="17"/>
                <w:color w:val="auto"/>
              </w:rPr>
              <w:t>462.2</w:t>
            </w:r>
          </w:p>
        </w:tc>
        <w:tc>
          <w:tcPr>
            <w:tcW w:w="1160" w:type="dxa"/>
            <w:vAlign w:val="bottom"/>
            <w:gridSpan w:val="2"/>
          </w:tcPr>
          <w:p>
            <w:pPr>
              <w:jc w:val="right"/>
              <w:ind w:right="240"/>
              <w:spacing w:after="0" w:line="190" w:lineRule="exact"/>
              <w:rPr>
                <w:sz w:val="20"/>
                <w:szCs w:val="20"/>
                <w:color w:val="auto"/>
              </w:rPr>
            </w:pPr>
            <w:r>
              <w:rPr>
                <w:rFonts w:ascii="Arial" w:cs="Arial" w:eastAsia="Arial" w:hAnsi="Arial"/>
                <w:sz w:val="17"/>
                <w:szCs w:val="17"/>
                <w:color w:val="auto"/>
              </w:rPr>
              <w:t>2.8%</w:t>
            </w:r>
          </w:p>
        </w:tc>
        <w:tc>
          <w:tcPr>
            <w:tcW w:w="160" w:type="dxa"/>
            <w:vAlign w:val="bottom"/>
          </w:tcPr>
          <w:p>
            <w:pPr>
              <w:jc w:val="right"/>
              <w:spacing w:after="0" w:line="190" w:lineRule="exact"/>
              <w:rPr>
                <w:sz w:val="20"/>
                <w:szCs w:val="20"/>
                <w:color w:val="auto"/>
              </w:rPr>
            </w:pPr>
            <w:r>
              <w:rPr>
                <w:rFonts w:ascii="Arial" w:cs="Arial" w:eastAsia="Arial" w:hAnsi="Arial"/>
                <w:sz w:val="17"/>
                <w:szCs w:val="17"/>
                <w:color w:val="auto"/>
                <w:w w:val="84"/>
              </w:rPr>
              <w:t>$</w:t>
            </w: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1,870.6</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1,699.3</w:t>
            </w:r>
          </w:p>
        </w:tc>
        <w:tc>
          <w:tcPr>
            <w:tcW w:w="260" w:type="dxa"/>
            <w:vAlign w:val="bottom"/>
          </w:tcPr>
          <w:p>
            <w:pPr>
              <w:spacing w:after="0"/>
              <w:rPr>
                <w:sz w:val="16"/>
                <w:szCs w:val="16"/>
                <w:color w:val="auto"/>
              </w:rPr>
            </w:pPr>
          </w:p>
        </w:tc>
        <w:tc>
          <w:tcPr>
            <w:tcW w:w="1060" w:type="dxa"/>
            <w:vAlign w:val="bottom"/>
            <w:gridSpan w:val="2"/>
          </w:tcPr>
          <w:p>
            <w:pPr>
              <w:jc w:val="right"/>
              <w:ind w:right="140"/>
              <w:spacing w:after="0" w:line="190" w:lineRule="exact"/>
              <w:rPr>
                <w:sz w:val="20"/>
                <w:szCs w:val="20"/>
                <w:color w:val="auto"/>
              </w:rPr>
            </w:pPr>
            <w:r>
              <w:rPr>
                <w:rFonts w:ascii="Arial" w:cs="Arial" w:eastAsia="Arial" w:hAnsi="Arial"/>
                <w:sz w:val="17"/>
                <w:szCs w:val="17"/>
                <w:color w:val="auto"/>
              </w:rPr>
              <w:t>10.1%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ind w:left="80"/>
              <w:spacing w:after="0" w:line="190" w:lineRule="exact"/>
              <w:rPr>
                <w:sz w:val="20"/>
                <w:szCs w:val="20"/>
                <w:color w:val="auto"/>
              </w:rPr>
            </w:pPr>
            <w:r>
              <w:rPr>
                <w:rFonts w:ascii="Arial" w:cs="Arial" w:eastAsia="Arial" w:hAnsi="Arial"/>
                <w:sz w:val="17"/>
                <w:szCs w:val="17"/>
                <w:color w:val="auto"/>
              </w:rPr>
              <w:t>Less: acquisitions</w:t>
            </w:r>
          </w:p>
        </w:tc>
        <w:tc>
          <w:tcPr>
            <w:tcW w:w="160" w:type="dxa"/>
            <w:vAlign w:val="bottom"/>
            <w:shd w:val="clear" w:color="auto" w:fill="CCEEFF"/>
          </w:tcPr>
          <w:p>
            <w:pPr>
              <w:spacing w:after="0"/>
              <w:rPr>
                <w:sz w:val="16"/>
                <w:szCs w:val="16"/>
                <w:color w:val="auto"/>
              </w:rPr>
            </w:pPr>
          </w:p>
        </w:tc>
        <w:tc>
          <w:tcPr>
            <w:tcW w:w="880" w:type="dxa"/>
            <w:vAlign w:val="bottom"/>
            <w:tcBorders>
              <w:right w:val="single" w:sz="8" w:color="CCEEFF"/>
            </w:tcBorders>
            <w:gridSpan w:val="2"/>
            <w:shd w:val="clear" w:color="auto" w:fill="CCEEFF"/>
          </w:tcPr>
          <w:p>
            <w:pPr>
              <w:jc w:val="right"/>
              <w:ind w:right="116"/>
              <w:spacing w:after="0" w:line="190" w:lineRule="exact"/>
              <w:rPr>
                <w:sz w:val="20"/>
                <w:szCs w:val="20"/>
                <w:color w:val="auto"/>
              </w:rPr>
            </w:pPr>
            <w:r>
              <w:rPr>
                <w:rFonts w:ascii="Arial" w:cs="Arial" w:eastAsia="Arial" w:hAnsi="Arial"/>
                <w:sz w:val="17"/>
                <w:szCs w:val="17"/>
                <w:color w:val="auto"/>
              </w:rPr>
              <w:t>(17.7)</w:t>
            </w:r>
          </w:p>
        </w:tc>
        <w:tc>
          <w:tcPr>
            <w:tcW w:w="14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36"/>
              <w:spacing w:after="0" w:line="190" w:lineRule="exact"/>
              <w:rPr>
                <w:sz w:val="20"/>
                <w:szCs w:val="20"/>
                <w:color w:val="auto"/>
              </w:rPr>
            </w:pPr>
            <w:r>
              <w:rPr>
                <w:rFonts w:ascii="Arial" w:cs="Arial" w:eastAsia="Arial" w:hAnsi="Arial"/>
                <w:sz w:val="17"/>
                <w:szCs w:val="17"/>
                <w:color w:val="auto"/>
              </w:rPr>
              <w:t>—</w:t>
            </w:r>
          </w:p>
        </w:tc>
        <w:tc>
          <w:tcPr>
            <w:tcW w:w="1160" w:type="dxa"/>
            <w:vAlign w:val="bottom"/>
            <w:tcBorders>
              <w:right w:val="single" w:sz="8" w:color="CCEEFF"/>
            </w:tcBorders>
            <w:gridSpan w:val="2"/>
            <w:shd w:val="clear" w:color="auto" w:fill="CCEEFF"/>
          </w:tcPr>
          <w:p>
            <w:pPr>
              <w:jc w:val="right"/>
              <w:ind w:right="380"/>
              <w:spacing w:after="0" w:line="190" w:lineRule="exact"/>
              <w:rPr>
                <w:sz w:val="20"/>
                <w:szCs w:val="20"/>
                <w:color w:val="auto"/>
              </w:rPr>
            </w:pPr>
            <w:r>
              <w:rPr>
                <w:rFonts w:ascii="Arial" w:cs="Arial" w:eastAsia="Arial" w:hAnsi="Arial"/>
                <w:sz w:val="17"/>
                <w:szCs w:val="17"/>
                <w:color w:val="auto"/>
              </w:rPr>
              <w:t>NMF</w:t>
            </w:r>
          </w:p>
        </w:tc>
        <w:tc>
          <w:tcPr>
            <w:tcW w:w="16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16"/>
              <w:spacing w:after="0" w:line="190" w:lineRule="exact"/>
              <w:rPr>
                <w:sz w:val="20"/>
                <w:szCs w:val="20"/>
                <w:color w:val="auto"/>
              </w:rPr>
            </w:pPr>
            <w:r>
              <w:rPr>
                <w:rFonts w:ascii="Arial" w:cs="Arial" w:eastAsia="Arial" w:hAnsi="Arial"/>
                <w:sz w:val="17"/>
                <w:szCs w:val="17"/>
                <w:color w:val="auto"/>
              </w:rPr>
              <w:t>(40.9)</w:t>
            </w:r>
          </w:p>
        </w:tc>
        <w:tc>
          <w:tcPr>
            <w:tcW w:w="14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060" w:type="dxa"/>
            <w:vAlign w:val="bottom"/>
            <w:gridSpan w:val="2"/>
            <w:shd w:val="clear" w:color="auto" w:fill="CCEEFF"/>
          </w:tcPr>
          <w:p>
            <w:pPr>
              <w:jc w:val="right"/>
              <w:ind w:right="280"/>
              <w:spacing w:after="0" w:line="190"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Less: accounting changes</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40" w:type="dxa"/>
            <w:vAlign w:val="bottom"/>
          </w:tcPr>
          <w:p>
            <w:pPr>
              <w:spacing w:after="0"/>
              <w:rPr>
                <w:sz w:val="16"/>
                <w:szCs w:val="16"/>
                <w:color w:val="auto"/>
              </w:rPr>
            </w:pPr>
          </w:p>
        </w:tc>
        <w:tc>
          <w:tcPr>
            <w:tcW w:w="94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(1.1)</w:t>
            </w:r>
          </w:p>
        </w:tc>
        <w:tc>
          <w:tcPr>
            <w:tcW w:w="1160" w:type="dxa"/>
            <w:vAlign w:val="bottom"/>
            <w:gridSpan w:val="2"/>
          </w:tcPr>
          <w:p>
            <w:pPr>
              <w:jc w:val="right"/>
              <w:ind w:right="380"/>
              <w:spacing w:after="0" w:line="190" w:lineRule="exact"/>
              <w:rPr>
                <w:sz w:val="20"/>
                <w:szCs w:val="20"/>
                <w:color w:val="auto"/>
              </w:rPr>
            </w:pPr>
            <w:r>
              <w:rPr>
                <w:rFonts w:ascii="Arial" w:cs="Arial" w:eastAsia="Arial" w:hAnsi="Arial"/>
                <w:sz w:val="17"/>
                <w:szCs w:val="17"/>
                <w:color w:val="auto"/>
              </w:rPr>
              <w:t>NMF</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40" w:type="dxa"/>
            <w:vAlign w:val="bottom"/>
          </w:tcPr>
          <w:p>
            <w:pPr>
              <w:spacing w:after="0"/>
              <w:rPr>
                <w:sz w:val="16"/>
                <w:szCs w:val="16"/>
                <w:color w:val="auto"/>
              </w:rPr>
            </w:pPr>
          </w:p>
        </w:tc>
        <w:tc>
          <w:tcPr>
            <w:tcW w:w="880" w:type="dxa"/>
            <w:vAlign w:val="bottom"/>
            <w:gridSpan w:val="2"/>
          </w:tcPr>
          <w:p>
            <w:pPr>
              <w:jc w:val="right"/>
              <w:ind w:right="116"/>
              <w:spacing w:after="0" w:line="190" w:lineRule="exact"/>
              <w:rPr>
                <w:sz w:val="20"/>
                <w:szCs w:val="20"/>
                <w:color w:val="auto"/>
              </w:rPr>
            </w:pPr>
            <w:r>
              <w:rPr>
                <w:rFonts w:ascii="Arial" w:cs="Arial" w:eastAsia="Arial" w:hAnsi="Arial"/>
                <w:sz w:val="17"/>
                <w:szCs w:val="17"/>
                <w:color w:val="auto"/>
              </w:rPr>
              <w:t>(5.8)</w:t>
            </w:r>
          </w:p>
        </w:tc>
        <w:tc>
          <w:tcPr>
            <w:tcW w:w="1060" w:type="dxa"/>
            <w:vAlign w:val="bottom"/>
            <w:gridSpan w:val="2"/>
          </w:tcPr>
          <w:p>
            <w:pPr>
              <w:jc w:val="right"/>
              <w:ind w:right="280"/>
              <w:spacing w:after="0" w:line="190"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20" w:type="dxa"/>
            <w:vAlign w:val="bottom"/>
            <w:gridSpan w:val="2"/>
            <w:shd w:val="clear" w:color="auto" w:fill="CCEEFF"/>
          </w:tcPr>
          <w:p>
            <w:pPr>
              <w:ind w:left="80"/>
              <w:spacing w:after="0"/>
              <w:rPr>
                <w:sz w:val="20"/>
                <w:szCs w:val="20"/>
                <w:color w:val="auto"/>
              </w:rPr>
            </w:pPr>
            <w:r>
              <w:rPr>
                <w:rFonts w:ascii="Arial" w:cs="Arial" w:eastAsia="Arial" w:hAnsi="Arial"/>
                <w:sz w:val="17"/>
                <w:szCs w:val="17"/>
                <w:color w:val="auto"/>
              </w:rPr>
              <w:t>Effect of foreign currency translations</w:t>
            </w:r>
          </w:p>
        </w:tc>
        <w:tc>
          <w:tcPr>
            <w:tcW w:w="16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13.9</w:t>
            </w:r>
          </w:p>
        </w:tc>
        <w:tc>
          <w:tcPr>
            <w:tcW w:w="260" w:type="dxa"/>
            <w:vAlign w:val="bottom"/>
            <w:tcBorders>
              <w:right w:val="single" w:sz="8" w:color="CCEEFF"/>
            </w:tcBorders>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236"/>
              <w:spacing w:after="0"/>
              <w:rPr>
                <w:sz w:val="20"/>
                <w:szCs w:val="20"/>
                <w:color w:val="auto"/>
              </w:rPr>
            </w:pPr>
            <w:r>
              <w:rPr>
                <w:rFonts w:ascii="Arial" w:cs="Arial" w:eastAsia="Arial" w:hAnsi="Arial"/>
                <w:sz w:val="17"/>
                <w:szCs w:val="17"/>
                <w:color w:val="auto"/>
              </w:rPr>
              <w:t>—</w:t>
            </w:r>
          </w:p>
        </w:tc>
        <w:tc>
          <w:tcPr>
            <w:tcW w:w="1160" w:type="dxa"/>
            <w:vAlign w:val="bottom"/>
            <w:tcBorders>
              <w:right w:val="single" w:sz="8" w:color="CCEEFF"/>
            </w:tcBorders>
            <w:gridSpan w:val="2"/>
            <w:shd w:val="clear" w:color="auto" w:fill="CCEEFF"/>
          </w:tcPr>
          <w:p>
            <w:pPr>
              <w:jc w:val="right"/>
              <w:ind w:right="380"/>
              <w:spacing w:after="0"/>
              <w:rPr>
                <w:sz w:val="20"/>
                <w:szCs w:val="20"/>
                <w:color w:val="auto"/>
              </w:rPr>
            </w:pPr>
            <w:r>
              <w:rPr>
                <w:rFonts w:ascii="Arial" w:cs="Arial" w:eastAsia="Arial" w:hAnsi="Arial"/>
                <w:sz w:val="17"/>
                <w:szCs w:val="17"/>
                <w:color w:val="auto"/>
              </w:rPr>
              <w:t>NMF</w:t>
            </w:r>
          </w:p>
        </w:tc>
        <w:tc>
          <w:tcPr>
            <w:tcW w:w="16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176"/>
              <w:spacing w:after="0"/>
              <w:rPr>
                <w:sz w:val="20"/>
                <w:szCs w:val="20"/>
                <w:color w:val="auto"/>
              </w:rPr>
            </w:pPr>
            <w:r>
              <w:rPr>
                <w:rFonts w:ascii="Arial" w:cs="Arial" w:eastAsia="Arial" w:hAnsi="Arial"/>
                <w:sz w:val="17"/>
                <w:szCs w:val="17"/>
                <w:color w:val="auto"/>
              </w:rPr>
              <w:t>45.9</w:t>
            </w:r>
          </w:p>
        </w:tc>
        <w:tc>
          <w:tcPr>
            <w:tcW w:w="1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176"/>
              <w:spacing w:after="0"/>
              <w:rPr>
                <w:sz w:val="20"/>
                <w:szCs w:val="20"/>
                <w:color w:val="auto"/>
              </w:rPr>
            </w:pPr>
            <w:r>
              <w:rPr>
                <w:rFonts w:ascii="Arial" w:cs="Arial" w:eastAsia="Arial" w:hAnsi="Arial"/>
                <w:sz w:val="17"/>
                <w:szCs w:val="17"/>
                <w:color w:val="auto"/>
              </w:rPr>
              <w:t>—</w:t>
            </w:r>
          </w:p>
        </w:tc>
        <w:tc>
          <w:tcPr>
            <w:tcW w:w="1060" w:type="dxa"/>
            <w:vAlign w:val="bottom"/>
            <w:gridSpan w:val="2"/>
            <w:shd w:val="clear" w:color="auto" w:fill="CCEEFF"/>
          </w:tcPr>
          <w:p>
            <w:pPr>
              <w:jc w:val="right"/>
              <w:ind w:right="280"/>
              <w:spacing w:after="0"/>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20" w:type="dxa"/>
            <w:vAlign w:val="bottom"/>
            <w:gridSpan w:val="2"/>
            <w:vMerge w:val="restart"/>
          </w:tcPr>
          <w:p>
            <w:pPr>
              <w:spacing w:after="0"/>
              <w:rPr>
                <w:sz w:val="20"/>
                <w:szCs w:val="20"/>
                <w:color w:val="auto"/>
              </w:rPr>
            </w:pPr>
            <w:r>
              <w:rPr>
                <w:rFonts w:ascii="Arial" w:cs="Arial" w:eastAsia="Arial" w:hAnsi="Arial"/>
                <w:sz w:val="17"/>
                <w:szCs w:val="17"/>
                <w:color w:val="auto"/>
              </w:rPr>
              <w:t>Organic revenue</w:t>
            </w: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160" w:type="dxa"/>
            <w:vAlign w:val="bottom"/>
            <w:gridSpan w:val="2"/>
            <w:vMerge w:val="restart"/>
          </w:tcPr>
          <w:p>
            <w:pPr>
              <w:jc w:val="right"/>
              <w:ind w:right="240"/>
              <w:spacing w:after="0"/>
              <w:rPr>
                <w:sz w:val="20"/>
                <w:szCs w:val="20"/>
                <w:color w:val="auto"/>
              </w:rPr>
            </w:pPr>
            <w:r>
              <w:rPr>
                <w:rFonts w:ascii="Arial" w:cs="Arial" w:eastAsia="Arial" w:hAnsi="Arial"/>
                <w:sz w:val="17"/>
                <w:szCs w:val="17"/>
                <w:color w:val="auto"/>
              </w:rPr>
              <w:t>2.2%</w:t>
            </w: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60" w:type="dxa"/>
            <w:vAlign w:val="bottom"/>
            <w:gridSpan w:val="2"/>
            <w:vMerge w:val="restart"/>
          </w:tcPr>
          <w:p>
            <w:pPr>
              <w:jc w:val="right"/>
              <w:ind w:right="140"/>
              <w:spacing w:after="0" w:line="216" w:lineRule="exact"/>
              <w:rPr>
                <w:sz w:val="20"/>
                <w:szCs w:val="20"/>
                <w:color w:val="auto"/>
              </w:rPr>
            </w:pPr>
            <w:r>
              <w:rPr>
                <w:rFonts w:ascii="Arial" w:cs="Arial" w:eastAsia="Arial" w:hAnsi="Arial"/>
                <w:sz w:val="14"/>
                <w:szCs w:val="14"/>
                <w:color w:val="auto"/>
              </w:rPr>
              <w:t>10.8</w:t>
            </w:r>
            <w:r>
              <w:rPr>
                <w:rFonts w:ascii="Arial" w:cs="Arial" w:eastAsia="Arial" w:hAnsi="Arial"/>
                <w:sz w:val="24"/>
                <w:szCs w:val="24"/>
                <w:color w:val="auto"/>
                <w:vertAlign w:val="superscript"/>
              </w:rPr>
              <w:t>%</w:t>
            </w:r>
          </w:p>
        </w:tc>
        <w:tc>
          <w:tcPr>
            <w:tcW w:w="0" w:type="dxa"/>
            <w:vAlign w:val="bottom"/>
          </w:tcPr>
          <w:p>
            <w:pPr>
              <w:spacing w:after="0" w:line="20" w:lineRule="exact"/>
              <w:rPr>
                <w:sz w:val="1"/>
                <w:szCs w:val="1"/>
                <w:color w:val="auto"/>
              </w:rPr>
            </w:pPr>
          </w:p>
        </w:tc>
      </w:tr>
      <w:tr>
        <w:trPr>
          <w:trHeight w:val="236"/>
        </w:trPr>
        <w:tc>
          <w:tcPr>
            <w:tcW w:w="20" w:type="dxa"/>
            <w:vAlign w:val="bottom"/>
          </w:tcPr>
          <w:p>
            <w:pPr>
              <w:spacing w:after="0"/>
              <w:rPr>
                <w:sz w:val="20"/>
                <w:szCs w:val="20"/>
                <w:color w:val="auto"/>
              </w:rPr>
            </w:pPr>
          </w:p>
        </w:tc>
        <w:tc>
          <w:tcPr>
            <w:tcW w:w="4820" w:type="dxa"/>
            <w:vAlign w:val="bottom"/>
            <w:gridSpan w:val="2"/>
            <w:vMerge w:val="continue"/>
          </w:tcPr>
          <w:p>
            <w:pPr>
              <w:spacing w:after="0"/>
              <w:rPr>
                <w:sz w:val="20"/>
                <w:szCs w:val="20"/>
                <w:color w:val="auto"/>
              </w:rPr>
            </w:pPr>
          </w:p>
        </w:tc>
        <w:tc>
          <w:tcPr>
            <w:tcW w:w="160" w:type="dxa"/>
            <w:vAlign w:val="bottom"/>
          </w:tcPr>
          <w:p>
            <w:pPr>
              <w:jc w:val="right"/>
              <w:spacing w:after="0"/>
              <w:rPr>
                <w:sz w:val="20"/>
                <w:szCs w:val="20"/>
                <w:color w:val="auto"/>
              </w:rPr>
            </w:pPr>
            <w:r>
              <w:rPr>
                <w:rFonts w:ascii="Arial" w:cs="Arial" w:eastAsia="Arial" w:hAnsi="Arial"/>
                <w:sz w:val="17"/>
                <w:szCs w:val="17"/>
                <w:color w:val="auto"/>
                <w:w w:val="84"/>
              </w:rPr>
              <w:t>$</w:t>
            </w:r>
          </w:p>
        </w:tc>
        <w:tc>
          <w:tcPr>
            <w:tcW w:w="620" w:type="dxa"/>
            <w:vAlign w:val="bottom"/>
          </w:tcPr>
          <w:p>
            <w:pPr>
              <w:jc w:val="right"/>
              <w:spacing w:after="0"/>
              <w:rPr>
                <w:sz w:val="20"/>
                <w:szCs w:val="20"/>
                <w:color w:val="auto"/>
              </w:rPr>
            </w:pPr>
            <w:r>
              <w:rPr>
                <w:rFonts w:ascii="Arial" w:cs="Arial" w:eastAsia="Arial" w:hAnsi="Arial"/>
                <w:sz w:val="17"/>
                <w:szCs w:val="17"/>
                <w:color w:val="auto"/>
              </w:rPr>
              <w:t>471.2</w:t>
            </w:r>
          </w:p>
        </w:tc>
        <w:tc>
          <w:tcPr>
            <w:tcW w:w="260" w:type="dxa"/>
            <w:vAlign w:val="bottom"/>
          </w:tcPr>
          <w:p>
            <w:pPr>
              <w:spacing w:after="0"/>
              <w:rPr>
                <w:sz w:val="20"/>
                <w:szCs w:val="20"/>
                <w:color w:val="auto"/>
              </w:rPr>
            </w:pP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236"/>
              <w:spacing w:after="0"/>
              <w:rPr>
                <w:sz w:val="20"/>
                <w:szCs w:val="20"/>
                <w:color w:val="auto"/>
              </w:rPr>
            </w:pPr>
            <w:r>
              <w:rPr>
                <w:rFonts w:ascii="Arial" w:cs="Arial" w:eastAsia="Arial" w:hAnsi="Arial"/>
                <w:sz w:val="17"/>
                <w:szCs w:val="17"/>
                <w:color w:val="auto"/>
              </w:rPr>
              <w:t>461.1</w:t>
            </w:r>
          </w:p>
        </w:tc>
        <w:tc>
          <w:tcPr>
            <w:tcW w:w="1160" w:type="dxa"/>
            <w:vAlign w:val="bottom"/>
            <w:gridSpan w:val="2"/>
            <w:vMerge w:val="continue"/>
          </w:tcPr>
          <w:p>
            <w:pPr>
              <w:spacing w:after="0"/>
              <w:rPr>
                <w:sz w:val="20"/>
                <w:szCs w:val="20"/>
                <w:color w:val="auto"/>
              </w:rPr>
            </w:pPr>
          </w:p>
        </w:tc>
        <w:tc>
          <w:tcPr>
            <w:tcW w:w="160" w:type="dxa"/>
            <w:vAlign w:val="bottom"/>
          </w:tcPr>
          <w:p>
            <w:pPr>
              <w:jc w:val="right"/>
              <w:spacing w:after="0"/>
              <w:rPr>
                <w:sz w:val="20"/>
                <w:szCs w:val="20"/>
                <w:color w:val="auto"/>
              </w:rPr>
            </w:pPr>
            <w:r>
              <w:rPr>
                <w:rFonts w:ascii="Arial" w:cs="Arial" w:eastAsia="Arial" w:hAnsi="Arial"/>
                <w:sz w:val="17"/>
                <w:szCs w:val="17"/>
                <w:color w:val="auto"/>
                <w:w w:val="84"/>
              </w:rPr>
              <w:t>$</w:t>
            </w:r>
          </w:p>
        </w:tc>
        <w:tc>
          <w:tcPr>
            <w:tcW w:w="880" w:type="dxa"/>
            <w:vAlign w:val="bottom"/>
            <w:gridSpan w:val="2"/>
          </w:tcPr>
          <w:p>
            <w:pPr>
              <w:jc w:val="right"/>
              <w:ind w:right="176"/>
              <w:spacing w:after="0"/>
              <w:rPr>
                <w:sz w:val="20"/>
                <w:szCs w:val="20"/>
                <w:color w:val="auto"/>
              </w:rPr>
            </w:pPr>
            <w:r>
              <w:rPr>
                <w:rFonts w:ascii="Arial" w:cs="Arial" w:eastAsia="Arial" w:hAnsi="Arial"/>
                <w:sz w:val="17"/>
                <w:szCs w:val="17"/>
                <w:color w:val="auto"/>
              </w:rPr>
              <w:t>1,875.6</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Pr>
          <w:p>
            <w:pPr>
              <w:jc w:val="right"/>
              <w:spacing w:after="0"/>
              <w:rPr>
                <w:sz w:val="20"/>
                <w:szCs w:val="20"/>
                <w:color w:val="auto"/>
              </w:rPr>
            </w:pPr>
            <w:r>
              <w:rPr>
                <w:rFonts w:ascii="Arial" w:cs="Arial" w:eastAsia="Arial" w:hAnsi="Arial"/>
                <w:sz w:val="17"/>
                <w:szCs w:val="17"/>
                <w:color w:val="auto"/>
              </w:rPr>
              <w:t>1,693.5</w:t>
            </w:r>
          </w:p>
        </w:tc>
        <w:tc>
          <w:tcPr>
            <w:tcW w:w="260" w:type="dxa"/>
            <w:vAlign w:val="bottom"/>
          </w:tcPr>
          <w:p>
            <w:pPr>
              <w:spacing w:after="0"/>
              <w:rPr>
                <w:sz w:val="20"/>
                <w:szCs w:val="20"/>
                <w:color w:val="auto"/>
              </w:rPr>
            </w:pPr>
          </w:p>
        </w:tc>
        <w:tc>
          <w:tcPr>
            <w:tcW w:w="106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81"/>
        </w:trPr>
        <w:tc>
          <w:tcPr>
            <w:tcW w:w="20" w:type="dxa"/>
            <w:vAlign w:val="bottom"/>
            <w:vMerge w:val="restart"/>
          </w:tcPr>
          <w:p>
            <w:pPr>
              <w:spacing w:after="0"/>
              <w:rPr>
                <w:sz w:val="15"/>
                <w:szCs w:val="15"/>
                <w:color w:val="auto"/>
              </w:rPr>
            </w:pPr>
          </w:p>
        </w:tc>
        <w:tc>
          <w:tcPr>
            <w:tcW w:w="47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60" w:type="dxa"/>
            <w:vAlign w:val="bottom"/>
            <w:tcBorders>
              <w:top w:val="single" w:sz="8" w:color="auto"/>
            </w:tcBorders>
            <w:shd w:val="clear" w:color="auto" w:fill="CCEEFF"/>
          </w:tcPr>
          <w:p>
            <w:pPr>
              <w:spacing w:after="0"/>
              <w:rPr>
                <w:sz w:val="15"/>
                <w:szCs w:val="15"/>
                <w:color w:val="auto"/>
              </w:rPr>
            </w:pPr>
          </w:p>
        </w:tc>
        <w:tc>
          <w:tcPr>
            <w:tcW w:w="620" w:type="dxa"/>
            <w:vAlign w:val="bottom"/>
            <w:tcBorders>
              <w:top w:val="single" w:sz="8" w:color="auto"/>
            </w:tcBorders>
            <w:shd w:val="clear" w:color="auto" w:fill="CCEEFF"/>
          </w:tcPr>
          <w:p>
            <w:pPr>
              <w:spacing w:after="0"/>
              <w:rPr>
                <w:sz w:val="15"/>
                <w:szCs w:val="15"/>
                <w:color w:val="auto"/>
              </w:rPr>
            </w:pPr>
          </w:p>
        </w:tc>
        <w:tc>
          <w:tcPr>
            <w:tcW w:w="260" w:type="dxa"/>
            <w:vAlign w:val="bottom"/>
            <w:tcBorders>
              <w:top w:val="single" w:sz="8" w:color="CCEEFF"/>
              <w:right w:val="single" w:sz="8" w:color="CCEEFF"/>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620" w:type="dxa"/>
            <w:vAlign w:val="bottom"/>
            <w:tcBorders>
              <w:top w:val="single" w:sz="8" w:color="auto"/>
            </w:tcBorders>
            <w:shd w:val="clear" w:color="auto" w:fill="CCEEFF"/>
          </w:tcPr>
          <w:p>
            <w:pPr>
              <w:spacing w:after="0"/>
              <w:rPr>
                <w:sz w:val="15"/>
                <w:szCs w:val="15"/>
                <w:color w:val="auto"/>
              </w:rPr>
            </w:pPr>
          </w:p>
        </w:tc>
        <w:tc>
          <w:tcPr>
            <w:tcW w:w="320" w:type="dxa"/>
            <w:vAlign w:val="bottom"/>
            <w:tcBorders>
              <w:top w:val="single" w:sz="8" w:color="CCEEFF"/>
            </w:tcBorders>
            <w:shd w:val="clear" w:color="auto" w:fill="CCEEFF"/>
          </w:tcPr>
          <w:p>
            <w:pPr>
              <w:spacing w:after="0"/>
              <w:rPr>
                <w:sz w:val="15"/>
                <w:szCs w:val="15"/>
                <w:color w:val="auto"/>
              </w:rPr>
            </w:pPr>
          </w:p>
        </w:tc>
        <w:tc>
          <w:tcPr>
            <w:tcW w:w="780" w:type="dxa"/>
            <w:vAlign w:val="bottom"/>
            <w:tcBorders>
              <w:top w:val="single" w:sz="8" w:color="CCEEFF"/>
            </w:tcBorders>
            <w:shd w:val="clear" w:color="auto" w:fill="CCEEFF"/>
          </w:tcPr>
          <w:p>
            <w:pPr>
              <w:spacing w:after="0"/>
              <w:rPr>
                <w:sz w:val="15"/>
                <w:szCs w:val="15"/>
                <w:color w:val="auto"/>
              </w:rPr>
            </w:pPr>
          </w:p>
        </w:tc>
        <w:tc>
          <w:tcPr>
            <w:tcW w:w="380" w:type="dxa"/>
            <w:vAlign w:val="bottom"/>
            <w:tcBorders>
              <w:top w:val="single" w:sz="8" w:color="CCEEFF"/>
              <w:right w:val="single" w:sz="8" w:color="CCEEFF"/>
            </w:tcBorders>
            <w:shd w:val="clear" w:color="auto" w:fill="CCEEFF"/>
          </w:tcPr>
          <w:p>
            <w:pPr>
              <w:spacing w:after="0"/>
              <w:rPr>
                <w:sz w:val="15"/>
                <w:szCs w:val="15"/>
                <w:color w:val="auto"/>
              </w:rPr>
            </w:pPr>
          </w:p>
        </w:tc>
        <w:tc>
          <w:tcPr>
            <w:tcW w:w="160" w:type="dxa"/>
            <w:vAlign w:val="bottom"/>
            <w:tcBorders>
              <w:top w:val="single" w:sz="8" w:color="auto"/>
            </w:tcBorders>
            <w:shd w:val="clear" w:color="auto" w:fill="CCEEFF"/>
          </w:tcPr>
          <w:p>
            <w:pPr>
              <w:spacing w:after="0"/>
              <w:rPr>
                <w:sz w:val="15"/>
                <w:szCs w:val="15"/>
                <w:color w:val="auto"/>
              </w:rPr>
            </w:pPr>
          </w:p>
        </w:tc>
        <w:tc>
          <w:tcPr>
            <w:tcW w:w="620" w:type="dxa"/>
            <w:vAlign w:val="bottom"/>
            <w:tcBorders>
              <w:top w:val="single" w:sz="8" w:color="auto"/>
            </w:tcBorders>
            <w:shd w:val="clear" w:color="auto" w:fill="CCEEFF"/>
          </w:tcPr>
          <w:p>
            <w:pPr>
              <w:spacing w:after="0"/>
              <w:rPr>
                <w:sz w:val="15"/>
                <w:szCs w:val="15"/>
                <w:color w:val="auto"/>
              </w:rPr>
            </w:pPr>
          </w:p>
        </w:tc>
        <w:tc>
          <w:tcPr>
            <w:tcW w:w="26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auto"/>
            </w:tcBorders>
            <w:shd w:val="clear" w:color="auto" w:fill="CCEEFF"/>
          </w:tcPr>
          <w:p>
            <w:pPr>
              <w:spacing w:after="0"/>
              <w:rPr>
                <w:sz w:val="15"/>
                <w:szCs w:val="15"/>
                <w:color w:val="auto"/>
              </w:rPr>
            </w:pPr>
          </w:p>
        </w:tc>
        <w:tc>
          <w:tcPr>
            <w:tcW w:w="620" w:type="dxa"/>
            <w:vAlign w:val="bottom"/>
            <w:tcBorders>
              <w:top w:val="single" w:sz="8" w:color="auto"/>
            </w:tcBorders>
            <w:shd w:val="clear" w:color="auto" w:fill="CCEEFF"/>
          </w:tcPr>
          <w:p>
            <w:pPr>
              <w:spacing w:after="0"/>
              <w:rPr>
                <w:sz w:val="15"/>
                <w:szCs w:val="15"/>
                <w:color w:val="auto"/>
              </w:rPr>
            </w:pPr>
          </w:p>
        </w:tc>
        <w:tc>
          <w:tcPr>
            <w:tcW w:w="260" w:type="dxa"/>
            <w:vAlign w:val="bottom"/>
            <w:tcBorders>
              <w:top w:val="single" w:sz="8" w:color="CCEEFF"/>
              <w:left w:val="single" w:sz="8" w:color="CCEEFF"/>
            </w:tcBorders>
            <w:shd w:val="clear" w:color="auto" w:fill="CCEEFF"/>
          </w:tcPr>
          <w:p>
            <w:pPr>
              <w:spacing w:after="0"/>
              <w:rPr>
                <w:sz w:val="15"/>
                <w:szCs w:val="15"/>
                <w:color w:val="auto"/>
              </w:rPr>
            </w:pPr>
          </w:p>
        </w:tc>
        <w:tc>
          <w:tcPr>
            <w:tcW w:w="780" w:type="dxa"/>
            <w:vAlign w:val="bottom"/>
            <w:tcBorders>
              <w:top w:val="single" w:sz="8" w:color="CCEEFF"/>
            </w:tcBorders>
            <w:shd w:val="clear" w:color="auto" w:fill="CCEEFF"/>
          </w:tcPr>
          <w:p>
            <w:pPr>
              <w:spacing w:after="0"/>
              <w:rPr>
                <w:sz w:val="15"/>
                <w:szCs w:val="15"/>
                <w:color w:val="auto"/>
              </w:rPr>
            </w:pPr>
          </w:p>
        </w:tc>
        <w:tc>
          <w:tcPr>
            <w:tcW w:w="28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4820" w:type="dxa"/>
            <w:vAlign w:val="bottom"/>
            <w:gridSpan w:val="2"/>
          </w:tcPr>
          <w:p>
            <w:pPr>
              <w:spacing w:after="0" w:line="169" w:lineRule="exact"/>
              <w:rPr>
                <w:sz w:val="20"/>
                <w:szCs w:val="20"/>
                <w:color w:val="auto"/>
              </w:rPr>
            </w:pPr>
            <w:r>
              <w:rPr>
                <w:rFonts w:ascii="Arial" w:cs="Arial" w:eastAsia="Arial" w:hAnsi="Arial"/>
                <w:sz w:val="17"/>
                <w:szCs w:val="17"/>
                <w:b w:val="1"/>
                <w:bCs w:val="1"/>
                <w:color w:val="auto"/>
              </w:rPr>
              <w:t>Reconciliation from consolidated operating income to</w:t>
            </w: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1"/>
        </w:trPr>
        <w:tc>
          <w:tcPr>
            <w:tcW w:w="4840" w:type="dxa"/>
            <w:vAlign w:val="bottom"/>
            <w:gridSpan w:val="3"/>
          </w:tcPr>
          <w:p>
            <w:pPr>
              <w:spacing w:after="0"/>
              <w:rPr>
                <w:sz w:val="20"/>
                <w:szCs w:val="20"/>
                <w:color w:val="auto"/>
              </w:rPr>
            </w:pPr>
            <w:r>
              <w:rPr>
                <w:rFonts w:ascii="Arial" w:cs="Arial" w:eastAsia="Arial" w:hAnsi="Arial"/>
                <w:sz w:val="17"/>
                <w:szCs w:val="17"/>
                <w:b w:val="1"/>
                <w:bCs w:val="1"/>
                <w:color w:val="auto"/>
              </w:rPr>
              <w:t>adjusted operating income:</w:t>
            </w: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Consolidated operating income</w:t>
            </w:r>
          </w:p>
        </w:tc>
        <w:tc>
          <w:tcPr>
            <w:tcW w:w="16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w w:val="84"/>
              </w:rPr>
              <w:t>$</w:t>
            </w:r>
          </w:p>
        </w:tc>
        <w:tc>
          <w:tcPr>
            <w:tcW w:w="62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35.5</w:t>
            </w:r>
          </w:p>
        </w:tc>
        <w:tc>
          <w:tcPr>
            <w:tcW w:w="260" w:type="dxa"/>
            <w:vAlign w:val="bottom"/>
            <w:tcBorders>
              <w:right w:val="single" w:sz="8" w:color="CCEEFF"/>
            </w:tcBorders>
            <w:shd w:val="clear" w:color="auto" w:fill="CCEEFF"/>
          </w:tcPr>
          <w:p>
            <w:pPr>
              <w:spacing w:after="0"/>
              <w:rPr>
                <w:sz w:val="16"/>
                <w:szCs w:val="16"/>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236"/>
              <w:spacing w:after="0" w:line="190" w:lineRule="exact"/>
              <w:rPr>
                <w:sz w:val="20"/>
                <w:szCs w:val="20"/>
                <w:color w:val="auto"/>
              </w:rPr>
            </w:pPr>
            <w:r>
              <w:rPr>
                <w:rFonts w:ascii="Arial" w:cs="Arial" w:eastAsia="Arial" w:hAnsi="Arial"/>
                <w:sz w:val="17"/>
                <w:szCs w:val="17"/>
                <w:color w:val="auto"/>
              </w:rPr>
              <w:t>74.8</w:t>
            </w:r>
          </w:p>
        </w:tc>
        <w:tc>
          <w:tcPr>
            <w:tcW w:w="1160" w:type="dxa"/>
            <w:vAlign w:val="bottom"/>
            <w:tcBorders>
              <w:right w:val="single" w:sz="8" w:color="CCEEFF"/>
            </w:tcBorders>
            <w:gridSpan w:val="2"/>
            <w:shd w:val="clear" w:color="auto" w:fill="CCEEFF"/>
          </w:tcPr>
          <w:p>
            <w:pPr>
              <w:jc w:val="right"/>
              <w:ind w:right="180"/>
              <w:spacing w:after="0" w:line="190" w:lineRule="exact"/>
              <w:rPr>
                <w:sz w:val="20"/>
                <w:szCs w:val="20"/>
                <w:color w:val="auto"/>
              </w:rPr>
            </w:pPr>
            <w:r>
              <w:rPr>
                <w:rFonts w:ascii="Arial" w:cs="Arial" w:eastAsia="Arial" w:hAnsi="Arial"/>
                <w:sz w:val="17"/>
                <w:szCs w:val="17"/>
                <w:color w:val="auto"/>
              </w:rPr>
              <w:t>(52.5)%</w:t>
            </w:r>
          </w:p>
        </w:tc>
        <w:tc>
          <w:tcPr>
            <w:tcW w:w="16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w w:val="84"/>
              </w:rPr>
              <w:t>$</w:t>
            </w: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167.8</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257.0</w:t>
            </w:r>
          </w:p>
        </w:tc>
        <w:tc>
          <w:tcPr>
            <w:tcW w:w="260" w:type="dxa"/>
            <w:vAlign w:val="bottom"/>
            <w:tcBorders>
              <w:left w:val="single" w:sz="8" w:color="CCEEFF"/>
            </w:tcBorders>
            <w:shd w:val="clear" w:color="auto" w:fill="CCEEFF"/>
          </w:tcPr>
          <w:p>
            <w:pPr>
              <w:spacing w:after="0"/>
              <w:rPr>
                <w:sz w:val="16"/>
                <w:szCs w:val="16"/>
                <w:color w:val="auto"/>
              </w:rPr>
            </w:pPr>
          </w:p>
        </w:tc>
        <w:tc>
          <w:tcPr>
            <w:tcW w:w="1060" w:type="dxa"/>
            <w:vAlign w:val="bottom"/>
            <w:gridSpan w:val="2"/>
            <w:shd w:val="clear" w:color="auto" w:fill="CCEEFF"/>
          </w:tcPr>
          <w:p>
            <w:pPr>
              <w:jc w:val="right"/>
              <w:ind w:right="80"/>
              <w:spacing w:after="0" w:line="190" w:lineRule="exact"/>
              <w:rPr>
                <w:sz w:val="20"/>
                <w:szCs w:val="20"/>
                <w:color w:val="auto"/>
              </w:rPr>
            </w:pPr>
            <w:r>
              <w:rPr>
                <w:rFonts w:ascii="Arial" w:cs="Arial" w:eastAsia="Arial" w:hAnsi="Arial"/>
                <w:sz w:val="17"/>
                <w:szCs w:val="17"/>
                <w:color w:val="auto"/>
              </w:rPr>
              <w:t>(34.7)%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Add: intangible amortization expense</w:t>
            </w:r>
          </w:p>
        </w:tc>
        <w:tc>
          <w:tcPr>
            <w:tcW w:w="160" w:type="dxa"/>
            <w:vAlign w:val="bottom"/>
          </w:tcPr>
          <w:p>
            <w:pPr>
              <w:spacing w:after="0"/>
              <w:rPr>
                <w:sz w:val="16"/>
                <w:szCs w:val="16"/>
                <w:color w:val="auto"/>
              </w:rPr>
            </w:pP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18.3</w:t>
            </w:r>
          </w:p>
        </w:tc>
        <w:tc>
          <w:tcPr>
            <w:tcW w:w="2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40" w:type="dxa"/>
            <w:vAlign w:val="bottom"/>
            <w:gridSpan w:val="2"/>
          </w:tcPr>
          <w:p>
            <w:pPr>
              <w:jc w:val="right"/>
              <w:ind w:right="236"/>
              <w:spacing w:after="0" w:line="190" w:lineRule="exact"/>
              <w:rPr>
                <w:sz w:val="20"/>
                <w:szCs w:val="20"/>
                <w:color w:val="auto"/>
              </w:rPr>
            </w:pPr>
            <w:r>
              <w:rPr>
                <w:rFonts w:ascii="Arial" w:cs="Arial" w:eastAsia="Arial" w:hAnsi="Arial"/>
                <w:sz w:val="17"/>
                <w:szCs w:val="17"/>
                <w:color w:val="auto"/>
              </w:rPr>
              <w:t>15.1</w:t>
            </w:r>
          </w:p>
        </w:tc>
        <w:tc>
          <w:tcPr>
            <w:tcW w:w="1160" w:type="dxa"/>
            <w:vAlign w:val="bottom"/>
            <w:gridSpan w:val="2"/>
          </w:tcPr>
          <w:p>
            <w:pPr>
              <w:jc w:val="right"/>
              <w:ind w:right="240"/>
              <w:spacing w:after="0" w:line="190" w:lineRule="exact"/>
              <w:rPr>
                <w:sz w:val="20"/>
                <w:szCs w:val="20"/>
                <w:color w:val="auto"/>
              </w:rPr>
            </w:pPr>
            <w:r>
              <w:rPr>
                <w:rFonts w:ascii="Arial" w:cs="Arial" w:eastAsia="Arial" w:hAnsi="Arial"/>
                <w:sz w:val="17"/>
                <w:szCs w:val="17"/>
                <w:color w:val="auto"/>
              </w:rPr>
              <w:t>21.2%</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66.7</w:t>
            </w:r>
          </w:p>
        </w:tc>
        <w:tc>
          <w:tcPr>
            <w:tcW w:w="140" w:type="dxa"/>
            <w:vAlign w:val="bottom"/>
          </w:tcPr>
          <w:p>
            <w:pPr>
              <w:spacing w:after="0"/>
              <w:rPr>
                <w:sz w:val="16"/>
                <w:szCs w:val="16"/>
                <w:color w:val="auto"/>
              </w:rPr>
            </w:pP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62.0</w:t>
            </w:r>
          </w:p>
        </w:tc>
        <w:tc>
          <w:tcPr>
            <w:tcW w:w="260" w:type="dxa"/>
            <w:vAlign w:val="bottom"/>
          </w:tcPr>
          <w:p>
            <w:pPr>
              <w:spacing w:after="0"/>
              <w:rPr>
                <w:sz w:val="16"/>
                <w:szCs w:val="16"/>
                <w:color w:val="auto"/>
              </w:rPr>
            </w:pPr>
          </w:p>
        </w:tc>
        <w:tc>
          <w:tcPr>
            <w:tcW w:w="1060" w:type="dxa"/>
            <w:vAlign w:val="bottom"/>
            <w:gridSpan w:val="2"/>
          </w:tcPr>
          <w:p>
            <w:pPr>
              <w:jc w:val="right"/>
              <w:ind w:right="140"/>
              <w:spacing w:after="0" w:line="190" w:lineRule="exact"/>
              <w:rPr>
                <w:sz w:val="20"/>
                <w:szCs w:val="20"/>
                <w:color w:val="auto"/>
              </w:rPr>
            </w:pPr>
            <w:r>
              <w:rPr>
                <w:rFonts w:ascii="Arial" w:cs="Arial" w:eastAsia="Arial" w:hAnsi="Arial"/>
                <w:sz w:val="17"/>
                <w:szCs w:val="17"/>
                <w:color w:val="auto"/>
              </w:rPr>
              <w:t>7.6%</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ind w:left="80"/>
              <w:spacing w:after="0" w:line="190" w:lineRule="exact"/>
              <w:rPr>
                <w:sz w:val="20"/>
                <w:szCs w:val="20"/>
                <w:color w:val="auto"/>
              </w:rPr>
            </w:pPr>
            <w:r>
              <w:rPr>
                <w:rFonts w:ascii="Arial" w:cs="Arial" w:eastAsia="Arial" w:hAnsi="Arial"/>
                <w:sz w:val="17"/>
                <w:szCs w:val="17"/>
                <w:color w:val="auto"/>
              </w:rPr>
              <w:t>Add: M&amp;A-related expenses</w:t>
            </w:r>
          </w:p>
        </w:tc>
        <w:tc>
          <w:tcPr>
            <w:tcW w:w="160" w:type="dxa"/>
            <w:vAlign w:val="bottom"/>
            <w:shd w:val="clear" w:color="auto" w:fill="CCEEFF"/>
          </w:tcPr>
          <w:p>
            <w:pPr>
              <w:spacing w:after="0"/>
              <w:rPr>
                <w:sz w:val="16"/>
                <w:szCs w:val="16"/>
                <w:color w:val="auto"/>
              </w:rPr>
            </w:pPr>
          </w:p>
        </w:tc>
        <w:tc>
          <w:tcPr>
            <w:tcW w:w="880" w:type="dxa"/>
            <w:vAlign w:val="bottom"/>
            <w:tcBorders>
              <w:right w:val="single" w:sz="8" w:color="CCEEFF"/>
            </w:tcBorders>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3.4</w:t>
            </w:r>
          </w:p>
        </w:tc>
        <w:tc>
          <w:tcPr>
            <w:tcW w:w="14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36"/>
              <w:spacing w:after="0" w:line="190" w:lineRule="exact"/>
              <w:rPr>
                <w:sz w:val="20"/>
                <w:szCs w:val="20"/>
                <w:color w:val="auto"/>
              </w:rPr>
            </w:pPr>
            <w:r>
              <w:rPr>
                <w:rFonts w:ascii="Arial" w:cs="Arial" w:eastAsia="Arial" w:hAnsi="Arial"/>
                <w:sz w:val="17"/>
                <w:szCs w:val="17"/>
                <w:color w:val="auto"/>
              </w:rPr>
              <w:t>6.0</w:t>
            </w:r>
          </w:p>
        </w:tc>
        <w:tc>
          <w:tcPr>
            <w:tcW w:w="1160" w:type="dxa"/>
            <w:vAlign w:val="bottom"/>
            <w:tcBorders>
              <w:right w:val="single" w:sz="8" w:color="CCEEFF"/>
            </w:tcBorders>
            <w:gridSpan w:val="2"/>
            <w:shd w:val="clear" w:color="auto" w:fill="CCEEFF"/>
          </w:tcPr>
          <w:p>
            <w:pPr>
              <w:jc w:val="right"/>
              <w:ind w:right="180"/>
              <w:spacing w:after="0" w:line="190" w:lineRule="exact"/>
              <w:rPr>
                <w:sz w:val="20"/>
                <w:szCs w:val="20"/>
                <w:color w:val="auto"/>
              </w:rPr>
            </w:pPr>
            <w:r>
              <w:rPr>
                <w:rFonts w:ascii="Arial" w:cs="Arial" w:eastAsia="Arial" w:hAnsi="Arial"/>
                <w:sz w:val="17"/>
                <w:szCs w:val="17"/>
                <w:color w:val="auto"/>
              </w:rPr>
              <w:t>(43.3)%</w:t>
            </w:r>
          </w:p>
        </w:tc>
        <w:tc>
          <w:tcPr>
            <w:tcW w:w="16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17.1</w:t>
            </w:r>
          </w:p>
        </w:tc>
        <w:tc>
          <w:tcPr>
            <w:tcW w:w="140" w:type="dxa"/>
            <w:vAlign w:val="bottom"/>
            <w:shd w:val="clear" w:color="auto" w:fill="CCEEFF"/>
          </w:tcPr>
          <w:p>
            <w:pPr>
              <w:spacing w:after="0"/>
              <w:rPr>
                <w:sz w:val="16"/>
                <w:szCs w:val="16"/>
                <w:color w:val="auto"/>
              </w:rPr>
            </w:pPr>
          </w:p>
        </w:tc>
        <w:tc>
          <w:tcPr>
            <w:tcW w:w="62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17.4</w:t>
            </w:r>
          </w:p>
        </w:tc>
        <w:tc>
          <w:tcPr>
            <w:tcW w:w="260" w:type="dxa"/>
            <w:vAlign w:val="bottom"/>
            <w:tcBorders>
              <w:left w:val="single" w:sz="8" w:color="CCEEFF"/>
            </w:tcBorders>
            <w:shd w:val="clear" w:color="auto" w:fill="CCEEFF"/>
          </w:tcPr>
          <w:p>
            <w:pPr>
              <w:spacing w:after="0"/>
              <w:rPr>
                <w:sz w:val="16"/>
                <w:szCs w:val="16"/>
                <w:color w:val="auto"/>
              </w:rPr>
            </w:pPr>
          </w:p>
        </w:tc>
        <w:tc>
          <w:tcPr>
            <w:tcW w:w="1060" w:type="dxa"/>
            <w:vAlign w:val="bottom"/>
            <w:gridSpan w:val="2"/>
            <w:shd w:val="clear" w:color="auto" w:fill="CCEEFF"/>
          </w:tcPr>
          <w:p>
            <w:pPr>
              <w:jc w:val="right"/>
              <w:ind w:right="80"/>
              <w:spacing w:after="0" w:line="190" w:lineRule="exact"/>
              <w:rPr>
                <w:sz w:val="20"/>
                <w:szCs w:val="20"/>
                <w:color w:val="auto"/>
              </w:rPr>
            </w:pPr>
            <w:r>
              <w:rPr>
                <w:rFonts w:ascii="Arial" w:cs="Arial" w:eastAsia="Arial" w:hAnsi="Arial"/>
                <w:sz w:val="17"/>
                <w:szCs w:val="17"/>
                <w:color w:val="auto"/>
              </w:rPr>
              <w:t>(1.7)%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Add: M&amp;A-related earn-outs (1)</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3.6</w:t>
            </w:r>
          </w:p>
        </w:tc>
        <w:tc>
          <w:tcPr>
            <w:tcW w:w="140" w:type="dxa"/>
            <w:vAlign w:val="bottom"/>
          </w:tcPr>
          <w:p>
            <w:pPr>
              <w:spacing w:after="0"/>
              <w:rPr>
                <w:sz w:val="16"/>
                <w:szCs w:val="16"/>
                <w:color w:val="auto"/>
              </w:rPr>
            </w:pPr>
          </w:p>
        </w:tc>
        <w:tc>
          <w:tcPr>
            <w:tcW w:w="94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(4.7)</w:t>
            </w:r>
          </w:p>
        </w:tc>
        <w:tc>
          <w:tcPr>
            <w:tcW w:w="1160" w:type="dxa"/>
            <w:vAlign w:val="bottom"/>
            <w:gridSpan w:val="2"/>
          </w:tcPr>
          <w:p>
            <w:pPr>
              <w:jc w:val="right"/>
              <w:ind w:right="380"/>
              <w:spacing w:after="0" w:line="190" w:lineRule="exact"/>
              <w:rPr>
                <w:sz w:val="20"/>
                <w:szCs w:val="20"/>
                <w:color w:val="auto"/>
              </w:rPr>
            </w:pPr>
            <w:r>
              <w:rPr>
                <w:rFonts w:ascii="Arial" w:cs="Arial" w:eastAsia="Arial" w:hAnsi="Arial"/>
                <w:sz w:val="17"/>
                <w:szCs w:val="17"/>
                <w:color w:val="auto"/>
              </w:rPr>
              <w:t>NMF</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11.6</w:t>
            </w:r>
          </w:p>
        </w:tc>
        <w:tc>
          <w:tcPr>
            <w:tcW w:w="140" w:type="dxa"/>
            <w:vAlign w:val="bottom"/>
          </w:tcPr>
          <w:p>
            <w:pPr>
              <w:spacing w:after="0"/>
              <w:rPr>
                <w:sz w:val="16"/>
                <w:szCs w:val="16"/>
                <w:color w:val="auto"/>
              </w:rPr>
            </w:pP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27.0</w:t>
            </w:r>
          </w:p>
        </w:tc>
        <w:tc>
          <w:tcPr>
            <w:tcW w:w="260" w:type="dxa"/>
            <w:vAlign w:val="bottom"/>
          </w:tcPr>
          <w:p>
            <w:pPr>
              <w:spacing w:after="0"/>
              <w:rPr>
                <w:sz w:val="16"/>
                <w:szCs w:val="16"/>
                <w:color w:val="auto"/>
              </w:rPr>
            </w:pPr>
          </w:p>
        </w:tc>
        <w:tc>
          <w:tcPr>
            <w:tcW w:w="1060" w:type="dxa"/>
            <w:vAlign w:val="bottom"/>
            <w:gridSpan w:val="2"/>
          </w:tcPr>
          <w:p>
            <w:pPr>
              <w:jc w:val="right"/>
              <w:ind w:right="80"/>
              <w:spacing w:after="0" w:line="190" w:lineRule="exact"/>
              <w:rPr>
                <w:sz w:val="20"/>
                <w:szCs w:val="20"/>
                <w:color w:val="auto"/>
              </w:rPr>
            </w:pPr>
            <w:r>
              <w:rPr>
                <w:rFonts w:ascii="Arial" w:cs="Arial" w:eastAsia="Arial" w:hAnsi="Arial"/>
                <w:sz w:val="17"/>
                <w:szCs w:val="17"/>
                <w:color w:val="auto"/>
              </w:rPr>
              <w:t>(57.0)%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ind w:left="80"/>
              <w:spacing w:after="0" w:line="190" w:lineRule="exact"/>
              <w:rPr>
                <w:sz w:val="20"/>
                <w:szCs w:val="20"/>
                <w:color w:val="auto"/>
              </w:rPr>
            </w:pPr>
            <w:r>
              <w:rPr>
                <w:rFonts w:ascii="Arial" w:cs="Arial" w:eastAsia="Arial" w:hAnsi="Arial"/>
                <w:sz w:val="17"/>
                <w:szCs w:val="17"/>
                <w:color w:val="auto"/>
              </w:rPr>
              <w:t>Add: Severance and personnel expenses (2)</w:t>
            </w:r>
          </w:p>
        </w:tc>
        <w:tc>
          <w:tcPr>
            <w:tcW w:w="160" w:type="dxa"/>
            <w:vAlign w:val="bottom"/>
            <w:shd w:val="clear" w:color="auto" w:fill="CCEEFF"/>
          </w:tcPr>
          <w:p>
            <w:pPr>
              <w:spacing w:after="0"/>
              <w:rPr>
                <w:sz w:val="16"/>
                <w:szCs w:val="16"/>
                <w:color w:val="auto"/>
              </w:rPr>
            </w:pPr>
          </w:p>
        </w:tc>
        <w:tc>
          <w:tcPr>
            <w:tcW w:w="880" w:type="dxa"/>
            <w:vAlign w:val="bottom"/>
            <w:tcBorders>
              <w:right w:val="single" w:sz="8" w:color="CCEEFF"/>
            </w:tcBorders>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0.5</w:t>
            </w:r>
          </w:p>
        </w:tc>
        <w:tc>
          <w:tcPr>
            <w:tcW w:w="14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36"/>
              <w:spacing w:after="0" w:line="190" w:lineRule="exact"/>
              <w:rPr>
                <w:sz w:val="20"/>
                <w:szCs w:val="20"/>
                <w:color w:val="auto"/>
              </w:rPr>
            </w:pPr>
            <w:r>
              <w:rPr>
                <w:rFonts w:ascii="Arial" w:cs="Arial" w:eastAsia="Arial" w:hAnsi="Arial"/>
                <w:sz w:val="17"/>
                <w:szCs w:val="17"/>
                <w:color w:val="auto"/>
              </w:rPr>
              <w:t>—</w:t>
            </w:r>
          </w:p>
        </w:tc>
        <w:tc>
          <w:tcPr>
            <w:tcW w:w="1160" w:type="dxa"/>
            <w:vAlign w:val="bottom"/>
            <w:tcBorders>
              <w:right w:val="single" w:sz="8" w:color="CCEEFF"/>
            </w:tcBorders>
            <w:gridSpan w:val="2"/>
            <w:shd w:val="clear" w:color="auto" w:fill="CCEEFF"/>
          </w:tcPr>
          <w:p>
            <w:pPr>
              <w:jc w:val="right"/>
              <w:ind w:right="380"/>
              <w:spacing w:after="0" w:line="190" w:lineRule="exact"/>
              <w:rPr>
                <w:sz w:val="20"/>
                <w:szCs w:val="20"/>
                <w:color w:val="auto"/>
              </w:rPr>
            </w:pPr>
            <w:r>
              <w:rPr>
                <w:rFonts w:ascii="Arial" w:cs="Arial" w:eastAsia="Arial" w:hAnsi="Arial"/>
                <w:sz w:val="17"/>
                <w:szCs w:val="17"/>
                <w:color w:val="auto"/>
              </w:rPr>
              <w:t>NMF</w:t>
            </w:r>
          </w:p>
        </w:tc>
        <w:tc>
          <w:tcPr>
            <w:tcW w:w="16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27.5</w:t>
            </w:r>
          </w:p>
        </w:tc>
        <w:tc>
          <w:tcPr>
            <w:tcW w:w="14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060" w:type="dxa"/>
            <w:vAlign w:val="bottom"/>
            <w:gridSpan w:val="2"/>
            <w:shd w:val="clear" w:color="auto" w:fill="CCEEFF"/>
          </w:tcPr>
          <w:p>
            <w:pPr>
              <w:jc w:val="right"/>
              <w:ind w:right="280"/>
              <w:spacing w:after="0" w:line="190"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Add: Transformation costs (2)</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5.1</w:t>
            </w:r>
          </w:p>
        </w:tc>
        <w:tc>
          <w:tcPr>
            <w:tcW w:w="140" w:type="dxa"/>
            <w:vAlign w:val="bottom"/>
          </w:tcPr>
          <w:p>
            <w:pPr>
              <w:spacing w:after="0"/>
              <w:rPr>
                <w:sz w:val="16"/>
                <w:szCs w:val="16"/>
                <w:color w:val="auto"/>
              </w:rPr>
            </w:pPr>
          </w:p>
        </w:tc>
        <w:tc>
          <w:tcPr>
            <w:tcW w:w="940" w:type="dxa"/>
            <w:vAlign w:val="bottom"/>
            <w:gridSpan w:val="2"/>
          </w:tcPr>
          <w:p>
            <w:pPr>
              <w:jc w:val="right"/>
              <w:ind w:right="236"/>
              <w:spacing w:after="0" w:line="190" w:lineRule="exact"/>
              <w:rPr>
                <w:sz w:val="20"/>
                <w:szCs w:val="20"/>
                <w:color w:val="auto"/>
              </w:rPr>
            </w:pPr>
            <w:r>
              <w:rPr>
                <w:rFonts w:ascii="Arial" w:cs="Arial" w:eastAsia="Arial" w:hAnsi="Arial"/>
                <w:sz w:val="17"/>
                <w:szCs w:val="17"/>
                <w:color w:val="auto"/>
              </w:rPr>
              <w:t>—</w:t>
            </w:r>
          </w:p>
        </w:tc>
        <w:tc>
          <w:tcPr>
            <w:tcW w:w="1160" w:type="dxa"/>
            <w:vAlign w:val="bottom"/>
            <w:gridSpan w:val="2"/>
          </w:tcPr>
          <w:p>
            <w:pPr>
              <w:jc w:val="right"/>
              <w:ind w:right="380"/>
              <w:spacing w:after="0" w:line="190" w:lineRule="exact"/>
              <w:rPr>
                <w:sz w:val="20"/>
                <w:szCs w:val="20"/>
                <w:color w:val="auto"/>
              </w:rPr>
            </w:pPr>
            <w:r>
              <w:rPr>
                <w:rFonts w:ascii="Arial" w:cs="Arial" w:eastAsia="Arial" w:hAnsi="Arial"/>
                <w:sz w:val="17"/>
                <w:szCs w:val="17"/>
                <w:color w:val="auto"/>
              </w:rPr>
              <w:t>NMF</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8.2</w:t>
            </w:r>
          </w:p>
        </w:tc>
        <w:tc>
          <w:tcPr>
            <w:tcW w:w="14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060" w:type="dxa"/>
            <w:vAlign w:val="bottom"/>
            <w:gridSpan w:val="2"/>
          </w:tcPr>
          <w:p>
            <w:pPr>
              <w:jc w:val="right"/>
              <w:ind w:right="280"/>
              <w:spacing w:after="0" w:line="190"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20" w:type="dxa"/>
            <w:vAlign w:val="bottom"/>
            <w:gridSpan w:val="2"/>
            <w:shd w:val="clear" w:color="auto" w:fill="CCEEFF"/>
          </w:tcPr>
          <w:p>
            <w:pPr>
              <w:ind w:left="80"/>
              <w:spacing w:after="0"/>
              <w:rPr>
                <w:sz w:val="20"/>
                <w:szCs w:val="20"/>
                <w:color w:val="auto"/>
              </w:rPr>
            </w:pPr>
            <w:r>
              <w:rPr>
                <w:rFonts w:ascii="Arial" w:cs="Arial" w:eastAsia="Arial" w:hAnsi="Arial"/>
                <w:sz w:val="17"/>
                <w:szCs w:val="17"/>
                <w:color w:val="auto"/>
              </w:rPr>
              <w:t>Add: Asset impairment costs (2)</w:t>
            </w:r>
          </w:p>
        </w:tc>
        <w:tc>
          <w:tcPr>
            <w:tcW w:w="16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w:t>
            </w:r>
          </w:p>
        </w:tc>
        <w:tc>
          <w:tcPr>
            <w:tcW w:w="260" w:type="dxa"/>
            <w:vAlign w:val="bottom"/>
            <w:tcBorders>
              <w:right w:val="single" w:sz="8" w:color="CCEEFF"/>
            </w:tcBorders>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236"/>
              <w:spacing w:after="0"/>
              <w:rPr>
                <w:sz w:val="20"/>
                <w:szCs w:val="20"/>
                <w:color w:val="auto"/>
              </w:rPr>
            </w:pPr>
            <w:r>
              <w:rPr>
                <w:rFonts w:ascii="Arial" w:cs="Arial" w:eastAsia="Arial" w:hAnsi="Arial"/>
                <w:sz w:val="17"/>
                <w:szCs w:val="17"/>
                <w:color w:val="auto"/>
              </w:rPr>
              <w:t>—</w:t>
            </w:r>
          </w:p>
        </w:tc>
        <w:tc>
          <w:tcPr>
            <w:tcW w:w="116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7"/>
                <w:szCs w:val="17"/>
                <w:color w:val="auto"/>
              </w:rPr>
              <w:t>—%</w:t>
            </w:r>
          </w:p>
        </w:tc>
        <w:tc>
          <w:tcPr>
            <w:tcW w:w="16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176"/>
              <w:spacing w:after="0"/>
              <w:rPr>
                <w:sz w:val="20"/>
                <w:szCs w:val="20"/>
                <w:color w:val="auto"/>
              </w:rPr>
            </w:pPr>
            <w:r>
              <w:rPr>
                <w:rFonts w:ascii="Arial" w:cs="Arial" w:eastAsia="Arial" w:hAnsi="Arial"/>
                <w:sz w:val="17"/>
                <w:szCs w:val="17"/>
                <w:color w:val="auto"/>
              </w:rPr>
              <w:t>—</w:t>
            </w:r>
          </w:p>
        </w:tc>
        <w:tc>
          <w:tcPr>
            <w:tcW w:w="1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176"/>
              <w:spacing w:after="0"/>
              <w:rPr>
                <w:sz w:val="20"/>
                <w:szCs w:val="20"/>
                <w:color w:val="auto"/>
              </w:rPr>
            </w:pPr>
            <w:r>
              <w:rPr>
                <w:rFonts w:ascii="Arial" w:cs="Arial" w:eastAsia="Arial" w:hAnsi="Arial"/>
                <w:sz w:val="17"/>
                <w:szCs w:val="17"/>
                <w:color w:val="auto"/>
              </w:rPr>
              <w:t>—</w:t>
            </w: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20" w:type="dxa"/>
            <w:vAlign w:val="bottom"/>
            <w:gridSpan w:val="2"/>
            <w:vMerge w:val="restart"/>
          </w:tcPr>
          <w:p>
            <w:pPr>
              <w:spacing w:after="0"/>
              <w:rPr>
                <w:sz w:val="20"/>
                <w:szCs w:val="20"/>
                <w:color w:val="auto"/>
              </w:rPr>
            </w:pPr>
            <w:r>
              <w:rPr>
                <w:rFonts w:ascii="Arial" w:cs="Arial" w:eastAsia="Arial" w:hAnsi="Arial"/>
                <w:sz w:val="17"/>
                <w:szCs w:val="17"/>
                <w:color w:val="auto"/>
              </w:rPr>
              <w:t>Adjusted operating income</w:t>
            </w: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160" w:type="dxa"/>
            <w:vAlign w:val="bottom"/>
            <w:gridSpan w:val="2"/>
            <w:vMerge w:val="restart"/>
          </w:tcPr>
          <w:p>
            <w:pPr>
              <w:jc w:val="right"/>
              <w:ind w:right="180"/>
              <w:spacing w:after="0"/>
              <w:rPr>
                <w:sz w:val="20"/>
                <w:szCs w:val="20"/>
                <w:color w:val="auto"/>
              </w:rPr>
            </w:pPr>
            <w:r>
              <w:rPr>
                <w:rFonts w:ascii="Arial" w:cs="Arial" w:eastAsia="Arial" w:hAnsi="Arial"/>
                <w:sz w:val="17"/>
                <w:szCs w:val="17"/>
                <w:color w:val="auto"/>
              </w:rPr>
              <w:t>(27.2)%</w:t>
            </w: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60" w:type="dxa"/>
            <w:vAlign w:val="bottom"/>
            <w:gridSpan w:val="2"/>
            <w:vMerge w:val="restart"/>
          </w:tcPr>
          <w:p>
            <w:pPr>
              <w:jc w:val="right"/>
              <w:ind w:right="80"/>
              <w:spacing w:after="0" w:line="216" w:lineRule="exact"/>
              <w:rPr>
                <w:sz w:val="20"/>
                <w:szCs w:val="20"/>
                <w:color w:val="auto"/>
              </w:rPr>
            </w:pPr>
            <w:r>
              <w:rPr>
                <w:rFonts w:ascii="Arial" w:cs="Arial" w:eastAsia="Arial" w:hAnsi="Arial"/>
                <w:sz w:val="14"/>
                <w:szCs w:val="14"/>
                <w:color w:val="auto"/>
              </w:rPr>
              <w:t>(17.7</w:t>
            </w:r>
            <w:r>
              <w:rPr>
                <w:rFonts w:ascii="Arial" w:cs="Arial" w:eastAsia="Arial" w:hAnsi="Arial"/>
                <w:sz w:val="24"/>
                <w:szCs w:val="24"/>
                <w:color w:val="auto"/>
                <w:vertAlign w:val="superscript"/>
              </w:rPr>
              <w:t>)%</w:t>
            </w:r>
          </w:p>
        </w:tc>
        <w:tc>
          <w:tcPr>
            <w:tcW w:w="0" w:type="dxa"/>
            <w:vAlign w:val="bottom"/>
          </w:tcPr>
          <w:p>
            <w:pPr>
              <w:spacing w:after="0" w:line="20" w:lineRule="exact"/>
              <w:rPr>
                <w:sz w:val="1"/>
                <w:szCs w:val="1"/>
                <w:color w:val="auto"/>
              </w:rPr>
            </w:pPr>
          </w:p>
        </w:tc>
      </w:tr>
      <w:tr>
        <w:trPr>
          <w:trHeight w:val="236"/>
        </w:trPr>
        <w:tc>
          <w:tcPr>
            <w:tcW w:w="20" w:type="dxa"/>
            <w:vAlign w:val="bottom"/>
          </w:tcPr>
          <w:p>
            <w:pPr>
              <w:spacing w:after="0"/>
              <w:rPr>
                <w:sz w:val="20"/>
                <w:szCs w:val="20"/>
                <w:color w:val="auto"/>
              </w:rPr>
            </w:pPr>
          </w:p>
        </w:tc>
        <w:tc>
          <w:tcPr>
            <w:tcW w:w="4820" w:type="dxa"/>
            <w:vAlign w:val="bottom"/>
            <w:gridSpan w:val="2"/>
            <w:vMerge w:val="continue"/>
          </w:tcPr>
          <w:p>
            <w:pPr>
              <w:spacing w:after="0"/>
              <w:rPr>
                <w:sz w:val="20"/>
                <w:szCs w:val="20"/>
                <w:color w:val="auto"/>
              </w:rPr>
            </w:pPr>
          </w:p>
        </w:tc>
        <w:tc>
          <w:tcPr>
            <w:tcW w:w="160" w:type="dxa"/>
            <w:vAlign w:val="bottom"/>
          </w:tcPr>
          <w:p>
            <w:pPr>
              <w:jc w:val="right"/>
              <w:spacing w:after="0"/>
              <w:rPr>
                <w:sz w:val="20"/>
                <w:szCs w:val="20"/>
                <w:color w:val="auto"/>
              </w:rPr>
            </w:pPr>
            <w:r>
              <w:rPr>
                <w:rFonts w:ascii="Arial" w:cs="Arial" w:eastAsia="Arial" w:hAnsi="Arial"/>
                <w:sz w:val="17"/>
                <w:szCs w:val="17"/>
                <w:color w:val="auto"/>
                <w:w w:val="84"/>
              </w:rPr>
              <w:t>$</w:t>
            </w:r>
          </w:p>
        </w:tc>
        <w:tc>
          <w:tcPr>
            <w:tcW w:w="620" w:type="dxa"/>
            <w:vAlign w:val="bottom"/>
          </w:tcPr>
          <w:p>
            <w:pPr>
              <w:jc w:val="right"/>
              <w:spacing w:after="0"/>
              <w:rPr>
                <w:sz w:val="20"/>
                <w:szCs w:val="20"/>
                <w:color w:val="auto"/>
              </w:rPr>
            </w:pPr>
            <w:r>
              <w:rPr>
                <w:rFonts w:ascii="Arial" w:cs="Arial" w:eastAsia="Arial" w:hAnsi="Arial"/>
                <w:sz w:val="17"/>
                <w:szCs w:val="17"/>
                <w:color w:val="auto"/>
              </w:rPr>
              <w:t>66.4</w:t>
            </w:r>
          </w:p>
        </w:tc>
        <w:tc>
          <w:tcPr>
            <w:tcW w:w="260" w:type="dxa"/>
            <w:vAlign w:val="bottom"/>
          </w:tcPr>
          <w:p>
            <w:pPr>
              <w:spacing w:after="0"/>
              <w:rPr>
                <w:sz w:val="20"/>
                <w:szCs w:val="20"/>
                <w:color w:val="auto"/>
              </w:rPr>
            </w:pP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236"/>
              <w:spacing w:after="0"/>
              <w:rPr>
                <w:sz w:val="20"/>
                <w:szCs w:val="20"/>
                <w:color w:val="auto"/>
              </w:rPr>
            </w:pPr>
            <w:r>
              <w:rPr>
                <w:rFonts w:ascii="Arial" w:cs="Arial" w:eastAsia="Arial" w:hAnsi="Arial"/>
                <w:sz w:val="17"/>
                <w:szCs w:val="17"/>
                <w:color w:val="auto"/>
              </w:rPr>
              <w:t>91.2</w:t>
            </w:r>
          </w:p>
        </w:tc>
        <w:tc>
          <w:tcPr>
            <w:tcW w:w="1160" w:type="dxa"/>
            <w:vAlign w:val="bottom"/>
            <w:gridSpan w:val="2"/>
            <w:vMerge w:val="continue"/>
          </w:tcPr>
          <w:p>
            <w:pPr>
              <w:spacing w:after="0"/>
              <w:rPr>
                <w:sz w:val="20"/>
                <w:szCs w:val="20"/>
                <w:color w:val="auto"/>
              </w:rPr>
            </w:pPr>
          </w:p>
        </w:tc>
        <w:tc>
          <w:tcPr>
            <w:tcW w:w="160" w:type="dxa"/>
            <w:vAlign w:val="bottom"/>
          </w:tcPr>
          <w:p>
            <w:pPr>
              <w:jc w:val="right"/>
              <w:spacing w:after="0"/>
              <w:rPr>
                <w:sz w:val="20"/>
                <w:szCs w:val="20"/>
                <w:color w:val="auto"/>
              </w:rPr>
            </w:pPr>
            <w:r>
              <w:rPr>
                <w:rFonts w:ascii="Arial" w:cs="Arial" w:eastAsia="Arial" w:hAnsi="Arial"/>
                <w:sz w:val="17"/>
                <w:szCs w:val="17"/>
                <w:color w:val="auto"/>
                <w:w w:val="84"/>
              </w:rPr>
              <w:t>$</w:t>
            </w:r>
          </w:p>
        </w:tc>
        <w:tc>
          <w:tcPr>
            <w:tcW w:w="880" w:type="dxa"/>
            <w:vAlign w:val="bottom"/>
            <w:gridSpan w:val="2"/>
          </w:tcPr>
          <w:p>
            <w:pPr>
              <w:jc w:val="right"/>
              <w:ind w:right="176"/>
              <w:spacing w:after="0"/>
              <w:rPr>
                <w:sz w:val="20"/>
                <w:szCs w:val="20"/>
                <w:color w:val="auto"/>
              </w:rPr>
            </w:pPr>
            <w:r>
              <w:rPr>
                <w:rFonts w:ascii="Arial" w:cs="Arial" w:eastAsia="Arial" w:hAnsi="Arial"/>
                <w:sz w:val="17"/>
                <w:szCs w:val="17"/>
                <w:color w:val="auto"/>
              </w:rPr>
              <w:t>298.9</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Pr>
          <w:p>
            <w:pPr>
              <w:jc w:val="right"/>
              <w:spacing w:after="0"/>
              <w:rPr>
                <w:sz w:val="20"/>
                <w:szCs w:val="20"/>
                <w:color w:val="auto"/>
              </w:rPr>
            </w:pPr>
            <w:r>
              <w:rPr>
                <w:rFonts w:ascii="Arial" w:cs="Arial" w:eastAsia="Arial" w:hAnsi="Arial"/>
                <w:sz w:val="17"/>
                <w:szCs w:val="17"/>
                <w:color w:val="auto"/>
              </w:rPr>
              <w:t>363.4</w:t>
            </w:r>
          </w:p>
        </w:tc>
        <w:tc>
          <w:tcPr>
            <w:tcW w:w="260" w:type="dxa"/>
            <w:vAlign w:val="bottom"/>
          </w:tcPr>
          <w:p>
            <w:pPr>
              <w:spacing w:after="0"/>
              <w:rPr>
                <w:sz w:val="20"/>
                <w:szCs w:val="20"/>
                <w:color w:val="auto"/>
              </w:rPr>
            </w:pPr>
          </w:p>
        </w:tc>
        <w:tc>
          <w:tcPr>
            <w:tcW w:w="106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20" w:type="dxa"/>
            <w:vAlign w:val="bottom"/>
            <w:vMerge w:val="restart"/>
          </w:tcPr>
          <w:p>
            <w:pPr>
              <w:spacing w:after="0"/>
              <w:rPr>
                <w:sz w:val="14"/>
                <w:szCs w:val="14"/>
                <w:color w:val="auto"/>
              </w:rPr>
            </w:pPr>
          </w:p>
        </w:tc>
        <w:tc>
          <w:tcPr>
            <w:tcW w:w="472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160" w:type="dxa"/>
            <w:vAlign w:val="bottom"/>
            <w:tcBorders>
              <w:top w:val="single" w:sz="8" w:color="auto"/>
            </w:tcBorders>
            <w:shd w:val="clear" w:color="auto" w:fill="CCEEFF"/>
          </w:tcPr>
          <w:p>
            <w:pPr>
              <w:spacing w:after="0"/>
              <w:rPr>
                <w:sz w:val="14"/>
                <w:szCs w:val="14"/>
                <w:color w:val="auto"/>
              </w:rPr>
            </w:pPr>
          </w:p>
        </w:tc>
        <w:tc>
          <w:tcPr>
            <w:tcW w:w="620" w:type="dxa"/>
            <w:vAlign w:val="bottom"/>
            <w:tcBorders>
              <w:top w:val="single" w:sz="8" w:color="auto"/>
            </w:tcBorders>
            <w:shd w:val="clear" w:color="auto" w:fill="CCEEFF"/>
          </w:tcPr>
          <w:p>
            <w:pPr>
              <w:spacing w:after="0"/>
              <w:rPr>
                <w:sz w:val="14"/>
                <w:szCs w:val="14"/>
                <w:color w:val="auto"/>
              </w:rPr>
            </w:pPr>
          </w:p>
        </w:tc>
        <w:tc>
          <w:tcPr>
            <w:tcW w:w="260" w:type="dxa"/>
            <w:vAlign w:val="bottom"/>
            <w:tcBorders>
              <w:top w:val="single" w:sz="8" w:color="CCEEFF"/>
              <w:right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620" w:type="dxa"/>
            <w:vAlign w:val="bottom"/>
            <w:tcBorders>
              <w:top w:val="single" w:sz="8" w:color="auto"/>
            </w:tcBorders>
            <w:shd w:val="clear" w:color="auto" w:fill="CCEEFF"/>
          </w:tcPr>
          <w:p>
            <w:pPr>
              <w:spacing w:after="0"/>
              <w:rPr>
                <w:sz w:val="14"/>
                <w:szCs w:val="14"/>
                <w:color w:val="auto"/>
              </w:rPr>
            </w:pPr>
          </w:p>
        </w:tc>
        <w:tc>
          <w:tcPr>
            <w:tcW w:w="320" w:type="dxa"/>
            <w:vAlign w:val="bottom"/>
            <w:tcBorders>
              <w:top w:val="single" w:sz="8" w:color="CCEEFF"/>
            </w:tcBorders>
            <w:shd w:val="clear" w:color="auto" w:fill="CCEEFF"/>
          </w:tcPr>
          <w:p>
            <w:pPr>
              <w:spacing w:after="0"/>
              <w:rPr>
                <w:sz w:val="14"/>
                <w:szCs w:val="14"/>
                <w:color w:val="auto"/>
              </w:rPr>
            </w:pPr>
          </w:p>
        </w:tc>
        <w:tc>
          <w:tcPr>
            <w:tcW w:w="780" w:type="dxa"/>
            <w:vAlign w:val="bottom"/>
            <w:tcBorders>
              <w:top w:val="single" w:sz="8" w:color="CCEEFF"/>
            </w:tcBorders>
            <w:shd w:val="clear" w:color="auto" w:fill="CCEEFF"/>
          </w:tcPr>
          <w:p>
            <w:pPr>
              <w:spacing w:after="0"/>
              <w:rPr>
                <w:sz w:val="14"/>
                <w:szCs w:val="14"/>
                <w:color w:val="auto"/>
              </w:rPr>
            </w:pPr>
          </w:p>
        </w:tc>
        <w:tc>
          <w:tcPr>
            <w:tcW w:w="380" w:type="dxa"/>
            <w:vAlign w:val="bottom"/>
            <w:tcBorders>
              <w:top w:val="single" w:sz="8" w:color="CCEEFF"/>
              <w:right w:val="single" w:sz="8" w:color="CCEEFF"/>
            </w:tcBorders>
            <w:shd w:val="clear" w:color="auto" w:fill="CCEEFF"/>
          </w:tcPr>
          <w:p>
            <w:pPr>
              <w:spacing w:after="0"/>
              <w:rPr>
                <w:sz w:val="14"/>
                <w:szCs w:val="14"/>
                <w:color w:val="auto"/>
              </w:rPr>
            </w:pPr>
          </w:p>
        </w:tc>
        <w:tc>
          <w:tcPr>
            <w:tcW w:w="160" w:type="dxa"/>
            <w:vAlign w:val="bottom"/>
            <w:tcBorders>
              <w:top w:val="single" w:sz="8" w:color="auto"/>
            </w:tcBorders>
            <w:shd w:val="clear" w:color="auto" w:fill="CCEEFF"/>
          </w:tcPr>
          <w:p>
            <w:pPr>
              <w:spacing w:after="0"/>
              <w:rPr>
                <w:sz w:val="14"/>
                <w:szCs w:val="14"/>
                <w:color w:val="auto"/>
              </w:rPr>
            </w:pPr>
          </w:p>
        </w:tc>
        <w:tc>
          <w:tcPr>
            <w:tcW w:w="620" w:type="dxa"/>
            <w:vAlign w:val="bottom"/>
            <w:tcBorders>
              <w:top w:val="single" w:sz="8" w:color="auto"/>
            </w:tcBorders>
            <w:shd w:val="clear" w:color="auto" w:fill="CCEEFF"/>
          </w:tcPr>
          <w:p>
            <w:pPr>
              <w:spacing w:after="0"/>
              <w:rPr>
                <w:sz w:val="14"/>
                <w:szCs w:val="14"/>
                <w:color w:val="auto"/>
              </w:rPr>
            </w:pPr>
          </w:p>
        </w:tc>
        <w:tc>
          <w:tcPr>
            <w:tcW w:w="260" w:type="dxa"/>
            <w:vAlign w:val="bottom"/>
            <w:tcBorders>
              <w:top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620" w:type="dxa"/>
            <w:vAlign w:val="bottom"/>
            <w:tcBorders>
              <w:top w:val="single" w:sz="8" w:color="auto"/>
            </w:tcBorders>
            <w:shd w:val="clear" w:color="auto" w:fill="CCEEFF"/>
          </w:tcPr>
          <w:p>
            <w:pPr>
              <w:spacing w:after="0"/>
              <w:rPr>
                <w:sz w:val="14"/>
                <w:szCs w:val="14"/>
                <w:color w:val="auto"/>
              </w:rPr>
            </w:pPr>
          </w:p>
        </w:tc>
        <w:tc>
          <w:tcPr>
            <w:tcW w:w="260" w:type="dxa"/>
            <w:vAlign w:val="bottom"/>
            <w:tcBorders>
              <w:top w:val="single" w:sz="8" w:color="CCEEFF"/>
              <w:left w:val="single" w:sz="8" w:color="CCEEFF"/>
            </w:tcBorders>
            <w:shd w:val="clear" w:color="auto" w:fill="CCEEFF"/>
          </w:tcPr>
          <w:p>
            <w:pPr>
              <w:spacing w:after="0"/>
              <w:rPr>
                <w:sz w:val="14"/>
                <w:szCs w:val="14"/>
                <w:color w:val="auto"/>
              </w:rPr>
            </w:pPr>
          </w:p>
        </w:tc>
        <w:tc>
          <w:tcPr>
            <w:tcW w:w="780" w:type="dxa"/>
            <w:vAlign w:val="bottom"/>
            <w:tcBorders>
              <w:top w:val="single" w:sz="8" w:color="CCEEFF"/>
            </w:tcBorders>
            <w:shd w:val="clear" w:color="auto" w:fill="CCEEFF"/>
          </w:tcPr>
          <w:p>
            <w:pPr>
              <w:spacing w:after="0"/>
              <w:rPr>
                <w:sz w:val="14"/>
                <w:szCs w:val="14"/>
                <w:color w:val="auto"/>
              </w:rPr>
            </w:pPr>
          </w:p>
        </w:tc>
        <w:tc>
          <w:tcPr>
            <w:tcW w:w="28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4820" w:type="dxa"/>
            <w:vAlign w:val="bottom"/>
            <w:gridSpan w:val="2"/>
          </w:tcPr>
          <w:p>
            <w:pPr>
              <w:spacing w:after="0" w:line="169" w:lineRule="exact"/>
              <w:rPr>
                <w:sz w:val="20"/>
                <w:szCs w:val="20"/>
                <w:color w:val="auto"/>
              </w:rPr>
            </w:pPr>
            <w:r>
              <w:rPr>
                <w:rFonts w:ascii="Arial" w:cs="Arial" w:eastAsia="Arial" w:hAnsi="Arial"/>
                <w:sz w:val="17"/>
                <w:szCs w:val="17"/>
                <w:b w:val="1"/>
                <w:bCs w:val="1"/>
                <w:color w:val="auto"/>
              </w:rPr>
              <w:t>Reconciliation from consolidated operating margin to</w:t>
            </w: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1"/>
        </w:trPr>
        <w:tc>
          <w:tcPr>
            <w:tcW w:w="4840" w:type="dxa"/>
            <w:vAlign w:val="bottom"/>
            <w:gridSpan w:val="3"/>
          </w:tcPr>
          <w:p>
            <w:pPr>
              <w:spacing w:after="0"/>
              <w:rPr>
                <w:sz w:val="20"/>
                <w:szCs w:val="20"/>
                <w:color w:val="auto"/>
              </w:rPr>
            </w:pPr>
            <w:r>
              <w:rPr>
                <w:rFonts w:ascii="Arial" w:cs="Arial" w:eastAsia="Arial" w:hAnsi="Arial"/>
                <w:sz w:val="17"/>
                <w:szCs w:val="17"/>
                <w:b w:val="1"/>
                <w:bCs w:val="1"/>
                <w:color w:val="auto"/>
              </w:rPr>
              <w:t>adjusted operating margin:</w:t>
            </w: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Consolidated operating margin</w:t>
            </w:r>
          </w:p>
        </w:tc>
        <w:tc>
          <w:tcPr>
            <w:tcW w:w="160" w:type="dxa"/>
            <w:vAlign w:val="bottom"/>
            <w:shd w:val="clear" w:color="auto" w:fill="CCEEFF"/>
          </w:tcPr>
          <w:p>
            <w:pPr>
              <w:spacing w:after="0"/>
              <w:rPr>
                <w:sz w:val="16"/>
                <w:szCs w:val="16"/>
                <w:color w:val="auto"/>
              </w:rPr>
            </w:pPr>
          </w:p>
        </w:tc>
        <w:tc>
          <w:tcPr>
            <w:tcW w:w="880" w:type="dxa"/>
            <w:vAlign w:val="bottom"/>
            <w:tcBorders>
              <w:right w:val="single" w:sz="8" w:color="CCEEFF"/>
            </w:tcBorders>
            <w:gridSpan w:val="2"/>
            <w:shd w:val="clear" w:color="auto" w:fill="CCEEFF"/>
          </w:tcPr>
          <w:p>
            <w:pPr>
              <w:jc w:val="right"/>
              <w:ind w:right="36"/>
              <w:spacing w:after="0" w:line="190" w:lineRule="exact"/>
              <w:rPr>
                <w:sz w:val="20"/>
                <w:szCs w:val="20"/>
                <w:color w:val="auto"/>
              </w:rPr>
            </w:pPr>
            <w:r>
              <w:rPr>
                <w:rFonts w:ascii="Arial" w:cs="Arial" w:eastAsia="Arial" w:hAnsi="Arial"/>
                <w:sz w:val="17"/>
                <w:szCs w:val="17"/>
                <w:color w:val="auto"/>
              </w:rPr>
              <w:t>7.5%</w:t>
            </w:r>
          </w:p>
        </w:tc>
        <w:tc>
          <w:tcPr>
            <w:tcW w:w="14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76"/>
              <w:spacing w:after="0" w:line="190" w:lineRule="exact"/>
              <w:rPr>
                <w:sz w:val="20"/>
                <w:szCs w:val="20"/>
                <w:color w:val="auto"/>
              </w:rPr>
            </w:pPr>
            <w:r>
              <w:rPr>
                <w:rFonts w:ascii="Arial" w:cs="Arial" w:eastAsia="Arial" w:hAnsi="Arial"/>
                <w:sz w:val="17"/>
                <w:szCs w:val="17"/>
                <w:color w:val="auto"/>
              </w:rPr>
              <w:t>16.2%</w:t>
            </w:r>
          </w:p>
        </w:tc>
        <w:tc>
          <w:tcPr>
            <w:tcW w:w="1160" w:type="dxa"/>
            <w:vAlign w:val="bottom"/>
            <w:tcBorders>
              <w:right w:val="single" w:sz="8" w:color="CCEEFF"/>
            </w:tcBorders>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(8.7)pp</w:t>
            </w:r>
          </w:p>
        </w:tc>
        <w:tc>
          <w:tcPr>
            <w:tcW w:w="16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rPr>
              <w:t>9.0%</w:t>
            </w:r>
          </w:p>
        </w:tc>
        <w:tc>
          <w:tcPr>
            <w:tcW w:w="14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rPr>
              <w:t>15.1%</w:t>
            </w:r>
          </w:p>
        </w:tc>
        <w:tc>
          <w:tcPr>
            <w:tcW w:w="1060" w:type="dxa"/>
            <w:vAlign w:val="bottom"/>
            <w:gridSpan w:val="2"/>
            <w:shd w:val="clear" w:color="auto" w:fill="CCEEFF"/>
          </w:tcPr>
          <w:p>
            <w:pPr>
              <w:jc w:val="right"/>
              <w:ind w:right="40"/>
              <w:spacing w:after="0" w:line="190" w:lineRule="exact"/>
              <w:rPr>
                <w:sz w:val="20"/>
                <w:szCs w:val="20"/>
                <w:color w:val="auto"/>
              </w:rPr>
            </w:pPr>
            <w:r>
              <w:rPr>
                <w:rFonts w:ascii="Arial" w:cs="Arial" w:eastAsia="Arial" w:hAnsi="Arial"/>
                <w:sz w:val="17"/>
                <w:szCs w:val="17"/>
                <w:color w:val="auto"/>
              </w:rPr>
              <w:t>(6.1)pp</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Add: intangible amortization expense</w:t>
            </w:r>
          </w:p>
        </w:tc>
        <w:tc>
          <w:tcPr>
            <w:tcW w:w="160" w:type="dxa"/>
            <w:vAlign w:val="bottom"/>
          </w:tcPr>
          <w:p>
            <w:pPr>
              <w:spacing w:after="0"/>
              <w:rPr>
                <w:sz w:val="16"/>
                <w:szCs w:val="16"/>
                <w:color w:val="auto"/>
              </w:rPr>
            </w:pPr>
          </w:p>
        </w:tc>
        <w:tc>
          <w:tcPr>
            <w:tcW w:w="880" w:type="dxa"/>
            <w:vAlign w:val="bottom"/>
            <w:gridSpan w:val="2"/>
          </w:tcPr>
          <w:p>
            <w:pPr>
              <w:jc w:val="right"/>
              <w:ind w:right="36"/>
              <w:spacing w:after="0" w:line="190" w:lineRule="exact"/>
              <w:rPr>
                <w:sz w:val="20"/>
                <w:szCs w:val="20"/>
                <w:color w:val="auto"/>
              </w:rPr>
            </w:pPr>
            <w:r>
              <w:rPr>
                <w:rFonts w:ascii="Arial" w:cs="Arial" w:eastAsia="Arial" w:hAnsi="Arial"/>
                <w:sz w:val="17"/>
                <w:szCs w:val="17"/>
                <w:color w:val="auto"/>
              </w:rPr>
              <w:t>3.9%</w:t>
            </w:r>
          </w:p>
        </w:tc>
        <w:tc>
          <w:tcPr>
            <w:tcW w:w="140" w:type="dxa"/>
            <w:vAlign w:val="bottom"/>
          </w:tcPr>
          <w:p>
            <w:pPr>
              <w:spacing w:after="0"/>
              <w:rPr>
                <w:sz w:val="16"/>
                <w:szCs w:val="16"/>
                <w:color w:val="auto"/>
              </w:rPr>
            </w:pPr>
          </w:p>
        </w:tc>
        <w:tc>
          <w:tcPr>
            <w:tcW w:w="940" w:type="dxa"/>
            <w:vAlign w:val="bottom"/>
            <w:gridSpan w:val="2"/>
          </w:tcPr>
          <w:p>
            <w:pPr>
              <w:jc w:val="right"/>
              <w:ind w:right="76"/>
              <w:spacing w:after="0" w:line="190" w:lineRule="exact"/>
              <w:rPr>
                <w:sz w:val="20"/>
                <w:szCs w:val="20"/>
                <w:color w:val="auto"/>
              </w:rPr>
            </w:pPr>
            <w:r>
              <w:rPr>
                <w:rFonts w:ascii="Arial" w:cs="Arial" w:eastAsia="Arial" w:hAnsi="Arial"/>
                <w:sz w:val="17"/>
                <w:szCs w:val="17"/>
                <w:color w:val="auto"/>
              </w:rPr>
              <w:t>3.3%</w:t>
            </w:r>
          </w:p>
        </w:tc>
        <w:tc>
          <w:tcPr>
            <w:tcW w:w="1160" w:type="dxa"/>
            <w:vAlign w:val="bottom"/>
            <w:gridSpan w:val="2"/>
          </w:tcPr>
          <w:p>
            <w:pPr>
              <w:jc w:val="right"/>
              <w:ind w:right="200"/>
              <w:spacing w:after="0" w:line="190" w:lineRule="exact"/>
              <w:rPr>
                <w:sz w:val="20"/>
                <w:szCs w:val="20"/>
                <w:color w:val="auto"/>
              </w:rPr>
            </w:pPr>
            <w:r>
              <w:rPr>
                <w:rFonts w:ascii="Arial" w:cs="Arial" w:eastAsia="Arial" w:hAnsi="Arial"/>
                <w:sz w:val="17"/>
                <w:szCs w:val="17"/>
                <w:color w:val="auto"/>
              </w:rPr>
              <w:t>0.6pp</w:t>
            </w:r>
          </w:p>
        </w:tc>
        <w:tc>
          <w:tcPr>
            <w:tcW w:w="160" w:type="dxa"/>
            <w:vAlign w:val="bottom"/>
          </w:tcPr>
          <w:p>
            <w:pPr>
              <w:spacing w:after="0"/>
              <w:rPr>
                <w:sz w:val="16"/>
                <w:szCs w:val="16"/>
                <w:color w:val="auto"/>
              </w:rPr>
            </w:pPr>
          </w:p>
        </w:tc>
        <w:tc>
          <w:tcPr>
            <w:tcW w:w="880" w:type="dxa"/>
            <w:vAlign w:val="bottom"/>
            <w:gridSpan w:val="2"/>
          </w:tcPr>
          <w:p>
            <w:pPr>
              <w:jc w:val="right"/>
              <w:ind w:right="16"/>
              <w:spacing w:after="0" w:line="190" w:lineRule="exact"/>
              <w:rPr>
                <w:sz w:val="20"/>
                <w:szCs w:val="20"/>
                <w:color w:val="auto"/>
              </w:rPr>
            </w:pPr>
            <w:r>
              <w:rPr>
                <w:rFonts w:ascii="Arial" w:cs="Arial" w:eastAsia="Arial" w:hAnsi="Arial"/>
                <w:sz w:val="17"/>
                <w:szCs w:val="17"/>
                <w:color w:val="auto"/>
              </w:rPr>
              <w:t>3.6%</w:t>
            </w:r>
          </w:p>
        </w:tc>
        <w:tc>
          <w:tcPr>
            <w:tcW w:w="140" w:type="dxa"/>
            <w:vAlign w:val="bottom"/>
          </w:tcPr>
          <w:p>
            <w:pPr>
              <w:spacing w:after="0"/>
              <w:rPr>
                <w:sz w:val="16"/>
                <w:szCs w:val="16"/>
                <w:color w:val="auto"/>
              </w:rPr>
            </w:pPr>
          </w:p>
        </w:tc>
        <w:tc>
          <w:tcPr>
            <w:tcW w:w="880" w:type="dxa"/>
            <w:vAlign w:val="bottom"/>
            <w:gridSpan w:val="2"/>
          </w:tcPr>
          <w:p>
            <w:pPr>
              <w:jc w:val="right"/>
              <w:ind w:right="16"/>
              <w:spacing w:after="0" w:line="190" w:lineRule="exact"/>
              <w:rPr>
                <w:sz w:val="20"/>
                <w:szCs w:val="20"/>
                <w:color w:val="auto"/>
              </w:rPr>
            </w:pPr>
            <w:r>
              <w:rPr>
                <w:rFonts w:ascii="Arial" w:cs="Arial" w:eastAsia="Arial" w:hAnsi="Arial"/>
                <w:sz w:val="17"/>
                <w:szCs w:val="17"/>
                <w:color w:val="auto"/>
              </w:rPr>
              <w:t>3.6%</w:t>
            </w:r>
          </w:p>
        </w:tc>
        <w:tc>
          <w:tcPr>
            <w:tcW w:w="106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—pp</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ind w:left="80"/>
              <w:spacing w:after="0" w:line="190" w:lineRule="exact"/>
              <w:rPr>
                <w:sz w:val="20"/>
                <w:szCs w:val="20"/>
                <w:color w:val="auto"/>
              </w:rPr>
            </w:pPr>
            <w:r>
              <w:rPr>
                <w:rFonts w:ascii="Arial" w:cs="Arial" w:eastAsia="Arial" w:hAnsi="Arial"/>
                <w:sz w:val="17"/>
                <w:szCs w:val="17"/>
                <w:color w:val="auto"/>
              </w:rPr>
              <w:t>Add: M&amp;A-related expenses</w:t>
            </w:r>
          </w:p>
        </w:tc>
        <w:tc>
          <w:tcPr>
            <w:tcW w:w="160" w:type="dxa"/>
            <w:vAlign w:val="bottom"/>
            <w:shd w:val="clear" w:color="auto" w:fill="CCEEFF"/>
          </w:tcPr>
          <w:p>
            <w:pPr>
              <w:spacing w:after="0"/>
              <w:rPr>
                <w:sz w:val="16"/>
                <w:szCs w:val="16"/>
                <w:color w:val="auto"/>
              </w:rPr>
            </w:pPr>
          </w:p>
        </w:tc>
        <w:tc>
          <w:tcPr>
            <w:tcW w:w="880" w:type="dxa"/>
            <w:vAlign w:val="bottom"/>
            <w:tcBorders>
              <w:right w:val="single" w:sz="8" w:color="CCEEFF"/>
            </w:tcBorders>
            <w:gridSpan w:val="2"/>
            <w:shd w:val="clear" w:color="auto" w:fill="CCEEFF"/>
          </w:tcPr>
          <w:p>
            <w:pPr>
              <w:jc w:val="right"/>
              <w:ind w:right="36"/>
              <w:spacing w:after="0" w:line="190" w:lineRule="exact"/>
              <w:rPr>
                <w:sz w:val="20"/>
                <w:szCs w:val="20"/>
                <w:color w:val="auto"/>
              </w:rPr>
            </w:pPr>
            <w:r>
              <w:rPr>
                <w:rFonts w:ascii="Arial" w:cs="Arial" w:eastAsia="Arial" w:hAnsi="Arial"/>
                <w:sz w:val="17"/>
                <w:szCs w:val="17"/>
                <w:color w:val="auto"/>
              </w:rPr>
              <w:t>0.7%</w:t>
            </w:r>
          </w:p>
        </w:tc>
        <w:tc>
          <w:tcPr>
            <w:tcW w:w="14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76"/>
              <w:spacing w:after="0" w:line="190" w:lineRule="exact"/>
              <w:rPr>
                <w:sz w:val="20"/>
                <w:szCs w:val="20"/>
                <w:color w:val="auto"/>
              </w:rPr>
            </w:pPr>
            <w:r>
              <w:rPr>
                <w:rFonts w:ascii="Arial" w:cs="Arial" w:eastAsia="Arial" w:hAnsi="Arial"/>
                <w:sz w:val="17"/>
                <w:szCs w:val="17"/>
                <w:color w:val="auto"/>
              </w:rPr>
              <w:t>1.3%</w:t>
            </w:r>
          </w:p>
        </w:tc>
        <w:tc>
          <w:tcPr>
            <w:tcW w:w="1160" w:type="dxa"/>
            <w:vAlign w:val="bottom"/>
            <w:tcBorders>
              <w:right w:val="single" w:sz="8" w:color="CCEEFF"/>
            </w:tcBorders>
            <w:gridSpan w:val="2"/>
            <w:shd w:val="clear" w:color="auto" w:fill="CCEEFF"/>
          </w:tcPr>
          <w:p>
            <w:pPr>
              <w:jc w:val="right"/>
              <w:ind w:right="140"/>
              <w:spacing w:after="0" w:line="190" w:lineRule="exact"/>
              <w:rPr>
                <w:sz w:val="20"/>
                <w:szCs w:val="20"/>
                <w:color w:val="auto"/>
              </w:rPr>
            </w:pPr>
            <w:r>
              <w:rPr>
                <w:rFonts w:ascii="Arial" w:cs="Arial" w:eastAsia="Arial" w:hAnsi="Arial"/>
                <w:sz w:val="17"/>
                <w:szCs w:val="17"/>
                <w:color w:val="auto"/>
              </w:rPr>
              <w:t>(0.6)pp</w:t>
            </w:r>
          </w:p>
        </w:tc>
        <w:tc>
          <w:tcPr>
            <w:tcW w:w="16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rPr>
              <w:t>0.9%</w:t>
            </w:r>
          </w:p>
        </w:tc>
        <w:tc>
          <w:tcPr>
            <w:tcW w:w="14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rPr>
              <w:t>1.0%</w:t>
            </w:r>
          </w:p>
        </w:tc>
        <w:tc>
          <w:tcPr>
            <w:tcW w:w="1060" w:type="dxa"/>
            <w:vAlign w:val="bottom"/>
            <w:gridSpan w:val="2"/>
            <w:shd w:val="clear" w:color="auto" w:fill="CCEEFF"/>
          </w:tcPr>
          <w:p>
            <w:pPr>
              <w:jc w:val="right"/>
              <w:ind w:right="40"/>
              <w:spacing w:after="0" w:line="190" w:lineRule="exact"/>
              <w:rPr>
                <w:sz w:val="20"/>
                <w:szCs w:val="20"/>
                <w:color w:val="auto"/>
              </w:rPr>
            </w:pPr>
            <w:r>
              <w:rPr>
                <w:rFonts w:ascii="Arial" w:cs="Arial" w:eastAsia="Arial" w:hAnsi="Arial"/>
                <w:sz w:val="17"/>
                <w:szCs w:val="17"/>
                <w:color w:val="auto"/>
              </w:rPr>
              <w:t>(0.1)pp</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Add: M&amp;A-related earn-outs (1)</w:t>
            </w:r>
          </w:p>
        </w:tc>
        <w:tc>
          <w:tcPr>
            <w:tcW w:w="160" w:type="dxa"/>
            <w:vAlign w:val="bottom"/>
          </w:tcPr>
          <w:p>
            <w:pPr>
              <w:spacing w:after="0"/>
              <w:rPr>
                <w:sz w:val="16"/>
                <w:szCs w:val="16"/>
                <w:color w:val="auto"/>
              </w:rPr>
            </w:pPr>
          </w:p>
        </w:tc>
        <w:tc>
          <w:tcPr>
            <w:tcW w:w="880" w:type="dxa"/>
            <w:vAlign w:val="bottom"/>
            <w:gridSpan w:val="2"/>
          </w:tcPr>
          <w:p>
            <w:pPr>
              <w:jc w:val="right"/>
              <w:ind w:right="36"/>
              <w:spacing w:after="0" w:line="190" w:lineRule="exact"/>
              <w:rPr>
                <w:sz w:val="20"/>
                <w:szCs w:val="20"/>
                <w:color w:val="auto"/>
              </w:rPr>
            </w:pPr>
            <w:r>
              <w:rPr>
                <w:rFonts w:ascii="Arial" w:cs="Arial" w:eastAsia="Arial" w:hAnsi="Arial"/>
                <w:sz w:val="17"/>
                <w:szCs w:val="17"/>
                <w:color w:val="auto"/>
              </w:rPr>
              <w:t>0.8%</w:t>
            </w:r>
          </w:p>
        </w:tc>
        <w:tc>
          <w:tcPr>
            <w:tcW w:w="140" w:type="dxa"/>
            <w:vAlign w:val="bottom"/>
          </w:tcPr>
          <w:p>
            <w:pPr>
              <w:spacing w:after="0"/>
              <w:rPr>
                <w:sz w:val="16"/>
                <w:szCs w:val="16"/>
                <w:color w:val="auto"/>
              </w:rPr>
            </w:pPr>
          </w:p>
        </w:tc>
        <w:tc>
          <w:tcPr>
            <w:tcW w:w="940" w:type="dxa"/>
            <w:vAlign w:val="bottom"/>
            <w:gridSpan w:val="2"/>
          </w:tcPr>
          <w:p>
            <w:pPr>
              <w:jc w:val="right"/>
              <w:ind w:right="16"/>
              <w:spacing w:after="0" w:line="190" w:lineRule="exact"/>
              <w:rPr>
                <w:sz w:val="20"/>
                <w:szCs w:val="20"/>
                <w:color w:val="auto"/>
              </w:rPr>
            </w:pPr>
            <w:r>
              <w:rPr>
                <w:rFonts w:ascii="Arial" w:cs="Arial" w:eastAsia="Arial" w:hAnsi="Arial"/>
                <w:sz w:val="17"/>
                <w:szCs w:val="17"/>
                <w:color w:val="auto"/>
              </w:rPr>
              <w:t>(1.0)%</w:t>
            </w:r>
          </w:p>
        </w:tc>
        <w:tc>
          <w:tcPr>
            <w:tcW w:w="1160" w:type="dxa"/>
            <w:vAlign w:val="bottom"/>
            <w:gridSpan w:val="2"/>
          </w:tcPr>
          <w:p>
            <w:pPr>
              <w:jc w:val="right"/>
              <w:ind w:right="200"/>
              <w:spacing w:after="0" w:line="190" w:lineRule="exact"/>
              <w:rPr>
                <w:sz w:val="20"/>
                <w:szCs w:val="20"/>
                <w:color w:val="auto"/>
              </w:rPr>
            </w:pPr>
            <w:r>
              <w:rPr>
                <w:rFonts w:ascii="Arial" w:cs="Arial" w:eastAsia="Arial" w:hAnsi="Arial"/>
                <w:sz w:val="17"/>
                <w:szCs w:val="17"/>
                <w:color w:val="auto"/>
              </w:rPr>
              <w:t>1.8pp</w:t>
            </w:r>
          </w:p>
        </w:tc>
        <w:tc>
          <w:tcPr>
            <w:tcW w:w="160" w:type="dxa"/>
            <w:vAlign w:val="bottom"/>
          </w:tcPr>
          <w:p>
            <w:pPr>
              <w:spacing w:after="0"/>
              <w:rPr>
                <w:sz w:val="16"/>
                <w:szCs w:val="16"/>
                <w:color w:val="auto"/>
              </w:rPr>
            </w:pPr>
          </w:p>
        </w:tc>
        <w:tc>
          <w:tcPr>
            <w:tcW w:w="880" w:type="dxa"/>
            <w:vAlign w:val="bottom"/>
            <w:gridSpan w:val="2"/>
          </w:tcPr>
          <w:p>
            <w:pPr>
              <w:jc w:val="right"/>
              <w:ind w:right="16"/>
              <w:spacing w:after="0" w:line="190" w:lineRule="exact"/>
              <w:rPr>
                <w:sz w:val="20"/>
                <w:szCs w:val="20"/>
                <w:color w:val="auto"/>
              </w:rPr>
            </w:pPr>
            <w:r>
              <w:rPr>
                <w:rFonts w:ascii="Arial" w:cs="Arial" w:eastAsia="Arial" w:hAnsi="Arial"/>
                <w:sz w:val="17"/>
                <w:szCs w:val="17"/>
                <w:color w:val="auto"/>
              </w:rPr>
              <w:t>0.6%</w:t>
            </w:r>
          </w:p>
        </w:tc>
        <w:tc>
          <w:tcPr>
            <w:tcW w:w="140" w:type="dxa"/>
            <w:vAlign w:val="bottom"/>
          </w:tcPr>
          <w:p>
            <w:pPr>
              <w:spacing w:after="0"/>
              <w:rPr>
                <w:sz w:val="16"/>
                <w:szCs w:val="16"/>
                <w:color w:val="auto"/>
              </w:rPr>
            </w:pPr>
          </w:p>
        </w:tc>
        <w:tc>
          <w:tcPr>
            <w:tcW w:w="880" w:type="dxa"/>
            <w:vAlign w:val="bottom"/>
            <w:gridSpan w:val="2"/>
          </w:tcPr>
          <w:p>
            <w:pPr>
              <w:jc w:val="right"/>
              <w:ind w:right="16"/>
              <w:spacing w:after="0" w:line="190" w:lineRule="exact"/>
              <w:rPr>
                <w:sz w:val="20"/>
                <w:szCs w:val="20"/>
                <w:color w:val="auto"/>
              </w:rPr>
            </w:pPr>
            <w:r>
              <w:rPr>
                <w:rFonts w:ascii="Arial" w:cs="Arial" w:eastAsia="Arial" w:hAnsi="Arial"/>
                <w:sz w:val="17"/>
                <w:szCs w:val="17"/>
                <w:color w:val="auto"/>
              </w:rPr>
              <w:t>1.6%</w:t>
            </w:r>
          </w:p>
        </w:tc>
        <w:tc>
          <w:tcPr>
            <w:tcW w:w="1060" w:type="dxa"/>
            <w:vAlign w:val="bottom"/>
            <w:gridSpan w:val="2"/>
          </w:tcPr>
          <w:p>
            <w:pPr>
              <w:jc w:val="right"/>
              <w:ind w:right="40"/>
              <w:spacing w:after="0" w:line="190" w:lineRule="exact"/>
              <w:rPr>
                <w:sz w:val="20"/>
                <w:szCs w:val="20"/>
                <w:color w:val="auto"/>
              </w:rPr>
            </w:pPr>
            <w:r>
              <w:rPr>
                <w:rFonts w:ascii="Arial" w:cs="Arial" w:eastAsia="Arial" w:hAnsi="Arial"/>
                <w:sz w:val="17"/>
                <w:szCs w:val="17"/>
                <w:color w:val="auto"/>
              </w:rPr>
              <w:t>(1.0)pp</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ind w:left="80"/>
              <w:spacing w:after="0" w:line="190" w:lineRule="exact"/>
              <w:rPr>
                <w:sz w:val="20"/>
                <w:szCs w:val="20"/>
                <w:color w:val="auto"/>
              </w:rPr>
            </w:pPr>
            <w:r>
              <w:rPr>
                <w:rFonts w:ascii="Arial" w:cs="Arial" w:eastAsia="Arial" w:hAnsi="Arial"/>
                <w:sz w:val="17"/>
                <w:szCs w:val="17"/>
                <w:color w:val="auto"/>
              </w:rPr>
              <w:t>Add: Severance and personnel expenses (2)</w:t>
            </w:r>
          </w:p>
        </w:tc>
        <w:tc>
          <w:tcPr>
            <w:tcW w:w="160" w:type="dxa"/>
            <w:vAlign w:val="bottom"/>
            <w:shd w:val="clear" w:color="auto" w:fill="CCEEFF"/>
          </w:tcPr>
          <w:p>
            <w:pPr>
              <w:spacing w:after="0"/>
              <w:rPr>
                <w:sz w:val="16"/>
                <w:szCs w:val="16"/>
                <w:color w:val="auto"/>
              </w:rPr>
            </w:pPr>
          </w:p>
        </w:tc>
        <w:tc>
          <w:tcPr>
            <w:tcW w:w="880" w:type="dxa"/>
            <w:vAlign w:val="bottom"/>
            <w:tcBorders>
              <w:right w:val="single" w:sz="8" w:color="CCEEFF"/>
            </w:tcBorders>
            <w:gridSpan w:val="2"/>
            <w:shd w:val="clear" w:color="auto" w:fill="CCEEFF"/>
          </w:tcPr>
          <w:p>
            <w:pPr>
              <w:jc w:val="right"/>
              <w:ind w:right="36"/>
              <w:spacing w:after="0" w:line="190" w:lineRule="exact"/>
              <w:rPr>
                <w:sz w:val="20"/>
                <w:szCs w:val="20"/>
                <w:color w:val="auto"/>
              </w:rPr>
            </w:pPr>
            <w:r>
              <w:rPr>
                <w:rFonts w:ascii="Arial" w:cs="Arial" w:eastAsia="Arial" w:hAnsi="Arial"/>
                <w:sz w:val="17"/>
                <w:szCs w:val="17"/>
                <w:color w:val="auto"/>
              </w:rPr>
              <w:t>0.1%</w:t>
            </w:r>
          </w:p>
        </w:tc>
        <w:tc>
          <w:tcPr>
            <w:tcW w:w="14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76"/>
              <w:spacing w:after="0" w:line="190" w:lineRule="exact"/>
              <w:rPr>
                <w:sz w:val="20"/>
                <w:szCs w:val="20"/>
                <w:color w:val="auto"/>
              </w:rPr>
            </w:pPr>
            <w:r>
              <w:rPr>
                <w:rFonts w:ascii="Arial" w:cs="Arial" w:eastAsia="Arial" w:hAnsi="Arial"/>
                <w:sz w:val="17"/>
                <w:szCs w:val="17"/>
                <w:color w:val="auto"/>
              </w:rPr>
              <w:t>—%</w:t>
            </w:r>
          </w:p>
        </w:tc>
        <w:tc>
          <w:tcPr>
            <w:tcW w:w="1160" w:type="dxa"/>
            <w:vAlign w:val="bottom"/>
            <w:tcBorders>
              <w:right w:val="single" w:sz="8" w:color="CCEEFF"/>
            </w:tcBorders>
            <w:gridSpan w:val="2"/>
            <w:shd w:val="clear" w:color="auto" w:fill="CCEEFF"/>
          </w:tcPr>
          <w:p>
            <w:pPr>
              <w:jc w:val="right"/>
              <w:ind w:right="200"/>
              <w:spacing w:after="0" w:line="190" w:lineRule="exact"/>
              <w:rPr>
                <w:sz w:val="20"/>
                <w:szCs w:val="20"/>
                <w:color w:val="auto"/>
              </w:rPr>
            </w:pPr>
            <w:r>
              <w:rPr>
                <w:rFonts w:ascii="Arial" w:cs="Arial" w:eastAsia="Arial" w:hAnsi="Arial"/>
                <w:sz w:val="17"/>
                <w:szCs w:val="17"/>
                <w:color w:val="auto"/>
              </w:rPr>
              <w:t>0.1pp</w:t>
            </w:r>
          </w:p>
        </w:tc>
        <w:tc>
          <w:tcPr>
            <w:tcW w:w="16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rPr>
              <w:t>1.5%</w:t>
            </w:r>
          </w:p>
        </w:tc>
        <w:tc>
          <w:tcPr>
            <w:tcW w:w="14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6"/>
              <w:spacing w:after="0" w:line="190" w:lineRule="exact"/>
              <w:rPr>
                <w:sz w:val="20"/>
                <w:szCs w:val="20"/>
                <w:color w:val="auto"/>
              </w:rPr>
            </w:pPr>
            <w:r>
              <w:rPr>
                <w:rFonts w:ascii="Arial" w:cs="Arial" w:eastAsia="Arial" w:hAnsi="Arial"/>
                <w:sz w:val="17"/>
                <w:szCs w:val="17"/>
                <w:color w:val="auto"/>
              </w:rPr>
              <w:t>—%</w:t>
            </w:r>
          </w:p>
        </w:tc>
        <w:tc>
          <w:tcPr>
            <w:tcW w:w="1060" w:type="dxa"/>
            <w:vAlign w:val="bottom"/>
            <w:gridSpan w:val="2"/>
            <w:shd w:val="clear" w:color="auto" w:fill="CCEEFF"/>
          </w:tcPr>
          <w:p>
            <w:pPr>
              <w:jc w:val="right"/>
              <w:ind w:right="100"/>
              <w:spacing w:after="0" w:line="190" w:lineRule="exact"/>
              <w:rPr>
                <w:sz w:val="20"/>
                <w:szCs w:val="20"/>
                <w:color w:val="auto"/>
              </w:rPr>
            </w:pPr>
            <w:r>
              <w:rPr>
                <w:rFonts w:ascii="Arial" w:cs="Arial" w:eastAsia="Arial" w:hAnsi="Arial"/>
                <w:sz w:val="17"/>
                <w:szCs w:val="17"/>
                <w:color w:val="auto"/>
              </w:rPr>
              <w:t>1.5pp</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Add: Transformation costs (2)</w:t>
            </w:r>
          </w:p>
        </w:tc>
        <w:tc>
          <w:tcPr>
            <w:tcW w:w="160" w:type="dxa"/>
            <w:vAlign w:val="bottom"/>
          </w:tcPr>
          <w:p>
            <w:pPr>
              <w:spacing w:after="0"/>
              <w:rPr>
                <w:sz w:val="16"/>
                <w:szCs w:val="16"/>
                <w:color w:val="auto"/>
              </w:rPr>
            </w:pPr>
          </w:p>
        </w:tc>
        <w:tc>
          <w:tcPr>
            <w:tcW w:w="880" w:type="dxa"/>
            <w:vAlign w:val="bottom"/>
            <w:gridSpan w:val="2"/>
          </w:tcPr>
          <w:p>
            <w:pPr>
              <w:jc w:val="right"/>
              <w:ind w:right="36"/>
              <w:spacing w:after="0" w:line="190" w:lineRule="exact"/>
              <w:rPr>
                <w:sz w:val="20"/>
                <w:szCs w:val="20"/>
                <w:color w:val="auto"/>
              </w:rPr>
            </w:pPr>
            <w:r>
              <w:rPr>
                <w:rFonts w:ascii="Arial" w:cs="Arial" w:eastAsia="Arial" w:hAnsi="Arial"/>
                <w:sz w:val="17"/>
                <w:szCs w:val="17"/>
                <w:color w:val="auto"/>
              </w:rPr>
              <w:t>1.1%</w:t>
            </w:r>
          </w:p>
        </w:tc>
        <w:tc>
          <w:tcPr>
            <w:tcW w:w="140" w:type="dxa"/>
            <w:vAlign w:val="bottom"/>
          </w:tcPr>
          <w:p>
            <w:pPr>
              <w:spacing w:after="0"/>
              <w:rPr>
                <w:sz w:val="16"/>
                <w:szCs w:val="16"/>
                <w:color w:val="auto"/>
              </w:rPr>
            </w:pPr>
          </w:p>
        </w:tc>
        <w:tc>
          <w:tcPr>
            <w:tcW w:w="940" w:type="dxa"/>
            <w:vAlign w:val="bottom"/>
            <w:gridSpan w:val="2"/>
          </w:tcPr>
          <w:p>
            <w:pPr>
              <w:jc w:val="right"/>
              <w:ind w:right="76"/>
              <w:spacing w:after="0" w:line="190" w:lineRule="exact"/>
              <w:rPr>
                <w:sz w:val="20"/>
                <w:szCs w:val="20"/>
                <w:color w:val="auto"/>
              </w:rPr>
            </w:pPr>
            <w:r>
              <w:rPr>
                <w:rFonts w:ascii="Arial" w:cs="Arial" w:eastAsia="Arial" w:hAnsi="Arial"/>
                <w:sz w:val="17"/>
                <w:szCs w:val="17"/>
                <w:color w:val="auto"/>
              </w:rPr>
              <w:t>—%</w:t>
            </w:r>
          </w:p>
        </w:tc>
        <w:tc>
          <w:tcPr>
            <w:tcW w:w="1160" w:type="dxa"/>
            <w:vAlign w:val="bottom"/>
            <w:gridSpan w:val="2"/>
          </w:tcPr>
          <w:p>
            <w:pPr>
              <w:jc w:val="right"/>
              <w:ind w:right="200"/>
              <w:spacing w:after="0" w:line="190" w:lineRule="exact"/>
              <w:rPr>
                <w:sz w:val="20"/>
                <w:szCs w:val="20"/>
                <w:color w:val="auto"/>
              </w:rPr>
            </w:pPr>
            <w:r>
              <w:rPr>
                <w:rFonts w:ascii="Arial" w:cs="Arial" w:eastAsia="Arial" w:hAnsi="Arial"/>
                <w:sz w:val="17"/>
                <w:szCs w:val="17"/>
                <w:color w:val="auto"/>
              </w:rPr>
              <w:t>1.1pp</w:t>
            </w:r>
          </w:p>
        </w:tc>
        <w:tc>
          <w:tcPr>
            <w:tcW w:w="160" w:type="dxa"/>
            <w:vAlign w:val="bottom"/>
          </w:tcPr>
          <w:p>
            <w:pPr>
              <w:spacing w:after="0"/>
              <w:rPr>
                <w:sz w:val="16"/>
                <w:szCs w:val="16"/>
                <w:color w:val="auto"/>
              </w:rPr>
            </w:pPr>
          </w:p>
        </w:tc>
        <w:tc>
          <w:tcPr>
            <w:tcW w:w="880" w:type="dxa"/>
            <w:vAlign w:val="bottom"/>
            <w:gridSpan w:val="2"/>
          </w:tcPr>
          <w:p>
            <w:pPr>
              <w:jc w:val="right"/>
              <w:ind w:right="16"/>
              <w:spacing w:after="0" w:line="190" w:lineRule="exact"/>
              <w:rPr>
                <w:sz w:val="20"/>
                <w:szCs w:val="20"/>
                <w:color w:val="auto"/>
              </w:rPr>
            </w:pPr>
            <w:r>
              <w:rPr>
                <w:rFonts w:ascii="Arial" w:cs="Arial" w:eastAsia="Arial" w:hAnsi="Arial"/>
                <w:sz w:val="17"/>
                <w:szCs w:val="17"/>
                <w:color w:val="auto"/>
              </w:rPr>
              <w:t>0.4%</w:t>
            </w:r>
          </w:p>
        </w:tc>
        <w:tc>
          <w:tcPr>
            <w:tcW w:w="140" w:type="dxa"/>
            <w:vAlign w:val="bottom"/>
          </w:tcPr>
          <w:p>
            <w:pPr>
              <w:spacing w:after="0"/>
              <w:rPr>
                <w:sz w:val="16"/>
                <w:szCs w:val="16"/>
                <w:color w:val="auto"/>
              </w:rPr>
            </w:pPr>
          </w:p>
        </w:tc>
        <w:tc>
          <w:tcPr>
            <w:tcW w:w="880" w:type="dxa"/>
            <w:vAlign w:val="bottom"/>
            <w:gridSpan w:val="2"/>
          </w:tcPr>
          <w:p>
            <w:pPr>
              <w:jc w:val="right"/>
              <w:ind w:right="16"/>
              <w:spacing w:after="0" w:line="190" w:lineRule="exact"/>
              <w:rPr>
                <w:sz w:val="20"/>
                <w:szCs w:val="20"/>
                <w:color w:val="auto"/>
              </w:rPr>
            </w:pPr>
            <w:r>
              <w:rPr>
                <w:rFonts w:ascii="Arial" w:cs="Arial" w:eastAsia="Arial" w:hAnsi="Arial"/>
                <w:sz w:val="17"/>
                <w:szCs w:val="17"/>
                <w:color w:val="auto"/>
              </w:rPr>
              <w:t>—%</w:t>
            </w:r>
          </w:p>
        </w:tc>
        <w:tc>
          <w:tcPr>
            <w:tcW w:w="1060" w:type="dxa"/>
            <w:vAlign w:val="bottom"/>
            <w:gridSpan w:val="2"/>
          </w:tcPr>
          <w:p>
            <w:pPr>
              <w:jc w:val="right"/>
              <w:ind w:right="100"/>
              <w:spacing w:after="0" w:line="190" w:lineRule="exact"/>
              <w:rPr>
                <w:sz w:val="20"/>
                <w:szCs w:val="20"/>
                <w:color w:val="auto"/>
              </w:rPr>
            </w:pPr>
            <w:r>
              <w:rPr>
                <w:rFonts w:ascii="Arial" w:cs="Arial" w:eastAsia="Arial" w:hAnsi="Arial"/>
                <w:sz w:val="17"/>
                <w:szCs w:val="17"/>
                <w:color w:val="auto"/>
              </w:rPr>
              <w:t>0.4pp</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20" w:type="dxa"/>
            <w:vAlign w:val="bottom"/>
            <w:gridSpan w:val="2"/>
            <w:shd w:val="clear" w:color="auto" w:fill="CCEEFF"/>
          </w:tcPr>
          <w:p>
            <w:pPr>
              <w:ind w:left="80"/>
              <w:spacing w:after="0"/>
              <w:rPr>
                <w:sz w:val="20"/>
                <w:szCs w:val="20"/>
                <w:color w:val="auto"/>
              </w:rPr>
            </w:pPr>
            <w:r>
              <w:rPr>
                <w:rFonts w:ascii="Arial" w:cs="Arial" w:eastAsia="Arial" w:hAnsi="Arial"/>
                <w:sz w:val="17"/>
                <w:szCs w:val="17"/>
                <w:color w:val="auto"/>
              </w:rPr>
              <w:t>Add: Asset impairment costs (2)</w:t>
            </w:r>
          </w:p>
        </w:tc>
        <w:tc>
          <w:tcPr>
            <w:tcW w:w="160" w:type="dxa"/>
            <w:vAlign w:val="bottom"/>
            <w:shd w:val="clear" w:color="auto" w:fill="CCEEFF"/>
          </w:tcPr>
          <w:p>
            <w:pPr>
              <w:spacing w:after="0"/>
              <w:rPr>
                <w:sz w:val="17"/>
                <w:szCs w:val="17"/>
                <w:color w:val="auto"/>
              </w:rPr>
            </w:pPr>
          </w:p>
        </w:tc>
        <w:tc>
          <w:tcPr>
            <w:tcW w:w="880" w:type="dxa"/>
            <w:vAlign w:val="bottom"/>
            <w:tcBorders>
              <w:right w:val="single" w:sz="8" w:color="CCEEFF"/>
            </w:tcBorders>
            <w:gridSpan w:val="2"/>
            <w:shd w:val="clear" w:color="auto" w:fill="CCEEFF"/>
          </w:tcPr>
          <w:p>
            <w:pPr>
              <w:jc w:val="right"/>
              <w:ind w:right="36"/>
              <w:spacing w:after="0"/>
              <w:rPr>
                <w:sz w:val="20"/>
                <w:szCs w:val="20"/>
                <w:color w:val="auto"/>
              </w:rPr>
            </w:pPr>
            <w:r>
              <w:rPr>
                <w:rFonts w:ascii="Arial" w:cs="Arial" w:eastAsia="Arial" w:hAnsi="Arial"/>
                <w:sz w:val="17"/>
                <w:szCs w:val="17"/>
                <w:color w:val="auto"/>
              </w:rPr>
              <w:t>—%</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76"/>
              <w:spacing w:after="0"/>
              <w:rPr>
                <w:sz w:val="20"/>
                <w:szCs w:val="20"/>
                <w:color w:val="auto"/>
              </w:rPr>
            </w:pPr>
            <w:r>
              <w:rPr>
                <w:rFonts w:ascii="Arial" w:cs="Arial" w:eastAsia="Arial" w:hAnsi="Arial"/>
                <w:sz w:val="17"/>
                <w:szCs w:val="17"/>
                <w:color w:val="auto"/>
              </w:rPr>
              <w:t>—%</w:t>
            </w:r>
          </w:p>
        </w:tc>
        <w:tc>
          <w:tcPr>
            <w:tcW w:w="1160" w:type="dxa"/>
            <w:vAlign w:val="bottom"/>
            <w:tcBorders>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7"/>
                <w:szCs w:val="17"/>
                <w:color w:val="auto"/>
              </w:rPr>
              <w:t>—pp</w:t>
            </w:r>
          </w:p>
        </w:tc>
        <w:tc>
          <w:tcPr>
            <w:tcW w:w="16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16"/>
              <w:spacing w:after="0"/>
              <w:rPr>
                <w:sz w:val="20"/>
                <w:szCs w:val="20"/>
                <w:color w:val="auto"/>
              </w:rPr>
            </w:pPr>
            <w:r>
              <w:rPr>
                <w:rFonts w:ascii="Arial" w:cs="Arial" w:eastAsia="Arial" w:hAnsi="Arial"/>
                <w:sz w:val="17"/>
                <w:szCs w:val="17"/>
                <w:color w:val="auto"/>
              </w:rPr>
              <w:t>—%</w:t>
            </w:r>
          </w:p>
        </w:tc>
        <w:tc>
          <w:tcPr>
            <w:tcW w:w="1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16"/>
              <w:spacing w:after="0"/>
              <w:rPr>
                <w:sz w:val="20"/>
                <w:szCs w:val="20"/>
                <w:color w:val="auto"/>
              </w:rPr>
            </w:pPr>
            <w:r>
              <w:rPr>
                <w:rFonts w:ascii="Arial" w:cs="Arial" w:eastAsia="Arial" w:hAnsi="Arial"/>
                <w:sz w:val="17"/>
                <w:szCs w:val="17"/>
                <w:color w:val="auto"/>
              </w:rPr>
              <w:t>—%</w:t>
            </w: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7"/>
                <w:szCs w:val="17"/>
                <w:color w:val="auto"/>
              </w:rPr>
              <w:t>—pp</w:t>
            </w:r>
          </w:p>
        </w:tc>
        <w:tc>
          <w:tcPr>
            <w:tcW w:w="0" w:type="dxa"/>
            <w:vAlign w:val="bottom"/>
          </w:tcPr>
          <w:p>
            <w:pPr>
              <w:spacing w:after="0"/>
              <w:rPr>
                <w:sz w:val="1"/>
                <w:szCs w:val="1"/>
                <w:color w:val="auto"/>
              </w:rPr>
            </w:pPr>
          </w:p>
        </w:tc>
      </w:tr>
      <w:tr>
        <w:trPr>
          <w:trHeight w:val="236"/>
        </w:trPr>
        <w:tc>
          <w:tcPr>
            <w:tcW w:w="20" w:type="dxa"/>
            <w:vAlign w:val="bottom"/>
          </w:tcPr>
          <w:p>
            <w:pPr>
              <w:spacing w:after="0"/>
              <w:rPr>
                <w:sz w:val="20"/>
                <w:szCs w:val="20"/>
                <w:color w:val="auto"/>
              </w:rPr>
            </w:pPr>
          </w:p>
        </w:tc>
        <w:tc>
          <w:tcPr>
            <w:tcW w:w="4820" w:type="dxa"/>
            <w:vAlign w:val="bottom"/>
            <w:tcBorders>
              <w:bottom w:val="single" w:sz="8" w:color="CCEEFF"/>
            </w:tcBorders>
            <w:gridSpan w:val="2"/>
          </w:tcPr>
          <w:p>
            <w:pPr>
              <w:spacing w:after="0" w:line="183" w:lineRule="exact"/>
              <w:rPr>
                <w:sz w:val="20"/>
                <w:szCs w:val="20"/>
                <w:color w:val="auto"/>
              </w:rPr>
            </w:pPr>
            <w:r>
              <w:rPr>
                <w:rFonts w:ascii="Arial" w:cs="Arial" w:eastAsia="Arial" w:hAnsi="Arial"/>
                <w:sz w:val="17"/>
                <w:szCs w:val="17"/>
                <w:color w:val="auto"/>
              </w:rPr>
              <w:t>Adjusted operating margin</w:t>
            </w:r>
          </w:p>
        </w:tc>
        <w:tc>
          <w:tcPr>
            <w:tcW w:w="160" w:type="dxa"/>
            <w:vAlign w:val="bottom"/>
            <w:tcBorders>
              <w:top w:val="single" w:sz="8" w:color="auto"/>
              <w:bottom w:val="single" w:sz="8" w:color="auto"/>
            </w:tcBorders>
          </w:tcPr>
          <w:p>
            <w:pPr>
              <w:spacing w:after="0"/>
              <w:rPr>
                <w:sz w:val="20"/>
                <w:szCs w:val="20"/>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7"/>
                <w:szCs w:val="17"/>
                <w:color w:val="auto"/>
              </w:rPr>
              <w:t>14.1</w:t>
            </w:r>
          </w:p>
        </w:tc>
        <w:tc>
          <w:tcPr>
            <w:tcW w:w="260" w:type="dxa"/>
            <w:vAlign w:val="bottom"/>
            <w:tcBorders>
              <w:bottom w:val="single" w:sz="8" w:color="CCEEFF"/>
            </w:tcBorders>
          </w:tcPr>
          <w:p>
            <w:pPr>
              <w:jc w:val="right"/>
              <w:ind w:right="36"/>
              <w:spacing w:after="0" w:line="183" w:lineRule="exact"/>
              <w:rPr>
                <w:sz w:val="20"/>
                <w:szCs w:val="20"/>
                <w:color w:val="auto"/>
              </w:rPr>
            </w:pPr>
            <w:r>
              <w:rPr>
                <w:rFonts w:ascii="Arial" w:cs="Arial" w:eastAsia="Arial" w:hAnsi="Arial"/>
                <w:sz w:val="17"/>
                <w:szCs w:val="17"/>
                <w:color w:val="auto"/>
                <w:w w:val="79"/>
              </w:rPr>
              <w:t>%</w:t>
            </w:r>
          </w:p>
        </w:tc>
        <w:tc>
          <w:tcPr>
            <w:tcW w:w="140" w:type="dxa"/>
            <w:vAlign w:val="bottom"/>
            <w:tcBorders>
              <w:top w:val="single" w:sz="8" w:color="auto"/>
              <w:bottom w:val="single" w:sz="8" w:color="auto"/>
            </w:tcBorders>
          </w:tcPr>
          <w:p>
            <w:pPr>
              <w:spacing w:after="0"/>
              <w:rPr>
                <w:sz w:val="20"/>
                <w:szCs w:val="20"/>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7"/>
                <w:szCs w:val="17"/>
                <w:color w:val="auto"/>
              </w:rPr>
              <w:t>19.8</w:t>
            </w:r>
          </w:p>
        </w:tc>
        <w:tc>
          <w:tcPr>
            <w:tcW w:w="320" w:type="dxa"/>
            <w:vAlign w:val="bottom"/>
            <w:tcBorders>
              <w:bottom w:val="single" w:sz="8" w:color="CCEEFF"/>
            </w:tcBorders>
          </w:tcPr>
          <w:p>
            <w:pPr>
              <w:jc w:val="right"/>
              <w:ind w:right="76"/>
              <w:spacing w:after="0" w:line="183" w:lineRule="exact"/>
              <w:rPr>
                <w:sz w:val="20"/>
                <w:szCs w:val="20"/>
                <w:color w:val="auto"/>
              </w:rPr>
            </w:pPr>
            <w:r>
              <w:rPr>
                <w:rFonts w:ascii="Arial" w:cs="Arial" w:eastAsia="Arial" w:hAnsi="Arial"/>
                <w:sz w:val="17"/>
                <w:szCs w:val="17"/>
                <w:color w:val="auto"/>
                <w:w w:val="92"/>
              </w:rPr>
              <w:t>%</w:t>
            </w:r>
          </w:p>
        </w:tc>
        <w:tc>
          <w:tcPr>
            <w:tcW w:w="1160" w:type="dxa"/>
            <w:vAlign w:val="bottom"/>
            <w:tcBorders>
              <w:bottom w:val="single" w:sz="8" w:color="CCEEFF"/>
            </w:tcBorders>
            <w:gridSpan w:val="2"/>
          </w:tcPr>
          <w:p>
            <w:pPr>
              <w:jc w:val="right"/>
              <w:ind w:right="140"/>
              <w:spacing w:after="0" w:line="183" w:lineRule="exact"/>
              <w:rPr>
                <w:sz w:val="20"/>
                <w:szCs w:val="20"/>
                <w:color w:val="auto"/>
              </w:rPr>
            </w:pPr>
            <w:r>
              <w:rPr>
                <w:rFonts w:ascii="Arial" w:cs="Arial" w:eastAsia="Arial" w:hAnsi="Arial"/>
                <w:sz w:val="17"/>
                <w:szCs w:val="17"/>
                <w:color w:val="auto"/>
              </w:rPr>
              <w:t>(5.7)pp</w:t>
            </w:r>
          </w:p>
        </w:tc>
        <w:tc>
          <w:tcPr>
            <w:tcW w:w="160" w:type="dxa"/>
            <w:vAlign w:val="bottom"/>
            <w:tcBorders>
              <w:top w:val="single" w:sz="8" w:color="auto"/>
              <w:bottom w:val="single" w:sz="8" w:color="auto"/>
            </w:tcBorders>
          </w:tcPr>
          <w:p>
            <w:pPr>
              <w:spacing w:after="0"/>
              <w:rPr>
                <w:sz w:val="20"/>
                <w:szCs w:val="20"/>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7"/>
                <w:szCs w:val="17"/>
                <w:color w:val="auto"/>
              </w:rPr>
              <w:t>16.0</w:t>
            </w:r>
          </w:p>
        </w:tc>
        <w:tc>
          <w:tcPr>
            <w:tcW w:w="260" w:type="dxa"/>
            <w:vAlign w:val="bottom"/>
            <w:tcBorders>
              <w:bottom w:val="single" w:sz="8" w:color="CCEEFF"/>
            </w:tcBorders>
          </w:tcPr>
          <w:p>
            <w:pPr>
              <w:jc w:val="right"/>
              <w:ind w:right="16"/>
              <w:spacing w:after="0" w:line="183" w:lineRule="exact"/>
              <w:rPr>
                <w:sz w:val="20"/>
                <w:szCs w:val="20"/>
                <w:color w:val="auto"/>
              </w:rPr>
            </w:pPr>
            <w:r>
              <w:rPr>
                <w:rFonts w:ascii="Arial" w:cs="Arial" w:eastAsia="Arial" w:hAnsi="Arial"/>
                <w:sz w:val="17"/>
                <w:szCs w:val="17"/>
                <w:color w:val="auto"/>
                <w:w w:val="92"/>
              </w:rPr>
              <w:t>%</w:t>
            </w:r>
          </w:p>
        </w:tc>
        <w:tc>
          <w:tcPr>
            <w:tcW w:w="140" w:type="dxa"/>
            <w:vAlign w:val="bottom"/>
            <w:tcBorders>
              <w:top w:val="single" w:sz="8" w:color="auto"/>
              <w:bottom w:val="single" w:sz="8" w:color="auto"/>
            </w:tcBorders>
          </w:tcPr>
          <w:p>
            <w:pPr>
              <w:spacing w:after="0"/>
              <w:rPr>
                <w:sz w:val="20"/>
                <w:szCs w:val="20"/>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7"/>
                <w:szCs w:val="17"/>
                <w:color w:val="auto"/>
              </w:rPr>
              <w:t>21.3</w:t>
            </w:r>
          </w:p>
        </w:tc>
        <w:tc>
          <w:tcPr>
            <w:tcW w:w="260" w:type="dxa"/>
            <w:vAlign w:val="bottom"/>
            <w:tcBorders>
              <w:bottom w:val="single" w:sz="8" w:color="CCEEFF"/>
            </w:tcBorders>
          </w:tcPr>
          <w:p>
            <w:pPr>
              <w:jc w:val="right"/>
              <w:ind w:right="16"/>
              <w:spacing w:after="0" w:line="183" w:lineRule="exact"/>
              <w:rPr>
                <w:sz w:val="20"/>
                <w:szCs w:val="20"/>
                <w:color w:val="auto"/>
              </w:rPr>
            </w:pPr>
            <w:r>
              <w:rPr>
                <w:rFonts w:ascii="Arial" w:cs="Arial" w:eastAsia="Arial" w:hAnsi="Arial"/>
                <w:sz w:val="17"/>
                <w:szCs w:val="17"/>
                <w:color w:val="auto"/>
                <w:w w:val="92"/>
              </w:rPr>
              <w:t>%</w:t>
            </w:r>
          </w:p>
        </w:tc>
        <w:tc>
          <w:tcPr>
            <w:tcW w:w="1060" w:type="dxa"/>
            <w:vAlign w:val="bottom"/>
            <w:tcBorders>
              <w:bottom w:val="single" w:sz="8" w:color="CCEEFF"/>
            </w:tcBorders>
            <w:gridSpan w:val="2"/>
          </w:tcPr>
          <w:p>
            <w:pPr>
              <w:jc w:val="right"/>
              <w:ind w:right="40"/>
              <w:spacing w:after="0"/>
              <w:rPr>
                <w:sz w:val="20"/>
                <w:szCs w:val="20"/>
                <w:color w:val="auto"/>
              </w:rPr>
            </w:pPr>
            <w:r>
              <w:rPr>
                <w:rFonts w:ascii="Arial" w:cs="Arial" w:eastAsia="Arial" w:hAnsi="Arial"/>
                <w:sz w:val="17"/>
                <w:szCs w:val="17"/>
                <w:color w:val="auto"/>
              </w:rPr>
              <w:t>(5.3)pp</w:t>
            </w:r>
          </w:p>
        </w:tc>
        <w:tc>
          <w:tcPr>
            <w:tcW w:w="0" w:type="dxa"/>
            <w:vAlign w:val="bottom"/>
          </w:tcPr>
          <w:p>
            <w:pPr>
              <w:spacing w:after="0"/>
              <w:rPr>
                <w:sz w:val="1"/>
                <w:szCs w:val="1"/>
                <w:color w:val="auto"/>
              </w:rPr>
            </w:pPr>
          </w:p>
        </w:tc>
      </w:tr>
      <w:tr>
        <w:trPr>
          <w:trHeight w:val="168"/>
        </w:trPr>
        <w:tc>
          <w:tcPr>
            <w:tcW w:w="20" w:type="dxa"/>
            <w:vAlign w:val="bottom"/>
            <w:vMerge w:val="restart"/>
          </w:tcPr>
          <w:p>
            <w:pPr>
              <w:spacing w:after="0"/>
              <w:rPr>
                <w:sz w:val="14"/>
                <w:szCs w:val="14"/>
                <w:color w:val="auto"/>
              </w:rPr>
            </w:pPr>
          </w:p>
        </w:tc>
        <w:tc>
          <w:tcPr>
            <w:tcW w:w="47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60" w:type="dxa"/>
            <w:vAlign w:val="bottom"/>
            <w:tcBorders>
              <w:right w:val="single" w:sz="8" w:color="CCEEFF"/>
            </w:tcBorders>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780" w:type="dxa"/>
            <w:vAlign w:val="bottom"/>
            <w:shd w:val="clear" w:color="auto" w:fill="CCEEFF"/>
          </w:tcPr>
          <w:p>
            <w:pPr>
              <w:spacing w:after="0"/>
              <w:rPr>
                <w:sz w:val="14"/>
                <w:szCs w:val="14"/>
                <w:color w:val="auto"/>
              </w:rPr>
            </w:pPr>
          </w:p>
        </w:tc>
        <w:tc>
          <w:tcPr>
            <w:tcW w:w="380" w:type="dxa"/>
            <w:vAlign w:val="bottom"/>
            <w:tcBorders>
              <w:right w:val="single" w:sz="8" w:color="CCEEFF"/>
            </w:tcBorders>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60" w:type="dxa"/>
            <w:vAlign w:val="bottom"/>
            <w:tcBorders>
              <w:left w:val="single" w:sz="8" w:color="CCEEFF"/>
            </w:tcBorders>
            <w:shd w:val="clear" w:color="auto" w:fill="CCEEFF"/>
          </w:tcPr>
          <w:p>
            <w:pPr>
              <w:spacing w:after="0"/>
              <w:rPr>
                <w:sz w:val="14"/>
                <w:szCs w:val="14"/>
                <w:color w:val="auto"/>
              </w:rPr>
            </w:pPr>
          </w:p>
        </w:tc>
        <w:tc>
          <w:tcPr>
            <w:tcW w:w="78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4820" w:type="dxa"/>
            <w:vAlign w:val="bottom"/>
            <w:gridSpan w:val="2"/>
          </w:tcPr>
          <w:p>
            <w:pPr>
              <w:spacing w:after="0" w:line="169" w:lineRule="exact"/>
              <w:rPr>
                <w:sz w:val="20"/>
                <w:szCs w:val="20"/>
                <w:color w:val="auto"/>
              </w:rPr>
            </w:pPr>
            <w:r>
              <w:rPr>
                <w:rFonts w:ascii="Arial" w:cs="Arial" w:eastAsia="Arial" w:hAnsi="Arial"/>
                <w:sz w:val="17"/>
                <w:szCs w:val="17"/>
                <w:b w:val="1"/>
                <w:bCs w:val="1"/>
                <w:color w:val="auto"/>
              </w:rPr>
              <w:t>Reconciliation from consolidated diluted net income per</w:t>
            </w: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1"/>
        </w:trPr>
        <w:tc>
          <w:tcPr>
            <w:tcW w:w="4840" w:type="dxa"/>
            <w:vAlign w:val="bottom"/>
            <w:gridSpan w:val="3"/>
          </w:tcPr>
          <w:p>
            <w:pPr>
              <w:spacing w:after="0"/>
              <w:rPr>
                <w:sz w:val="20"/>
                <w:szCs w:val="20"/>
                <w:color w:val="auto"/>
              </w:rPr>
            </w:pPr>
            <w:r>
              <w:rPr>
                <w:rFonts w:ascii="Arial" w:cs="Arial" w:eastAsia="Arial" w:hAnsi="Arial"/>
                <w:sz w:val="17"/>
                <w:szCs w:val="17"/>
                <w:b w:val="1"/>
                <w:bCs w:val="1"/>
                <w:color w:val="auto"/>
              </w:rPr>
              <w:t>share to adjusted diluted net income per share:</w:t>
            </w: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spacing w:after="0" w:line="190" w:lineRule="exact"/>
              <w:rPr>
                <w:sz w:val="20"/>
                <w:szCs w:val="20"/>
                <w:color w:val="auto"/>
              </w:rPr>
            </w:pPr>
            <w:r>
              <w:rPr>
                <w:rFonts w:ascii="Arial" w:cs="Arial" w:eastAsia="Arial" w:hAnsi="Arial"/>
                <w:sz w:val="17"/>
                <w:szCs w:val="17"/>
                <w:color w:val="auto"/>
              </w:rPr>
              <w:t>Consolidated diluted net income per share</w:t>
            </w:r>
          </w:p>
        </w:tc>
        <w:tc>
          <w:tcPr>
            <w:tcW w:w="16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w w:val="84"/>
              </w:rPr>
              <w:t>$</w:t>
            </w:r>
          </w:p>
        </w:tc>
        <w:tc>
          <w:tcPr>
            <w:tcW w:w="62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0.08</w:t>
            </w:r>
          </w:p>
        </w:tc>
        <w:tc>
          <w:tcPr>
            <w:tcW w:w="260" w:type="dxa"/>
            <w:vAlign w:val="bottom"/>
            <w:tcBorders>
              <w:right w:val="single" w:sz="8" w:color="CCEEFF"/>
            </w:tcBorders>
            <w:shd w:val="clear" w:color="auto" w:fill="CCEEFF"/>
          </w:tcPr>
          <w:p>
            <w:pPr>
              <w:spacing w:after="0"/>
              <w:rPr>
                <w:sz w:val="16"/>
                <w:szCs w:val="16"/>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236"/>
              <w:spacing w:after="0" w:line="190" w:lineRule="exact"/>
              <w:rPr>
                <w:sz w:val="20"/>
                <w:szCs w:val="20"/>
                <w:color w:val="auto"/>
              </w:rPr>
            </w:pPr>
            <w:r>
              <w:rPr>
                <w:rFonts w:ascii="Arial" w:cs="Arial" w:eastAsia="Arial" w:hAnsi="Arial"/>
                <w:sz w:val="17"/>
                <w:szCs w:val="17"/>
                <w:color w:val="auto"/>
              </w:rPr>
              <w:t>1.30</w:t>
            </w:r>
          </w:p>
        </w:tc>
        <w:tc>
          <w:tcPr>
            <w:tcW w:w="1160" w:type="dxa"/>
            <w:vAlign w:val="bottom"/>
            <w:tcBorders>
              <w:right w:val="single" w:sz="8" w:color="CCEEFF"/>
            </w:tcBorders>
            <w:gridSpan w:val="2"/>
            <w:shd w:val="clear" w:color="auto" w:fill="CCEEFF"/>
          </w:tcPr>
          <w:p>
            <w:pPr>
              <w:jc w:val="right"/>
              <w:ind w:right="180"/>
              <w:spacing w:after="0" w:line="190" w:lineRule="exact"/>
              <w:rPr>
                <w:sz w:val="20"/>
                <w:szCs w:val="20"/>
                <w:color w:val="auto"/>
              </w:rPr>
            </w:pPr>
            <w:r>
              <w:rPr>
                <w:rFonts w:ascii="Arial" w:cs="Arial" w:eastAsia="Arial" w:hAnsi="Arial"/>
                <w:sz w:val="17"/>
                <w:szCs w:val="17"/>
                <w:color w:val="auto"/>
              </w:rPr>
              <w:t>(93.8)%</w:t>
            </w:r>
          </w:p>
        </w:tc>
        <w:tc>
          <w:tcPr>
            <w:tcW w:w="16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w w:val="84"/>
              </w:rPr>
              <w:t>$</w:t>
            </w: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1.64</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4.45</w:t>
            </w:r>
          </w:p>
        </w:tc>
        <w:tc>
          <w:tcPr>
            <w:tcW w:w="260" w:type="dxa"/>
            <w:vAlign w:val="bottom"/>
            <w:tcBorders>
              <w:left w:val="single" w:sz="8" w:color="CCEEFF"/>
            </w:tcBorders>
            <w:shd w:val="clear" w:color="auto" w:fill="CCEEFF"/>
          </w:tcPr>
          <w:p>
            <w:pPr>
              <w:spacing w:after="0"/>
              <w:rPr>
                <w:sz w:val="16"/>
                <w:szCs w:val="16"/>
                <w:color w:val="auto"/>
              </w:rPr>
            </w:pPr>
          </w:p>
        </w:tc>
        <w:tc>
          <w:tcPr>
            <w:tcW w:w="1060" w:type="dxa"/>
            <w:vAlign w:val="bottom"/>
            <w:gridSpan w:val="2"/>
            <w:shd w:val="clear" w:color="auto" w:fill="CCEEFF"/>
          </w:tcPr>
          <w:p>
            <w:pPr>
              <w:jc w:val="right"/>
              <w:ind w:right="80"/>
              <w:spacing w:after="0" w:line="190" w:lineRule="exact"/>
              <w:rPr>
                <w:sz w:val="20"/>
                <w:szCs w:val="20"/>
                <w:color w:val="auto"/>
              </w:rPr>
            </w:pPr>
            <w:r>
              <w:rPr>
                <w:rFonts w:ascii="Arial" w:cs="Arial" w:eastAsia="Arial" w:hAnsi="Arial"/>
                <w:sz w:val="17"/>
                <w:szCs w:val="17"/>
                <w:color w:val="auto"/>
              </w:rPr>
              <w:t>(63.1)%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Add: intangible amortization expense</w:t>
            </w:r>
          </w:p>
        </w:tc>
        <w:tc>
          <w:tcPr>
            <w:tcW w:w="160" w:type="dxa"/>
            <w:vAlign w:val="bottom"/>
          </w:tcPr>
          <w:p>
            <w:pPr>
              <w:spacing w:after="0"/>
              <w:rPr>
                <w:sz w:val="16"/>
                <w:szCs w:val="16"/>
                <w:color w:val="auto"/>
              </w:rPr>
            </w:pP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0.32</w:t>
            </w:r>
          </w:p>
        </w:tc>
        <w:tc>
          <w:tcPr>
            <w:tcW w:w="2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40" w:type="dxa"/>
            <w:vAlign w:val="bottom"/>
            <w:gridSpan w:val="2"/>
          </w:tcPr>
          <w:p>
            <w:pPr>
              <w:jc w:val="right"/>
              <w:ind w:right="236"/>
              <w:spacing w:after="0" w:line="190" w:lineRule="exact"/>
              <w:rPr>
                <w:sz w:val="20"/>
                <w:szCs w:val="20"/>
                <w:color w:val="auto"/>
              </w:rPr>
            </w:pPr>
            <w:r>
              <w:rPr>
                <w:rFonts w:ascii="Arial" w:cs="Arial" w:eastAsia="Arial" w:hAnsi="Arial"/>
                <w:sz w:val="17"/>
                <w:szCs w:val="17"/>
                <w:color w:val="auto"/>
              </w:rPr>
              <w:t>0.26</w:t>
            </w:r>
          </w:p>
        </w:tc>
        <w:tc>
          <w:tcPr>
            <w:tcW w:w="1160" w:type="dxa"/>
            <w:vAlign w:val="bottom"/>
            <w:gridSpan w:val="2"/>
          </w:tcPr>
          <w:p>
            <w:pPr>
              <w:jc w:val="right"/>
              <w:ind w:right="240"/>
              <w:spacing w:after="0" w:line="190" w:lineRule="exact"/>
              <w:rPr>
                <w:sz w:val="20"/>
                <w:szCs w:val="20"/>
                <w:color w:val="auto"/>
              </w:rPr>
            </w:pPr>
            <w:r>
              <w:rPr>
                <w:rFonts w:ascii="Arial" w:cs="Arial" w:eastAsia="Arial" w:hAnsi="Arial"/>
                <w:sz w:val="17"/>
                <w:szCs w:val="17"/>
                <w:color w:val="auto"/>
              </w:rPr>
              <w:t>23.1%</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1.15</w:t>
            </w:r>
          </w:p>
        </w:tc>
        <w:tc>
          <w:tcPr>
            <w:tcW w:w="140" w:type="dxa"/>
            <w:vAlign w:val="bottom"/>
          </w:tcPr>
          <w:p>
            <w:pPr>
              <w:spacing w:after="0"/>
              <w:rPr>
                <w:sz w:val="16"/>
                <w:szCs w:val="16"/>
                <w:color w:val="auto"/>
              </w:rPr>
            </w:pP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1.06</w:t>
            </w:r>
          </w:p>
        </w:tc>
        <w:tc>
          <w:tcPr>
            <w:tcW w:w="260" w:type="dxa"/>
            <w:vAlign w:val="bottom"/>
          </w:tcPr>
          <w:p>
            <w:pPr>
              <w:spacing w:after="0"/>
              <w:rPr>
                <w:sz w:val="16"/>
                <w:szCs w:val="16"/>
                <w:color w:val="auto"/>
              </w:rPr>
            </w:pPr>
          </w:p>
        </w:tc>
        <w:tc>
          <w:tcPr>
            <w:tcW w:w="1060" w:type="dxa"/>
            <w:vAlign w:val="bottom"/>
            <w:gridSpan w:val="2"/>
          </w:tcPr>
          <w:p>
            <w:pPr>
              <w:jc w:val="right"/>
              <w:ind w:right="140"/>
              <w:spacing w:after="0" w:line="190" w:lineRule="exact"/>
              <w:rPr>
                <w:sz w:val="20"/>
                <w:szCs w:val="20"/>
                <w:color w:val="auto"/>
              </w:rPr>
            </w:pPr>
            <w:r>
              <w:rPr>
                <w:rFonts w:ascii="Arial" w:cs="Arial" w:eastAsia="Arial" w:hAnsi="Arial"/>
                <w:sz w:val="17"/>
                <w:szCs w:val="17"/>
                <w:color w:val="auto"/>
              </w:rPr>
              <w:t>8.5%</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ind w:left="80"/>
              <w:spacing w:after="0" w:line="190" w:lineRule="exact"/>
              <w:rPr>
                <w:sz w:val="20"/>
                <w:szCs w:val="20"/>
                <w:color w:val="auto"/>
              </w:rPr>
            </w:pPr>
            <w:r>
              <w:rPr>
                <w:rFonts w:ascii="Arial" w:cs="Arial" w:eastAsia="Arial" w:hAnsi="Arial"/>
                <w:sz w:val="17"/>
                <w:szCs w:val="17"/>
                <w:color w:val="auto"/>
              </w:rPr>
              <w:t>Add: M&amp;A-related expenses</w:t>
            </w:r>
          </w:p>
        </w:tc>
        <w:tc>
          <w:tcPr>
            <w:tcW w:w="160" w:type="dxa"/>
            <w:vAlign w:val="bottom"/>
            <w:shd w:val="clear" w:color="auto" w:fill="CCEEFF"/>
          </w:tcPr>
          <w:p>
            <w:pPr>
              <w:spacing w:after="0"/>
              <w:rPr>
                <w:sz w:val="16"/>
                <w:szCs w:val="16"/>
                <w:color w:val="auto"/>
              </w:rPr>
            </w:pPr>
          </w:p>
        </w:tc>
        <w:tc>
          <w:tcPr>
            <w:tcW w:w="62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0.06</w:t>
            </w:r>
          </w:p>
        </w:tc>
        <w:tc>
          <w:tcPr>
            <w:tcW w:w="260" w:type="dxa"/>
            <w:vAlign w:val="bottom"/>
            <w:tcBorders>
              <w:right w:val="single" w:sz="8" w:color="CCEEFF"/>
            </w:tcBorders>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36"/>
              <w:spacing w:after="0" w:line="190" w:lineRule="exact"/>
              <w:rPr>
                <w:sz w:val="20"/>
                <w:szCs w:val="20"/>
                <w:color w:val="auto"/>
              </w:rPr>
            </w:pPr>
            <w:r>
              <w:rPr>
                <w:rFonts w:ascii="Arial" w:cs="Arial" w:eastAsia="Arial" w:hAnsi="Arial"/>
                <w:sz w:val="17"/>
                <w:szCs w:val="17"/>
                <w:color w:val="auto"/>
              </w:rPr>
              <w:t>0.10</w:t>
            </w:r>
          </w:p>
        </w:tc>
        <w:tc>
          <w:tcPr>
            <w:tcW w:w="1160" w:type="dxa"/>
            <w:vAlign w:val="bottom"/>
            <w:tcBorders>
              <w:right w:val="single" w:sz="8" w:color="CCEEFF"/>
            </w:tcBorders>
            <w:gridSpan w:val="2"/>
            <w:shd w:val="clear" w:color="auto" w:fill="CCEEFF"/>
          </w:tcPr>
          <w:p>
            <w:pPr>
              <w:jc w:val="right"/>
              <w:ind w:right="180"/>
              <w:spacing w:after="0" w:line="190" w:lineRule="exact"/>
              <w:rPr>
                <w:sz w:val="20"/>
                <w:szCs w:val="20"/>
                <w:color w:val="auto"/>
              </w:rPr>
            </w:pPr>
            <w:r>
              <w:rPr>
                <w:rFonts w:ascii="Arial" w:cs="Arial" w:eastAsia="Arial" w:hAnsi="Arial"/>
                <w:sz w:val="17"/>
                <w:szCs w:val="17"/>
                <w:color w:val="auto"/>
              </w:rPr>
              <w:t>(40.0)%</w:t>
            </w:r>
          </w:p>
        </w:tc>
        <w:tc>
          <w:tcPr>
            <w:tcW w:w="16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0.29</w:t>
            </w:r>
          </w:p>
        </w:tc>
        <w:tc>
          <w:tcPr>
            <w:tcW w:w="140" w:type="dxa"/>
            <w:vAlign w:val="bottom"/>
            <w:shd w:val="clear" w:color="auto" w:fill="CCEEFF"/>
          </w:tcPr>
          <w:p>
            <w:pPr>
              <w:spacing w:after="0"/>
              <w:rPr>
                <w:sz w:val="16"/>
                <w:szCs w:val="16"/>
                <w:color w:val="auto"/>
              </w:rPr>
            </w:pPr>
          </w:p>
        </w:tc>
        <w:tc>
          <w:tcPr>
            <w:tcW w:w="62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0.30</w:t>
            </w:r>
          </w:p>
        </w:tc>
        <w:tc>
          <w:tcPr>
            <w:tcW w:w="260" w:type="dxa"/>
            <w:vAlign w:val="bottom"/>
            <w:tcBorders>
              <w:left w:val="single" w:sz="8" w:color="CCEEFF"/>
            </w:tcBorders>
            <w:shd w:val="clear" w:color="auto" w:fill="CCEEFF"/>
          </w:tcPr>
          <w:p>
            <w:pPr>
              <w:spacing w:after="0"/>
              <w:rPr>
                <w:sz w:val="16"/>
                <w:szCs w:val="16"/>
                <w:color w:val="auto"/>
              </w:rPr>
            </w:pPr>
          </w:p>
        </w:tc>
        <w:tc>
          <w:tcPr>
            <w:tcW w:w="1060" w:type="dxa"/>
            <w:vAlign w:val="bottom"/>
            <w:gridSpan w:val="2"/>
            <w:shd w:val="clear" w:color="auto" w:fill="CCEEFF"/>
          </w:tcPr>
          <w:p>
            <w:pPr>
              <w:jc w:val="right"/>
              <w:ind w:right="80"/>
              <w:spacing w:after="0" w:line="190" w:lineRule="exact"/>
              <w:rPr>
                <w:sz w:val="20"/>
                <w:szCs w:val="20"/>
                <w:color w:val="auto"/>
              </w:rPr>
            </w:pPr>
            <w:r>
              <w:rPr>
                <w:rFonts w:ascii="Arial" w:cs="Arial" w:eastAsia="Arial" w:hAnsi="Arial"/>
                <w:sz w:val="17"/>
                <w:szCs w:val="17"/>
                <w:color w:val="auto"/>
              </w:rPr>
              <w:t>(3.3)%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Add: M&amp;A-related earn-outs (1)</w:t>
            </w:r>
          </w:p>
        </w:tc>
        <w:tc>
          <w:tcPr>
            <w:tcW w:w="160" w:type="dxa"/>
            <w:vAlign w:val="bottom"/>
          </w:tcPr>
          <w:p>
            <w:pPr>
              <w:spacing w:after="0"/>
              <w:rPr>
                <w:sz w:val="16"/>
                <w:szCs w:val="16"/>
                <w:color w:val="auto"/>
              </w:rPr>
            </w:pP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0.06</w:t>
            </w:r>
          </w:p>
        </w:tc>
        <w:tc>
          <w:tcPr>
            <w:tcW w:w="2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4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(0.11)</w:t>
            </w:r>
          </w:p>
        </w:tc>
        <w:tc>
          <w:tcPr>
            <w:tcW w:w="1160" w:type="dxa"/>
            <w:vAlign w:val="bottom"/>
            <w:gridSpan w:val="2"/>
          </w:tcPr>
          <w:p>
            <w:pPr>
              <w:jc w:val="right"/>
              <w:ind w:right="380"/>
              <w:spacing w:after="0" w:line="190" w:lineRule="exact"/>
              <w:rPr>
                <w:sz w:val="20"/>
                <w:szCs w:val="20"/>
                <w:color w:val="auto"/>
              </w:rPr>
            </w:pPr>
            <w:r>
              <w:rPr>
                <w:rFonts w:ascii="Arial" w:cs="Arial" w:eastAsia="Arial" w:hAnsi="Arial"/>
                <w:sz w:val="17"/>
                <w:szCs w:val="17"/>
                <w:color w:val="auto"/>
              </w:rPr>
              <w:t>NMF</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0.24</w:t>
            </w:r>
          </w:p>
        </w:tc>
        <w:tc>
          <w:tcPr>
            <w:tcW w:w="140" w:type="dxa"/>
            <w:vAlign w:val="bottom"/>
          </w:tcPr>
          <w:p>
            <w:pPr>
              <w:spacing w:after="0"/>
              <w:rPr>
                <w:sz w:val="16"/>
                <w:szCs w:val="16"/>
                <w:color w:val="auto"/>
              </w:rPr>
            </w:pP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0.60</w:t>
            </w:r>
          </w:p>
        </w:tc>
        <w:tc>
          <w:tcPr>
            <w:tcW w:w="260" w:type="dxa"/>
            <w:vAlign w:val="bottom"/>
          </w:tcPr>
          <w:p>
            <w:pPr>
              <w:spacing w:after="0"/>
              <w:rPr>
                <w:sz w:val="16"/>
                <w:szCs w:val="16"/>
                <w:color w:val="auto"/>
              </w:rPr>
            </w:pPr>
          </w:p>
        </w:tc>
        <w:tc>
          <w:tcPr>
            <w:tcW w:w="1060" w:type="dxa"/>
            <w:vAlign w:val="bottom"/>
            <w:gridSpan w:val="2"/>
          </w:tcPr>
          <w:p>
            <w:pPr>
              <w:jc w:val="right"/>
              <w:ind w:right="80"/>
              <w:spacing w:after="0" w:line="190" w:lineRule="exact"/>
              <w:rPr>
                <w:sz w:val="20"/>
                <w:szCs w:val="20"/>
                <w:color w:val="auto"/>
              </w:rPr>
            </w:pPr>
            <w:r>
              <w:rPr>
                <w:rFonts w:ascii="Arial" w:cs="Arial" w:eastAsia="Arial" w:hAnsi="Arial"/>
                <w:sz w:val="17"/>
                <w:szCs w:val="17"/>
                <w:color w:val="auto"/>
              </w:rPr>
              <w:t>(60.0)%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ind w:left="80"/>
              <w:spacing w:after="0" w:line="190" w:lineRule="exact"/>
              <w:rPr>
                <w:sz w:val="20"/>
                <w:szCs w:val="20"/>
                <w:color w:val="auto"/>
              </w:rPr>
            </w:pPr>
            <w:r>
              <w:rPr>
                <w:rFonts w:ascii="Arial" w:cs="Arial" w:eastAsia="Arial" w:hAnsi="Arial"/>
                <w:sz w:val="17"/>
                <w:szCs w:val="17"/>
                <w:color w:val="auto"/>
              </w:rPr>
              <w:t>Add: Severance and personnel expenses (2)</w:t>
            </w:r>
          </w:p>
        </w:tc>
        <w:tc>
          <w:tcPr>
            <w:tcW w:w="160" w:type="dxa"/>
            <w:vAlign w:val="bottom"/>
            <w:shd w:val="clear" w:color="auto" w:fill="CCEEFF"/>
          </w:tcPr>
          <w:p>
            <w:pPr>
              <w:spacing w:after="0"/>
              <w:rPr>
                <w:sz w:val="16"/>
                <w:szCs w:val="16"/>
                <w:color w:val="auto"/>
              </w:rPr>
            </w:pPr>
          </w:p>
        </w:tc>
        <w:tc>
          <w:tcPr>
            <w:tcW w:w="620" w:type="dxa"/>
            <w:vAlign w:val="bottom"/>
            <w:shd w:val="clear" w:color="auto" w:fill="CCEEFF"/>
          </w:tcPr>
          <w:p>
            <w:pPr>
              <w:jc w:val="right"/>
              <w:spacing w:after="0" w:line="190" w:lineRule="exact"/>
              <w:rPr>
                <w:sz w:val="20"/>
                <w:szCs w:val="20"/>
                <w:color w:val="auto"/>
              </w:rPr>
            </w:pPr>
            <w:r>
              <w:rPr>
                <w:rFonts w:ascii="Arial" w:cs="Arial" w:eastAsia="Arial" w:hAnsi="Arial"/>
                <w:sz w:val="17"/>
                <w:szCs w:val="17"/>
                <w:color w:val="auto"/>
              </w:rPr>
              <w:t>0.01</w:t>
            </w:r>
          </w:p>
        </w:tc>
        <w:tc>
          <w:tcPr>
            <w:tcW w:w="260" w:type="dxa"/>
            <w:vAlign w:val="bottom"/>
            <w:tcBorders>
              <w:right w:val="single" w:sz="8" w:color="CCEEFF"/>
            </w:tcBorders>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36"/>
              <w:spacing w:after="0" w:line="190" w:lineRule="exact"/>
              <w:rPr>
                <w:sz w:val="20"/>
                <w:szCs w:val="20"/>
                <w:color w:val="auto"/>
              </w:rPr>
            </w:pPr>
            <w:r>
              <w:rPr>
                <w:rFonts w:ascii="Arial" w:cs="Arial" w:eastAsia="Arial" w:hAnsi="Arial"/>
                <w:sz w:val="17"/>
                <w:szCs w:val="17"/>
                <w:color w:val="auto"/>
              </w:rPr>
              <w:t>—</w:t>
            </w:r>
          </w:p>
        </w:tc>
        <w:tc>
          <w:tcPr>
            <w:tcW w:w="1160" w:type="dxa"/>
            <w:vAlign w:val="bottom"/>
            <w:tcBorders>
              <w:right w:val="single" w:sz="8" w:color="CCEEFF"/>
            </w:tcBorders>
            <w:gridSpan w:val="2"/>
            <w:shd w:val="clear" w:color="auto" w:fill="CCEEFF"/>
          </w:tcPr>
          <w:p>
            <w:pPr>
              <w:jc w:val="right"/>
              <w:ind w:right="380"/>
              <w:spacing w:after="0" w:line="190" w:lineRule="exact"/>
              <w:rPr>
                <w:sz w:val="20"/>
                <w:szCs w:val="20"/>
                <w:color w:val="auto"/>
              </w:rPr>
            </w:pPr>
            <w:r>
              <w:rPr>
                <w:rFonts w:ascii="Arial" w:cs="Arial" w:eastAsia="Arial" w:hAnsi="Arial"/>
                <w:sz w:val="17"/>
                <w:szCs w:val="17"/>
                <w:color w:val="auto"/>
              </w:rPr>
              <w:t>NMF</w:t>
            </w:r>
          </w:p>
        </w:tc>
        <w:tc>
          <w:tcPr>
            <w:tcW w:w="16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0.47</w:t>
            </w:r>
          </w:p>
        </w:tc>
        <w:tc>
          <w:tcPr>
            <w:tcW w:w="14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060" w:type="dxa"/>
            <w:vAlign w:val="bottom"/>
            <w:gridSpan w:val="2"/>
            <w:shd w:val="clear" w:color="auto" w:fill="CCEEFF"/>
          </w:tcPr>
          <w:p>
            <w:pPr>
              <w:jc w:val="right"/>
              <w:ind w:right="280"/>
              <w:spacing w:after="0" w:line="190"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ind w:left="80"/>
              <w:spacing w:after="0" w:line="190" w:lineRule="exact"/>
              <w:rPr>
                <w:sz w:val="20"/>
                <w:szCs w:val="20"/>
                <w:color w:val="auto"/>
              </w:rPr>
            </w:pPr>
            <w:r>
              <w:rPr>
                <w:rFonts w:ascii="Arial" w:cs="Arial" w:eastAsia="Arial" w:hAnsi="Arial"/>
                <w:sz w:val="17"/>
                <w:szCs w:val="17"/>
                <w:color w:val="auto"/>
              </w:rPr>
              <w:t>Add: Transformation costs (2)</w:t>
            </w:r>
          </w:p>
        </w:tc>
        <w:tc>
          <w:tcPr>
            <w:tcW w:w="160" w:type="dxa"/>
            <w:vAlign w:val="bottom"/>
          </w:tcPr>
          <w:p>
            <w:pPr>
              <w:spacing w:after="0"/>
              <w:rPr>
                <w:sz w:val="16"/>
                <w:szCs w:val="16"/>
                <w:color w:val="auto"/>
              </w:rPr>
            </w:pP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0.09</w:t>
            </w:r>
          </w:p>
        </w:tc>
        <w:tc>
          <w:tcPr>
            <w:tcW w:w="2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40" w:type="dxa"/>
            <w:vAlign w:val="bottom"/>
            <w:gridSpan w:val="2"/>
          </w:tcPr>
          <w:p>
            <w:pPr>
              <w:jc w:val="right"/>
              <w:ind w:right="236"/>
              <w:spacing w:after="0" w:line="190" w:lineRule="exact"/>
              <w:rPr>
                <w:sz w:val="20"/>
                <w:szCs w:val="20"/>
                <w:color w:val="auto"/>
              </w:rPr>
            </w:pPr>
            <w:r>
              <w:rPr>
                <w:rFonts w:ascii="Arial" w:cs="Arial" w:eastAsia="Arial" w:hAnsi="Arial"/>
                <w:sz w:val="17"/>
                <w:szCs w:val="17"/>
                <w:color w:val="auto"/>
              </w:rPr>
              <w:t>—</w:t>
            </w:r>
          </w:p>
        </w:tc>
        <w:tc>
          <w:tcPr>
            <w:tcW w:w="1160" w:type="dxa"/>
            <w:vAlign w:val="bottom"/>
            <w:gridSpan w:val="2"/>
          </w:tcPr>
          <w:p>
            <w:pPr>
              <w:jc w:val="right"/>
              <w:ind w:right="380"/>
              <w:spacing w:after="0" w:line="190" w:lineRule="exact"/>
              <w:rPr>
                <w:sz w:val="20"/>
                <w:szCs w:val="20"/>
                <w:color w:val="auto"/>
              </w:rPr>
            </w:pPr>
            <w:r>
              <w:rPr>
                <w:rFonts w:ascii="Arial" w:cs="Arial" w:eastAsia="Arial" w:hAnsi="Arial"/>
                <w:sz w:val="17"/>
                <w:szCs w:val="17"/>
                <w:color w:val="auto"/>
              </w:rPr>
              <w:t>NMF</w:t>
            </w:r>
          </w:p>
        </w:tc>
        <w:tc>
          <w:tcPr>
            <w:tcW w:w="16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0.14</w:t>
            </w:r>
          </w:p>
        </w:tc>
        <w:tc>
          <w:tcPr>
            <w:tcW w:w="140" w:type="dxa"/>
            <w:vAlign w:val="bottom"/>
          </w:tcPr>
          <w:p>
            <w:pPr>
              <w:spacing w:after="0"/>
              <w:rPr>
                <w:sz w:val="16"/>
                <w:szCs w:val="16"/>
                <w:color w:val="auto"/>
              </w:rPr>
            </w:pP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060" w:type="dxa"/>
            <w:vAlign w:val="bottom"/>
            <w:gridSpan w:val="2"/>
          </w:tcPr>
          <w:p>
            <w:pPr>
              <w:jc w:val="right"/>
              <w:ind w:right="280"/>
              <w:spacing w:after="0" w:line="190"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shd w:val="clear" w:color="auto" w:fill="CCEEFF"/>
          </w:tcPr>
          <w:p>
            <w:pPr>
              <w:ind w:left="80"/>
              <w:spacing w:after="0" w:line="190" w:lineRule="exact"/>
              <w:rPr>
                <w:sz w:val="20"/>
                <w:szCs w:val="20"/>
                <w:color w:val="auto"/>
              </w:rPr>
            </w:pPr>
            <w:r>
              <w:rPr>
                <w:rFonts w:ascii="Arial" w:cs="Arial" w:eastAsia="Arial" w:hAnsi="Arial"/>
                <w:sz w:val="17"/>
                <w:szCs w:val="17"/>
                <w:color w:val="auto"/>
              </w:rPr>
              <w:t>Add: Asset impairment costs (2)</w:t>
            </w:r>
          </w:p>
        </w:tc>
        <w:tc>
          <w:tcPr>
            <w:tcW w:w="160" w:type="dxa"/>
            <w:vAlign w:val="bottom"/>
            <w:shd w:val="clear" w:color="auto" w:fill="CCEEFF"/>
          </w:tcPr>
          <w:p>
            <w:pPr>
              <w:spacing w:after="0"/>
              <w:rPr>
                <w:sz w:val="16"/>
                <w:szCs w:val="16"/>
                <w:color w:val="auto"/>
              </w:rPr>
            </w:pPr>
          </w:p>
        </w:tc>
        <w:tc>
          <w:tcPr>
            <w:tcW w:w="880" w:type="dxa"/>
            <w:vAlign w:val="bottom"/>
            <w:tcBorders>
              <w:right w:val="single" w:sz="8" w:color="CCEEFF"/>
            </w:tcBorders>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4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36"/>
              <w:spacing w:after="0" w:line="190" w:lineRule="exact"/>
              <w:rPr>
                <w:sz w:val="20"/>
                <w:szCs w:val="20"/>
                <w:color w:val="auto"/>
              </w:rPr>
            </w:pPr>
            <w:r>
              <w:rPr>
                <w:rFonts w:ascii="Arial" w:cs="Arial" w:eastAsia="Arial" w:hAnsi="Arial"/>
                <w:sz w:val="17"/>
                <w:szCs w:val="17"/>
                <w:color w:val="auto"/>
              </w:rPr>
              <w:t>—</w:t>
            </w:r>
          </w:p>
        </w:tc>
        <w:tc>
          <w:tcPr>
            <w:tcW w:w="1160" w:type="dxa"/>
            <w:vAlign w:val="bottom"/>
            <w:tcBorders>
              <w:right w:val="single" w:sz="8" w:color="CCEEFF"/>
            </w:tcBorders>
            <w:gridSpan w:val="2"/>
            <w:shd w:val="clear" w:color="auto" w:fill="CCEEFF"/>
          </w:tcPr>
          <w:p>
            <w:pPr>
              <w:jc w:val="right"/>
              <w:ind w:right="380"/>
              <w:spacing w:after="0" w:line="190" w:lineRule="exact"/>
              <w:rPr>
                <w:sz w:val="20"/>
                <w:szCs w:val="20"/>
                <w:color w:val="auto"/>
              </w:rPr>
            </w:pPr>
            <w:r>
              <w:rPr>
                <w:rFonts w:ascii="Arial" w:cs="Arial" w:eastAsia="Arial" w:hAnsi="Arial"/>
                <w:sz w:val="17"/>
                <w:szCs w:val="17"/>
                <w:color w:val="auto"/>
              </w:rPr>
              <w:t>NMF</w:t>
            </w:r>
          </w:p>
        </w:tc>
        <w:tc>
          <w:tcPr>
            <w:tcW w:w="16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4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176"/>
              <w:spacing w:after="0" w:line="190" w:lineRule="exact"/>
              <w:rPr>
                <w:sz w:val="20"/>
                <w:szCs w:val="20"/>
                <w:color w:val="auto"/>
              </w:rPr>
            </w:pPr>
            <w:r>
              <w:rPr>
                <w:rFonts w:ascii="Arial" w:cs="Arial" w:eastAsia="Arial" w:hAnsi="Arial"/>
                <w:sz w:val="17"/>
                <w:szCs w:val="17"/>
                <w:color w:val="auto"/>
              </w:rPr>
              <w:t>—</w:t>
            </w:r>
          </w:p>
        </w:tc>
        <w:tc>
          <w:tcPr>
            <w:tcW w:w="1060" w:type="dxa"/>
            <w:vAlign w:val="bottom"/>
            <w:gridSpan w:val="2"/>
            <w:shd w:val="clear" w:color="auto" w:fill="CCEEFF"/>
          </w:tcPr>
          <w:p>
            <w:pPr>
              <w:jc w:val="right"/>
              <w:ind w:right="280"/>
              <w:spacing w:after="0" w:line="190" w:lineRule="exact"/>
              <w:rPr>
                <w:sz w:val="20"/>
                <w:szCs w:val="20"/>
                <w:color w:val="auto"/>
              </w:rPr>
            </w:pPr>
            <w:r>
              <w:rPr>
                <w:rFonts w:ascii="Arial" w:cs="Arial" w:eastAsia="Arial" w:hAnsi="Arial"/>
                <w:sz w:val="17"/>
                <w:szCs w:val="17"/>
                <w:color w:val="auto"/>
              </w:rPr>
              <w:t>NMF</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20" w:type="dxa"/>
            <w:vAlign w:val="bottom"/>
            <w:gridSpan w:val="2"/>
          </w:tcPr>
          <w:p>
            <w:pPr>
              <w:ind w:left="80"/>
              <w:spacing w:after="0"/>
              <w:rPr>
                <w:sz w:val="20"/>
                <w:szCs w:val="20"/>
                <w:color w:val="auto"/>
              </w:rPr>
            </w:pPr>
            <w:r>
              <w:rPr>
                <w:rFonts w:ascii="Arial" w:cs="Arial" w:eastAsia="Arial" w:hAnsi="Arial"/>
                <w:sz w:val="17"/>
                <w:szCs w:val="17"/>
                <w:color w:val="auto"/>
              </w:rPr>
              <w:t>Less: non-operating gains (3)</w:t>
            </w:r>
          </w:p>
        </w:tc>
        <w:tc>
          <w:tcPr>
            <w:tcW w:w="160" w:type="dxa"/>
            <w:vAlign w:val="bottom"/>
          </w:tcPr>
          <w:p>
            <w:pPr>
              <w:spacing w:after="0"/>
              <w:rPr>
                <w:sz w:val="17"/>
                <w:szCs w:val="17"/>
                <w:color w:val="auto"/>
              </w:rPr>
            </w:pPr>
          </w:p>
        </w:tc>
        <w:tc>
          <w:tcPr>
            <w:tcW w:w="880" w:type="dxa"/>
            <w:vAlign w:val="bottom"/>
            <w:gridSpan w:val="2"/>
          </w:tcPr>
          <w:p>
            <w:pPr>
              <w:jc w:val="right"/>
              <w:ind w:right="116"/>
              <w:spacing w:after="0"/>
              <w:rPr>
                <w:sz w:val="20"/>
                <w:szCs w:val="20"/>
                <w:color w:val="auto"/>
              </w:rPr>
            </w:pPr>
            <w:r>
              <w:rPr>
                <w:rFonts w:ascii="Arial" w:cs="Arial" w:eastAsia="Arial" w:hAnsi="Arial"/>
                <w:sz w:val="17"/>
                <w:szCs w:val="17"/>
                <w:color w:val="auto"/>
              </w:rPr>
              <w:t>(0.04)</w:t>
            </w:r>
          </w:p>
        </w:tc>
        <w:tc>
          <w:tcPr>
            <w:tcW w:w="140" w:type="dxa"/>
            <w:vAlign w:val="bottom"/>
          </w:tcPr>
          <w:p>
            <w:pPr>
              <w:spacing w:after="0"/>
              <w:rPr>
                <w:sz w:val="17"/>
                <w:szCs w:val="17"/>
                <w:color w:val="auto"/>
              </w:rPr>
            </w:pPr>
          </w:p>
        </w:tc>
        <w:tc>
          <w:tcPr>
            <w:tcW w:w="940" w:type="dxa"/>
            <w:vAlign w:val="bottom"/>
            <w:gridSpan w:val="2"/>
          </w:tcPr>
          <w:p>
            <w:pPr>
              <w:jc w:val="right"/>
              <w:ind w:right="176"/>
              <w:spacing w:after="0"/>
              <w:rPr>
                <w:sz w:val="20"/>
                <w:szCs w:val="20"/>
                <w:color w:val="auto"/>
              </w:rPr>
            </w:pPr>
            <w:r>
              <w:rPr>
                <w:rFonts w:ascii="Arial" w:cs="Arial" w:eastAsia="Arial" w:hAnsi="Arial"/>
                <w:sz w:val="17"/>
                <w:szCs w:val="17"/>
                <w:color w:val="auto"/>
              </w:rPr>
              <w:t>(0.05)</w:t>
            </w:r>
          </w:p>
        </w:tc>
        <w:tc>
          <w:tcPr>
            <w:tcW w:w="1160" w:type="dxa"/>
            <w:vAlign w:val="bottom"/>
            <w:gridSpan w:val="2"/>
          </w:tcPr>
          <w:p>
            <w:pPr>
              <w:jc w:val="right"/>
              <w:ind w:right="180"/>
              <w:spacing w:after="0"/>
              <w:rPr>
                <w:sz w:val="20"/>
                <w:szCs w:val="20"/>
                <w:color w:val="auto"/>
              </w:rPr>
            </w:pPr>
            <w:r>
              <w:rPr>
                <w:rFonts w:ascii="Arial" w:cs="Arial" w:eastAsia="Arial" w:hAnsi="Arial"/>
                <w:sz w:val="17"/>
                <w:szCs w:val="17"/>
                <w:color w:val="auto"/>
              </w:rPr>
              <w:t>(20.0)%</w:t>
            </w:r>
          </w:p>
        </w:tc>
        <w:tc>
          <w:tcPr>
            <w:tcW w:w="160" w:type="dxa"/>
            <w:vAlign w:val="bottom"/>
          </w:tcPr>
          <w:p>
            <w:pPr>
              <w:spacing w:after="0"/>
              <w:rPr>
                <w:sz w:val="17"/>
                <w:szCs w:val="17"/>
                <w:color w:val="auto"/>
              </w:rPr>
            </w:pPr>
          </w:p>
        </w:tc>
        <w:tc>
          <w:tcPr>
            <w:tcW w:w="880" w:type="dxa"/>
            <w:vAlign w:val="bottom"/>
            <w:gridSpan w:val="2"/>
          </w:tcPr>
          <w:p>
            <w:pPr>
              <w:jc w:val="right"/>
              <w:ind w:right="116"/>
              <w:spacing w:after="0"/>
              <w:rPr>
                <w:sz w:val="20"/>
                <w:szCs w:val="20"/>
                <w:color w:val="auto"/>
              </w:rPr>
            </w:pPr>
            <w:r>
              <w:rPr>
                <w:rFonts w:ascii="Arial" w:cs="Arial" w:eastAsia="Arial" w:hAnsi="Arial"/>
                <w:sz w:val="17"/>
                <w:szCs w:val="17"/>
                <w:color w:val="auto"/>
              </w:rPr>
              <w:t>(0.06)</w:t>
            </w:r>
          </w:p>
        </w:tc>
        <w:tc>
          <w:tcPr>
            <w:tcW w:w="140" w:type="dxa"/>
            <w:vAlign w:val="bottom"/>
          </w:tcPr>
          <w:p>
            <w:pPr>
              <w:spacing w:after="0"/>
              <w:rPr>
                <w:sz w:val="17"/>
                <w:szCs w:val="17"/>
                <w:color w:val="auto"/>
              </w:rPr>
            </w:pPr>
          </w:p>
        </w:tc>
        <w:tc>
          <w:tcPr>
            <w:tcW w:w="880" w:type="dxa"/>
            <w:vAlign w:val="bottom"/>
            <w:gridSpan w:val="2"/>
          </w:tcPr>
          <w:p>
            <w:pPr>
              <w:jc w:val="right"/>
              <w:ind w:right="116"/>
              <w:spacing w:after="0"/>
              <w:rPr>
                <w:sz w:val="20"/>
                <w:szCs w:val="20"/>
                <w:color w:val="auto"/>
              </w:rPr>
            </w:pPr>
            <w:r>
              <w:rPr>
                <w:rFonts w:ascii="Arial" w:cs="Arial" w:eastAsia="Arial" w:hAnsi="Arial"/>
                <w:sz w:val="17"/>
                <w:szCs w:val="17"/>
                <w:color w:val="auto"/>
              </w:rPr>
              <w:t>(0.05)</w:t>
            </w:r>
          </w:p>
        </w:tc>
        <w:tc>
          <w:tcPr>
            <w:tcW w:w="1060" w:type="dxa"/>
            <w:vAlign w:val="bottom"/>
            <w:gridSpan w:val="2"/>
          </w:tcPr>
          <w:p>
            <w:pPr>
              <w:jc w:val="right"/>
              <w:ind w:right="140"/>
              <w:spacing w:after="0"/>
              <w:rPr>
                <w:sz w:val="20"/>
                <w:szCs w:val="20"/>
                <w:color w:val="auto"/>
              </w:rPr>
            </w:pPr>
            <w:r>
              <w:rPr>
                <w:rFonts w:ascii="Arial" w:cs="Arial" w:eastAsia="Arial" w:hAnsi="Arial"/>
                <w:sz w:val="17"/>
                <w:szCs w:val="17"/>
                <w:color w:val="auto"/>
              </w:rPr>
              <w:t>20.0%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20" w:type="dxa"/>
            <w:vAlign w:val="bottom"/>
            <w:gridSpan w:val="2"/>
            <w:vMerge w:val="restart"/>
            <w:shd w:val="clear" w:color="auto" w:fill="CCEEFF"/>
          </w:tcPr>
          <w:p>
            <w:pPr>
              <w:spacing w:after="0"/>
              <w:rPr>
                <w:sz w:val="20"/>
                <w:szCs w:val="20"/>
                <w:color w:val="auto"/>
              </w:rPr>
            </w:pPr>
            <w:r>
              <w:rPr>
                <w:rFonts w:ascii="Arial" w:cs="Arial" w:eastAsia="Arial" w:hAnsi="Arial"/>
                <w:sz w:val="17"/>
                <w:szCs w:val="17"/>
                <w:color w:val="auto"/>
              </w:rPr>
              <w:t>Adjusted diluted net income per share</w:t>
            </w: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1160" w:type="dxa"/>
            <w:vAlign w:val="bottom"/>
            <w:tcBorders>
              <w:right w:val="single" w:sz="8" w:color="CCEEFF"/>
            </w:tcBorders>
            <w:gridSpan w:val="2"/>
            <w:vMerge w:val="restart"/>
            <w:shd w:val="clear" w:color="auto" w:fill="CCEEFF"/>
          </w:tcPr>
          <w:p>
            <w:pPr>
              <w:jc w:val="right"/>
              <w:ind w:right="180"/>
              <w:spacing w:after="0"/>
              <w:rPr>
                <w:sz w:val="20"/>
                <w:szCs w:val="20"/>
                <w:color w:val="auto"/>
              </w:rPr>
            </w:pPr>
            <w:r>
              <w:rPr>
                <w:rFonts w:ascii="Arial" w:cs="Arial" w:eastAsia="Arial" w:hAnsi="Arial"/>
                <w:sz w:val="17"/>
                <w:szCs w:val="17"/>
                <w:color w:val="auto"/>
              </w:rPr>
              <w:t>(61.3)%</w:t>
            </w: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Borders>
              <w:left w:val="single" w:sz="8" w:color="CCEEFF"/>
            </w:tcBorders>
            <w:shd w:val="clear" w:color="auto" w:fill="CCEEFF"/>
          </w:tcPr>
          <w:p>
            <w:pPr>
              <w:spacing w:after="0" w:line="20" w:lineRule="exact"/>
              <w:rPr>
                <w:sz w:val="1"/>
                <w:szCs w:val="1"/>
                <w:color w:val="auto"/>
              </w:rPr>
            </w:pPr>
          </w:p>
        </w:tc>
        <w:tc>
          <w:tcPr>
            <w:tcW w:w="7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4820" w:type="dxa"/>
            <w:vAlign w:val="bottom"/>
            <w:gridSpan w:val="2"/>
            <w:vMerge w:val="continue"/>
            <w:shd w:val="clear" w:color="auto" w:fill="CCEEFF"/>
          </w:tcPr>
          <w:p>
            <w:pPr>
              <w:spacing w:after="0"/>
              <w:rPr>
                <w:sz w:val="17"/>
                <w:szCs w:val="17"/>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7"/>
                <w:szCs w:val="17"/>
                <w:color w:val="auto"/>
                <w:w w:val="84"/>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0.58</w:t>
            </w:r>
          </w:p>
        </w:tc>
        <w:tc>
          <w:tcPr>
            <w:tcW w:w="260" w:type="dxa"/>
            <w:vAlign w:val="bottom"/>
            <w:tcBorders>
              <w:right w:val="single" w:sz="8" w:color="CCEEFF"/>
            </w:tcBorders>
            <w:shd w:val="clear" w:color="auto" w:fill="CCEEFF"/>
          </w:tcPr>
          <w:p>
            <w:pPr>
              <w:spacing w:after="0"/>
              <w:rPr>
                <w:sz w:val="17"/>
                <w:szCs w:val="17"/>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gridSpan w:val="2"/>
            <w:shd w:val="clear" w:color="auto" w:fill="CCEEFF"/>
          </w:tcPr>
          <w:p>
            <w:pPr>
              <w:jc w:val="right"/>
              <w:ind w:right="236"/>
              <w:spacing w:after="0"/>
              <w:rPr>
                <w:sz w:val="20"/>
                <w:szCs w:val="20"/>
                <w:color w:val="auto"/>
              </w:rPr>
            </w:pPr>
            <w:r>
              <w:rPr>
                <w:rFonts w:ascii="Arial" w:cs="Arial" w:eastAsia="Arial" w:hAnsi="Arial"/>
                <w:sz w:val="17"/>
                <w:szCs w:val="17"/>
                <w:color w:val="auto"/>
              </w:rPr>
              <w:t>1.50</w:t>
            </w:r>
          </w:p>
        </w:tc>
        <w:tc>
          <w:tcPr>
            <w:tcW w:w="1160" w:type="dxa"/>
            <w:vAlign w:val="bottom"/>
            <w:tcBorders>
              <w:right w:val="single" w:sz="8" w:color="CCEEFF"/>
            </w:tcBorders>
            <w:gridSpan w:val="2"/>
            <w:vMerge w:val="continue"/>
            <w:shd w:val="clear" w:color="auto" w:fill="CCEEFF"/>
          </w:tcPr>
          <w:p>
            <w:pPr>
              <w:spacing w:after="0"/>
              <w:rPr>
                <w:sz w:val="17"/>
                <w:szCs w:val="17"/>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7"/>
                <w:szCs w:val="17"/>
                <w:color w:val="auto"/>
                <w:w w:val="84"/>
              </w:rPr>
              <w:t>$</w:t>
            </w:r>
          </w:p>
        </w:tc>
        <w:tc>
          <w:tcPr>
            <w:tcW w:w="880" w:type="dxa"/>
            <w:vAlign w:val="bottom"/>
            <w:gridSpan w:val="2"/>
            <w:shd w:val="clear" w:color="auto" w:fill="CCEEFF"/>
          </w:tcPr>
          <w:p>
            <w:pPr>
              <w:jc w:val="right"/>
              <w:ind w:right="176"/>
              <w:spacing w:after="0"/>
              <w:rPr>
                <w:sz w:val="20"/>
                <w:szCs w:val="20"/>
                <w:color w:val="auto"/>
              </w:rPr>
            </w:pPr>
            <w:r>
              <w:rPr>
                <w:rFonts w:ascii="Arial" w:cs="Arial" w:eastAsia="Arial" w:hAnsi="Arial"/>
                <w:sz w:val="17"/>
                <w:szCs w:val="17"/>
                <w:color w:val="auto"/>
              </w:rPr>
              <w:t>3.87</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7"/>
                <w:szCs w:val="17"/>
                <w:color w:val="auto"/>
              </w:rPr>
              <w:t>6.36</w:t>
            </w:r>
          </w:p>
        </w:tc>
        <w:tc>
          <w:tcPr>
            <w:tcW w:w="260" w:type="dxa"/>
            <w:vAlign w:val="bottom"/>
            <w:tcBorders>
              <w:left w:val="single" w:sz="8" w:color="CCEEFF"/>
            </w:tcBorders>
            <w:shd w:val="clear" w:color="auto" w:fill="CCEEFF"/>
          </w:tcPr>
          <w:p>
            <w:pPr>
              <w:spacing w:after="0"/>
              <w:rPr>
                <w:sz w:val="17"/>
                <w:szCs w:val="17"/>
                <w:color w:val="auto"/>
              </w:rPr>
            </w:pPr>
          </w:p>
        </w:tc>
        <w:tc>
          <w:tcPr>
            <w:tcW w:w="1060" w:type="dxa"/>
            <w:vAlign w:val="bottom"/>
            <w:gridSpan w:val="2"/>
            <w:shd w:val="clear" w:color="auto" w:fill="CCEEFF"/>
          </w:tcPr>
          <w:p>
            <w:pPr>
              <w:jc w:val="right"/>
              <w:ind w:right="80"/>
              <w:spacing w:after="0"/>
              <w:rPr>
                <w:sz w:val="20"/>
                <w:szCs w:val="20"/>
                <w:color w:val="auto"/>
              </w:rPr>
            </w:pPr>
            <w:r>
              <w:rPr>
                <w:rFonts w:ascii="Arial" w:cs="Arial" w:eastAsia="Arial" w:hAnsi="Arial"/>
                <w:sz w:val="17"/>
                <w:szCs w:val="17"/>
                <w:color w:val="auto"/>
              </w:rPr>
              <w:t>(39.2)%</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78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7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8"/>
        </w:trPr>
        <w:tc>
          <w:tcPr>
            <w:tcW w:w="20" w:type="dxa"/>
            <w:vAlign w:val="bottom"/>
            <w:vMerge w:val="restart"/>
          </w:tcPr>
          <w:p>
            <w:pPr>
              <w:spacing w:after="0"/>
              <w:rPr>
                <w:sz w:val="14"/>
                <w:szCs w:val="14"/>
                <w:color w:val="auto"/>
              </w:rPr>
            </w:pPr>
          </w:p>
        </w:tc>
        <w:tc>
          <w:tcPr>
            <w:tcW w:w="4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4820" w:type="dxa"/>
            <w:vAlign w:val="bottom"/>
            <w:gridSpan w:val="2"/>
            <w:shd w:val="clear" w:color="auto" w:fill="CCEEFF"/>
          </w:tcPr>
          <w:p>
            <w:pPr>
              <w:spacing w:after="0" w:line="169" w:lineRule="exact"/>
              <w:rPr>
                <w:sz w:val="20"/>
                <w:szCs w:val="20"/>
                <w:color w:val="auto"/>
              </w:rPr>
            </w:pPr>
            <w:r>
              <w:rPr>
                <w:rFonts w:ascii="Arial" w:cs="Arial" w:eastAsia="Arial" w:hAnsi="Arial"/>
                <w:sz w:val="17"/>
                <w:szCs w:val="17"/>
                <w:b w:val="1"/>
                <w:bCs w:val="1"/>
                <w:color w:val="auto"/>
              </w:rPr>
              <w:t>Reconciliation from cash provided by operating activities</w:t>
            </w:r>
          </w:p>
        </w:tc>
        <w:tc>
          <w:tcPr>
            <w:tcW w:w="1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60" w:type="dxa"/>
            <w:vAlign w:val="bottom"/>
            <w:tcBorders>
              <w:right w:val="single" w:sz="8" w:color="CCEEFF"/>
            </w:tcBorders>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780" w:type="dxa"/>
            <w:vAlign w:val="bottom"/>
            <w:shd w:val="clear" w:color="auto" w:fill="CCEEFF"/>
          </w:tcPr>
          <w:p>
            <w:pPr>
              <w:spacing w:after="0"/>
              <w:rPr>
                <w:sz w:val="14"/>
                <w:szCs w:val="14"/>
                <w:color w:val="auto"/>
              </w:rPr>
            </w:pPr>
          </w:p>
        </w:tc>
        <w:tc>
          <w:tcPr>
            <w:tcW w:w="380" w:type="dxa"/>
            <w:vAlign w:val="bottom"/>
            <w:tcBorders>
              <w:right w:val="single" w:sz="8" w:color="CCEEFF"/>
            </w:tcBorders>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60" w:type="dxa"/>
            <w:vAlign w:val="bottom"/>
            <w:tcBorders>
              <w:left w:val="single" w:sz="8" w:color="CCEEFF"/>
            </w:tcBorders>
            <w:shd w:val="clear" w:color="auto" w:fill="CCEEFF"/>
          </w:tcPr>
          <w:p>
            <w:pPr>
              <w:spacing w:after="0"/>
              <w:rPr>
                <w:sz w:val="14"/>
                <w:szCs w:val="14"/>
                <w:color w:val="auto"/>
              </w:rPr>
            </w:pPr>
          </w:p>
        </w:tc>
        <w:tc>
          <w:tcPr>
            <w:tcW w:w="78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4820" w:type="dxa"/>
            <w:vAlign w:val="bottom"/>
            <w:gridSpan w:val="2"/>
            <w:shd w:val="clear" w:color="auto" w:fill="CCEEFF"/>
          </w:tcPr>
          <w:p>
            <w:pPr>
              <w:spacing w:after="0"/>
              <w:rPr>
                <w:sz w:val="20"/>
                <w:szCs w:val="20"/>
                <w:color w:val="auto"/>
              </w:rPr>
            </w:pPr>
            <w:r>
              <w:rPr>
                <w:rFonts w:ascii="Arial" w:cs="Arial" w:eastAsia="Arial" w:hAnsi="Arial"/>
                <w:sz w:val="17"/>
                <w:szCs w:val="17"/>
                <w:b w:val="1"/>
                <w:bCs w:val="1"/>
                <w:color w:val="auto"/>
              </w:rPr>
              <w:t>to free cash flow:</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260" w:type="dxa"/>
            <w:vAlign w:val="bottom"/>
            <w:tcBorders>
              <w:right w:val="single" w:sz="8" w:color="CCEEFF"/>
            </w:tcBorders>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380" w:type="dxa"/>
            <w:vAlign w:val="bottom"/>
            <w:tcBorders>
              <w:righ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260" w:type="dxa"/>
            <w:vAlign w:val="bottom"/>
            <w:tcBorders>
              <w:left w:val="single" w:sz="8" w:color="CCEEFF"/>
            </w:tcBorders>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820" w:type="dxa"/>
            <w:vAlign w:val="bottom"/>
            <w:gridSpan w:val="2"/>
          </w:tcPr>
          <w:p>
            <w:pPr>
              <w:spacing w:after="0" w:line="190" w:lineRule="exact"/>
              <w:rPr>
                <w:sz w:val="20"/>
                <w:szCs w:val="20"/>
                <w:color w:val="auto"/>
              </w:rPr>
            </w:pPr>
            <w:r>
              <w:rPr>
                <w:rFonts w:ascii="Arial" w:cs="Arial" w:eastAsia="Arial" w:hAnsi="Arial"/>
                <w:sz w:val="17"/>
                <w:szCs w:val="17"/>
                <w:color w:val="auto"/>
              </w:rPr>
              <w:t>Cash provided by operating activities</w:t>
            </w:r>
          </w:p>
        </w:tc>
        <w:tc>
          <w:tcPr>
            <w:tcW w:w="160" w:type="dxa"/>
            <w:vAlign w:val="bottom"/>
          </w:tcPr>
          <w:p>
            <w:pPr>
              <w:jc w:val="right"/>
              <w:spacing w:after="0" w:line="190" w:lineRule="exact"/>
              <w:rPr>
                <w:sz w:val="20"/>
                <w:szCs w:val="20"/>
                <w:color w:val="auto"/>
              </w:rPr>
            </w:pPr>
            <w:r>
              <w:rPr>
                <w:rFonts w:ascii="Arial" w:cs="Arial" w:eastAsia="Arial" w:hAnsi="Arial"/>
                <w:sz w:val="17"/>
                <w:szCs w:val="17"/>
                <w:color w:val="auto"/>
                <w:w w:val="84"/>
              </w:rPr>
              <w:t>$</w:t>
            </w: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103.5</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236"/>
              <w:spacing w:after="0" w:line="190" w:lineRule="exact"/>
              <w:rPr>
                <w:sz w:val="20"/>
                <w:szCs w:val="20"/>
                <w:color w:val="auto"/>
              </w:rPr>
            </w:pPr>
            <w:r>
              <w:rPr>
                <w:rFonts w:ascii="Arial" w:cs="Arial" w:eastAsia="Arial" w:hAnsi="Arial"/>
                <w:sz w:val="17"/>
                <w:szCs w:val="17"/>
                <w:color w:val="auto"/>
              </w:rPr>
              <w:t>135.9</w:t>
            </w:r>
          </w:p>
        </w:tc>
        <w:tc>
          <w:tcPr>
            <w:tcW w:w="1160" w:type="dxa"/>
            <w:vAlign w:val="bottom"/>
            <w:gridSpan w:val="2"/>
          </w:tcPr>
          <w:p>
            <w:pPr>
              <w:jc w:val="right"/>
              <w:ind w:right="180"/>
              <w:spacing w:after="0" w:line="190" w:lineRule="exact"/>
              <w:rPr>
                <w:sz w:val="20"/>
                <w:szCs w:val="20"/>
                <w:color w:val="auto"/>
              </w:rPr>
            </w:pPr>
            <w:r>
              <w:rPr>
                <w:rFonts w:ascii="Arial" w:cs="Arial" w:eastAsia="Arial" w:hAnsi="Arial"/>
                <w:sz w:val="17"/>
                <w:szCs w:val="17"/>
                <w:color w:val="auto"/>
              </w:rPr>
              <w:t>(23.8)%</w:t>
            </w:r>
          </w:p>
        </w:tc>
        <w:tc>
          <w:tcPr>
            <w:tcW w:w="160" w:type="dxa"/>
            <w:vAlign w:val="bottom"/>
          </w:tcPr>
          <w:p>
            <w:pPr>
              <w:jc w:val="right"/>
              <w:spacing w:after="0" w:line="190" w:lineRule="exact"/>
              <w:rPr>
                <w:sz w:val="20"/>
                <w:szCs w:val="20"/>
                <w:color w:val="auto"/>
              </w:rPr>
            </w:pPr>
            <w:r>
              <w:rPr>
                <w:rFonts w:ascii="Arial" w:cs="Arial" w:eastAsia="Arial" w:hAnsi="Arial"/>
                <w:sz w:val="17"/>
                <w:szCs w:val="17"/>
                <w:color w:val="auto"/>
                <w:w w:val="84"/>
              </w:rPr>
              <w:t>$</w:t>
            </w:r>
          </w:p>
        </w:tc>
        <w:tc>
          <w:tcPr>
            <w:tcW w:w="880" w:type="dxa"/>
            <w:vAlign w:val="bottom"/>
            <w:gridSpan w:val="2"/>
          </w:tcPr>
          <w:p>
            <w:pPr>
              <w:jc w:val="right"/>
              <w:ind w:right="176"/>
              <w:spacing w:after="0" w:line="190" w:lineRule="exact"/>
              <w:rPr>
                <w:sz w:val="20"/>
                <w:szCs w:val="20"/>
                <w:color w:val="auto"/>
              </w:rPr>
            </w:pPr>
            <w:r>
              <w:rPr>
                <w:rFonts w:ascii="Arial" w:cs="Arial" w:eastAsia="Arial" w:hAnsi="Arial"/>
                <w:sz w:val="17"/>
                <w:szCs w:val="17"/>
                <w:color w:val="auto"/>
              </w:rPr>
              <w:t>297.8</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Pr>
          <w:p>
            <w:pPr>
              <w:jc w:val="right"/>
              <w:spacing w:after="0" w:line="190" w:lineRule="exact"/>
              <w:rPr>
                <w:sz w:val="20"/>
                <w:szCs w:val="20"/>
                <w:color w:val="auto"/>
              </w:rPr>
            </w:pPr>
            <w:r>
              <w:rPr>
                <w:rFonts w:ascii="Arial" w:cs="Arial" w:eastAsia="Arial" w:hAnsi="Arial"/>
                <w:sz w:val="17"/>
                <w:szCs w:val="17"/>
                <w:color w:val="auto"/>
              </w:rPr>
              <w:t>449.9</w:t>
            </w:r>
          </w:p>
        </w:tc>
        <w:tc>
          <w:tcPr>
            <w:tcW w:w="260" w:type="dxa"/>
            <w:vAlign w:val="bottom"/>
          </w:tcPr>
          <w:p>
            <w:pPr>
              <w:spacing w:after="0"/>
              <w:rPr>
                <w:sz w:val="16"/>
                <w:szCs w:val="16"/>
                <w:color w:val="auto"/>
              </w:rPr>
            </w:pPr>
          </w:p>
        </w:tc>
        <w:tc>
          <w:tcPr>
            <w:tcW w:w="1060" w:type="dxa"/>
            <w:vAlign w:val="bottom"/>
            <w:gridSpan w:val="2"/>
          </w:tcPr>
          <w:p>
            <w:pPr>
              <w:jc w:val="right"/>
              <w:ind w:right="80"/>
              <w:spacing w:after="0" w:line="190" w:lineRule="exact"/>
              <w:rPr>
                <w:sz w:val="20"/>
                <w:szCs w:val="20"/>
                <w:color w:val="auto"/>
              </w:rPr>
            </w:pPr>
            <w:r>
              <w:rPr>
                <w:rFonts w:ascii="Arial" w:cs="Arial" w:eastAsia="Arial" w:hAnsi="Arial"/>
                <w:sz w:val="17"/>
                <w:szCs w:val="17"/>
                <w:color w:val="auto"/>
              </w:rPr>
              <w:t>(33.8)%</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4820" w:type="dxa"/>
            <w:vAlign w:val="bottom"/>
            <w:gridSpan w:val="2"/>
            <w:shd w:val="clear" w:color="auto" w:fill="CCEEFF"/>
          </w:tcPr>
          <w:p>
            <w:pPr>
              <w:spacing w:after="0"/>
              <w:rPr>
                <w:sz w:val="20"/>
                <w:szCs w:val="20"/>
                <w:color w:val="auto"/>
              </w:rPr>
            </w:pPr>
            <w:r>
              <w:rPr>
                <w:rFonts w:ascii="Arial" w:cs="Arial" w:eastAsia="Arial" w:hAnsi="Arial"/>
                <w:sz w:val="17"/>
                <w:szCs w:val="17"/>
                <w:color w:val="auto"/>
              </w:rPr>
              <w:t>Capital expenditures</w:t>
            </w:r>
          </w:p>
        </w:tc>
        <w:tc>
          <w:tcPr>
            <w:tcW w:w="160" w:type="dxa"/>
            <w:vAlign w:val="bottom"/>
            <w:shd w:val="clear" w:color="auto" w:fill="CCEEFF"/>
          </w:tcPr>
          <w:p>
            <w:pPr>
              <w:spacing w:after="0"/>
              <w:rPr>
                <w:sz w:val="17"/>
                <w:szCs w:val="17"/>
                <w:color w:val="auto"/>
              </w:rPr>
            </w:pPr>
          </w:p>
        </w:tc>
        <w:tc>
          <w:tcPr>
            <w:tcW w:w="880" w:type="dxa"/>
            <w:vAlign w:val="bottom"/>
            <w:tcBorders>
              <w:right w:val="single" w:sz="8" w:color="CCEEFF"/>
            </w:tcBorders>
            <w:gridSpan w:val="2"/>
            <w:shd w:val="clear" w:color="auto" w:fill="CCEEFF"/>
          </w:tcPr>
          <w:p>
            <w:pPr>
              <w:jc w:val="right"/>
              <w:ind w:right="116"/>
              <w:spacing w:after="0"/>
              <w:rPr>
                <w:sz w:val="20"/>
                <w:szCs w:val="20"/>
                <w:color w:val="auto"/>
              </w:rPr>
            </w:pPr>
            <w:r>
              <w:rPr>
                <w:rFonts w:ascii="Arial" w:cs="Arial" w:eastAsia="Arial" w:hAnsi="Arial"/>
                <w:sz w:val="17"/>
                <w:szCs w:val="17"/>
                <w:color w:val="auto"/>
              </w:rPr>
              <w:t>(36.1)</w:t>
            </w:r>
          </w:p>
        </w:tc>
        <w:tc>
          <w:tcPr>
            <w:tcW w:w="14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176"/>
              <w:spacing w:after="0"/>
              <w:rPr>
                <w:sz w:val="20"/>
                <w:szCs w:val="20"/>
                <w:color w:val="auto"/>
              </w:rPr>
            </w:pPr>
            <w:r>
              <w:rPr>
                <w:rFonts w:ascii="Arial" w:cs="Arial" w:eastAsia="Arial" w:hAnsi="Arial"/>
                <w:sz w:val="17"/>
                <w:szCs w:val="17"/>
                <w:color w:val="auto"/>
              </w:rPr>
              <w:t>(30.2)</w:t>
            </w:r>
          </w:p>
        </w:tc>
        <w:tc>
          <w:tcPr>
            <w:tcW w:w="116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7"/>
                <w:szCs w:val="17"/>
                <w:color w:val="auto"/>
              </w:rPr>
              <w:t>19.5%</w:t>
            </w:r>
          </w:p>
        </w:tc>
        <w:tc>
          <w:tcPr>
            <w:tcW w:w="16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116"/>
              <w:spacing w:after="0"/>
              <w:rPr>
                <w:sz w:val="20"/>
                <w:szCs w:val="20"/>
                <w:color w:val="auto"/>
              </w:rPr>
            </w:pPr>
            <w:r>
              <w:rPr>
                <w:rFonts w:ascii="Arial" w:cs="Arial" w:eastAsia="Arial" w:hAnsi="Arial"/>
                <w:sz w:val="17"/>
                <w:szCs w:val="17"/>
                <w:color w:val="auto"/>
              </w:rPr>
              <w:t>(129.5)</w:t>
            </w:r>
          </w:p>
        </w:tc>
        <w:tc>
          <w:tcPr>
            <w:tcW w:w="14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116"/>
              <w:spacing w:after="0"/>
              <w:rPr>
                <w:sz w:val="20"/>
                <w:szCs w:val="20"/>
                <w:color w:val="auto"/>
              </w:rPr>
            </w:pPr>
            <w:r>
              <w:rPr>
                <w:rFonts w:ascii="Arial" w:cs="Arial" w:eastAsia="Arial" w:hAnsi="Arial"/>
                <w:sz w:val="17"/>
                <w:szCs w:val="17"/>
                <w:color w:val="auto"/>
              </w:rPr>
              <w:t>(101.8)</w:t>
            </w: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7"/>
                <w:szCs w:val="17"/>
                <w:color w:val="auto"/>
              </w:rPr>
              <w:t>27.2%</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20" w:type="dxa"/>
            <w:vAlign w:val="bottom"/>
            <w:gridSpan w:val="2"/>
            <w:vMerge w:val="restart"/>
          </w:tcPr>
          <w:p>
            <w:pPr>
              <w:spacing w:after="0"/>
              <w:rPr>
                <w:sz w:val="20"/>
                <w:szCs w:val="20"/>
                <w:color w:val="auto"/>
              </w:rPr>
            </w:pPr>
            <w:r>
              <w:rPr>
                <w:rFonts w:ascii="Arial" w:cs="Arial" w:eastAsia="Arial" w:hAnsi="Arial"/>
                <w:sz w:val="17"/>
                <w:szCs w:val="17"/>
                <w:color w:val="auto"/>
              </w:rPr>
              <w:t>Free cash flow</w:t>
            </w: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160" w:type="dxa"/>
            <w:vAlign w:val="bottom"/>
            <w:gridSpan w:val="2"/>
            <w:vMerge w:val="restart"/>
          </w:tcPr>
          <w:p>
            <w:pPr>
              <w:jc w:val="right"/>
              <w:ind w:right="180"/>
              <w:spacing w:after="0"/>
              <w:rPr>
                <w:sz w:val="20"/>
                <w:szCs w:val="20"/>
                <w:color w:val="auto"/>
              </w:rPr>
            </w:pPr>
            <w:r>
              <w:rPr>
                <w:rFonts w:ascii="Arial" w:cs="Arial" w:eastAsia="Arial" w:hAnsi="Arial"/>
                <w:sz w:val="17"/>
                <w:szCs w:val="17"/>
                <w:color w:val="auto"/>
              </w:rPr>
              <w:t>(36.2)%</w:t>
            </w: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4820" w:type="dxa"/>
            <w:vAlign w:val="bottom"/>
            <w:gridSpan w:val="2"/>
            <w:vMerge w:val="continue"/>
          </w:tcPr>
          <w:p>
            <w:pPr>
              <w:spacing w:after="0"/>
              <w:rPr>
                <w:sz w:val="17"/>
                <w:szCs w:val="17"/>
                <w:color w:val="auto"/>
              </w:rPr>
            </w:pPr>
          </w:p>
        </w:tc>
        <w:tc>
          <w:tcPr>
            <w:tcW w:w="160" w:type="dxa"/>
            <w:vAlign w:val="bottom"/>
          </w:tcPr>
          <w:p>
            <w:pPr>
              <w:jc w:val="right"/>
              <w:spacing w:after="0"/>
              <w:rPr>
                <w:sz w:val="20"/>
                <w:szCs w:val="20"/>
                <w:color w:val="auto"/>
              </w:rPr>
            </w:pPr>
            <w:r>
              <w:rPr>
                <w:rFonts w:ascii="Arial" w:cs="Arial" w:eastAsia="Arial" w:hAnsi="Arial"/>
                <w:sz w:val="17"/>
                <w:szCs w:val="17"/>
                <w:color w:val="auto"/>
                <w:w w:val="84"/>
              </w:rPr>
              <w:t>$</w:t>
            </w:r>
          </w:p>
        </w:tc>
        <w:tc>
          <w:tcPr>
            <w:tcW w:w="620" w:type="dxa"/>
            <w:vAlign w:val="bottom"/>
          </w:tcPr>
          <w:p>
            <w:pPr>
              <w:jc w:val="right"/>
              <w:spacing w:after="0"/>
              <w:rPr>
                <w:sz w:val="20"/>
                <w:szCs w:val="20"/>
                <w:color w:val="auto"/>
              </w:rPr>
            </w:pPr>
            <w:r>
              <w:rPr>
                <w:rFonts w:ascii="Arial" w:cs="Arial" w:eastAsia="Arial" w:hAnsi="Arial"/>
                <w:sz w:val="17"/>
                <w:szCs w:val="17"/>
                <w:color w:val="auto"/>
              </w:rPr>
              <w:t>67.4</w:t>
            </w:r>
          </w:p>
        </w:tc>
        <w:tc>
          <w:tcPr>
            <w:tcW w:w="260" w:type="dxa"/>
            <w:vAlign w:val="bottom"/>
          </w:tcPr>
          <w:p>
            <w:pPr>
              <w:spacing w:after="0"/>
              <w:rPr>
                <w:sz w:val="17"/>
                <w:szCs w:val="17"/>
                <w:color w:val="auto"/>
              </w:rPr>
            </w:pP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gridSpan w:val="2"/>
          </w:tcPr>
          <w:p>
            <w:pPr>
              <w:jc w:val="right"/>
              <w:ind w:right="236"/>
              <w:spacing w:after="0"/>
              <w:rPr>
                <w:sz w:val="20"/>
                <w:szCs w:val="20"/>
                <w:color w:val="auto"/>
              </w:rPr>
            </w:pPr>
            <w:r>
              <w:rPr>
                <w:rFonts w:ascii="Arial" w:cs="Arial" w:eastAsia="Arial" w:hAnsi="Arial"/>
                <w:sz w:val="17"/>
                <w:szCs w:val="17"/>
                <w:color w:val="auto"/>
              </w:rPr>
              <w:t>105.7</w:t>
            </w:r>
          </w:p>
        </w:tc>
        <w:tc>
          <w:tcPr>
            <w:tcW w:w="1160" w:type="dxa"/>
            <w:vAlign w:val="bottom"/>
            <w:gridSpan w:val="2"/>
            <w:vMerge w:val="continue"/>
          </w:tcPr>
          <w:p>
            <w:pPr>
              <w:spacing w:after="0"/>
              <w:rPr>
                <w:sz w:val="17"/>
                <w:szCs w:val="17"/>
                <w:color w:val="auto"/>
              </w:rPr>
            </w:pPr>
          </w:p>
        </w:tc>
        <w:tc>
          <w:tcPr>
            <w:tcW w:w="160" w:type="dxa"/>
            <w:vAlign w:val="bottom"/>
          </w:tcPr>
          <w:p>
            <w:pPr>
              <w:jc w:val="right"/>
              <w:spacing w:after="0"/>
              <w:rPr>
                <w:sz w:val="20"/>
                <w:szCs w:val="20"/>
                <w:color w:val="auto"/>
              </w:rPr>
            </w:pPr>
            <w:r>
              <w:rPr>
                <w:rFonts w:ascii="Arial" w:cs="Arial" w:eastAsia="Arial" w:hAnsi="Arial"/>
                <w:sz w:val="17"/>
                <w:szCs w:val="17"/>
                <w:color w:val="auto"/>
                <w:w w:val="84"/>
              </w:rPr>
              <w:t>$</w:t>
            </w:r>
          </w:p>
        </w:tc>
        <w:tc>
          <w:tcPr>
            <w:tcW w:w="880" w:type="dxa"/>
            <w:vAlign w:val="bottom"/>
            <w:gridSpan w:val="2"/>
          </w:tcPr>
          <w:p>
            <w:pPr>
              <w:jc w:val="right"/>
              <w:ind w:right="176"/>
              <w:spacing w:after="0"/>
              <w:rPr>
                <w:sz w:val="20"/>
                <w:szCs w:val="20"/>
                <w:color w:val="auto"/>
              </w:rPr>
            </w:pPr>
            <w:r>
              <w:rPr>
                <w:rFonts w:ascii="Arial" w:cs="Arial" w:eastAsia="Arial" w:hAnsi="Arial"/>
                <w:sz w:val="17"/>
                <w:szCs w:val="17"/>
                <w:color w:val="auto"/>
              </w:rPr>
              <w:t>168.3</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Pr>
          <w:p>
            <w:pPr>
              <w:jc w:val="right"/>
              <w:spacing w:after="0"/>
              <w:rPr>
                <w:sz w:val="20"/>
                <w:szCs w:val="20"/>
                <w:color w:val="auto"/>
              </w:rPr>
            </w:pPr>
            <w:r>
              <w:rPr>
                <w:rFonts w:ascii="Arial" w:cs="Arial" w:eastAsia="Arial" w:hAnsi="Arial"/>
                <w:sz w:val="17"/>
                <w:szCs w:val="17"/>
                <w:color w:val="auto"/>
              </w:rPr>
              <w:t>348.1</w:t>
            </w:r>
          </w:p>
        </w:tc>
        <w:tc>
          <w:tcPr>
            <w:tcW w:w="260" w:type="dxa"/>
            <w:vAlign w:val="bottom"/>
          </w:tcPr>
          <w:p>
            <w:pPr>
              <w:spacing w:after="0"/>
              <w:rPr>
                <w:sz w:val="17"/>
                <w:szCs w:val="17"/>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7"/>
                <w:szCs w:val="17"/>
                <w:color w:val="auto"/>
              </w:rPr>
              <w:t>(51.7)%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120650</wp:posOffset>
            </wp:positionV>
            <wp:extent cx="1786890" cy="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786890" cy="8255"/>
                    </a:xfrm>
                    <a:prstGeom prst="rect">
                      <a:avLst/>
                    </a:prstGeom>
                    <a:noFill/>
                  </pic:spPr>
                </pic:pic>
              </a:graphicData>
            </a:graphic>
          </wp:anchor>
        </w:drawing>
      </w:r>
    </w:p>
    <w:p>
      <w:pPr>
        <w:spacing w:after="0" w:line="177"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NMF - Not meaningful, pp - percentage points</w:t>
      </w:r>
    </w:p>
    <w:p>
      <w:pPr>
        <w:spacing w:after="0" w:line="203" w:lineRule="exact"/>
        <w:rPr>
          <w:sz w:val="20"/>
          <w:szCs w:val="20"/>
          <w:color w:val="auto"/>
        </w:rPr>
      </w:pPr>
    </w:p>
    <w:p>
      <w:pPr>
        <w:ind w:right="120" w:firstLine="1"/>
        <w:spacing w:after="0" w:line="238" w:lineRule="auto"/>
        <w:tabs>
          <w:tab w:leader="none" w:pos="250" w:val="left"/>
        </w:tabs>
        <w:numPr>
          <w:ilvl w:val="0"/>
          <w:numId w:val="18"/>
        </w:numPr>
        <w:rPr>
          <w:rFonts w:ascii="Arial" w:cs="Arial" w:eastAsia="Arial" w:hAnsi="Arial"/>
          <w:sz w:val="17"/>
          <w:szCs w:val="17"/>
          <w:color w:val="auto"/>
        </w:rPr>
      </w:pPr>
      <w:r>
        <w:rPr>
          <w:rFonts w:ascii="Arial" w:cs="Arial" w:eastAsia="Arial" w:hAnsi="Arial"/>
          <w:sz w:val="17"/>
          <w:szCs w:val="17"/>
          <w:color w:val="auto"/>
        </w:rPr>
        <w:t>The three months and twelve months ended Dec. 31, 2022 include M&amp;A-related earn-outs included in current period operating expense related to our acquisition of LCD. The three and twelve months ended Dec. 31, 2022 and Dec. 31, 2021 also reflect the impact of M&amp;A-related earn-outs included in current period operating expense (compensation expense), primarily due to the earn-out for Morningstar Sustainalytics.</w:t>
      </w:r>
    </w:p>
    <w:p>
      <w:pPr>
        <w:spacing w:after="0" w:line="179" w:lineRule="exact"/>
        <w:rPr>
          <w:rFonts w:ascii="Arial" w:cs="Arial" w:eastAsia="Arial" w:hAnsi="Arial"/>
          <w:sz w:val="17"/>
          <w:szCs w:val="17"/>
          <w:color w:val="auto"/>
        </w:rPr>
      </w:pPr>
    </w:p>
    <w:p>
      <w:pPr>
        <w:ind w:right="120" w:firstLine="1"/>
        <w:spacing w:after="0" w:line="242" w:lineRule="auto"/>
        <w:tabs>
          <w:tab w:leader="none" w:pos="253" w:val="left"/>
        </w:tabs>
        <w:numPr>
          <w:ilvl w:val="0"/>
          <w:numId w:val="18"/>
        </w:numPr>
        <w:rPr>
          <w:rFonts w:ascii="Arial" w:cs="Arial" w:eastAsia="Arial" w:hAnsi="Arial"/>
          <w:sz w:val="17"/>
          <w:szCs w:val="17"/>
          <w:color w:val="auto"/>
        </w:rPr>
      </w:pPr>
      <w:r>
        <w:rPr>
          <w:rFonts w:ascii="Arial" w:cs="Arial" w:eastAsia="Arial" w:hAnsi="Arial"/>
          <w:sz w:val="17"/>
          <w:szCs w:val="17"/>
          <w:color w:val="auto"/>
        </w:rPr>
        <w:t>Reflects costs associated with the significant reduction of the Company's operations in Shenzhen, China, and the shift of work related to its global business functions to other Morningstar locations.</w:t>
      </w:r>
    </w:p>
    <w:p>
      <w:pPr>
        <w:spacing w:after="0" w:line="176" w:lineRule="exact"/>
        <w:rPr>
          <w:sz w:val="20"/>
          <w:szCs w:val="20"/>
          <w:color w:val="auto"/>
        </w:rPr>
      </w:pPr>
    </w:p>
    <w:p>
      <w:pPr>
        <w:ind w:right="240"/>
        <w:spacing w:after="0" w:line="238" w:lineRule="auto"/>
        <w:rPr>
          <w:sz w:val="20"/>
          <w:szCs w:val="20"/>
          <w:color w:val="auto"/>
        </w:rPr>
      </w:pPr>
      <w:r>
        <w:rPr>
          <w:rFonts w:ascii="Arial" w:cs="Arial" w:eastAsia="Arial" w:hAnsi="Arial"/>
          <w:sz w:val="17"/>
          <w:szCs w:val="17"/>
          <w:color w:val="auto"/>
        </w:rPr>
        <w:t>Severance and personnel expenses include severance charges, incentive payments related to early signing of severance agreements, transition bonuses, and stock-based compensation related to the accelerated expense recognition from the continued of vesting of restricted stock unit (RSU) and market share unit (MSU) awards. In addition, the reversal of accrued sabbatical liabilities is included in this category.</w:t>
      </w:r>
    </w:p>
    <w:p>
      <w:pPr>
        <w:spacing w:after="0" w:line="179" w:lineRule="exact"/>
        <w:rPr>
          <w:sz w:val="20"/>
          <w:szCs w:val="20"/>
          <w:color w:val="auto"/>
        </w:rPr>
      </w:pPr>
    </w:p>
    <w:p>
      <w:pPr>
        <w:ind w:right="60"/>
        <w:spacing w:after="0" w:line="238" w:lineRule="auto"/>
        <w:rPr>
          <w:sz w:val="20"/>
          <w:szCs w:val="20"/>
          <w:color w:val="auto"/>
        </w:rPr>
      </w:pPr>
      <w:r>
        <w:rPr>
          <w:rFonts w:ascii="Arial" w:cs="Arial" w:eastAsia="Arial" w:hAnsi="Arial"/>
          <w:sz w:val="17"/>
          <w:szCs w:val="17"/>
          <w:color w:val="auto"/>
        </w:rPr>
        <w:t>Transformation costs include professional fees and the temporary duplication of headcount. As the Company hires replacement roles in other markets and shifts capabilities, it expects to continue to employ certain Shenzhen-based staff through the transition period, which will result in elevated compensation costs on a temporary basis.</w:t>
      </w:r>
    </w:p>
    <w:p>
      <w:pPr>
        <w:spacing w:after="0" w:line="179" w:lineRule="exact"/>
        <w:rPr>
          <w:sz w:val="20"/>
          <w:szCs w:val="20"/>
          <w:color w:val="auto"/>
        </w:rPr>
      </w:pPr>
    </w:p>
    <w:p>
      <w:pPr>
        <w:ind w:right="500"/>
        <w:spacing w:after="0" w:line="242" w:lineRule="auto"/>
        <w:rPr>
          <w:sz w:val="20"/>
          <w:szCs w:val="20"/>
          <w:color w:val="auto"/>
        </w:rPr>
      </w:pPr>
      <w:r>
        <w:rPr>
          <w:rFonts w:ascii="Arial" w:cs="Arial" w:eastAsia="Arial" w:hAnsi="Arial"/>
          <w:sz w:val="17"/>
          <w:szCs w:val="17"/>
          <w:color w:val="auto"/>
        </w:rPr>
        <w:t>Asset impairment costs include the write-off or accelerated depreciation of fixed assets in the Shenzhen, China office that are not redeployed, in addition to lease abandonment costs as the Company plans to downsize office space prior to the lease termination date.</w:t>
      </w:r>
    </w:p>
    <w:p>
      <w:pPr>
        <w:spacing w:after="0" w:line="176" w:lineRule="exact"/>
        <w:rPr>
          <w:sz w:val="20"/>
          <w:szCs w:val="20"/>
          <w:color w:val="auto"/>
        </w:rPr>
      </w:pPr>
    </w:p>
    <w:p>
      <w:pPr>
        <w:spacing w:after="0"/>
        <w:rPr>
          <w:sz w:val="20"/>
          <w:szCs w:val="20"/>
          <w:color w:val="auto"/>
        </w:rPr>
      </w:pPr>
      <w:r>
        <w:rPr>
          <w:rFonts w:ascii="Arial" w:cs="Arial" w:eastAsia="Arial" w:hAnsi="Arial"/>
          <w:sz w:val="17"/>
          <w:szCs w:val="17"/>
          <w:color w:val="auto"/>
        </w:rPr>
        <w:t>(3) Non-operating gains in the three and twelve months ended Dec. 31, 2022 related to unrealized gains on investments.</w:t>
      </w:r>
    </w:p>
    <w:p>
      <w:pPr>
        <w:spacing w:after="0" w:line="368"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Page 17 of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17780</wp:posOffset>
            </wp:positionV>
            <wp:extent cx="7140575"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40575" cy="8255"/>
                    </a:xfrm>
                    <a:prstGeom prst="rect">
                      <a:avLst/>
                    </a:prstGeom>
                    <a:noFill/>
                  </pic:spPr>
                </pic:pic>
              </a:graphicData>
            </a:graphic>
          </wp:anchor>
        </w:drawing>
      </w:r>
    </w:p>
    <w:p>
      <w:pPr>
        <w:sectPr>
          <w:pgSz w:w="11900" w:h="16838" w:orient="portrait"/>
          <w:cols w:equalWidth="0" w:num="1">
            <w:col w:w="11240"/>
          </w:cols>
          <w:pgMar w:left="320" w:top="854" w:right="339" w:bottom="873" w:gutter="0" w:footer="0" w:header="0"/>
        </w:sectPr>
      </w:pPr>
    </w:p>
    <w:bookmarkStart w:id="21" w:name="page22"/>
    <w:bookmarkEnd w:id="21"/>
    <w:p>
      <w:pPr>
        <w:ind w:left="8440"/>
        <w:spacing w:after="0"/>
        <w:rPr>
          <w:sz w:val="20"/>
          <w:szCs w:val="20"/>
          <w:color w:val="auto"/>
        </w:rPr>
      </w:pPr>
      <w:r>
        <w:rPr>
          <w:rFonts w:ascii="Arial" w:cs="Arial" w:eastAsia="Arial" w:hAnsi="Arial"/>
          <w:sz w:val="15"/>
          <w:szCs w:val="15"/>
          <w:b w:val="1"/>
          <w:bCs w:val="1"/>
          <w:color w:val="auto"/>
        </w:rPr>
        <w:t>Exhibit 99.2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-645160</wp:posOffset>
            </wp:positionH>
            <wp:positionV relativeFrom="paragraph">
              <wp:posOffset>166370</wp:posOffset>
            </wp:positionV>
            <wp:extent cx="6882765" cy="4194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0" w:num="1">
            <w:col w:w="9320"/>
          </w:cols>
          <w:pgMar w:left="1440" w:top="339" w:right="1139" w:bottom="1440"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 w:name="page34"/>
    <w:bookmarkEnd w:id="3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4" w:name="page35"/>
    <w:bookmarkEnd w:id="3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5" w:name="page36"/>
    <w:bookmarkEnd w:id="3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6" w:name="page37"/>
    <w:bookmarkEnd w:id="3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7" w:name="page38"/>
    <w:bookmarkEnd w:id="3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8" w:name="page39"/>
    <w:bookmarkEnd w:id="3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9" w:name="page40"/>
    <w:bookmarkEnd w:id="3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0" w:name="page41"/>
    <w:bookmarkEnd w:id="4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1" w:name="page42"/>
    <w:bookmarkEnd w:id="4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2" w:name="page43"/>
    <w:bookmarkEnd w:id="4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3" w:name="page44"/>
    <w:bookmarkEnd w:id="4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4" w:name="page45"/>
    <w:bookmarkEnd w:id="4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5" w:name="page46"/>
    <w:bookmarkEnd w:id="4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6" w:name="page47"/>
    <w:bookmarkEnd w:id="4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7" w:name="page48"/>
    <w:bookmarkEnd w:id="4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8" w:name="page49"/>
    <w:bookmarkEnd w:id="4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9" w:name="page50"/>
    <w:bookmarkEnd w:id="4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0" w:name="page51"/>
    <w:bookmarkEnd w:id="5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268605</wp:posOffset>
            </wp:positionH>
            <wp:positionV relativeFrom="page">
              <wp:posOffset>88900</wp:posOffset>
            </wp:positionV>
            <wp:extent cx="6882765" cy="4194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6882765" cy="419417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2200854"/>
    <w:multiLevelType w:val="hybridMultilevel"/>
    <w:lvl w:ilvl="0">
      <w:lvlJc w:val="left"/>
      <w:lvlText w:val="☐"/>
      <w:numFmt w:val="bullet"/>
      <w:start w:val="1"/>
    </w:lvl>
  </w:abstractNum>
  <w:abstractNum w:abstractNumId="1">
    <w:nsid w:val="4DB127F8"/>
    <w:multiLevelType w:val="hybridMultilevel"/>
    <w:lvl w:ilvl="0">
      <w:lvlJc w:val="left"/>
      <w:lvlText w:val="(%1)"/>
      <w:numFmt w:val="lowerLetter"/>
      <w:start w:val="4"/>
    </w:lvl>
  </w:abstractNum>
  <w:abstractNum w:abstractNumId="2">
    <w:nsid w:val="216231B"/>
    <w:multiLevelType w:val="hybridMultilevel"/>
    <w:lvl w:ilvl="0">
      <w:lvlJc w:val="left"/>
      <w:lvlText w:val="*"/>
      <w:numFmt w:val="bullet"/>
      <w:start w:val="1"/>
    </w:lvl>
  </w:abstractNum>
  <w:abstractNum w:abstractNumId="3">
    <w:nsid w:val="1F16E9E8"/>
    <w:multiLevelType w:val="hybridMultilevel"/>
    <w:lvl w:ilvl="0">
      <w:lvlJc w:val="left"/>
      <w:lvlText w:val="*"/>
      <w:numFmt w:val="bullet"/>
      <w:start w:val="1"/>
    </w:lvl>
  </w:abstractNum>
  <w:abstractNum w:abstractNumId="4">
    <w:nsid w:val="1190CDE7"/>
    <w:multiLevelType w:val="hybridMultilevel"/>
    <w:lvl w:ilvl="0">
      <w:lvlJc w:val="left"/>
      <w:lvlText w:val="·"/>
      <w:numFmt w:val="bullet"/>
      <w:start w:val="1"/>
    </w:lvl>
  </w:abstractNum>
  <w:abstractNum w:abstractNumId="5">
    <w:nsid w:val="66EF438D"/>
    <w:multiLevelType w:val="hybridMultilevel"/>
    <w:lvl w:ilvl="0">
      <w:lvlJc w:val="left"/>
      <w:lvlText w:val="·"/>
      <w:numFmt w:val="bullet"/>
      <w:start w:val="1"/>
    </w:lvl>
  </w:abstractNum>
  <w:abstractNum w:abstractNumId="6">
    <w:nsid w:val="140E0F76"/>
    <w:multiLevelType w:val="hybridMultilevel"/>
    <w:lvl w:ilvl="0">
      <w:lvlJc w:val="left"/>
      <w:lvlText w:val="·"/>
      <w:numFmt w:val="bullet"/>
      <w:start w:val="1"/>
    </w:lvl>
  </w:abstractNum>
  <w:abstractNum w:abstractNumId="7">
    <w:nsid w:val="3352255A"/>
    <w:multiLevelType w:val="hybridMultilevel"/>
    <w:lvl w:ilvl="0">
      <w:lvlJc w:val="left"/>
      <w:lvlText w:val="·"/>
      <w:numFmt w:val="bullet"/>
      <w:start w:val="1"/>
    </w:lvl>
  </w:abstractNum>
  <w:abstractNum w:abstractNumId="8">
    <w:nsid w:val="109CF92E"/>
    <w:multiLevelType w:val="hybridMultilevel"/>
    <w:lvl w:ilvl="0">
      <w:lvlJc w:val="left"/>
      <w:lvlText w:val="·"/>
      <w:numFmt w:val="bullet"/>
      <w:start w:val="1"/>
    </w:lvl>
  </w:abstractNum>
  <w:abstractNum w:abstractNumId="9">
    <w:nsid w:val="DED7263"/>
    <w:multiLevelType w:val="hybridMultilevel"/>
    <w:lvl w:ilvl="0">
      <w:lvlJc w:val="left"/>
      <w:lvlText w:val="·"/>
      <w:numFmt w:val="bullet"/>
      <w:start w:val="1"/>
    </w:lvl>
  </w:abstractNum>
  <w:abstractNum w:abstractNumId="10">
    <w:nsid w:val="7FDCC233"/>
    <w:multiLevelType w:val="hybridMultilevel"/>
    <w:lvl w:ilvl="0">
      <w:lvlJc w:val="left"/>
      <w:lvlText w:val="·"/>
      <w:numFmt w:val="bullet"/>
      <w:start w:val="1"/>
    </w:lvl>
  </w:abstractNum>
  <w:abstractNum w:abstractNumId="11">
    <w:nsid w:val="1BEFD79F"/>
    <w:multiLevelType w:val="hybridMultilevel"/>
    <w:lvl w:ilvl="0">
      <w:lvlJc w:val="left"/>
      <w:lvlText w:val="·"/>
      <w:numFmt w:val="bullet"/>
      <w:start w:val="1"/>
    </w:lvl>
  </w:abstractNum>
  <w:abstractNum w:abstractNumId="12">
    <w:nsid w:val="41A7C4C9"/>
    <w:multiLevelType w:val="hybridMultilevel"/>
    <w:lvl w:ilvl="0">
      <w:lvlJc w:val="left"/>
      <w:lvlText w:val="·"/>
      <w:numFmt w:val="bullet"/>
      <w:start w:val="1"/>
    </w:lvl>
  </w:abstractNum>
  <w:abstractNum w:abstractNumId="13">
    <w:nsid w:val="6B68079A"/>
    <w:multiLevelType w:val="hybridMultilevel"/>
    <w:lvl w:ilvl="0">
      <w:lvlJc w:val="left"/>
      <w:lvlText w:val="·"/>
      <w:numFmt w:val="bullet"/>
      <w:start w:val="1"/>
    </w:lvl>
  </w:abstractNum>
  <w:abstractNum w:abstractNumId="14">
    <w:nsid w:val="4E6AFB66"/>
    <w:multiLevelType w:val="hybridMultilevel"/>
    <w:lvl w:ilvl="0">
      <w:lvlJc w:val="left"/>
      <w:lvlText w:val="·"/>
      <w:numFmt w:val="bullet"/>
      <w:start w:val="1"/>
    </w:lvl>
  </w:abstractNum>
  <w:abstractNum w:abstractNumId="15">
    <w:nsid w:val="25E45D32"/>
    <w:multiLevelType w:val="hybridMultilevel"/>
    <w:lvl w:ilvl="0">
      <w:lvlJc w:val="left"/>
      <w:lvlText w:val="(%1)"/>
      <w:numFmt w:val="decimal"/>
      <w:start w:val="1"/>
    </w:lvl>
  </w:abstractNum>
  <w:abstractNum w:abstractNumId="16">
    <w:nsid w:val="519B500D"/>
    <w:multiLevelType w:val="hybridMultilevel"/>
    <w:lvl w:ilvl="0">
      <w:lvlJc w:val="left"/>
      <w:lvlText w:val="●"/>
      <w:numFmt w:val="bullet"/>
      <w:start w:val="1"/>
    </w:lvl>
  </w:abstractNum>
  <w:abstractNum w:abstractNumId="17">
    <w:nsid w:val="431BD7B7"/>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2023-02-24T13:38:42Z</dcterms:created>
  <dcterms:modified xsi:type="dcterms:W3CDTF">2023-02-24T13:38:42Z</dcterms:modified>
</cp:coreProperties>
</file>