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9669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96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368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Upton Jerome T</w:t>
              </w:r>
            </w:hyperlink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40" w:type="dxa"/>
            <w:vAlign w:val="bottom"/>
            <w:gridSpan w:val="2"/>
          </w:tcPr>
          <w:p>
            <w:pPr>
              <w:spacing w:after="0" w:line="187" w:lineRule="exact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 xml:space="preserve">GENWORTH FINANCIAL INC </w:t>
              </w:r>
            </w:hyperlink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[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GNW</w:t>
            </w:r>
            <w:r>
              <w:rPr>
                <w:rFonts w:ascii="Arial" w:cs="Arial" w:eastAsia="Arial" w:hAnsi="Arial"/>
                <w:sz w:val="21"/>
                <w:szCs w:val="21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top w:val="single" w:sz="8" w:color="EEEE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64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4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GENWORTH FINANCIAL, INC.</w:t>
            </w:r>
          </w:p>
        </w:tc>
        <w:tc>
          <w:tcPr>
            <w:tcW w:w="298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03/01/2023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6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6620 WEST BROAD STREET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5" w:right="540" w:hanging="5"/>
        <w:spacing w:after="0" w:line="253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8" w:lineRule="exact"/>
        <w:rPr>
          <w:sz w:val="20"/>
          <w:szCs w:val="20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50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EVP &amp; Chief Financial Officer</w:t>
      </w:r>
    </w:p>
    <w:p>
      <w:pPr>
        <w:spacing w:after="0" w:line="40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660" w:space="75"/>
            <w:col w:w="3345"/>
          </w:cols>
          <w:pgMar w:left="460" w:top="225" w:right="359" w:bottom="144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0" w:type="dxa"/>
            <w:vAlign w:val="bottom"/>
            <w:gridSpan w:val="6"/>
          </w:tcPr>
          <w:p>
            <w:pPr>
              <w:jc w:val="center"/>
              <w:ind w:right="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500" w:type="dxa"/>
            <w:vAlign w:val="bottom"/>
            <w:gridSpan w:val="8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20" w:type="dxa"/>
            <w:vAlign w:val="bottom"/>
            <w:gridSpan w:val="7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RICHMOND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6"/>
              </w:rPr>
              <w:t>VA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23230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2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2C2C2C"/>
            </w:tcBorders>
            <w:gridSpan w:val="7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760" w:type="dxa"/>
            <w:vAlign w:val="bottom"/>
            <w:tcBorders>
              <w:top w:val="single" w:sz="8" w:color="2C2C2C"/>
            </w:tcBorders>
            <w:gridSpan w:val="13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3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9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7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80" w:type="dxa"/>
            <w:vAlign w:val="bottom"/>
            <w:gridSpan w:val="4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Class A Common Stock</w:t>
            </w: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03/01/2023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5"/>
              </w:rPr>
              <w:t>75,202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(1)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8"/>
              </w:rPr>
              <w:t>0.00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212,267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Class A Common Stock</w:t>
            </w: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03/01/2023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jc w:val="center"/>
              <w:ind w:right="2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F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5"/>
              </w:rPr>
              <w:t>33,240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(2)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98"/>
              </w:rPr>
              <w:t>6.15</w:t>
            </w: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179,027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20" w:type="dxa"/>
            <w:vAlign w:val="bottom"/>
            <w:tcBorders>
              <w:top w:val="single" w:sz="8" w:color="2C2C2C"/>
            </w:tcBorders>
            <w:gridSpan w:val="1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20" w:type="dxa"/>
            <w:vAlign w:val="bottom"/>
            <w:gridSpan w:val="10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1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4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</w:tcPr>
          <w:p>
            <w:pPr>
              <w:ind w:left="4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60" w:type="dxa"/>
            <w:vAlign w:val="bottom"/>
          </w:tcPr>
          <w:p>
            <w:pPr>
              <w:ind w:left="4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Shares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Reflects Performance Stock Units that were granted on April 7, 2020 and fully vested on March 1, 2023, and settled in Class A Common Stock on a 1:1 basis.</w:t>
      </w:r>
    </w:p>
    <w:p>
      <w:pPr>
        <w:spacing w:after="0" w:line="50" w:lineRule="exact"/>
        <w:rPr>
          <w:rFonts w:ascii="Arial" w:cs="Arial" w:eastAsia="Arial" w:hAnsi="Arial"/>
          <w:sz w:val="13"/>
          <w:szCs w:val="13"/>
          <w:color w:val="008000"/>
        </w:rPr>
      </w:pPr>
    </w:p>
    <w:p>
      <w:pPr>
        <w:ind w:left="180" w:hanging="133"/>
        <w:spacing w:after="0"/>
        <w:tabs>
          <w:tab w:leader="none" w:pos="180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008000"/>
        </w:rPr>
      </w:pPr>
      <w:r>
        <w:rPr>
          <w:rFonts w:ascii="Arial" w:cs="Arial" w:eastAsia="Arial" w:hAnsi="Arial"/>
          <w:sz w:val="13"/>
          <w:szCs w:val="13"/>
          <w:color w:val="008000"/>
        </w:rPr>
        <w:t>The Company withheld shares of common stock to satisfy the tax withholding obligation for the Reporting Person's Performance Stock Units that vested on March 1, 2023.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tbl>
      <w:tblPr>
        <w:tblLayout w:type="fixed"/>
        <w:tblInd w:w="6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7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/s/ David F. Kurzawa, by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03/03/2023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80" w:type="dxa"/>
            <w:vAlign w:val="bottom"/>
            <w:gridSpan w:val="3"/>
            <w:vMerge w:val="restart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power of attorney</w:t>
            </w: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2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3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9495CFF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509299" TargetMode="External"/><Relationship Id="rId13" Type="http://schemas.openxmlformats.org/officeDocument/2006/relationships/hyperlink" Target="http://www.sec.gov/cgi-bin/browse-edgar?action=getcompany&amp;CIK=000127652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2023-03-03T15:55:16Z</dcterms:created>
  <dcterms:modified xsi:type="dcterms:W3CDTF">2023-03-03T15:55:16Z</dcterms:modified>
</cp:coreProperties>
</file>